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5BC516">
      <w:pPr>
        <w:rPr>
          <w:b/>
          <w:bCs/>
          <w:sz w:val="28"/>
          <w:szCs w:val="28"/>
        </w:rPr>
      </w:pPr>
      <w:bookmarkStart w:id="0" w:name="_Toc356480371"/>
      <w:bookmarkStart w:id="1" w:name="_Toc354581284"/>
      <w:bookmarkStart w:id="2" w:name="_Toc370555588"/>
      <w:bookmarkStart w:id="3" w:name="_Toc370554343"/>
      <w:bookmarkStart w:id="4" w:name="_Toc5860"/>
      <w:bookmarkStart w:id="5" w:name="_Toc30111"/>
      <w:bookmarkStart w:id="6" w:name="_Toc11997"/>
      <w:bookmarkStart w:id="7" w:name="_Toc28060"/>
      <w:bookmarkStart w:id="8" w:name="_Toc16770"/>
      <w:bookmarkStart w:id="9" w:name="_Toc128883170"/>
      <w:bookmarkStart w:id="10" w:name="_Toc66789640"/>
      <w:bookmarkStart w:id="11" w:name="_Toc67383797"/>
      <w:bookmarkStart w:id="12" w:name="_Toc68425138"/>
      <w:bookmarkStart w:id="13" w:name="_Toc201249320"/>
      <w:bookmarkStart w:id="14" w:name="_Toc130543239"/>
      <w:bookmarkStart w:id="15" w:name="_Toc66789469"/>
      <w:bookmarkStart w:id="16" w:name="_Toc67384063"/>
      <w:bookmarkStart w:id="601" w:name="_GoBack"/>
      <w:bookmarkEnd w:id="601"/>
      <w:r>
        <w:rPr>
          <w:sz w:val="36"/>
          <w:szCs w:val="36"/>
        </w:rPr>
        <w:t xml:space="preserve">                       </w:t>
      </w:r>
    </w:p>
    <w:p w14:paraId="145D7A66">
      <w:pPr>
        <w:jc w:val="center"/>
      </w:pPr>
    </w:p>
    <w:p w14:paraId="61F86AC0"/>
    <w:p w14:paraId="0F22F751">
      <w:pPr>
        <w:pStyle w:val="41"/>
        <w:ind w:left="1440" w:hanging="960"/>
        <w:rPr>
          <w:sz w:val="48"/>
          <w:szCs w:val="48"/>
        </w:rPr>
      </w:pPr>
    </w:p>
    <w:p w14:paraId="6091EBAE"/>
    <w:p w14:paraId="51DC2BB0">
      <w:pPr>
        <w:jc w:val="center"/>
        <w:rPr>
          <w:sz w:val="48"/>
          <w:szCs w:val="48"/>
        </w:rPr>
      </w:pPr>
    </w:p>
    <w:p w14:paraId="0977EB93">
      <w:pPr>
        <w:jc w:val="center"/>
        <w:rPr>
          <w:sz w:val="48"/>
          <w:szCs w:val="48"/>
        </w:rPr>
      </w:pPr>
    </w:p>
    <w:p w14:paraId="64A23CE6">
      <w:pPr>
        <w:jc w:val="center"/>
        <w:rPr>
          <w:sz w:val="48"/>
          <w:szCs w:val="48"/>
        </w:rPr>
      </w:pPr>
    </w:p>
    <w:p w14:paraId="24996A00">
      <w:pPr>
        <w:jc w:val="center"/>
        <w:rPr>
          <w:rFonts w:hint="eastAsia" w:eastAsia="宋体"/>
          <w:sz w:val="48"/>
          <w:szCs w:val="48"/>
          <w:lang w:eastAsia="zh-CN"/>
        </w:rPr>
      </w:pPr>
      <w:r>
        <w:rPr>
          <w:rFonts w:hint="eastAsia"/>
          <w:sz w:val="48"/>
          <w:szCs w:val="48"/>
          <w:lang w:eastAsia="zh-CN"/>
        </w:rPr>
        <w:t>黑龙江鸿展生物科技股份有限公司</w:t>
      </w:r>
    </w:p>
    <w:p w14:paraId="56D4C632">
      <w:pPr>
        <w:jc w:val="center"/>
        <w:rPr>
          <w:rFonts w:hint="eastAsia" w:eastAsia="宋体"/>
          <w:sz w:val="48"/>
          <w:szCs w:val="48"/>
          <w:lang w:eastAsia="zh-CN"/>
        </w:rPr>
      </w:pPr>
      <w:r>
        <w:rPr>
          <w:rFonts w:hint="eastAsia"/>
          <w:sz w:val="48"/>
          <w:szCs w:val="48"/>
          <w:lang w:eastAsia="zh-CN"/>
        </w:rPr>
        <w:t>年产70万吨医用酒精技术改造项目</w:t>
      </w:r>
    </w:p>
    <w:p w14:paraId="05228098">
      <w:pPr>
        <w:pStyle w:val="41"/>
        <w:ind w:left="960" w:hanging="480"/>
      </w:pPr>
    </w:p>
    <w:p w14:paraId="61CB85C8">
      <w:pPr>
        <w:jc w:val="center"/>
        <w:rPr>
          <w:b/>
          <w:bCs/>
          <w:sz w:val="96"/>
          <w:szCs w:val="96"/>
        </w:rPr>
      </w:pPr>
      <w:r>
        <w:rPr>
          <w:b/>
          <w:bCs/>
          <w:sz w:val="72"/>
          <w:szCs w:val="72"/>
        </w:rPr>
        <w:t>环境影响报告书</w:t>
      </w:r>
    </w:p>
    <w:p w14:paraId="3936782B">
      <w:pPr>
        <w:jc w:val="center"/>
        <w:rPr>
          <w:b/>
          <w:sz w:val="32"/>
          <w:szCs w:val="32"/>
        </w:rPr>
      </w:pPr>
    </w:p>
    <w:p w14:paraId="51D881E1"/>
    <w:p w14:paraId="390174C3">
      <w:pPr>
        <w:pStyle w:val="65"/>
        <w:rPr>
          <w:rFonts w:ascii="Times New Roman" w:hAnsi="Times New Roman"/>
          <w:color w:val="auto"/>
        </w:rPr>
      </w:pPr>
    </w:p>
    <w:p w14:paraId="5449C8D7">
      <w:pPr>
        <w:pStyle w:val="65"/>
        <w:rPr>
          <w:rFonts w:ascii="Times New Roman" w:hAnsi="Times New Roman"/>
          <w:color w:val="auto"/>
        </w:rPr>
      </w:pPr>
    </w:p>
    <w:p w14:paraId="2116BBEA">
      <w:pPr>
        <w:jc w:val="center"/>
        <w:rPr>
          <w:sz w:val="30"/>
          <w:szCs w:val="30"/>
        </w:rPr>
      </w:pPr>
    </w:p>
    <w:p w14:paraId="7DF3EAC3">
      <w:pPr>
        <w:pStyle w:val="41"/>
        <w:ind w:left="960" w:hanging="480"/>
      </w:pPr>
    </w:p>
    <w:p w14:paraId="2B48360C"/>
    <w:p w14:paraId="325FDC42">
      <w:pPr>
        <w:pStyle w:val="41"/>
        <w:ind w:left="960" w:hanging="480"/>
      </w:pPr>
    </w:p>
    <w:p w14:paraId="548934F0">
      <w:pPr>
        <w:jc w:val="center"/>
        <w:rPr>
          <w:sz w:val="30"/>
          <w:szCs w:val="30"/>
        </w:rPr>
      </w:pPr>
    </w:p>
    <w:p w14:paraId="4DD3758B">
      <w:pPr>
        <w:pStyle w:val="41"/>
        <w:ind w:left="960" w:hanging="480"/>
      </w:pPr>
    </w:p>
    <w:p w14:paraId="73D3CB13">
      <w:pPr>
        <w:ind w:firstLine="1200" w:firstLineChars="400"/>
        <w:rPr>
          <w:rFonts w:hint="eastAsia" w:eastAsia="宋体"/>
          <w:sz w:val="30"/>
          <w:szCs w:val="30"/>
          <w:lang w:eastAsia="zh-CN"/>
        </w:rPr>
      </w:pPr>
      <w:r>
        <w:rPr>
          <w:sz w:val="30"/>
          <w:szCs w:val="30"/>
        </w:rPr>
        <w:t>建设单位（盖章）：</w:t>
      </w:r>
      <w:r>
        <w:rPr>
          <w:rFonts w:hint="eastAsia"/>
          <w:sz w:val="30"/>
          <w:szCs w:val="30"/>
          <w:lang w:eastAsia="zh-CN"/>
        </w:rPr>
        <w:t>黑龙江鸿展生物科技股份有限公司</w:t>
      </w:r>
    </w:p>
    <w:p w14:paraId="619A8C3F">
      <w:pPr>
        <w:jc w:val="center"/>
        <w:rPr>
          <w:rFonts w:hint="eastAsia" w:eastAsia="宋体"/>
          <w:sz w:val="30"/>
          <w:szCs w:val="30"/>
          <w:lang w:eastAsia="zh-CN"/>
        </w:rPr>
      </w:pPr>
      <w:r>
        <w:rPr>
          <w:sz w:val="30"/>
          <w:szCs w:val="30"/>
        </w:rPr>
        <w:t>环评单位：</w:t>
      </w:r>
      <w:r>
        <w:rPr>
          <w:rFonts w:hint="eastAsia"/>
          <w:sz w:val="30"/>
          <w:szCs w:val="30"/>
          <w:lang w:eastAsia="zh-CN"/>
        </w:rPr>
        <w:t>齐齐哈尔鑫齐大环保科技有限公司</w:t>
      </w:r>
    </w:p>
    <w:p w14:paraId="205F5611">
      <w:pPr>
        <w:pStyle w:val="42"/>
        <w:tabs>
          <w:tab w:val="right" w:leader="dot" w:pos="8303"/>
        </w:tabs>
        <w:ind w:left="0"/>
      </w:pPr>
    </w:p>
    <w:p w14:paraId="317EDA0D">
      <w:pPr>
        <w:jc w:val="center"/>
        <w:rPr>
          <w:sz w:val="30"/>
          <w:szCs w:val="30"/>
        </w:rPr>
      </w:pPr>
      <w:r>
        <w:rPr>
          <w:sz w:val="30"/>
          <w:szCs w:val="30"/>
        </w:rPr>
        <w:t>202</w:t>
      </w:r>
      <w:r>
        <w:rPr>
          <w:rFonts w:hint="eastAsia"/>
          <w:sz w:val="30"/>
          <w:szCs w:val="30"/>
          <w:lang w:val="en-US" w:eastAsia="zh-CN"/>
        </w:rPr>
        <w:t>6</w:t>
      </w:r>
      <w:r>
        <w:rPr>
          <w:sz w:val="30"/>
          <w:szCs w:val="30"/>
        </w:rPr>
        <w:t>年</w:t>
      </w:r>
      <w:r>
        <w:rPr>
          <w:rFonts w:hint="eastAsia"/>
          <w:sz w:val="30"/>
          <w:szCs w:val="30"/>
          <w:lang w:val="en-US" w:eastAsia="zh-CN"/>
        </w:rPr>
        <w:t>6</w:t>
      </w:r>
      <w:r>
        <w:rPr>
          <w:sz w:val="30"/>
          <w:szCs w:val="30"/>
        </w:rPr>
        <w:t>月</w:t>
      </w:r>
    </w:p>
    <w:p w14:paraId="45761979">
      <w:pPr>
        <w:pStyle w:val="42"/>
        <w:rPr>
          <w:sz w:val="30"/>
          <w:szCs w:val="30"/>
        </w:rPr>
      </w:pPr>
    </w:p>
    <w:p w14:paraId="31F1E911">
      <w:pPr>
        <w:rPr>
          <w:sz w:val="30"/>
          <w:szCs w:val="30"/>
        </w:rPr>
      </w:pPr>
    </w:p>
    <w:p w14:paraId="29593A80">
      <w:pPr>
        <w:rPr>
          <w:rFonts w:hint="eastAsia" w:eastAsia="宋体"/>
          <w:lang w:eastAsia="zh-CN"/>
        </w:rPr>
      </w:pPr>
      <w:r>
        <w:rPr>
          <w:rFonts w:hint="eastAsia" w:eastAsia="宋体"/>
          <w:lang w:eastAsia="zh-CN"/>
        </w:rPr>
        <w:drawing>
          <wp:inline distT="0" distB="0" distL="114300" distR="114300">
            <wp:extent cx="5711825" cy="8084820"/>
            <wp:effectExtent l="0" t="0" r="3175" b="11430"/>
            <wp:docPr id="2" name="图片 2" descr="黑龙江鸿展生物科技股份有限公司年产70万吨医用酒精技术改造项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黑龙江鸿展生物科技股份有限公司年产70万吨医用酒精技术改造项目_01"/>
                    <pic:cNvPicPr>
                      <a:picLocks noChangeAspect="1"/>
                    </pic:cNvPicPr>
                  </pic:nvPicPr>
                  <pic:blipFill>
                    <a:blip r:embed="rId21"/>
                    <a:stretch>
                      <a:fillRect/>
                    </a:stretch>
                  </pic:blipFill>
                  <pic:spPr>
                    <a:xfrm>
                      <a:off x="0" y="0"/>
                      <a:ext cx="5711825" cy="8084820"/>
                    </a:xfrm>
                    <a:prstGeom prst="rect">
                      <a:avLst/>
                    </a:prstGeom>
                  </pic:spPr>
                </pic:pic>
              </a:graphicData>
            </a:graphic>
          </wp:inline>
        </w:drawing>
      </w:r>
    </w:p>
    <w:p w14:paraId="743392BA">
      <w:pPr>
        <w:pStyle w:val="51"/>
        <w:rPr>
          <w:sz w:val="30"/>
          <w:szCs w:val="30"/>
        </w:rPr>
      </w:pPr>
    </w:p>
    <w:p w14:paraId="6643C41B">
      <w:pPr>
        <w:jc w:val="center"/>
        <w:rPr>
          <w:sz w:val="32"/>
          <w:szCs w:val="32"/>
        </w:rPr>
        <w:sectPr>
          <w:headerReference r:id="rId3" w:type="default"/>
          <w:footerReference r:id="rId4" w:type="default"/>
          <w:pgSz w:w="11906" w:h="16838"/>
          <w:pgMar w:top="1440" w:right="1440" w:bottom="1440" w:left="144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bookmarkStart w:id="17" w:name="_Toc27199"/>
      <w:bookmarkStart w:id="18" w:name="_Toc869557"/>
      <w:bookmarkStart w:id="19" w:name="_Toc1744429"/>
      <w:bookmarkStart w:id="20" w:name="_Toc24869"/>
      <w:bookmarkStart w:id="21" w:name="_Toc20513"/>
      <w:bookmarkStart w:id="22" w:name="_Toc533088546"/>
      <w:bookmarkStart w:id="23" w:name="_Toc20402"/>
      <w:bookmarkStart w:id="24" w:name="_Toc536206389"/>
      <w:bookmarkStart w:id="25" w:name="_Toc16110"/>
    </w:p>
    <w:p w14:paraId="2C9391A7">
      <w:pPr>
        <w:jc w:val="center"/>
        <w:rPr>
          <w:sz w:val="32"/>
          <w:szCs w:val="32"/>
        </w:rPr>
      </w:pPr>
      <w:r>
        <w:rPr>
          <w:sz w:val="32"/>
          <w:szCs w:val="32"/>
        </w:rPr>
        <w:t>目  录</w:t>
      </w:r>
      <w:bookmarkEnd w:id="0"/>
      <w:bookmarkEnd w:id="1"/>
      <w:bookmarkEnd w:id="2"/>
      <w:bookmarkEnd w:id="3"/>
      <w:bookmarkEnd w:id="4"/>
      <w:bookmarkEnd w:id="5"/>
      <w:bookmarkEnd w:id="6"/>
      <w:bookmarkEnd w:id="7"/>
      <w:bookmarkEnd w:id="8"/>
      <w:bookmarkEnd w:id="17"/>
      <w:bookmarkEnd w:id="18"/>
      <w:bookmarkEnd w:id="19"/>
      <w:bookmarkEnd w:id="20"/>
      <w:bookmarkEnd w:id="21"/>
      <w:bookmarkEnd w:id="22"/>
      <w:bookmarkEnd w:id="23"/>
      <w:bookmarkEnd w:id="24"/>
      <w:bookmarkEnd w:id="25"/>
    </w:p>
    <w:p w14:paraId="22A8D1F1">
      <w:pPr>
        <w:pStyle w:val="33"/>
        <w:tabs>
          <w:tab w:val="right" w:leader="dot" w:pos="9026"/>
        </w:tabs>
      </w:pPr>
      <w:r>
        <w:fldChar w:fldCharType="begin"/>
      </w:r>
      <w:r>
        <w:instrText xml:space="preserve"> TOC \o "1-2" </w:instrText>
      </w:r>
      <w:r>
        <w:fldChar w:fldCharType="separate"/>
      </w:r>
      <w:r>
        <w:t>1.概述</w:t>
      </w:r>
      <w:r>
        <w:tab/>
      </w:r>
      <w:r>
        <w:fldChar w:fldCharType="begin"/>
      </w:r>
      <w:r>
        <w:instrText xml:space="preserve"> PAGEREF _Toc32195 \h </w:instrText>
      </w:r>
      <w:r>
        <w:fldChar w:fldCharType="separate"/>
      </w:r>
      <w:r>
        <w:t>1</w:t>
      </w:r>
      <w:r>
        <w:fldChar w:fldCharType="end"/>
      </w:r>
    </w:p>
    <w:p w14:paraId="05C2936E">
      <w:pPr>
        <w:pStyle w:val="42"/>
        <w:tabs>
          <w:tab w:val="right" w:leader="dot" w:pos="9026"/>
        </w:tabs>
      </w:pPr>
      <w:r>
        <w:t>1.1 建设项目由来及概况</w:t>
      </w:r>
      <w:r>
        <w:tab/>
      </w:r>
      <w:r>
        <w:fldChar w:fldCharType="begin"/>
      </w:r>
      <w:r>
        <w:instrText xml:space="preserve"> PAGEREF _Toc19251 \h </w:instrText>
      </w:r>
      <w:r>
        <w:fldChar w:fldCharType="separate"/>
      </w:r>
      <w:r>
        <w:t>1</w:t>
      </w:r>
      <w:r>
        <w:fldChar w:fldCharType="end"/>
      </w:r>
    </w:p>
    <w:p w14:paraId="17120B2B">
      <w:pPr>
        <w:pStyle w:val="42"/>
        <w:tabs>
          <w:tab w:val="right" w:leader="dot" w:pos="9026"/>
        </w:tabs>
      </w:pPr>
      <w:r>
        <w:t>1.2 项目特点</w:t>
      </w:r>
      <w:r>
        <w:tab/>
      </w:r>
      <w:r>
        <w:fldChar w:fldCharType="begin"/>
      </w:r>
      <w:r>
        <w:instrText xml:space="preserve"> PAGEREF _Toc10426 \h </w:instrText>
      </w:r>
      <w:r>
        <w:fldChar w:fldCharType="separate"/>
      </w:r>
      <w:r>
        <w:t>2</w:t>
      </w:r>
      <w:r>
        <w:fldChar w:fldCharType="end"/>
      </w:r>
    </w:p>
    <w:p w14:paraId="6F75E941">
      <w:pPr>
        <w:pStyle w:val="42"/>
        <w:tabs>
          <w:tab w:val="right" w:leader="dot" w:pos="9026"/>
        </w:tabs>
      </w:pPr>
      <w:r>
        <w:t>1.3环境影响评价的工作过程</w:t>
      </w:r>
      <w:r>
        <w:tab/>
      </w:r>
      <w:r>
        <w:fldChar w:fldCharType="begin"/>
      </w:r>
      <w:r>
        <w:instrText xml:space="preserve"> PAGEREF _Toc17871 \h </w:instrText>
      </w:r>
      <w:r>
        <w:fldChar w:fldCharType="separate"/>
      </w:r>
      <w:r>
        <w:t>2</w:t>
      </w:r>
      <w:r>
        <w:fldChar w:fldCharType="end"/>
      </w:r>
    </w:p>
    <w:p w14:paraId="74009BA4">
      <w:pPr>
        <w:pStyle w:val="42"/>
        <w:tabs>
          <w:tab w:val="right" w:leader="dot" w:pos="9026"/>
        </w:tabs>
      </w:pPr>
      <w:r>
        <w:t>1.4分析判定相关情况</w:t>
      </w:r>
      <w:r>
        <w:tab/>
      </w:r>
      <w:r>
        <w:fldChar w:fldCharType="begin"/>
      </w:r>
      <w:r>
        <w:instrText xml:space="preserve"> PAGEREF _Toc30727 \h </w:instrText>
      </w:r>
      <w:r>
        <w:fldChar w:fldCharType="separate"/>
      </w:r>
      <w:r>
        <w:t>4</w:t>
      </w:r>
      <w:r>
        <w:fldChar w:fldCharType="end"/>
      </w:r>
    </w:p>
    <w:p w14:paraId="55447341">
      <w:pPr>
        <w:pStyle w:val="42"/>
        <w:tabs>
          <w:tab w:val="right" w:leader="dot" w:pos="9026"/>
        </w:tabs>
      </w:pPr>
      <w:r>
        <w:t>1.5主要环境问题及环境影响</w:t>
      </w:r>
      <w:r>
        <w:tab/>
      </w:r>
      <w:r>
        <w:fldChar w:fldCharType="begin"/>
      </w:r>
      <w:r>
        <w:instrText xml:space="preserve"> PAGEREF _Toc1445 \h </w:instrText>
      </w:r>
      <w:r>
        <w:fldChar w:fldCharType="separate"/>
      </w:r>
      <w:r>
        <w:t>17</w:t>
      </w:r>
      <w:r>
        <w:fldChar w:fldCharType="end"/>
      </w:r>
    </w:p>
    <w:p w14:paraId="564F848F">
      <w:pPr>
        <w:pStyle w:val="42"/>
        <w:tabs>
          <w:tab w:val="right" w:leader="dot" w:pos="9026"/>
        </w:tabs>
      </w:pPr>
      <w:r>
        <w:t>1.6环境影响评价结论</w:t>
      </w:r>
      <w:r>
        <w:tab/>
      </w:r>
      <w:r>
        <w:fldChar w:fldCharType="begin"/>
      </w:r>
      <w:r>
        <w:instrText xml:space="preserve"> PAGEREF _Toc28137 \h </w:instrText>
      </w:r>
      <w:r>
        <w:fldChar w:fldCharType="separate"/>
      </w:r>
      <w:r>
        <w:t>21</w:t>
      </w:r>
      <w:r>
        <w:fldChar w:fldCharType="end"/>
      </w:r>
    </w:p>
    <w:p w14:paraId="6D31498E">
      <w:pPr>
        <w:pStyle w:val="33"/>
        <w:tabs>
          <w:tab w:val="right" w:leader="dot" w:pos="9026"/>
        </w:tabs>
      </w:pPr>
      <w:r>
        <w:t>2.总则</w:t>
      </w:r>
      <w:r>
        <w:tab/>
      </w:r>
      <w:r>
        <w:fldChar w:fldCharType="begin"/>
      </w:r>
      <w:r>
        <w:instrText xml:space="preserve"> PAGEREF _Toc18424 \h </w:instrText>
      </w:r>
      <w:r>
        <w:fldChar w:fldCharType="separate"/>
      </w:r>
      <w:r>
        <w:t>22</w:t>
      </w:r>
      <w:r>
        <w:fldChar w:fldCharType="end"/>
      </w:r>
    </w:p>
    <w:p w14:paraId="5525AFBD">
      <w:pPr>
        <w:pStyle w:val="42"/>
        <w:tabs>
          <w:tab w:val="right" w:leader="dot" w:pos="9026"/>
        </w:tabs>
      </w:pPr>
      <w:r>
        <w:t>2.1编制依据</w:t>
      </w:r>
      <w:r>
        <w:tab/>
      </w:r>
      <w:r>
        <w:fldChar w:fldCharType="begin"/>
      </w:r>
      <w:r>
        <w:instrText xml:space="preserve"> PAGEREF _Toc21441 \h </w:instrText>
      </w:r>
      <w:r>
        <w:fldChar w:fldCharType="separate"/>
      </w:r>
      <w:r>
        <w:t>22</w:t>
      </w:r>
      <w:r>
        <w:fldChar w:fldCharType="end"/>
      </w:r>
    </w:p>
    <w:p w14:paraId="6ECAAE78">
      <w:pPr>
        <w:pStyle w:val="42"/>
        <w:tabs>
          <w:tab w:val="right" w:leader="dot" w:pos="9026"/>
        </w:tabs>
      </w:pPr>
      <w:r>
        <w:t>2.2评价目的和原则</w:t>
      </w:r>
      <w:r>
        <w:tab/>
      </w:r>
      <w:r>
        <w:fldChar w:fldCharType="begin"/>
      </w:r>
      <w:r>
        <w:instrText xml:space="preserve"> PAGEREF _Toc29176 \h </w:instrText>
      </w:r>
      <w:r>
        <w:fldChar w:fldCharType="separate"/>
      </w:r>
      <w:r>
        <w:t>24</w:t>
      </w:r>
      <w:r>
        <w:fldChar w:fldCharType="end"/>
      </w:r>
    </w:p>
    <w:p w14:paraId="582A0226">
      <w:pPr>
        <w:pStyle w:val="42"/>
        <w:tabs>
          <w:tab w:val="right" w:leader="dot" w:pos="9026"/>
        </w:tabs>
      </w:pPr>
      <w:r>
        <w:t>2.3评价因子筛选及评价标准</w:t>
      </w:r>
      <w:r>
        <w:tab/>
      </w:r>
      <w:r>
        <w:fldChar w:fldCharType="begin"/>
      </w:r>
      <w:r>
        <w:instrText xml:space="preserve"> PAGEREF _Toc25567 \h </w:instrText>
      </w:r>
      <w:r>
        <w:fldChar w:fldCharType="separate"/>
      </w:r>
      <w:r>
        <w:t>25</w:t>
      </w:r>
      <w:r>
        <w:fldChar w:fldCharType="end"/>
      </w:r>
    </w:p>
    <w:p w14:paraId="5110842C">
      <w:pPr>
        <w:pStyle w:val="42"/>
        <w:tabs>
          <w:tab w:val="right" w:leader="dot" w:pos="9026"/>
        </w:tabs>
      </w:pPr>
      <w:r>
        <w:t>2.4评价工作等级</w:t>
      </w:r>
      <w:r>
        <w:rPr>
          <w:rFonts w:hint="eastAsia"/>
        </w:rPr>
        <w:t>确定</w:t>
      </w:r>
      <w:r>
        <w:tab/>
      </w:r>
      <w:r>
        <w:fldChar w:fldCharType="begin"/>
      </w:r>
      <w:r>
        <w:instrText xml:space="preserve"> PAGEREF _Toc18676 \h </w:instrText>
      </w:r>
      <w:r>
        <w:fldChar w:fldCharType="separate"/>
      </w:r>
      <w:r>
        <w:t>32</w:t>
      </w:r>
      <w:r>
        <w:fldChar w:fldCharType="end"/>
      </w:r>
    </w:p>
    <w:p w14:paraId="44919C3A">
      <w:pPr>
        <w:pStyle w:val="42"/>
        <w:tabs>
          <w:tab w:val="right" w:leader="dot" w:pos="9026"/>
        </w:tabs>
      </w:pPr>
      <w:r>
        <w:rPr>
          <w:szCs w:val="30"/>
        </w:rPr>
        <w:t>2.5主要环境保护目标</w:t>
      </w:r>
      <w:r>
        <w:tab/>
      </w:r>
      <w:r>
        <w:fldChar w:fldCharType="begin"/>
      </w:r>
      <w:r>
        <w:instrText xml:space="preserve"> PAGEREF _Toc18445 \h </w:instrText>
      </w:r>
      <w:r>
        <w:fldChar w:fldCharType="separate"/>
      </w:r>
      <w:r>
        <w:t>53</w:t>
      </w:r>
      <w:r>
        <w:fldChar w:fldCharType="end"/>
      </w:r>
    </w:p>
    <w:p w14:paraId="535C31C0">
      <w:pPr>
        <w:pStyle w:val="33"/>
        <w:tabs>
          <w:tab w:val="right" w:leader="dot" w:pos="9026"/>
        </w:tabs>
      </w:pPr>
      <w:r>
        <w:t>3.建设项目工程分析</w:t>
      </w:r>
      <w:r>
        <w:tab/>
      </w:r>
      <w:r>
        <w:fldChar w:fldCharType="begin"/>
      </w:r>
      <w:r>
        <w:instrText xml:space="preserve"> PAGEREF _Toc25512 \h </w:instrText>
      </w:r>
      <w:r>
        <w:fldChar w:fldCharType="separate"/>
      </w:r>
      <w:r>
        <w:t>57</w:t>
      </w:r>
      <w:r>
        <w:fldChar w:fldCharType="end"/>
      </w:r>
    </w:p>
    <w:p w14:paraId="32400016">
      <w:pPr>
        <w:pStyle w:val="42"/>
        <w:tabs>
          <w:tab w:val="right" w:leader="dot" w:pos="9026"/>
        </w:tabs>
      </w:pPr>
      <w:r>
        <w:t>3.1现有工程情况回顾</w:t>
      </w:r>
      <w:r>
        <w:tab/>
      </w:r>
      <w:r>
        <w:fldChar w:fldCharType="begin"/>
      </w:r>
      <w:r>
        <w:instrText xml:space="preserve"> PAGEREF _Toc6738 \h </w:instrText>
      </w:r>
      <w:r>
        <w:fldChar w:fldCharType="separate"/>
      </w:r>
      <w:r>
        <w:t>57</w:t>
      </w:r>
      <w:r>
        <w:fldChar w:fldCharType="end"/>
      </w:r>
    </w:p>
    <w:p w14:paraId="662B0336">
      <w:pPr>
        <w:pStyle w:val="42"/>
        <w:tabs>
          <w:tab w:val="right" w:leader="dot" w:pos="9026"/>
        </w:tabs>
      </w:pPr>
      <w:r>
        <w:rPr>
          <w:szCs w:val="30"/>
        </w:rPr>
        <w:t>3.2建设项目概况</w:t>
      </w:r>
      <w:r>
        <w:tab/>
      </w:r>
      <w:r>
        <w:fldChar w:fldCharType="begin"/>
      </w:r>
      <w:r>
        <w:instrText xml:space="preserve"> PAGEREF _Toc7508 \h </w:instrText>
      </w:r>
      <w:r>
        <w:fldChar w:fldCharType="separate"/>
      </w:r>
      <w:r>
        <w:t>61</w:t>
      </w:r>
      <w:r>
        <w:fldChar w:fldCharType="end"/>
      </w:r>
    </w:p>
    <w:p w14:paraId="083CDB4C">
      <w:pPr>
        <w:pStyle w:val="42"/>
        <w:tabs>
          <w:tab w:val="right" w:leader="dot" w:pos="9026"/>
        </w:tabs>
      </w:pPr>
      <w:r>
        <w:t>3.3施工期工程分析</w:t>
      </w:r>
      <w:r>
        <w:tab/>
      </w:r>
      <w:r>
        <w:fldChar w:fldCharType="begin"/>
      </w:r>
      <w:r>
        <w:instrText xml:space="preserve"> PAGEREF _Toc5370 \h </w:instrText>
      </w:r>
      <w:r>
        <w:fldChar w:fldCharType="separate"/>
      </w:r>
      <w:r>
        <w:t>66</w:t>
      </w:r>
      <w:r>
        <w:fldChar w:fldCharType="end"/>
      </w:r>
    </w:p>
    <w:p w14:paraId="164C9DA7">
      <w:pPr>
        <w:pStyle w:val="42"/>
        <w:tabs>
          <w:tab w:val="right" w:leader="dot" w:pos="9026"/>
        </w:tabs>
      </w:pPr>
      <w:r>
        <w:rPr>
          <w:szCs w:val="30"/>
        </w:rPr>
        <w:t>3.4营运期工程分析</w:t>
      </w:r>
      <w:r>
        <w:tab/>
      </w:r>
      <w:r>
        <w:fldChar w:fldCharType="begin"/>
      </w:r>
      <w:r>
        <w:instrText xml:space="preserve"> PAGEREF _Toc2808 \h </w:instrText>
      </w:r>
      <w:r>
        <w:fldChar w:fldCharType="separate"/>
      </w:r>
      <w:r>
        <w:t>66</w:t>
      </w:r>
      <w:r>
        <w:fldChar w:fldCharType="end"/>
      </w:r>
    </w:p>
    <w:p w14:paraId="258672C4">
      <w:pPr>
        <w:pStyle w:val="33"/>
        <w:tabs>
          <w:tab w:val="right" w:leader="dot" w:pos="9026"/>
        </w:tabs>
      </w:pPr>
      <w:r>
        <w:t>4环境现状调查与评价</w:t>
      </w:r>
      <w:r>
        <w:tab/>
      </w:r>
      <w:r>
        <w:fldChar w:fldCharType="begin"/>
      </w:r>
      <w:r>
        <w:instrText xml:space="preserve"> PAGEREF _Toc13663 \h </w:instrText>
      </w:r>
      <w:r>
        <w:fldChar w:fldCharType="separate"/>
      </w:r>
      <w:r>
        <w:t>78</w:t>
      </w:r>
      <w:r>
        <w:fldChar w:fldCharType="end"/>
      </w:r>
    </w:p>
    <w:p w14:paraId="3961B383">
      <w:pPr>
        <w:pStyle w:val="42"/>
        <w:tabs>
          <w:tab w:val="right" w:leader="dot" w:pos="9026"/>
        </w:tabs>
      </w:pPr>
      <w:r>
        <w:t>4.1自然环境现状调查与评价</w:t>
      </w:r>
      <w:r>
        <w:tab/>
      </w:r>
      <w:r>
        <w:fldChar w:fldCharType="begin"/>
      </w:r>
      <w:r>
        <w:instrText xml:space="preserve"> PAGEREF _Toc26482 \h </w:instrText>
      </w:r>
      <w:r>
        <w:fldChar w:fldCharType="separate"/>
      </w:r>
      <w:r>
        <w:t>78</w:t>
      </w:r>
      <w:r>
        <w:fldChar w:fldCharType="end"/>
      </w:r>
    </w:p>
    <w:p w14:paraId="766BD85D">
      <w:pPr>
        <w:pStyle w:val="42"/>
        <w:tabs>
          <w:tab w:val="right" w:leader="dot" w:pos="9026"/>
        </w:tabs>
      </w:pPr>
      <w:r>
        <w:t>4.2环境保护目标调查</w:t>
      </w:r>
      <w:r>
        <w:tab/>
      </w:r>
      <w:r>
        <w:fldChar w:fldCharType="begin"/>
      </w:r>
      <w:r>
        <w:instrText xml:space="preserve"> PAGEREF _Toc31252 \h </w:instrText>
      </w:r>
      <w:r>
        <w:fldChar w:fldCharType="separate"/>
      </w:r>
      <w:r>
        <w:t>83</w:t>
      </w:r>
      <w:r>
        <w:fldChar w:fldCharType="end"/>
      </w:r>
    </w:p>
    <w:p w14:paraId="02FA6C39">
      <w:pPr>
        <w:pStyle w:val="42"/>
        <w:tabs>
          <w:tab w:val="right" w:leader="dot" w:pos="9026"/>
        </w:tabs>
      </w:pPr>
      <w:r>
        <w:t>4.3环境质量现状调查与评价</w:t>
      </w:r>
      <w:r>
        <w:tab/>
      </w:r>
      <w:r>
        <w:fldChar w:fldCharType="begin"/>
      </w:r>
      <w:r>
        <w:instrText xml:space="preserve"> PAGEREF _Toc20881 \h </w:instrText>
      </w:r>
      <w:r>
        <w:fldChar w:fldCharType="separate"/>
      </w:r>
      <w:r>
        <w:t>87</w:t>
      </w:r>
      <w:r>
        <w:fldChar w:fldCharType="end"/>
      </w:r>
    </w:p>
    <w:p w14:paraId="5F901E86">
      <w:pPr>
        <w:pStyle w:val="42"/>
        <w:tabs>
          <w:tab w:val="right" w:leader="dot" w:pos="9026"/>
        </w:tabs>
      </w:pPr>
      <w:r>
        <w:t>4.4区域污染源调查</w:t>
      </w:r>
      <w:r>
        <w:tab/>
      </w:r>
      <w:r>
        <w:fldChar w:fldCharType="begin"/>
      </w:r>
      <w:r>
        <w:instrText xml:space="preserve"> PAGEREF _Toc16162 \h </w:instrText>
      </w:r>
      <w:r>
        <w:fldChar w:fldCharType="separate"/>
      </w:r>
      <w:r>
        <w:t>105</w:t>
      </w:r>
      <w:r>
        <w:fldChar w:fldCharType="end"/>
      </w:r>
    </w:p>
    <w:p w14:paraId="22A9BEB4">
      <w:pPr>
        <w:pStyle w:val="33"/>
        <w:tabs>
          <w:tab w:val="right" w:leader="dot" w:pos="9026"/>
        </w:tabs>
      </w:pPr>
      <w:r>
        <w:t>5.环境影响预测与评价</w:t>
      </w:r>
      <w:r>
        <w:tab/>
      </w:r>
      <w:r>
        <w:fldChar w:fldCharType="begin"/>
      </w:r>
      <w:r>
        <w:instrText xml:space="preserve"> PAGEREF _Toc29639 \h </w:instrText>
      </w:r>
      <w:r>
        <w:fldChar w:fldCharType="separate"/>
      </w:r>
      <w:r>
        <w:t>106</w:t>
      </w:r>
      <w:r>
        <w:fldChar w:fldCharType="end"/>
      </w:r>
    </w:p>
    <w:p w14:paraId="7FA1003E">
      <w:pPr>
        <w:pStyle w:val="42"/>
        <w:tabs>
          <w:tab w:val="right" w:leader="dot" w:pos="9026"/>
        </w:tabs>
      </w:pPr>
      <w:r>
        <w:rPr>
          <w:szCs w:val="30"/>
        </w:rPr>
        <w:t>5.1施工期环境影响分析</w:t>
      </w:r>
      <w:r>
        <w:tab/>
      </w:r>
      <w:r>
        <w:fldChar w:fldCharType="begin"/>
      </w:r>
      <w:r>
        <w:instrText xml:space="preserve"> PAGEREF _Toc4476 \h </w:instrText>
      </w:r>
      <w:r>
        <w:fldChar w:fldCharType="separate"/>
      </w:r>
      <w:r>
        <w:t>106</w:t>
      </w:r>
      <w:r>
        <w:fldChar w:fldCharType="end"/>
      </w:r>
    </w:p>
    <w:p w14:paraId="0CFD7A9F">
      <w:pPr>
        <w:pStyle w:val="42"/>
        <w:tabs>
          <w:tab w:val="right" w:leader="dot" w:pos="9026"/>
        </w:tabs>
      </w:pPr>
      <w:r>
        <w:rPr>
          <w:szCs w:val="30"/>
        </w:rPr>
        <w:t>5.2运营期环境影响预测与评价</w:t>
      </w:r>
      <w:r>
        <w:tab/>
      </w:r>
      <w:r>
        <w:fldChar w:fldCharType="begin"/>
      </w:r>
      <w:r>
        <w:instrText xml:space="preserve"> PAGEREF _Toc10848 \h </w:instrText>
      </w:r>
      <w:r>
        <w:fldChar w:fldCharType="separate"/>
      </w:r>
      <w:r>
        <w:t>106</w:t>
      </w:r>
      <w:r>
        <w:fldChar w:fldCharType="end"/>
      </w:r>
    </w:p>
    <w:p w14:paraId="0011E052">
      <w:pPr>
        <w:pStyle w:val="33"/>
        <w:tabs>
          <w:tab w:val="right" w:leader="dot" w:pos="9026"/>
        </w:tabs>
      </w:pPr>
      <w:r>
        <w:t>6.环境保护措施及其可行性论证</w:t>
      </w:r>
      <w:r>
        <w:tab/>
      </w:r>
      <w:r>
        <w:fldChar w:fldCharType="begin"/>
      </w:r>
      <w:r>
        <w:instrText xml:space="preserve"> PAGEREF _Toc23259 \h </w:instrText>
      </w:r>
      <w:r>
        <w:fldChar w:fldCharType="separate"/>
      </w:r>
      <w:r>
        <w:t>128</w:t>
      </w:r>
      <w:r>
        <w:fldChar w:fldCharType="end"/>
      </w:r>
    </w:p>
    <w:p w14:paraId="2C681CBC">
      <w:pPr>
        <w:pStyle w:val="42"/>
        <w:tabs>
          <w:tab w:val="right" w:leader="dot" w:pos="9026"/>
        </w:tabs>
      </w:pPr>
      <w:r>
        <w:t>6.1施工期污染防治措施</w:t>
      </w:r>
      <w:r>
        <w:tab/>
      </w:r>
      <w:r>
        <w:fldChar w:fldCharType="begin"/>
      </w:r>
      <w:r>
        <w:instrText xml:space="preserve"> PAGEREF _Toc9314 \h </w:instrText>
      </w:r>
      <w:r>
        <w:fldChar w:fldCharType="separate"/>
      </w:r>
      <w:r>
        <w:t>128</w:t>
      </w:r>
      <w:r>
        <w:fldChar w:fldCharType="end"/>
      </w:r>
    </w:p>
    <w:p w14:paraId="6ED8E7A4">
      <w:pPr>
        <w:pStyle w:val="42"/>
        <w:tabs>
          <w:tab w:val="right" w:leader="dot" w:pos="9026"/>
        </w:tabs>
      </w:pPr>
      <w:r>
        <w:t>6.2防沙治沙措施</w:t>
      </w:r>
      <w:r>
        <w:tab/>
      </w:r>
      <w:r>
        <w:fldChar w:fldCharType="begin"/>
      </w:r>
      <w:r>
        <w:instrText xml:space="preserve"> PAGEREF _Toc4504 \h </w:instrText>
      </w:r>
      <w:r>
        <w:fldChar w:fldCharType="separate"/>
      </w:r>
      <w:r>
        <w:t>128</w:t>
      </w:r>
      <w:r>
        <w:fldChar w:fldCharType="end"/>
      </w:r>
    </w:p>
    <w:p w14:paraId="25CE1422">
      <w:pPr>
        <w:pStyle w:val="42"/>
        <w:tabs>
          <w:tab w:val="right" w:leader="dot" w:pos="9026"/>
        </w:tabs>
      </w:pPr>
      <w:r>
        <w:t>6.3 运营期污染物防治措施</w:t>
      </w:r>
      <w:r>
        <w:tab/>
      </w:r>
      <w:r>
        <w:fldChar w:fldCharType="begin"/>
      </w:r>
      <w:r>
        <w:instrText xml:space="preserve"> PAGEREF _Toc7301 \h </w:instrText>
      </w:r>
      <w:r>
        <w:fldChar w:fldCharType="separate"/>
      </w:r>
      <w:r>
        <w:t>128</w:t>
      </w:r>
      <w:r>
        <w:fldChar w:fldCharType="end"/>
      </w:r>
    </w:p>
    <w:p w14:paraId="0B76526F">
      <w:pPr>
        <w:pStyle w:val="33"/>
        <w:tabs>
          <w:tab w:val="right" w:leader="dot" w:pos="9026"/>
        </w:tabs>
      </w:pPr>
      <w:r>
        <w:t>7.环境影响经济损益分析</w:t>
      </w:r>
      <w:r>
        <w:tab/>
      </w:r>
      <w:r>
        <w:fldChar w:fldCharType="begin"/>
      </w:r>
      <w:r>
        <w:instrText xml:space="preserve"> PAGEREF _Toc13379 \h </w:instrText>
      </w:r>
      <w:r>
        <w:fldChar w:fldCharType="separate"/>
      </w:r>
      <w:r>
        <w:t>141</w:t>
      </w:r>
      <w:r>
        <w:fldChar w:fldCharType="end"/>
      </w:r>
    </w:p>
    <w:p w14:paraId="1D2A3501">
      <w:pPr>
        <w:pStyle w:val="42"/>
        <w:tabs>
          <w:tab w:val="right" w:leader="dot" w:pos="9026"/>
        </w:tabs>
      </w:pPr>
      <w:r>
        <w:t>7.1 社会效益</w:t>
      </w:r>
      <w:r>
        <w:tab/>
      </w:r>
      <w:r>
        <w:fldChar w:fldCharType="begin"/>
      </w:r>
      <w:r>
        <w:instrText xml:space="preserve"> PAGEREF _Toc29416 \h </w:instrText>
      </w:r>
      <w:r>
        <w:fldChar w:fldCharType="separate"/>
      </w:r>
      <w:r>
        <w:t>141</w:t>
      </w:r>
      <w:r>
        <w:fldChar w:fldCharType="end"/>
      </w:r>
    </w:p>
    <w:p w14:paraId="6AC9212E">
      <w:pPr>
        <w:pStyle w:val="42"/>
        <w:tabs>
          <w:tab w:val="right" w:leader="dot" w:pos="9026"/>
        </w:tabs>
      </w:pPr>
      <w:r>
        <w:t xml:space="preserve">7.2 </w:t>
      </w:r>
      <w:r>
        <w:rPr>
          <w:rFonts w:hint="eastAsia"/>
          <w:lang w:val="en-US" w:eastAsia="zh-CN"/>
        </w:rPr>
        <w:t>经济</w:t>
      </w:r>
      <w:r>
        <w:t>效益</w:t>
      </w:r>
      <w:r>
        <w:tab/>
      </w:r>
      <w:r>
        <w:fldChar w:fldCharType="begin"/>
      </w:r>
      <w:r>
        <w:instrText xml:space="preserve"> PAGEREF _Toc22281 \h </w:instrText>
      </w:r>
      <w:r>
        <w:fldChar w:fldCharType="separate"/>
      </w:r>
      <w:r>
        <w:t>141</w:t>
      </w:r>
      <w:r>
        <w:fldChar w:fldCharType="end"/>
      </w:r>
    </w:p>
    <w:p w14:paraId="41E8CA0E">
      <w:pPr>
        <w:pStyle w:val="42"/>
        <w:tabs>
          <w:tab w:val="right" w:leader="dot" w:pos="9026"/>
        </w:tabs>
      </w:pPr>
      <w:r>
        <w:t>7.3环境效益分析</w:t>
      </w:r>
      <w:r>
        <w:tab/>
      </w:r>
      <w:r>
        <w:fldChar w:fldCharType="begin"/>
      </w:r>
      <w:r>
        <w:instrText xml:space="preserve"> PAGEREF _Toc30060 \h </w:instrText>
      </w:r>
      <w:r>
        <w:fldChar w:fldCharType="separate"/>
      </w:r>
      <w:r>
        <w:t>141</w:t>
      </w:r>
      <w:r>
        <w:fldChar w:fldCharType="end"/>
      </w:r>
    </w:p>
    <w:p w14:paraId="5D66E5CF">
      <w:pPr>
        <w:pStyle w:val="42"/>
        <w:tabs>
          <w:tab w:val="right" w:leader="dot" w:pos="9026"/>
        </w:tabs>
      </w:pPr>
      <w:r>
        <w:t>7.4结论</w:t>
      </w:r>
      <w:r>
        <w:tab/>
      </w:r>
      <w:r>
        <w:fldChar w:fldCharType="begin"/>
      </w:r>
      <w:r>
        <w:instrText xml:space="preserve"> PAGEREF _Toc31009 \h </w:instrText>
      </w:r>
      <w:r>
        <w:fldChar w:fldCharType="separate"/>
      </w:r>
      <w:r>
        <w:t>142</w:t>
      </w:r>
      <w:r>
        <w:fldChar w:fldCharType="end"/>
      </w:r>
    </w:p>
    <w:p w14:paraId="3EF29A12">
      <w:pPr>
        <w:pStyle w:val="33"/>
        <w:tabs>
          <w:tab w:val="right" w:leader="dot" w:pos="9026"/>
        </w:tabs>
      </w:pPr>
      <w:r>
        <w:t>8.环境管理与监测计划</w:t>
      </w:r>
      <w:r>
        <w:tab/>
      </w:r>
      <w:r>
        <w:fldChar w:fldCharType="begin"/>
      </w:r>
      <w:r>
        <w:instrText xml:space="preserve"> PAGEREF _Toc21465 \h </w:instrText>
      </w:r>
      <w:r>
        <w:fldChar w:fldCharType="separate"/>
      </w:r>
      <w:r>
        <w:t>143</w:t>
      </w:r>
      <w:r>
        <w:fldChar w:fldCharType="end"/>
      </w:r>
    </w:p>
    <w:p w14:paraId="70C2317D">
      <w:pPr>
        <w:pStyle w:val="42"/>
        <w:tabs>
          <w:tab w:val="right" w:leader="dot" w:pos="9026"/>
        </w:tabs>
      </w:pPr>
      <w:r>
        <w:t>8.1环境管理</w:t>
      </w:r>
      <w:r>
        <w:tab/>
      </w:r>
      <w:r>
        <w:fldChar w:fldCharType="begin"/>
      </w:r>
      <w:r>
        <w:instrText xml:space="preserve"> PAGEREF _Toc19165 \h </w:instrText>
      </w:r>
      <w:r>
        <w:fldChar w:fldCharType="separate"/>
      </w:r>
      <w:r>
        <w:t>143</w:t>
      </w:r>
      <w:r>
        <w:fldChar w:fldCharType="end"/>
      </w:r>
    </w:p>
    <w:p w14:paraId="50E88F0D">
      <w:pPr>
        <w:pStyle w:val="42"/>
        <w:tabs>
          <w:tab w:val="right" w:leader="dot" w:pos="9026"/>
        </w:tabs>
      </w:pPr>
      <w:r>
        <w:t>8.2信息公开</w:t>
      </w:r>
      <w:r>
        <w:tab/>
      </w:r>
      <w:r>
        <w:fldChar w:fldCharType="begin"/>
      </w:r>
      <w:r>
        <w:instrText xml:space="preserve"> PAGEREF _Toc26169 \h </w:instrText>
      </w:r>
      <w:r>
        <w:fldChar w:fldCharType="separate"/>
      </w:r>
      <w:r>
        <w:t>144</w:t>
      </w:r>
      <w:r>
        <w:fldChar w:fldCharType="end"/>
      </w:r>
    </w:p>
    <w:p w14:paraId="1F64092B">
      <w:pPr>
        <w:pStyle w:val="42"/>
        <w:tabs>
          <w:tab w:val="right" w:leader="dot" w:pos="9026"/>
        </w:tabs>
      </w:pPr>
      <w:r>
        <w:t>8.3环境监测计划</w:t>
      </w:r>
      <w:r>
        <w:tab/>
      </w:r>
      <w:r>
        <w:fldChar w:fldCharType="begin"/>
      </w:r>
      <w:r>
        <w:instrText xml:space="preserve"> PAGEREF _Toc4376 \h </w:instrText>
      </w:r>
      <w:r>
        <w:fldChar w:fldCharType="separate"/>
      </w:r>
      <w:r>
        <w:t>145</w:t>
      </w:r>
      <w:r>
        <w:fldChar w:fldCharType="end"/>
      </w:r>
    </w:p>
    <w:p w14:paraId="1366F87A">
      <w:pPr>
        <w:pStyle w:val="42"/>
        <w:tabs>
          <w:tab w:val="right" w:leader="dot" w:pos="9026"/>
        </w:tabs>
      </w:pPr>
      <w:r>
        <w:t>8.4环保设施竣工验收</w:t>
      </w:r>
      <w:r>
        <w:tab/>
      </w:r>
      <w:r>
        <w:fldChar w:fldCharType="begin"/>
      </w:r>
      <w:r>
        <w:instrText xml:space="preserve"> PAGEREF _Toc24340 \h </w:instrText>
      </w:r>
      <w:r>
        <w:fldChar w:fldCharType="separate"/>
      </w:r>
      <w:r>
        <w:t>146</w:t>
      </w:r>
      <w:r>
        <w:fldChar w:fldCharType="end"/>
      </w:r>
    </w:p>
    <w:p w14:paraId="61FEB02E">
      <w:pPr>
        <w:pStyle w:val="42"/>
        <w:tabs>
          <w:tab w:val="right" w:leader="dot" w:pos="9026"/>
        </w:tabs>
      </w:pPr>
      <w:r>
        <w:t>8.5总量控制</w:t>
      </w:r>
      <w:r>
        <w:tab/>
      </w:r>
      <w:r>
        <w:fldChar w:fldCharType="begin"/>
      </w:r>
      <w:r>
        <w:instrText xml:space="preserve"> PAGEREF _Toc30982 \h </w:instrText>
      </w:r>
      <w:r>
        <w:fldChar w:fldCharType="separate"/>
      </w:r>
      <w:r>
        <w:t>150</w:t>
      </w:r>
      <w:r>
        <w:fldChar w:fldCharType="end"/>
      </w:r>
    </w:p>
    <w:p w14:paraId="1724D71C">
      <w:pPr>
        <w:pStyle w:val="42"/>
        <w:tabs>
          <w:tab w:val="right" w:leader="dot" w:pos="9026"/>
        </w:tabs>
      </w:pPr>
      <w:r>
        <w:rPr>
          <w:color w:val="auto"/>
        </w:rPr>
        <w:t>8.</w:t>
      </w:r>
      <w:r>
        <w:rPr>
          <w:rFonts w:hint="eastAsia"/>
          <w:color w:val="auto"/>
        </w:rPr>
        <w:t>6</w:t>
      </w:r>
      <w:r>
        <w:rPr>
          <w:color w:val="auto"/>
        </w:rPr>
        <w:t xml:space="preserve"> 主要污染物排放</w:t>
      </w:r>
      <w:r>
        <w:rPr>
          <w:rFonts w:hint="eastAsia"/>
          <w:color w:val="auto"/>
        </w:rPr>
        <w:t>总量</w:t>
      </w:r>
      <w:r>
        <w:tab/>
      </w:r>
      <w:r>
        <w:fldChar w:fldCharType="begin"/>
      </w:r>
      <w:r>
        <w:instrText xml:space="preserve"> PAGEREF _Toc4202 \h </w:instrText>
      </w:r>
      <w:r>
        <w:fldChar w:fldCharType="separate"/>
      </w:r>
      <w:r>
        <w:t>150</w:t>
      </w:r>
      <w:r>
        <w:fldChar w:fldCharType="end"/>
      </w:r>
    </w:p>
    <w:p w14:paraId="4097FEE4">
      <w:pPr>
        <w:pStyle w:val="42"/>
        <w:tabs>
          <w:tab w:val="right" w:leader="dot" w:pos="9026"/>
        </w:tabs>
      </w:pPr>
      <w:r>
        <w:t>8.</w:t>
      </w:r>
      <w:r>
        <w:rPr>
          <w:rFonts w:hint="eastAsia"/>
          <w:lang w:val="en-US" w:eastAsia="zh-CN"/>
        </w:rPr>
        <w:t>7</w:t>
      </w:r>
      <w:r>
        <w:t>排污许可证申请</w:t>
      </w:r>
      <w:r>
        <w:tab/>
      </w:r>
      <w:r>
        <w:fldChar w:fldCharType="begin"/>
      </w:r>
      <w:r>
        <w:instrText xml:space="preserve"> PAGEREF _Toc1987 \h </w:instrText>
      </w:r>
      <w:r>
        <w:fldChar w:fldCharType="separate"/>
      </w:r>
      <w:r>
        <w:t>150</w:t>
      </w:r>
      <w:r>
        <w:fldChar w:fldCharType="end"/>
      </w:r>
    </w:p>
    <w:p w14:paraId="3D1ED4D2">
      <w:pPr>
        <w:pStyle w:val="33"/>
        <w:tabs>
          <w:tab w:val="right" w:leader="dot" w:pos="9026"/>
        </w:tabs>
      </w:pPr>
      <w:r>
        <w:t>9.环境影响评价结论</w:t>
      </w:r>
      <w:r>
        <w:tab/>
      </w:r>
      <w:r>
        <w:fldChar w:fldCharType="begin"/>
      </w:r>
      <w:r>
        <w:instrText xml:space="preserve"> PAGEREF _Toc24990 \h </w:instrText>
      </w:r>
      <w:r>
        <w:fldChar w:fldCharType="separate"/>
      </w:r>
      <w:r>
        <w:t>152</w:t>
      </w:r>
      <w:r>
        <w:fldChar w:fldCharType="end"/>
      </w:r>
    </w:p>
    <w:p w14:paraId="219811F5">
      <w:pPr>
        <w:pStyle w:val="42"/>
        <w:tabs>
          <w:tab w:val="right" w:leader="dot" w:pos="9026"/>
        </w:tabs>
      </w:pPr>
      <w:r>
        <w:t>9.1建设项目的建设概况</w:t>
      </w:r>
      <w:r>
        <w:tab/>
      </w:r>
      <w:r>
        <w:fldChar w:fldCharType="begin"/>
      </w:r>
      <w:r>
        <w:instrText xml:space="preserve"> PAGEREF _Toc27403 \h </w:instrText>
      </w:r>
      <w:r>
        <w:fldChar w:fldCharType="separate"/>
      </w:r>
      <w:r>
        <w:t>152</w:t>
      </w:r>
      <w:r>
        <w:fldChar w:fldCharType="end"/>
      </w:r>
    </w:p>
    <w:p w14:paraId="6A019CE8">
      <w:pPr>
        <w:pStyle w:val="42"/>
        <w:tabs>
          <w:tab w:val="right" w:leader="dot" w:pos="9026"/>
        </w:tabs>
      </w:pPr>
      <w:r>
        <w:t>9.2产业政策符合性分析结论</w:t>
      </w:r>
      <w:r>
        <w:tab/>
      </w:r>
      <w:r>
        <w:fldChar w:fldCharType="begin"/>
      </w:r>
      <w:r>
        <w:instrText xml:space="preserve"> PAGEREF _Toc17847 \h </w:instrText>
      </w:r>
      <w:r>
        <w:fldChar w:fldCharType="separate"/>
      </w:r>
      <w:r>
        <w:t>152</w:t>
      </w:r>
      <w:r>
        <w:fldChar w:fldCharType="end"/>
      </w:r>
    </w:p>
    <w:p w14:paraId="57B67BC5">
      <w:pPr>
        <w:pStyle w:val="42"/>
        <w:tabs>
          <w:tab w:val="right" w:leader="dot" w:pos="9026"/>
        </w:tabs>
      </w:pPr>
      <w:r>
        <w:t>9.3选址合理性分析结论</w:t>
      </w:r>
      <w:r>
        <w:tab/>
      </w:r>
      <w:r>
        <w:fldChar w:fldCharType="begin"/>
      </w:r>
      <w:r>
        <w:instrText xml:space="preserve"> PAGEREF _Toc23812 \h </w:instrText>
      </w:r>
      <w:r>
        <w:fldChar w:fldCharType="separate"/>
      </w:r>
      <w:r>
        <w:t>152</w:t>
      </w:r>
      <w:r>
        <w:fldChar w:fldCharType="end"/>
      </w:r>
    </w:p>
    <w:p w14:paraId="491D3201">
      <w:pPr>
        <w:pStyle w:val="42"/>
        <w:tabs>
          <w:tab w:val="right" w:leader="dot" w:pos="9026"/>
        </w:tabs>
      </w:pPr>
      <w:r>
        <w:t>9.4工程污染分析结论</w:t>
      </w:r>
      <w:r>
        <w:tab/>
      </w:r>
      <w:r>
        <w:fldChar w:fldCharType="begin"/>
      </w:r>
      <w:r>
        <w:instrText xml:space="preserve"> PAGEREF _Toc15519 \h </w:instrText>
      </w:r>
      <w:r>
        <w:fldChar w:fldCharType="separate"/>
      </w:r>
      <w:r>
        <w:t>152</w:t>
      </w:r>
      <w:r>
        <w:fldChar w:fldCharType="end"/>
      </w:r>
    </w:p>
    <w:p w14:paraId="39B22C76">
      <w:pPr>
        <w:pStyle w:val="42"/>
        <w:tabs>
          <w:tab w:val="right" w:leader="dot" w:pos="9026"/>
        </w:tabs>
      </w:pPr>
      <w:r>
        <w:t>9.5评价区环境质量现状评价结论</w:t>
      </w:r>
      <w:r>
        <w:tab/>
      </w:r>
      <w:r>
        <w:fldChar w:fldCharType="begin"/>
      </w:r>
      <w:r>
        <w:instrText xml:space="preserve"> PAGEREF _Toc6910 \h </w:instrText>
      </w:r>
      <w:r>
        <w:fldChar w:fldCharType="separate"/>
      </w:r>
      <w:r>
        <w:t>153</w:t>
      </w:r>
      <w:r>
        <w:fldChar w:fldCharType="end"/>
      </w:r>
    </w:p>
    <w:p w14:paraId="6B555B4E">
      <w:pPr>
        <w:pStyle w:val="42"/>
        <w:tabs>
          <w:tab w:val="right" w:leader="dot" w:pos="9026"/>
        </w:tabs>
      </w:pPr>
      <w:r>
        <w:t>9.6环境污染防治措施结论</w:t>
      </w:r>
      <w:r>
        <w:tab/>
      </w:r>
      <w:r>
        <w:fldChar w:fldCharType="begin"/>
      </w:r>
      <w:r>
        <w:instrText xml:space="preserve"> PAGEREF _Toc32573 \h </w:instrText>
      </w:r>
      <w:r>
        <w:fldChar w:fldCharType="separate"/>
      </w:r>
      <w:r>
        <w:t>154</w:t>
      </w:r>
      <w:r>
        <w:fldChar w:fldCharType="end"/>
      </w:r>
    </w:p>
    <w:p w14:paraId="4181072E">
      <w:pPr>
        <w:pStyle w:val="42"/>
        <w:tabs>
          <w:tab w:val="right" w:leader="dot" w:pos="9026"/>
        </w:tabs>
      </w:pPr>
      <w:r>
        <w:t>9.7环境影响评价结论</w:t>
      </w:r>
      <w:r>
        <w:tab/>
      </w:r>
      <w:r>
        <w:fldChar w:fldCharType="begin"/>
      </w:r>
      <w:r>
        <w:instrText xml:space="preserve"> PAGEREF _Toc12184 \h </w:instrText>
      </w:r>
      <w:r>
        <w:fldChar w:fldCharType="separate"/>
      </w:r>
      <w:r>
        <w:t>157</w:t>
      </w:r>
      <w:r>
        <w:fldChar w:fldCharType="end"/>
      </w:r>
    </w:p>
    <w:p w14:paraId="75F23EF3">
      <w:pPr>
        <w:pStyle w:val="42"/>
        <w:tabs>
          <w:tab w:val="right" w:leader="dot" w:pos="9026"/>
        </w:tabs>
      </w:pPr>
      <w:r>
        <w:t>9.8公众意见采纳情况说明</w:t>
      </w:r>
      <w:r>
        <w:tab/>
      </w:r>
      <w:r>
        <w:fldChar w:fldCharType="begin"/>
      </w:r>
      <w:r>
        <w:instrText xml:space="preserve"> PAGEREF _Toc13741 \h </w:instrText>
      </w:r>
      <w:r>
        <w:fldChar w:fldCharType="separate"/>
      </w:r>
      <w:r>
        <w:t>160</w:t>
      </w:r>
      <w:r>
        <w:fldChar w:fldCharType="end"/>
      </w:r>
    </w:p>
    <w:p w14:paraId="3A9F5F91">
      <w:pPr>
        <w:pStyle w:val="33"/>
        <w:tabs>
          <w:tab w:val="right" w:leader="dot" w:pos="9026"/>
        </w:tabs>
      </w:pPr>
      <w:r>
        <w:t>总结论</w:t>
      </w:r>
      <w:r>
        <w:tab/>
      </w:r>
      <w:r>
        <w:fldChar w:fldCharType="begin"/>
      </w:r>
      <w:r>
        <w:instrText xml:space="preserve"> PAGEREF _Toc4782 \h </w:instrText>
      </w:r>
      <w:r>
        <w:fldChar w:fldCharType="separate"/>
      </w:r>
      <w:r>
        <w:t>160</w:t>
      </w:r>
      <w:r>
        <w:fldChar w:fldCharType="end"/>
      </w:r>
    </w:p>
    <w:p w14:paraId="3B6833AD">
      <w:pPr>
        <w:pStyle w:val="33"/>
        <w:tabs>
          <w:tab w:val="right" w:leader="dot" w:pos="9026"/>
        </w:tabs>
      </w:pPr>
      <w:r>
        <w:rPr>
          <w:rFonts w:hint="eastAsia" w:ascii="Times New Roman" w:hAnsi="Times New Roman" w:eastAsia="宋体" w:cs="Times New Roman"/>
          <w:szCs w:val="24"/>
          <w:lang w:val="en-US" w:eastAsia="zh-CN"/>
        </w:rPr>
        <w:t>附件1 省发改委的复函</w:t>
      </w:r>
      <w:r>
        <w:tab/>
      </w:r>
      <w:r>
        <w:fldChar w:fldCharType="begin"/>
      </w:r>
      <w:r>
        <w:instrText xml:space="preserve"> PAGEREF _Toc20444 \h </w:instrText>
      </w:r>
      <w:r>
        <w:fldChar w:fldCharType="separate"/>
      </w:r>
      <w:r>
        <w:t>168</w:t>
      </w:r>
      <w:r>
        <w:fldChar w:fldCharType="end"/>
      </w:r>
    </w:p>
    <w:p w14:paraId="4E007944">
      <w:pPr>
        <w:pStyle w:val="33"/>
        <w:tabs>
          <w:tab w:val="right" w:leader="dot" w:pos="9026"/>
        </w:tabs>
      </w:pPr>
      <w:r>
        <w:rPr>
          <w:rFonts w:hint="eastAsia" w:ascii="Times New Roman" w:hAnsi="Times New Roman" w:eastAsia="宋体" w:cs="Times New Roman"/>
          <w:szCs w:val="24"/>
          <w:lang w:val="en-US" w:eastAsia="zh-CN"/>
        </w:rPr>
        <w:t>附件2原有项目环评批复及环保验收的函</w:t>
      </w:r>
      <w:r>
        <w:tab/>
      </w:r>
      <w:r>
        <w:fldChar w:fldCharType="begin"/>
      </w:r>
      <w:r>
        <w:instrText xml:space="preserve"> PAGEREF _Toc30191 \h </w:instrText>
      </w:r>
      <w:r>
        <w:fldChar w:fldCharType="separate"/>
      </w:r>
      <w:r>
        <w:t>169</w:t>
      </w:r>
      <w:r>
        <w:fldChar w:fldCharType="end"/>
      </w:r>
    </w:p>
    <w:p w14:paraId="42086024">
      <w:pPr>
        <w:pStyle w:val="33"/>
        <w:tabs>
          <w:tab w:val="right" w:leader="dot" w:pos="9026"/>
        </w:tabs>
      </w:pPr>
      <w:r>
        <w:rPr>
          <w:szCs w:val="24"/>
        </w:rPr>
        <w:t>附件</w:t>
      </w:r>
      <w:r>
        <w:rPr>
          <w:rFonts w:hint="eastAsia"/>
          <w:szCs w:val="24"/>
          <w:lang w:val="en-US" w:eastAsia="zh-CN"/>
        </w:rPr>
        <w:t>3</w:t>
      </w:r>
      <w:r>
        <w:rPr>
          <w:szCs w:val="24"/>
        </w:rPr>
        <w:t>排污许可证</w:t>
      </w:r>
      <w:r>
        <w:tab/>
      </w:r>
      <w:r>
        <w:fldChar w:fldCharType="begin"/>
      </w:r>
      <w:r>
        <w:instrText xml:space="preserve"> PAGEREF _Toc7245 \h </w:instrText>
      </w:r>
      <w:r>
        <w:fldChar w:fldCharType="separate"/>
      </w:r>
      <w:r>
        <w:t>182</w:t>
      </w:r>
      <w:r>
        <w:fldChar w:fldCharType="end"/>
      </w:r>
    </w:p>
    <w:p w14:paraId="5B713D28">
      <w:pPr>
        <w:pStyle w:val="33"/>
        <w:tabs>
          <w:tab w:val="right" w:leader="dot" w:pos="9026"/>
        </w:tabs>
      </w:pPr>
      <w:r>
        <w:rPr>
          <w:rFonts w:hint="eastAsia" w:ascii="Times New Roman" w:hAnsi="Times New Roman" w:eastAsia="宋体" w:cs="Times New Roman"/>
          <w:szCs w:val="24"/>
          <w:lang w:val="en-US" w:eastAsia="zh-CN" w:bidi="ar-SA"/>
        </w:rPr>
        <w:t>附件4监测报告</w:t>
      </w:r>
      <w:r>
        <w:tab/>
      </w:r>
      <w:r>
        <w:fldChar w:fldCharType="begin"/>
      </w:r>
      <w:r>
        <w:instrText xml:space="preserve"> PAGEREF _Toc2845 \h </w:instrText>
      </w:r>
      <w:r>
        <w:fldChar w:fldCharType="separate"/>
      </w:r>
      <w:r>
        <w:t>183</w:t>
      </w:r>
      <w:r>
        <w:fldChar w:fldCharType="end"/>
      </w:r>
    </w:p>
    <w:p w14:paraId="6147DD89">
      <w:pPr>
        <w:pStyle w:val="42"/>
        <w:spacing w:line="360" w:lineRule="auto"/>
        <w:ind w:left="480"/>
      </w:pPr>
      <w:r>
        <w:fldChar w:fldCharType="end"/>
      </w:r>
    </w:p>
    <w:p w14:paraId="1BF27E9E">
      <w:pPr>
        <w:pStyle w:val="42"/>
        <w:spacing w:line="360" w:lineRule="auto"/>
        <w:ind w:left="480"/>
      </w:pPr>
    </w:p>
    <w:p w14:paraId="6822D856">
      <w:pPr>
        <w:pStyle w:val="42"/>
        <w:spacing w:line="360" w:lineRule="auto"/>
        <w:ind w:left="480"/>
      </w:pPr>
    </w:p>
    <w:p w14:paraId="00A7BFC9">
      <w:pPr>
        <w:pStyle w:val="2"/>
        <w:jc w:val="both"/>
        <w:sectPr>
          <w:footerReference r:id="rId5" w:type="default"/>
          <w:pgSz w:w="11906" w:h="16838"/>
          <w:pgMar w:top="1440" w:right="1440" w:bottom="1440" w:left="1440" w:header="851" w:footer="992" w:gutter="0"/>
          <w:pgBorders>
            <w:top w:val="none" w:sz="0" w:space="0"/>
            <w:left w:val="none" w:sz="0" w:space="0"/>
            <w:bottom w:val="none" w:sz="0" w:space="0"/>
            <w:right w:val="none" w:sz="0" w:space="0"/>
          </w:pgBorders>
          <w:pgNumType w:fmt="upperRoman" w:start="1"/>
          <w:cols w:space="720" w:num="1"/>
          <w:docGrid w:type="lines" w:linePitch="312" w:charSpace="0"/>
        </w:sectPr>
      </w:pPr>
      <w:bookmarkStart w:id="26" w:name="_Toc27945"/>
      <w:bookmarkStart w:id="27" w:name="_Toc227836870"/>
      <w:bookmarkStart w:id="28" w:name="_Toc227836745"/>
    </w:p>
    <w:p w14:paraId="59A7F084">
      <w:pPr>
        <w:pStyle w:val="2"/>
      </w:pPr>
      <w:bookmarkStart w:id="29" w:name="_Toc32195"/>
      <w:r>
        <w:t>1.概述</w:t>
      </w:r>
      <w:bookmarkEnd w:id="26"/>
      <w:bookmarkEnd w:id="29"/>
    </w:p>
    <w:p w14:paraId="197A40FB">
      <w:pPr>
        <w:pStyle w:val="3"/>
      </w:pPr>
      <w:bookmarkStart w:id="30" w:name="_Toc12204"/>
      <w:bookmarkStart w:id="31" w:name="_Toc24355"/>
      <w:bookmarkStart w:id="32" w:name="_Toc30410"/>
      <w:bookmarkStart w:id="33" w:name="_Toc19206"/>
      <w:bookmarkStart w:id="34" w:name="_Toc24160"/>
      <w:bookmarkStart w:id="35" w:name="_Toc2822"/>
      <w:bookmarkStart w:id="36" w:name="_Toc563"/>
      <w:bookmarkStart w:id="37" w:name="_Toc3862"/>
      <w:bookmarkStart w:id="38" w:name="_Toc19251"/>
      <w:r>
        <w:t xml:space="preserve">1.1 </w:t>
      </w:r>
      <w:bookmarkEnd w:id="30"/>
      <w:bookmarkEnd w:id="31"/>
      <w:bookmarkEnd w:id="32"/>
      <w:bookmarkEnd w:id="33"/>
      <w:r>
        <w:t>建设项目由来及</w:t>
      </w:r>
      <w:bookmarkEnd w:id="34"/>
      <w:bookmarkEnd w:id="35"/>
      <w:bookmarkEnd w:id="36"/>
      <w:bookmarkEnd w:id="37"/>
      <w:r>
        <w:t>概况</w:t>
      </w:r>
      <w:bookmarkEnd w:id="38"/>
    </w:p>
    <w:p w14:paraId="1B587638">
      <w:pPr>
        <w:widowControl w:val="0"/>
        <w:autoSpaceDE w:val="0"/>
        <w:autoSpaceDN w:val="0"/>
        <w:spacing w:line="360" w:lineRule="auto"/>
        <w:ind w:firstLine="480" w:firstLineChars="200"/>
        <w:rPr>
          <w:rFonts w:hint="eastAsia" w:ascii="Times New Roman" w:hAnsi="Times New Roman" w:cs="Times New Roman"/>
          <w:lang w:eastAsia="zh-CN"/>
        </w:rPr>
      </w:pPr>
      <w:bookmarkStart w:id="39" w:name="_Toc4752"/>
      <w:r>
        <w:rPr>
          <w:rFonts w:ascii="Times New Roman" w:hAnsi="Times New Roman" w:cs="Times New Roman"/>
        </w:rPr>
        <w:t>本项目是由</w:t>
      </w:r>
      <w:r>
        <w:rPr>
          <w:rFonts w:hint="eastAsia" w:ascii="Times New Roman" w:hAnsi="Times New Roman" w:cs="Times New Roman"/>
          <w:lang w:eastAsia="zh-CN"/>
        </w:rPr>
        <w:t>黑龙江鸿展生物科技股份有限公司</w:t>
      </w:r>
      <w:r>
        <w:rPr>
          <w:rFonts w:ascii="Times New Roman" w:hAnsi="Times New Roman" w:cs="Times New Roman"/>
        </w:rPr>
        <w:t>投资建设</w:t>
      </w:r>
      <w:r>
        <w:rPr>
          <w:rFonts w:hint="eastAsia" w:ascii="Times New Roman" w:hAnsi="Times New Roman" w:cs="Times New Roman"/>
          <w:lang w:eastAsia="zh-CN"/>
        </w:rPr>
        <w:t>，</w:t>
      </w:r>
      <w:r>
        <w:rPr>
          <w:rFonts w:ascii="Times New Roman" w:hAnsi="Times New Roman" w:cs="Times New Roman"/>
        </w:rPr>
        <w:t>建设地点位于</w:t>
      </w:r>
      <w:r>
        <w:rPr>
          <w:rFonts w:hint="eastAsia" w:cs="Times New Roman"/>
          <w:lang w:eastAsia="zh-CN"/>
        </w:rPr>
        <w:t>拉哈生物技术与化学制药产业园黑龙江鸿展生物科技股份有限公司院内</w:t>
      </w:r>
      <w:r>
        <w:rPr>
          <w:rFonts w:ascii="Times New Roman" w:hAnsi="Times New Roman" w:cs="Times New Roman"/>
        </w:rPr>
        <w:t>。</w:t>
      </w:r>
      <w:r>
        <w:rPr>
          <w:rFonts w:hint="eastAsia" w:ascii="Times New Roman" w:hAnsi="Times New Roman" w:cs="Times New Roman"/>
          <w:lang w:eastAsia="zh-CN"/>
        </w:rPr>
        <w:t>黑龙江鸿展生物科技股份有限公司</w:t>
      </w:r>
      <w:r>
        <w:rPr>
          <w:rFonts w:ascii="Times New Roman" w:hAnsi="Times New Roman" w:cs="Times New Roman"/>
        </w:rPr>
        <w:t>现有</w:t>
      </w:r>
      <w:r>
        <w:rPr>
          <w:rFonts w:hint="eastAsia" w:ascii="Times New Roman" w:hAnsi="Times New Roman" w:cs="Times New Roman"/>
          <w:lang w:val="en-US" w:eastAsia="zh-CN"/>
        </w:rPr>
        <w:t>工程为</w:t>
      </w:r>
      <w:r>
        <w:rPr>
          <w:rFonts w:hint="eastAsia" w:ascii="Times New Roman" w:hAnsi="Times New Roman" w:cs="Times New Roman"/>
        </w:rPr>
        <w:t>年产食用酒精3万吨、医药酒精30万吨、化妆品用酒精10万吨、电子级无水酒精17万吨，DDGS饲料54万吨</w:t>
      </w:r>
      <w:r>
        <w:rPr>
          <w:rFonts w:hint="eastAsia" w:ascii="Times New Roman" w:hAnsi="Times New Roman" w:cs="Times New Roman"/>
          <w:lang w:eastAsia="zh-CN"/>
        </w:rPr>
        <w:t>。</w:t>
      </w:r>
    </w:p>
    <w:p w14:paraId="34DAD0AB">
      <w:pPr>
        <w:widowControl w:val="0"/>
        <w:autoSpaceDE w:val="0"/>
        <w:autoSpaceDN w:val="0"/>
        <w:spacing w:line="360" w:lineRule="auto"/>
        <w:ind w:firstLine="480" w:firstLineChars="200"/>
        <w:rPr>
          <w:rFonts w:hint="eastAsia" w:ascii="Times New Roman"/>
          <w:szCs w:val="24"/>
        </w:rPr>
      </w:pPr>
      <w:r>
        <w:rPr>
          <w:rFonts w:hint="eastAsia" w:ascii="Times New Roman" w:hAnsi="Times New Roman" w:cs="Times New Roman"/>
          <w:lang w:eastAsia="zh-CN"/>
        </w:rPr>
        <w:t>新冠肺炎疫情发生</w:t>
      </w:r>
      <w:r>
        <w:rPr>
          <w:rFonts w:hint="eastAsia" w:cs="Times New Roman"/>
          <w:lang w:val="en-US" w:eastAsia="zh-CN"/>
        </w:rPr>
        <w:t>后</w:t>
      </w:r>
      <w:r>
        <w:rPr>
          <w:rFonts w:hint="eastAsia" w:ascii="Times New Roman" w:hAnsi="Times New Roman" w:cs="Times New Roman"/>
          <w:lang w:eastAsia="zh-CN"/>
        </w:rPr>
        <w:t>，为助力打赢疫情防控阻击战，黑龙江鸿展生物科技股份有限公司向湖北省、黑龙江省红十字会、西藏日喀则等地捐赠5000多吨酒精消毒液并免费配送到位，</w:t>
      </w:r>
      <w:r>
        <w:rPr>
          <w:rFonts w:hint="eastAsia" w:ascii="Times New Roman" w:hAnsi="Times New Roman" w:cs="Times New Roman"/>
          <w:lang w:val="en-US" w:eastAsia="zh-CN"/>
        </w:rPr>
        <w:t>为疫情防控工作做出了积极贡献，被国家发改委纳入“国家重点调拨医用物资扩能企业”名单中，黑龙江鸿展为了保持70万吨/年医用酒精生产能力，</w:t>
      </w:r>
      <w:r>
        <w:rPr>
          <w:rFonts w:hint="eastAsia" w:ascii="Times New Roman" w:hAnsi="Times New Roman" w:cs="Times New Roman"/>
          <w:lang w:eastAsia="zh-CN"/>
        </w:rPr>
        <w:t>提出了本次技改项目，对原有的年产30万吨酒精（</w:t>
      </w:r>
      <w:r>
        <w:rPr>
          <w:rFonts w:hint="eastAsia" w:ascii="Times New Roman" w:hAnsi="Times New Roman" w:cs="Times New Roman"/>
        </w:rPr>
        <w:t>食用酒精3万吨</w:t>
      </w:r>
      <w:r>
        <w:rPr>
          <w:rFonts w:hint="eastAsia" w:ascii="Times New Roman" w:hAnsi="Times New Roman" w:cs="Times New Roman"/>
          <w:lang w:eastAsia="zh-CN"/>
        </w:rPr>
        <w:t>，</w:t>
      </w:r>
      <w:r>
        <w:rPr>
          <w:rFonts w:hint="eastAsia" w:ascii="Times New Roman" w:hAnsi="Times New Roman" w:cs="Times New Roman"/>
        </w:rPr>
        <w:t>化妆品用酒精10万吨</w:t>
      </w:r>
      <w:r>
        <w:rPr>
          <w:rFonts w:hint="eastAsia" w:ascii="Times New Roman" w:hAnsi="Times New Roman" w:cs="Times New Roman"/>
          <w:lang w:eastAsia="zh-CN"/>
        </w:rPr>
        <w:t>，</w:t>
      </w:r>
      <w:r>
        <w:rPr>
          <w:rFonts w:hint="eastAsia" w:ascii="Times New Roman" w:hAnsi="Times New Roman" w:cs="Times New Roman"/>
        </w:rPr>
        <w:t>电子级无水酒精17万吨</w:t>
      </w:r>
      <w:r>
        <w:rPr>
          <w:rFonts w:hint="eastAsia" w:ascii="Times New Roman" w:hAnsi="Times New Roman" w:cs="Times New Roman"/>
          <w:lang w:eastAsia="zh-CN"/>
        </w:rPr>
        <w:t>）生产线进行技术改造，新增</w:t>
      </w:r>
      <w:r>
        <w:rPr>
          <w:rFonts w:hint="eastAsia" w:cs="Times New Roman"/>
          <w:lang w:val="en-US" w:eastAsia="zh-CN"/>
        </w:rPr>
        <w:t>玉米原材料30万吨，</w:t>
      </w:r>
      <w:r>
        <w:t>蒸馏工艺技</w:t>
      </w:r>
      <w:r>
        <w:rPr>
          <w:spacing w:val="-1"/>
        </w:rPr>
        <w:t>改</w:t>
      </w:r>
      <w:r>
        <w:rPr>
          <w:rFonts w:hint="eastAsia" w:ascii="Times New Roman" w:hAnsi="Times New Roman" w:cs="Times New Roman"/>
          <w:lang w:eastAsia="zh-CN"/>
        </w:rPr>
        <w:t>，并配套扩建处理能力为6000m³/d污水处理站一座，其他生产、辅助</w:t>
      </w:r>
      <w:r>
        <w:rPr>
          <w:rFonts w:hint="eastAsia" w:cs="Times New Roman"/>
          <w:lang w:val="en-US" w:eastAsia="zh-CN"/>
        </w:rPr>
        <w:t>工程</w:t>
      </w:r>
      <w:r>
        <w:rPr>
          <w:rFonts w:hint="eastAsia" w:ascii="Times New Roman" w:hAnsi="Times New Roman" w:cs="Times New Roman"/>
          <w:lang w:eastAsia="zh-CN"/>
        </w:rPr>
        <w:t>维持不变</w:t>
      </w:r>
      <w:r>
        <w:rPr>
          <w:rFonts w:hint="eastAsia" w:ascii="Times New Roman"/>
          <w:szCs w:val="24"/>
        </w:rPr>
        <w:t>。</w:t>
      </w:r>
    </w:p>
    <w:p w14:paraId="4A67597F">
      <w:pPr>
        <w:spacing w:line="360" w:lineRule="auto"/>
        <w:ind w:firstLine="480" w:firstLineChars="200"/>
        <w:rPr>
          <w:rFonts w:hint="default" w:ascii="Times New Roman" w:hAnsi="Times New Roman" w:cs="Times New Roman"/>
          <w:lang w:val="en-US" w:eastAsia="zh-CN"/>
        </w:rPr>
      </w:pPr>
      <w:r>
        <w:rPr>
          <w:rFonts w:hint="default" w:ascii="Times New Roman" w:hAnsi="Times New Roman" w:cs="Times New Roman"/>
          <w:lang w:val="en-US" w:eastAsia="zh-CN"/>
        </w:rPr>
        <w:t>根据生态环境部办公厅发布的《关于做好新型冠状病毒感染肺炎疫情防控期间有关建设项目环境影响评价应急服务保障的通知》(环办环评涵[2020]56号)中第二条:“疫情防控期间，对国家和地方党委政府认定急需的医疗卫生、物资生产、研究试验等建设项目(以下简称三类建设项目)，实施相应的环境影响评价应急服务保障措施.对疫情结束后仍需使用的三类建设项目,可以实行环境影响评价“告知承诺制”，或先开工后补办手续”。</w:t>
      </w:r>
      <w:r>
        <w:rPr>
          <w:rFonts w:hint="eastAsia" w:cs="Times New Roman"/>
          <w:lang w:val="en-US" w:eastAsia="zh-CN"/>
        </w:rPr>
        <w:t>本项目</w:t>
      </w:r>
      <w:r>
        <w:rPr>
          <w:rFonts w:hint="default" w:ascii="Times New Roman" w:hAnsi="Times New Roman" w:cs="Times New Roman"/>
          <w:lang w:val="en-US" w:eastAsia="zh-CN"/>
        </w:rPr>
        <w:t>属于</w:t>
      </w:r>
      <w:r>
        <w:rPr>
          <w:rFonts w:hint="eastAsia" w:cs="Times New Roman"/>
          <w:lang w:val="en-US" w:eastAsia="zh-CN"/>
        </w:rPr>
        <w:t>被国家发改委纳入“国家重点调拨医用物资扩能企业”名单中的项目</w:t>
      </w:r>
      <w:r>
        <w:rPr>
          <w:rFonts w:hint="default" w:ascii="Times New Roman" w:hAnsi="Times New Roman" w:cs="Times New Roman"/>
          <w:lang w:val="en-US" w:eastAsia="zh-CN"/>
        </w:rPr>
        <w:t>，根据有关部门要求，</w:t>
      </w:r>
      <w:r>
        <w:rPr>
          <w:rFonts w:hint="eastAsia"/>
          <w:lang w:eastAsia="zh-CN"/>
        </w:rPr>
        <w:t>黑龙江鸿展生物科技股份有限公司年产70万吨医用酒精技术改造项目</w:t>
      </w:r>
      <w:r>
        <w:rPr>
          <w:rFonts w:hint="default" w:ascii="Times New Roman" w:hAnsi="Times New Roman" w:cs="Times New Roman"/>
          <w:lang w:val="en-US" w:eastAsia="zh-CN"/>
        </w:rPr>
        <w:t>设备均已完成安装，因此，现补办环评手续。</w:t>
      </w:r>
    </w:p>
    <w:p w14:paraId="4BC550C0">
      <w:pPr>
        <w:widowControl w:val="0"/>
        <w:autoSpaceDE w:val="0"/>
        <w:autoSpaceDN w:val="0"/>
        <w:spacing w:line="360" w:lineRule="auto"/>
        <w:ind w:firstLine="480" w:firstLineChars="200"/>
      </w:pPr>
      <w:r>
        <w:t>根据《建设项目环境影响评价分类管理名录》（部令第</w:t>
      </w:r>
      <w:r>
        <w:rPr>
          <w:rFonts w:hint="eastAsia"/>
        </w:rPr>
        <w:t>16</w:t>
      </w:r>
      <w:r>
        <w:t>号20</w:t>
      </w:r>
      <w:r>
        <w:rPr>
          <w:rFonts w:hint="eastAsia"/>
        </w:rPr>
        <w:t>21.1.1</w:t>
      </w:r>
      <w:r>
        <w:t>起实施）</w:t>
      </w:r>
      <w:r>
        <w:rPr>
          <w:rFonts w:hint="eastAsia"/>
          <w:lang w:val="en-US" w:eastAsia="zh-CN"/>
        </w:rPr>
        <w:t>十二</w:t>
      </w:r>
      <w:r>
        <w:rPr>
          <w:rFonts w:hint="eastAsia"/>
        </w:rPr>
        <w:t>、</w:t>
      </w:r>
      <w:r>
        <w:rPr>
          <w:rFonts w:hint="eastAsia"/>
          <w:lang w:val="en-US" w:eastAsia="zh-CN"/>
        </w:rPr>
        <w:t>酒、饮料制造</w:t>
      </w:r>
      <w:r>
        <w:rPr>
          <w:rFonts w:hint="eastAsia"/>
        </w:rPr>
        <w:t>业</w:t>
      </w:r>
      <w:r>
        <w:rPr>
          <w:rFonts w:hint="eastAsia"/>
          <w:lang w:val="en-US" w:eastAsia="zh-CN"/>
        </w:rPr>
        <w:t>15</w:t>
      </w:r>
      <w:r>
        <w:rPr>
          <w:rFonts w:hint="eastAsia"/>
        </w:rPr>
        <w:t>中</w:t>
      </w:r>
      <w:r>
        <w:t>第</w:t>
      </w:r>
      <w:r>
        <w:rPr>
          <w:rFonts w:hint="eastAsia"/>
          <w:lang w:val="en-US" w:eastAsia="zh-CN"/>
        </w:rPr>
        <w:t>25</w:t>
      </w:r>
      <w:r>
        <w:t>条，</w:t>
      </w:r>
      <w:r>
        <w:rPr>
          <w:rFonts w:hint="eastAsia"/>
          <w:lang w:val="en-US" w:eastAsia="zh-CN"/>
        </w:rPr>
        <w:t>酒的制造151有发酵工艺的（年生产能力1000千升以下的除外）</w:t>
      </w:r>
      <w:r>
        <w:t>以上</w:t>
      </w:r>
      <w:r>
        <w:rPr>
          <w:rFonts w:hint="eastAsia"/>
        </w:rPr>
        <w:t>的</w:t>
      </w:r>
      <w:r>
        <w:t>，本项目应编制环境影响报告书。本项目为</w:t>
      </w:r>
      <w:r>
        <w:rPr>
          <w:rFonts w:hint="eastAsia"/>
          <w:lang w:val="en-US" w:eastAsia="zh-CN"/>
        </w:rPr>
        <w:t>技术改造</w:t>
      </w:r>
      <w:r>
        <w:t>项目，受</w:t>
      </w:r>
      <w:r>
        <w:rPr>
          <w:rFonts w:hint="eastAsia"/>
          <w:lang w:eastAsia="zh-CN"/>
        </w:rPr>
        <w:t>黑龙江鸿展生物科技股份有限公司</w:t>
      </w:r>
      <w:r>
        <w:t>委托由</w:t>
      </w:r>
      <w:r>
        <w:rPr>
          <w:rFonts w:hint="eastAsia"/>
          <w:lang w:eastAsia="zh-CN"/>
        </w:rPr>
        <w:t>齐齐哈尔鑫齐大环保科技有限公司</w:t>
      </w:r>
      <w:r>
        <w:t>编制环境影响评价报告书。依据《中华人民共和国环境影响评价法》（2016.9.1修订实施）和</w:t>
      </w:r>
      <w:r>
        <w:rPr>
          <w:color w:val="auto"/>
        </w:rPr>
        <w:t>国务院第</w:t>
      </w:r>
      <w:r>
        <w:rPr>
          <w:rFonts w:hint="eastAsia"/>
          <w:color w:val="auto"/>
        </w:rPr>
        <w:t>682</w:t>
      </w:r>
      <w:r>
        <w:rPr>
          <w:color w:val="auto"/>
        </w:rPr>
        <w:t>号令《建设项目环境保护管理条例》等的有关规定，在接受建设</w:t>
      </w:r>
      <w:r>
        <w:t>单位环评工作委托后，评价单位对该项目进行详细现场勘察、调研，查阅大量相关资料并进行类比分析，取得必要的基础数据，在此基础上编制了本报告书。</w:t>
      </w:r>
    </w:p>
    <w:p w14:paraId="11000983">
      <w:pPr>
        <w:pStyle w:val="3"/>
      </w:pPr>
      <w:bookmarkStart w:id="40" w:name="_Toc10426"/>
      <w:r>
        <w:t>1.2 项目特点</w:t>
      </w:r>
      <w:bookmarkEnd w:id="39"/>
      <w:bookmarkEnd w:id="40"/>
    </w:p>
    <w:p w14:paraId="7073D83A">
      <w:pPr>
        <w:spacing w:line="360" w:lineRule="auto"/>
        <w:ind w:firstLine="480" w:firstLineChars="200"/>
      </w:pPr>
      <w:bookmarkStart w:id="41" w:name="_Toc6236"/>
      <w:r>
        <w:rPr>
          <w:rFonts w:hint="eastAsia"/>
          <w:lang w:eastAsia="zh-CN"/>
        </w:rPr>
        <w:t>本项目</w:t>
      </w:r>
      <w:r>
        <w:t>的特点如下：</w:t>
      </w:r>
    </w:p>
    <w:p w14:paraId="2D22C0A0">
      <w:pPr>
        <w:widowControl w:val="0"/>
        <w:autoSpaceDE w:val="0"/>
        <w:autoSpaceDN w:val="0"/>
        <w:spacing w:line="360" w:lineRule="auto"/>
        <w:ind w:firstLine="480" w:firstLineChars="200"/>
        <w:rPr>
          <w:rFonts w:hint="eastAsia"/>
          <w:lang w:eastAsia="zh-CN"/>
        </w:rPr>
      </w:pPr>
      <w:r>
        <w:rPr>
          <w:rFonts w:hint="eastAsia"/>
          <w:lang w:val="en-US" w:eastAsia="zh-CN"/>
        </w:rPr>
        <w:t>1、</w:t>
      </w:r>
      <w:r>
        <w:rPr>
          <w:rFonts w:hint="eastAsia"/>
          <w:lang w:eastAsia="zh-CN"/>
        </w:rPr>
        <w:t>根据本项目区域位置图和周围环境关系图可知，厂址东</w:t>
      </w:r>
      <w:r>
        <w:rPr>
          <w:rFonts w:hint="eastAsia"/>
          <w:lang w:val="en-US" w:eastAsia="zh-CN"/>
        </w:rPr>
        <w:t>北</w:t>
      </w:r>
      <w:r>
        <w:rPr>
          <w:rFonts w:hint="eastAsia"/>
          <w:lang w:eastAsia="zh-CN"/>
        </w:rPr>
        <w:t>侧</w:t>
      </w:r>
      <w:r>
        <w:rPr>
          <w:rFonts w:hint="eastAsia"/>
          <w:lang w:val="en-US" w:eastAsia="zh-CN"/>
        </w:rPr>
        <w:t>3</w:t>
      </w:r>
      <w:r>
        <w:rPr>
          <w:rFonts w:hint="eastAsia"/>
          <w:lang w:eastAsia="zh-CN"/>
        </w:rPr>
        <w:t>0m处为</w:t>
      </w:r>
      <w:r>
        <w:rPr>
          <w:rFonts w:hint="eastAsia"/>
          <w:lang w:val="en-US" w:eastAsia="zh-CN"/>
        </w:rPr>
        <w:t>前屯</w:t>
      </w:r>
      <w:r>
        <w:rPr>
          <w:rFonts w:hint="eastAsia"/>
          <w:lang w:eastAsia="zh-CN"/>
        </w:rPr>
        <w:t>，居民分布距离较近。</w:t>
      </w:r>
    </w:p>
    <w:p w14:paraId="0322D3B0">
      <w:pPr>
        <w:widowControl w:val="0"/>
        <w:autoSpaceDE w:val="0"/>
        <w:autoSpaceDN w:val="0"/>
        <w:spacing w:line="360" w:lineRule="auto"/>
        <w:ind w:firstLine="480" w:firstLineChars="200"/>
        <w:rPr>
          <w:rFonts w:hint="eastAsia"/>
          <w:lang w:val="en-US" w:eastAsia="zh-CN"/>
        </w:rPr>
      </w:pPr>
      <w:r>
        <w:rPr>
          <w:rFonts w:hint="eastAsia"/>
          <w:lang w:val="en-US" w:eastAsia="zh-CN"/>
        </w:rPr>
        <w:t>2、扩建的污水处理站尾水满足《城镇污水处理厂污染物排放标准》（GB18918-2002）中一级标准中的A标准的要求后，经拉哈生物技术与化学制药产业园区污水处理厂入河排污口排入到嫩江</w:t>
      </w:r>
      <w:r>
        <w:rPr>
          <w:rFonts w:hint="eastAsia"/>
          <w:color w:val="auto"/>
          <w:lang w:val="en-US" w:eastAsia="zh-CN"/>
        </w:rPr>
        <w:t>。待2026年12月</w:t>
      </w:r>
      <w:r>
        <w:rPr>
          <w:rFonts w:hint="eastAsia"/>
          <w:lang w:val="en-US" w:eastAsia="zh-CN"/>
        </w:rPr>
        <w:t>拉哈小镇工业园区污水处理厂投入运营后，全厂污水满足拉哈小镇工业园区污水处理厂纳管标准后排入拉哈小镇工业园区污水处理厂。</w:t>
      </w:r>
    </w:p>
    <w:p w14:paraId="252D95DB">
      <w:pPr>
        <w:spacing w:line="360" w:lineRule="auto"/>
        <w:ind w:firstLine="480" w:firstLineChars="200"/>
      </w:pPr>
      <w:r>
        <w:rPr>
          <w:rFonts w:hint="eastAsia"/>
          <w:lang w:val="en-US" w:eastAsia="zh-CN"/>
        </w:rPr>
        <w:t>3、本项目</w:t>
      </w:r>
      <w:r>
        <w:t>位于黑龙江省齐齐哈尔市讷河市拉哈生物技术与化学制药产业园区内。</w:t>
      </w:r>
      <w:r>
        <w:rPr>
          <w:rFonts w:hint="eastAsia"/>
        </w:rPr>
        <w:t>排污口入嫩江口距离中引取水口75km，距离齐齐哈尔市浏园水厂饮用水水源保护区二级区上游约130km，距离一级保护区边界最近距离约144km，距离取水口最近距离约145km。</w:t>
      </w:r>
      <w:r>
        <w:t>本项目入河排污口位于黑龙江讷谟尔河湿地自然保护区实验区下游13.5km。黑龙江乌裕尔河自然保护区实验区未延伸至嫩江干流。距离黑龙江乌裕尔河自然保护区”实验区上边界70km。</w:t>
      </w:r>
    </w:p>
    <w:p w14:paraId="12F9D509">
      <w:pPr>
        <w:widowControl w:val="0"/>
        <w:autoSpaceDE w:val="0"/>
        <w:autoSpaceDN w:val="0"/>
        <w:spacing w:line="360" w:lineRule="auto"/>
        <w:ind w:firstLine="480" w:firstLineChars="200"/>
        <w:rPr>
          <w:rFonts w:hint="eastAsia"/>
          <w:lang w:val="en-US" w:eastAsia="zh-CN"/>
        </w:rPr>
      </w:pPr>
      <w:r>
        <w:rPr>
          <w:rFonts w:hint="eastAsia"/>
          <w:lang w:val="en-US" w:eastAsia="zh-CN"/>
        </w:rPr>
        <w:t>4、本项目属于补做环评项目，施工期已完成。</w:t>
      </w:r>
    </w:p>
    <w:p w14:paraId="524FD92E">
      <w:pPr>
        <w:pStyle w:val="3"/>
        <w:ind w:left="480"/>
      </w:pPr>
      <w:bookmarkStart w:id="42" w:name="_Toc17871"/>
      <w:r>
        <w:t>1.3环境影响评价的工作过程</w:t>
      </w:r>
      <w:bookmarkEnd w:id="41"/>
      <w:bookmarkEnd w:id="42"/>
    </w:p>
    <w:p w14:paraId="4F5DAF66">
      <w:pPr>
        <w:spacing w:line="360" w:lineRule="auto"/>
        <w:ind w:firstLine="480"/>
      </w:pPr>
      <w:r>
        <w:t>依据《建设项目环境影响评价技术导则总纲》（HJ 2.1-2016）要求，本次环评工作分为三个阶段进行。</w:t>
      </w:r>
    </w:p>
    <w:p w14:paraId="6F3A5BFB">
      <w:pPr>
        <w:spacing w:line="360" w:lineRule="auto"/>
        <w:ind w:firstLine="480"/>
      </w:pPr>
      <w:r>
        <w:t>一、依据《建设项目环境影响评价分类管理名录》（部</w:t>
      </w:r>
      <w:r>
        <w:rPr>
          <w:rFonts w:hint="eastAsia"/>
        </w:rPr>
        <w:t xml:space="preserve">令 </w:t>
      </w:r>
      <w:r>
        <w:t>第</w:t>
      </w:r>
      <w:r>
        <w:rPr>
          <w:rFonts w:hint="eastAsia"/>
        </w:rPr>
        <w:t>16</w:t>
      </w:r>
      <w:r>
        <w:t>号  20</w:t>
      </w:r>
      <w:r>
        <w:rPr>
          <w:rFonts w:hint="eastAsia"/>
        </w:rPr>
        <w:t>21.1.1</w:t>
      </w:r>
      <w:r>
        <w:t xml:space="preserve"> 起实施）规定本项目属于</w:t>
      </w:r>
      <w:r>
        <w:rPr>
          <w:rFonts w:hint="eastAsia"/>
          <w:lang w:val="en-US" w:eastAsia="zh-CN"/>
        </w:rPr>
        <w:t>十二</w:t>
      </w:r>
      <w:r>
        <w:rPr>
          <w:rFonts w:hint="eastAsia"/>
        </w:rPr>
        <w:t>、</w:t>
      </w:r>
      <w:r>
        <w:rPr>
          <w:rFonts w:hint="eastAsia"/>
          <w:lang w:val="en-US" w:eastAsia="zh-CN"/>
        </w:rPr>
        <w:t>酒、饮料制造</w:t>
      </w:r>
      <w:r>
        <w:rPr>
          <w:rFonts w:hint="eastAsia"/>
        </w:rPr>
        <w:t>业</w:t>
      </w:r>
      <w:r>
        <w:rPr>
          <w:rFonts w:hint="eastAsia"/>
          <w:lang w:val="en-US" w:eastAsia="zh-CN"/>
        </w:rPr>
        <w:t>15</w:t>
      </w:r>
      <w:r>
        <w:rPr>
          <w:rFonts w:hint="eastAsia"/>
        </w:rPr>
        <w:t>中</w:t>
      </w:r>
      <w:r>
        <w:t>第</w:t>
      </w:r>
      <w:r>
        <w:rPr>
          <w:rFonts w:hint="eastAsia"/>
          <w:lang w:val="en-US" w:eastAsia="zh-CN"/>
        </w:rPr>
        <w:t>25</w:t>
      </w:r>
      <w:r>
        <w:t>条，</w:t>
      </w:r>
      <w:r>
        <w:rPr>
          <w:rFonts w:hint="eastAsia"/>
          <w:lang w:val="en-US" w:eastAsia="zh-CN"/>
        </w:rPr>
        <w:t>酒的制造 151 有发酵工艺的（年生产能力1000千升以下的除外）</w:t>
      </w:r>
      <w:r>
        <w:t>以上</w:t>
      </w:r>
      <w:r>
        <w:rPr>
          <w:rFonts w:hint="eastAsia"/>
        </w:rPr>
        <w:t>的</w:t>
      </w:r>
      <w:r>
        <w:t>，应编制环境影响报告书。根据《中华人民共和国环境保护法》、《中华人民共和国环境影响评价法》、《建设项目环境保护管理条例》以及《建设项目环境保护分类管理名录》的有关规定，对于一切可能对环境造成影响的新建或改扩建的项目必须执行环境影响评价制度。为此，受</w:t>
      </w:r>
      <w:r>
        <w:rPr>
          <w:rFonts w:hint="eastAsia"/>
          <w:lang w:eastAsia="zh-CN"/>
        </w:rPr>
        <w:t>黑龙江鸿展生物科技股份有限公司</w:t>
      </w:r>
      <w:r>
        <w:t>的委托，</w:t>
      </w:r>
      <w:r>
        <w:rPr>
          <w:rFonts w:hint="eastAsia"/>
          <w:lang w:eastAsia="zh-CN"/>
        </w:rPr>
        <w:t>齐齐哈尔鑫齐大环保科技有限公司</w:t>
      </w:r>
      <w:r>
        <w:t>承担本项目环境影响评价工作。</w:t>
      </w:r>
    </w:p>
    <w:p w14:paraId="1163B4FF">
      <w:pPr>
        <w:spacing w:line="360" w:lineRule="auto"/>
        <w:ind w:firstLine="480"/>
      </w:pPr>
      <w:r>
        <w:t>评价单位接受委托后随即组织人员在研究相关技术及其他有关文件基础上进行初步工程分析，开展了初步环境现状调查，进行了环境影响识别和评价因子筛选。明确了评价重点为大气环境和地表水环境影响评价和污染防治措施，确定了保护目标，进一步确定评价工作等级、范围及评价标准，制定出相应工作方案。</w:t>
      </w:r>
    </w:p>
    <w:p w14:paraId="3E53CDBD">
      <w:pPr>
        <w:spacing w:line="360" w:lineRule="auto"/>
        <w:ind w:firstLine="480"/>
        <w:rPr>
          <w:color w:val="auto"/>
        </w:rPr>
      </w:pPr>
      <w:r>
        <w:t>二、根据第一阶段工作成果，委托</w:t>
      </w:r>
      <w:r>
        <w:rPr>
          <w:rFonts w:hint="eastAsia"/>
          <w:lang w:eastAsia="zh-CN"/>
        </w:rPr>
        <w:t>黑龙江九实检测有限公司</w:t>
      </w:r>
      <w:r>
        <w:t>于</w:t>
      </w:r>
      <w:r>
        <w:rPr>
          <w:color w:val="auto"/>
        </w:rPr>
        <w:t>202</w:t>
      </w:r>
      <w:r>
        <w:rPr>
          <w:rFonts w:hint="eastAsia"/>
          <w:color w:val="auto"/>
          <w:lang w:val="en-US" w:eastAsia="zh-CN"/>
        </w:rPr>
        <w:t>6</w:t>
      </w:r>
      <w:r>
        <w:rPr>
          <w:color w:val="auto"/>
        </w:rPr>
        <w:t>年</w:t>
      </w:r>
      <w:r>
        <w:rPr>
          <w:rFonts w:hint="eastAsia"/>
          <w:color w:val="auto"/>
          <w:lang w:val="en-US" w:eastAsia="zh-CN"/>
        </w:rPr>
        <w:t>5</w:t>
      </w:r>
      <w:r>
        <w:rPr>
          <w:color w:val="auto"/>
        </w:rPr>
        <w:t>月</w:t>
      </w:r>
      <w:r>
        <w:rPr>
          <w:rFonts w:hint="eastAsia"/>
          <w:color w:val="auto"/>
          <w:lang w:val="en-US" w:eastAsia="zh-CN"/>
        </w:rPr>
        <w:t>12</w:t>
      </w:r>
      <w:r>
        <w:rPr>
          <w:color w:val="auto"/>
        </w:rPr>
        <w:t>日至</w:t>
      </w:r>
      <w:r>
        <w:rPr>
          <w:rFonts w:hint="eastAsia"/>
          <w:color w:val="auto"/>
          <w:lang w:val="en-US" w:eastAsia="zh-CN"/>
        </w:rPr>
        <w:t>5</w:t>
      </w:r>
      <w:r>
        <w:rPr>
          <w:color w:val="auto"/>
        </w:rPr>
        <w:t>月</w:t>
      </w:r>
      <w:r>
        <w:rPr>
          <w:rFonts w:hint="eastAsia"/>
          <w:color w:val="auto"/>
          <w:lang w:val="en-US" w:eastAsia="zh-CN"/>
        </w:rPr>
        <w:t>13</w:t>
      </w:r>
      <w:r>
        <w:rPr>
          <w:color w:val="auto"/>
        </w:rPr>
        <w:t>日对土壤环境和声环境现状进行了监测</w:t>
      </w:r>
      <w:r>
        <w:t>，</w:t>
      </w:r>
      <w:r>
        <w:rPr>
          <w:color w:val="auto"/>
        </w:rPr>
        <w:t>202</w:t>
      </w:r>
      <w:r>
        <w:rPr>
          <w:rFonts w:hint="eastAsia"/>
          <w:color w:val="auto"/>
          <w:lang w:val="en-US" w:eastAsia="zh-CN"/>
        </w:rPr>
        <w:t>6</w:t>
      </w:r>
      <w:r>
        <w:rPr>
          <w:color w:val="auto"/>
        </w:rPr>
        <w:t>年</w:t>
      </w:r>
      <w:r>
        <w:rPr>
          <w:rFonts w:hint="eastAsia"/>
          <w:color w:val="auto"/>
          <w:lang w:val="en-US" w:eastAsia="zh-CN"/>
        </w:rPr>
        <w:t>5</w:t>
      </w:r>
      <w:r>
        <w:rPr>
          <w:color w:val="auto"/>
        </w:rPr>
        <w:t>月</w:t>
      </w:r>
      <w:r>
        <w:rPr>
          <w:rFonts w:hint="eastAsia"/>
          <w:color w:val="auto"/>
          <w:lang w:val="en-US" w:eastAsia="zh-CN"/>
        </w:rPr>
        <w:t>22</w:t>
      </w:r>
      <w:r>
        <w:rPr>
          <w:color w:val="auto"/>
        </w:rPr>
        <w:t>日至</w:t>
      </w:r>
      <w:r>
        <w:rPr>
          <w:rFonts w:hint="eastAsia"/>
          <w:color w:val="auto"/>
          <w:lang w:val="en-US" w:eastAsia="zh-CN"/>
        </w:rPr>
        <w:t>5</w:t>
      </w:r>
      <w:r>
        <w:rPr>
          <w:color w:val="auto"/>
        </w:rPr>
        <w:t>月</w:t>
      </w:r>
      <w:r>
        <w:rPr>
          <w:rFonts w:hint="eastAsia"/>
          <w:color w:val="auto"/>
          <w:lang w:val="en-US" w:eastAsia="zh-CN"/>
        </w:rPr>
        <w:t>27</w:t>
      </w:r>
      <w:r>
        <w:rPr>
          <w:color w:val="auto"/>
        </w:rPr>
        <w:t>日对</w:t>
      </w:r>
      <w:r>
        <w:rPr>
          <w:rFonts w:hint="eastAsia"/>
          <w:color w:val="auto"/>
          <w:lang w:val="en-US" w:eastAsia="zh-CN"/>
        </w:rPr>
        <w:t>大气</w:t>
      </w:r>
      <w:r>
        <w:rPr>
          <w:color w:val="auto"/>
        </w:rPr>
        <w:t>环境现状进行了监测</w:t>
      </w:r>
      <w:r>
        <w:rPr>
          <w:rFonts w:hint="eastAsia"/>
          <w:color w:val="auto"/>
          <w:lang w:eastAsia="zh-CN"/>
        </w:rPr>
        <w:t>，</w:t>
      </w:r>
      <w:r>
        <w:rPr>
          <w:rFonts w:hint="eastAsia"/>
          <w:color w:val="auto"/>
          <w:lang w:val="en-US" w:eastAsia="zh-CN"/>
        </w:rPr>
        <w:t>并</w:t>
      </w:r>
      <w:r>
        <w:rPr>
          <w:color w:val="auto"/>
        </w:rPr>
        <w:t>进行了环境保护目标的调查，并详细进行工程分析。对各环境要素影响进行了预测与分析。</w:t>
      </w:r>
    </w:p>
    <w:p w14:paraId="2092F745">
      <w:pPr>
        <w:spacing w:line="360" w:lineRule="auto"/>
        <w:ind w:firstLine="480"/>
      </w:pPr>
      <w:r>
        <w:t>三、提出环境保护措施，进行经济技术可行性论证，给出污染物排放清单并给出评价结论。</w:t>
      </w:r>
    </w:p>
    <w:p w14:paraId="054066E9">
      <w:pPr>
        <w:spacing w:line="360" w:lineRule="auto"/>
        <w:ind w:firstLine="480"/>
      </w:pPr>
      <w:r>
        <w:t>本项目环评影响评价的工作见图1.3-1。</w:t>
      </w:r>
    </w:p>
    <w:p w14:paraId="50B9FEAA">
      <w:pPr>
        <w:spacing w:line="360" w:lineRule="auto"/>
        <w:jc w:val="center"/>
      </w:pPr>
      <w:r>
        <w:rPr>
          <w:sz w:val="20"/>
        </w:rPr>
        <w:drawing>
          <wp:inline distT="0" distB="0" distL="0" distR="0">
            <wp:extent cx="4979670" cy="6651625"/>
            <wp:effectExtent l="0" t="0" r="11430" b="15875"/>
            <wp:docPr id="44" name="图片 11" descr="环评工作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descr="环评工作流程"/>
                    <pic:cNvPicPr>
                      <a:picLocks noChangeAspect="1" noChangeArrowheads="1"/>
                    </pic:cNvPicPr>
                  </pic:nvPicPr>
                  <pic:blipFill>
                    <a:blip r:embed="rId22" cstate="print"/>
                    <a:stretch>
                      <a:fillRect/>
                    </a:stretch>
                  </pic:blipFill>
                  <pic:spPr>
                    <a:xfrm>
                      <a:off x="0" y="0"/>
                      <a:ext cx="4979670" cy="6651625"/>
                    </a:xfrm>
                    <a:prstGeom prst="rect">
                      <a:avLst/>
                    </a:prstGeom>
                    <a:noFill/>
                    <a:ln w="9525" cap="flat">
                      <a:noFill/>
                    </a:ln>
                  </pic:spPr>
                </pic:pic>
              </a:graphicData>
            </a:graphic>
          </wp:inline>
        </w:drawing>
      </w:r>
    </w:p>
    <w:p w14:paraId="3B71E603">
      <w:pPr>
        <w:spacing w:line="360" w:lineRule="auto"/>
        <w:jc w:val="center"/>
        <w:rPr>
          <w:b/>
        </w:rPr>
      </w:pPr>
      <w:r>
        <w:rPr>
          <w:b/>
        </w:rPr>
        <w:t>图1.3-1    环境影响评价流程图</w:t>
      </w:r>
    </w:p>
    <w:p w14:paraId="68B7A0F7">
      <w:pPr>
        <w:pStyle w:val="3"/>
      </w:pPr>
      <w:bookmarkStart w:id="43" w:name="_Toc14762"/>
      <w:bookmarkStart w:id="44" w:name="_Toc30727"/>
      <w:r>
        <w:t>1.</w:t>
      </w:r>
      <w:bookmarkEnd w:id="43"/>
      <w:r>
        <w:t>4分析判定相关情况</w:t>
      </w:r>
      <w:bookmarkEnd w:id="44"/>
    </w:p>
    <w:p w14:paraId="4E4473FA">
      <w:pPr>
        <w:pStyle w:val="4"/>
      </w:pPr>
      <w:r>
        <w:t>1.4.1 产业政策符合性分析</w:t>
      </w:r>
    </w:p>
    <w:p w14:paraId="138E6949">
      <w:pPr>
        <w:spacing w:line="360" w:lineRule="auto"/>
        <w:ind w:firstLine="480" w:firstLineChars="200"/>
        <w:rPr>
          <w:color w:val="auto"/>
        </w:rPr>
      </w:pPr>
      <w:r>
        <w:rPr>
          <w:color w:val="auto"/>
        </w:rPr>
        <w:t>本项目</w:t>
      </w:r>
      <w:r>
        <w:rPr>
          <w:rFonts w:hint="eastAsia"/>
          <w:color w:val="auto"/>
          <w:lang w:val="en-US" w:eastAsia="zh-CN"/>
        </w:rPr>
        <w:t>不</w:t>
      </w:r>
      <w:r>
        <w:rPr>
          <w:color w:val="auto"/>
        </w:rPr>
        <w:t>属于《产业结构和调整指导目录（202</w:t>
      </w:r>
      <w:r>
        <w:rPr>
          <w:rFonts w:hint="eastAsia"/>
          <w:color w:val="auto"/>
          <w:lang w:val="en-US" w:eastAsia="zh-CN"/>
        </w:rPr>
        <w:t>4</w:t>
      </w:r>
      <w:r>
        <w:rPr>
          <w:color w:val="auto"/>
        </w:rPr>
        <w:t>年本）》中</w:t>
      </w:r>
      <w:r>
        <w:rPr>
          <w:rFonts w:hint="eastAsia"/>
          <w:color w:val="auto"/>
          <w:lang w:val="en-US" w:eastAsia="zh-CN"/>
        </w:rPr>
        <w:t>限制类和淘汰类项目</w:t>
      </w:r>
      <w:r>
        <w:rPr>
          <w:color w:val="auto"/>
        </w:rPr>
        <w:t>。因此，本项目属于</w:t>
      </w:r>
      <w:r>
        <w:rPr>
          <w:rFonts w:hint="eastAsia"/>
          <w:color w:val="auto"/>
          <w:lang w:val="en-US" w:eastAsia="zh-CN"/>
        </w:rPr>
        <w:t>允许</w:t>
      </w:r>
      <w:r>
        <w:rPr>
          <w:color w:val="auto"/>
        </w:rPr>
        <w:t>类建设项目。</w:t>
      </w:r>
    </w:p>
    <w:p w14:paraId="58CD1839">
      <w:pPr>
        <w:pStyle w:val="4"/>
      </w:pPr>
      <w:r>
        <w:t>1.4.2本项目选址合理性分析</w:t>
      </w:r>
    </w:p>
    <w:p w14:paraId="6E89AA1A">
      <w:pPr>
        <w:spacing w:line="360" w:lineRule="auto"/>
        <w:ind w:firstLine="480" w:firstLineChars="200"/>
      </w:pPr>
      <w:bookmarkStart w:id="45" w:name="bookmark69"/>
      <w:r>
        <w:t>（</w:t>
      </w:r>
      <w:bookmarkEnd w:id="45"/>
      <w:r>
        <w:t>1）本项目厂址概述</w:t>
      </w:r>
    </w:p>
    <w:p w14:paraId="73D200E4">
      <w:pPr>
        <w:spacing w:line="360" w:lineRule="auto"/>
        <w:ind w:firstLine="480" w:firstLineChars="200"/>
      </w:pPr>
      <w:r>
        <w:t>本项目</w:t>
      </w:r>
      <w:r>
        <w:rPr>
          <w:rFonts w:hint="eastAsia"/>
          <w:lang w:val="en-US" w:eastAsia="zh-CN"/>
        </w:rPr>
        <w:t>为技改项目</w:t>
      </w:r>
      <w:r>
        <w:t>位于</w:t>
      </w:r>
      <w:r>
        <w:rPr>
          <w:rFonts w:hint="eastAsia"/>
          <w:lang w:eastAsia="zh-CN"/>
        </w:rPr>
        <w:t>拉哈生物技术与化学制药产业园黑龙江鸿展生物科技股份有限公司院内</w:t>
      </w:r>
      <w:r>
        <w:t>。厂址交通便利，运输方便，给排水、供电等配套设施齐全。项目建设通过采取严格的环境保护措施后，所排放的污染物对评价区周围环境影响较小，并对环境敏感点影响较小，其影响能够被周围环境所接受。</w:t>
      </w:r>
    </w:p>
    <w:p w14:paraId="52604970">
      <w:pPr>
        <w:spacing w:line="360" w:lineRule="auto"/>
        <w:ind w:firstLine="480" w:firstLineChars="200"/>
      </w:pPr>
      <w:bookmarkStart w:id="46" w:name="bookmark70"/>
      <w:r>
        <w:t>（</w:t>
      </w:r>
      <w:bookmarkEnd w:id="46"/>
      <w:r>
        <w:t>2）项目选址区域环境质量现状分析</w:t>
      </w:r>
    </w:p>
    <w:p w14:paraId="2ADD3411">
      <w:pPr>
        <w:spacing w:line="360" w:lineRule="auto"/>
        <w:ind w:firstLine="480" w:firstLineChars="200"/>
      </w:pPr>
      <w:r>
        <w:t>评价区SO</w:t>
      </w:r>
      <w:r>
        <w:rPr>
          <w:vertAlign w:val="subscript"/>
        </w:rPr>
        <w:t>2</w:t>
      </w:r>
      <w:r>
        <w:t>、NO</w:t>
      </w:r>
      <w:r>
        <w:rPr>
          <w:vertAlign w:val="subscript"/>
        </w:rPr>
        <w:t>2</w:t>
      </w:r>
      <w:r>
        <w:t>、PM</w:t>
      </w:r>
      <w:r>
        <w:rPr>
          <w:vertAlign w:val="subscript"/>
        </w:rPr>
        <w:t>10</w:t>
      </w:r>
      <w:r>
        <w:t>、PM</w:t>
      </w:r>
      <w:r>
        <w:rPr>
          <w:vertAlign w:val="subscript"/>
        </w:rPr>
        <w:t>2.5</w:t>
      </w:r>
      <w:r>
        <w:t>、CO和O</w:t>
      </w:r>
      <w:r>
        <w:rPr>
          <w:vertAlign w:val="subscript"/>
        </w:rPr>
        <w:t>3</w:t>
      </w:r>
      <w:r>
        <w:t>各监测因子现状监测浓度均满足</w:t>
      </w:r>
      <w:r>
        <w:rPr>
          <w:rFonts w:hint="eastAsia"/>
          <w:lang w:eastAsia="zh-CN"/>
        </w:rPr>
        <w:t>《环境空气质量标准》（GB3095-2026）过度阶段浓度限值</w:t>
      </w:r>
      <w:r>
        <w:t>中二级标准。</w:t>
      </w:r>
    </w:p>
    <w:p w14:paraId="590FAF54">
      <w:pPr>
        <w:spacing w:line="360" w:lineRule="auto"/>
        <w:ind w:firstLine="480" w:firstLineChars="200"/>
      </w:pPr>
      <w:bookmarkStart w:id="47" w:name="bookmark71"/>
      <w:r>
        <w:t>（</w:t>
      </w:r>
      <w:bookmarkEnd w:id="47"/>
      <w:r>
        <w:t>3）项目选址的环境影响分析</w:t>
      </w:r>
    </w:p>
    <w:p w14:paraId="6D1888BC">
      <w:pPr>
        <w:spacing w:line="360" w:lineRule="auto"/>
        <w:ind w:firstLine="480" w:firstLineChars="200"/>
        <w:rPr>
          <w:rFonts w:hint="default"/>
          <w:lang w:val="en-US" w:eastAsia="zh-CN"/>
        </w:rPr>
      </w:pPr>
      <w:r>
        <w:t>通过环境空气预测结果可知，本项目投产后，</w:t>
      </w:r>
      <w:r>
        <w:rPr>
          <w:rFonts w:hint="eastAsia"/>
          <w:lang w:eastAsia="zh-CN"/>
        </w:rPr>
        <w:t>本项目</w:t>
      </w:r>
      <w:r>
        <w:t>PM</w:t>
      </w:r>
      <w:r>
        <w:rPr>
          <w:vertAlign w:val="subscript"/>
        </w:rPr>
        <w:t>10</w:t>
      </w:r>
      <w:r>
        <w:rPr>
          <w:rFonts w:hint="eastAsia"/>
          <w:vertAlign w:val="baseline"/>
          <w:lang w:val="en-US" w:eastAsia="zh-CN"/>
        </w:rPr>
        <w:t>预测值</w:t>
      </w:r>
      <w:r>
        <w:t>满足</w:t>
      </w:r>
      <w:r>
        <w:rPr>
          <w:rFonts w:hint="eastAsia"/>
          <w:lang w:eastAsia="zh-CN"/>
        </w:rPr>
        <w:t>《环境空气质量标准》（GB3095-2026）过度阶段浓度限值</w:t>
      </w:r>
      <w:r>
        <w:t>中二级标准</w:t>
      </w:r>
      <w:r>
        <w:rPr>
          <w:rFonts w:hint="eastAsia"/>
          <w:lang w:eastAsia="zh-CN"/>
        </w:rPr>
        <w:t>，</w:t>
      </w:r>
      <w:r>
        <w:rPr>
          <w:rFonts w:hint="eastAsia"/>
          <w:lang w:val="en-US" w:eastAsia="zh-CN"/>
        </w:rPr>
        <w:t>氨、硫化</w:t>
      </w:r>
      <w:r>
        <w:t>预测值均符合《环境影响评价技术导则 大气环境》（HJ2.2-2018）附录D</w:t>
      </w:r>
      <w:r>
        <w:rPr>
          <w:rFonts w:hint="eastAsia"/>
          <w:lang w:val="en-US" w:eastAsia="zh-CN"/>
        </w:rPr>
        <w:t>中标准要求</w:t>
      </w:r>
      <w:r>
        <w:rPr>
          <w:rFonts w:hint="eastAsia"/>
          <w:lang w:eastAsia="zh-CN"/>
        </w:rPr>
        <w:t>，</w:t>
      </w:r>
      <w:r>
        <w:rPr>
          <w:rFonts w:hint="eastAsia"/>
          <w:lang w:val="en-US" w:eastAsia="zh-CN"/>
        </w:rPr>
        <w:t>非甲烷总烃能够满足</w:t>
      </w:r>
      <w:r>
        <w:rPr>
          <w:rFonts w:hint="eastAsia"/>
          <w:lang w:eastAsia="zh-CN"/>
        </w:rPr>
        <w:t>《环境空气质量 非甲烷总烃限值》（DB13/1577-2012）二级标准限值</w:t>
      </w:r>
      <w:r>
        <w:rPr>
          <w:rFonts w:hint="eastAsia"/>
          <w:lang w:val="en-US" w:eastAsia="zh-CN"/>
        </w:rPr>
        <w:t>要求。</w:t>
      </w:r>
    </w:p>
    <w:p w14:paraId="7FF37C6B">
      <w:pPr>
        <w:spacing w:line="360" w:lineRule="auto"/>
        <w:ind w:firstLine="480" w:firstLineChars="200"/>
        <w:rPr>
          <w:rFonts w:hint="eastAsia" w:eastAsia="宋体"/>
          <w:color w:val="FF0000"/>
          <w:lang w:eastAsia="zh-CN"/>
        </w:rPr>
      </w:pPr>
      <w:r>
        <w:rPr>
          <w:rFonts w:hint="eastAsia"/>
          <w:color w:val="auto"/>
          <w:lang w:val="en-US" w:eastAsia="zh-CN"/>
        </w:rPr>
        <w:t>技改</w:t>
      </w:r>
      <w:r>
        <w:rPr>
          <w:rFonts w:hint="eastAsia"/>
          <w:color w:val="auto"/>
          <w:lang w:eastAsia="zh-CN"/>
        </w:rPr>
        <w:t>项目</w:t>
      </w:r>
      <w:r>
        <w:rPr>
          <w:rFonts w:hint="eastAsia"/>
          <w:color w:val="auto"/>
          <w:lang w:val="en-US" w:eastAsia="zh-CN"/>
        </w:rPr>
        <w:t>新增</w:t>
      </w:r>
      <w:r>
        <w:rPr>
          <w:rFonts w:hint="eastAsia"/>
          <w:color w:val="auto"/>
          <w:lang w:eastAsia="zh-CN"/>
        </w:rPr>
        <w:t>污水处理站处理规模为</w:t>
      </w:r>
      <w:r>
        <w:rPr>
          <w:rFonts w:hint="eastAsia"/>
          <w:color w:val="auto"/>
          <w:lang w:val="en-US" w:eastAsia="zh-CN"/>
        </w:rPr>
        <w:t>6</w:t>
      </w:r>
      <w:r>
        <w:rPr>
          <w:rFonts w:hint="eastAsia"/>
          <w:color w:val="auto"/>
          <w:lang w:eastAsia="zh-CN"/>
        </w:rPr>
        <w:t>000m</w:t>
      </w:r>
      <w:r>
        <w:rPr>
          <w:rFonts w:hint="eastAsia"/>
          <w:color w:val="auto"/>
          <w:vertAlign w:val="superscript"/>
          <w:lang w:eastAsia="zh-CN"/>
        </w:rPr>
        <w:t>3</w:t>
      </w:r>
      <w:r>
        <w:rPr>
          <w:rFonts w:hint="eastAsia"/>
          <w:color w:val="auto"/>
          <w:lang w:eastAsia="zh-CN"/>
        </w:rPr>
        <w:t>/d，处理达到《城镇污水处理厂污染物排放标准》（GB18918-2002）中一级标准中的A标准的要求后，经拉哈生物技术与化学制药产业园区污水处理厂入河排污口排入到嫩江。</w:t>
      </w:r>
      <w:r>
        <w:rPr>
          <w:rFonts w:hint="eastAsia"/>
          <w:color w:val="auto"/>
          <w:lang w:val="en-US" w:eastAsia="zh-CN"/>
        </w:rPr>
        <w:t>待</w:t>
      </w:r>
      <w:r>
        <w:rPr>
          <w:rFonts w:hint="eastAsia"/>
          <w:lang w:val="en-US" w:eastAsia="zh-CN"/>
        </w:rPr>
        <w:t>拉哈小镇工业园区污水处理厂投入运营后，全厂污水满足拉哈小镇工业园区污水处理厂纳管标准后排入拉哈小镇工业园区污水处理厂。</w:t>
      </w:r>
    </w:p>
    <w:p w14:paraId="475DA848">
      <w:pPr>
        <w:spacing w:line="360" w:lineRule="auto"/>
        <w:ind w:firstLine="480" w:firstLineChars="200"/>
      </w:pPr>
      <w:r>
        <w:t>本项目采取减震、隔声措施后，项目厂界噪声贡献值满足《工业企业厂界环境噪声排放标准》（GB12348-2008）中的</w:t>
      </w:r>
      <w:r>
        <w:rPr>
          <w:rFonts w:hint="eastAsia"/>
          <w:lang w:eastAsia="zh-CN"/>
        </w:rPr>
        <w:t>3类</w:t>
      </w:r>
      <w:r>
        <w:t>标准，对周围声环境影响较小。周围敏感目标声环境质量满足《声环境质量标准》（GB3096-2008）中的</w:t>
      </w:r>
      <w:r>
        <w:rPr>
          <w:rFonts w:hint="eastAsia"/>
          <w:lang w:val="en-US" w:eastAsia="zh-CN"/>
        </w:rPr>
        <w:t>1</w:t>
      </w:r>
      <w:r>
        <w:rPr>
          <w:rFonts w:hint="eastAsia"/>
          <w:lang w:eastAsia="zh-CN"/>
        </w:rPr>
        <w:t>类</w:t>
      </w:r>
      <w:r>
        <w:t>标准。</w:t>
      </w:r>
    </w:p>
    <w:p w14:paraId="29179297">
      <w:pPr>
        <w:pStyle w:val="486"/>
        <w:spacing w:line="360" w:lineRule="auto"/>
        <w:ind w:firstLine="480" w:firstLineChars="200"/>
        <w:rPr>
          <w:rFonts w:ascii="Times New Roman" w:hAnsi="Times New Roman" w:cs="Times New Roman"/>
        </w:rPr>
      </w:pPr>
      <w:r>
        <w:rPr>
          <w:rFonts w:ascii="Times New Roman" w:hAnsi="Times New Roman" w:cs="Times New Roman"/>
        </w:rPr>
        <w:t>本项目产生的固体废物全部综合利用，对外环境基本无影响。</w:t>
      </w:r>
    </w:p>
    <w:p w14:paraId="17DE4159">
      <w:pPr>
        <w:pStyle w:val="486"/>
        <w:spacing w:line="360" w:lineRule="auto"/>
        <w:ind w:firstLine="480" w:firstLineChars="200"/>
        <w:rPr>
          <w:rFonts w:ascii="Times New Roman" w:hAnsi="Times New Roman" w:cs="Times New Roman"/>
        </w:rPr>
      </w:pPr>
      <w:r>
        <w:rPr>
          <w:rFonts w:ascii="Times New Roman" w:hAnsi="Times New Roman" w:cs="Times New Roman"/>
        </w:rPr>
        <w:t>综上所述，本项目拟选厂址从环境影响方面可接受。</w:t>
      </w:r>
    </w:p>
    <w:p w14:paraId="5A5B38B0">
      <w:pPr>
        <w:pStyle w:val="4"/>
        <w:spacing w:line="360" w:lineRule="auto"/>
      </w:pPr>
      <w:r>
        <w:t>1.4.3与相关规划的符合性分析</w:t>
      </w:r>
    </w:p>
    <w:p w14:paraId="6CA85343">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3"/>
        <w:rPr>
          <w:rFonts w:hint="eastAsia" w:ascii="Times New Roman" w:hAnsi="Times New Roman" w:eastAsia="Times New Roman" w:cs="Times New Roman"/>
          <w:b/>
          <w:sz w:val="24"/>
          <w:szCs w:val="24"/>
          <w:lang w:val="en-US" w:eastAsia="zh-CN" w:bidi="ar-SA"/>
        </w:rPr>
      </w:pPr>
      <w:r>
        <w:rPr>
          <w:rFonts w:hint="eastAsia" w:ascii="Times New Roman" w:hAnsi="Times New Roman" w:eastAsia="Times New Roman" w:cs="Times New Roman"/>
          <w:b/>
          <w:sz w:val="24"/>
          <w:szCs w:val="24"/>
          <w:lang w:val="en-US" w:eastAsia="zh-CN" w:bidi="ar-SA"/>
        </w:rPr>
        <w:t>1.4.3.1与《黑龙江省水污染防治条例》的</w:t>
      </w:r>
      <w:r>
        <w:rPr>
          <w:rFonts w:hint="eastAsia" w:eastAsia="Times New Roman" w:cs="Times New Roman"/>
          <w:b/>
          <w:sz w:val="24"/>
          <w:szCs w:val="24"/>
          <w:lang w:val="en-US" w:eastAsia="zh-CN" w:bidi="ar-SA"/>
        </w:rPr>
        <w:t>符合</w:t>
      </w:r>
      <w:r>
        <w:rPr>
          <w:rFonts w:hint="eastAsia" w:ascii="Times New Roman" w:hAnsi="Times New Roman" w:eastAsia="Times New Roman" w:cs="Times New Roman"/>
          <w:b/>
          <w:sz w:val="24"/>
          <w:szCs w:val="24"/>
          <w:lang w:val="en-US" w:eastAsia="zh-CN" w:bidi="ar-SA"/>
        </w:rPr>
        <w:t>性分析</w:t>
      </w:r>
    </w:p>
    <w:p w14:paraId="6B7AFB40">
      <w:pPr>
        <w:spacing w:line="360" w:lineRule="auto"/>
        <w:ind w:firstLine="480" w:firstLineChars="200"/>
        <w:rPr>
          <w:rFonts w:hint="eastAsia" w:ascii="Times New Roman" w:hAnsi="Times New Roman" w:eastAsia="宋体" w:cs="Times New Roman"/>
          <w:lang w:val="en-US" w:eastAsia="zh-CN"/>
        </w:rPr>
      </w:pPr>
      <w:r>
        <w:rPr>
          <w:rFonts w:hint="eastAsia" w:cs="Times New Roman"/>
          <w:lang w:val="en-US" w:eastAsia="zh-CN"/>
        </w:rPr>
        <w:t>一、</w:t>
      </w:r>
      <w:r>
        <w:rPr>
          <w:rFonts w:hint="eastAsia" w:ascii="Times New Roman" w:hAnsi="Times New Roman" w:eastAsia="宋体" w:cs="Times New Roman"/>
          <w:lang w:val="en-US" w:eastAsia="zh-CN"/>
        </w:rPr>
        <w:t>相关内容</w:t>
      </w:r>
    </w:p>
    <w:p w14:paraId="2C6585EE">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第三十三条 排放工业废水的企业应当采取有效措施，收集和处理产生的全部废水，防止污染环境。含有毒有害水污染物的工业废水应当分类收集和处理，不得稀释排放。</w:t>
      </w:r>
    </w:p>
    <w:p w14:paraId="7BA9F0AF">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第三十四条 工业集聚区应当依法配套建设相应的污水集中处理设施。工业集聚区经过处理的废水排入江河、湖泊等水体的应当达标排放，设区的市级人民政府生态环境主管部门应当对排污口开展监测；未达标排放的，必要时应当对污水集中处理设施提标改造。</w:t>
      </w:r>
    </w:p>
    <w:p w14:paraId="24BA8A3E">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二、</w:t>
      </w:r>
      <w:r>
        <w:rPr>
          <w:rFonts w:hint="eastAsia" w:cs="Times New Roman"/>
          <w:lang w:val="en-US" w:eastAsia="zh-CN"/>
        </w:rPr>
        <w:t>符合</w:t>
      </w:r>
      <w:r>
        <w:rPr>
          <w:rFonts w:hint="eastAsia" w:ascii="Times New Roman" w:hAnsi="Times New Roman" w:eastAsia="宋体" w:cs="Times New Roman"/>
          <w:lang w:val="en-US" w:eastAsia="zh-CN"/>
        </w:rPr>
        <w:t>性分析</w:t>
      </w:r>
    </w:p>
    <w:p w14:paraId="532223FB">
      <w:pPr>
        <w:spacing w:line="360" w:lineRule="auto"/>
        <w:ind w:firstLine="480" w:firstLineChars="200"/>
        <w:rPr>
          <w:rFonts w:hint="eastAsia" w:ascii="Times New Roman" w:hAnsi="Times New Roman" w:eastAsia="宋体" w:cs="Times New Roman"/>
          <w:lang w:val="en-US" w:eastAsia="zh-CN"/>
        </w:rPr>
      </w:pPr>
      <w:r>
        <w:rPr>
          <w:rFonts w:hint="eastAsia"/>
          <w:color w:val="auto"/>
          <w:lang w:val="en-US" w:eastAsia="zh-CN"/>
        </w:rPr>
        <w:t>技改</w:t>
      </w:r>
      <w:r>
        <w:rPr>
          <w:rFonts w:hint="eastAsia"/>
          <w:color w:val="auto"/>
          <w:lang w:eastAsia="zh-CN"/>
        </w:rPr>
        <w:t>项目</w:t>
      </w:r>
      <w:r>
        <w:rPr>
          <w:rFonts w:hint="eastAsia"/>
          <w:color w:val="auto"/>
          <w:lang w:val="en-US" w:eastAsia="zh-CN"/>
        </w:rPr>
        <w:t>新增</w:t>
      </w:r>
      <w:r>
        <w:rPr>
          <w:rFonts w:hint="eastAsia"/>
          <w:color w:val="auto"/>
          <w:lang w:eastAsia="zh-CN"/>
        </w:rPr>
        <w:t>污水处理站处理规模为</w:t>
      </w:r>
      <w:r>
        <w:rPr>
          <w:rFonts w:hint="eastAsia"/>
          <w:color w:val="auto"/>
          <w:lang w:val="en-US" w:eastAsia="zh-CN"/>
        </w:rPr>
        <w:t>6</w:t>
      </w:r>
      <w:r>
        <w:rPr>
          <w:rFonts w:hint="eastAsia"/>
          <w:color w:val="auto"/>
          <w:lang w:eastAsia="zh-CN"/>
        </w:rPr>
        <w:t>000m</w:t>
      </w:r>
      <w:r>
        <w:rPr>
          <w:rFonts w:hint="eastAsia"/>
          <w:color w:val="auto"/>
          <w:vertAlign w:val="superscript"/>
          <w:lang w:eastAsia="zh-CN"/>
        </w:rPr>
        <w:t>3</w:t>
      </w:r>
      <w:r>
        <w:rPr>
          <w:rFonts w:hint="eastAsia"/>
          <w:color w:val="auto"/>
          <w:lang w:eastAsia="zh-CN"/>
        </w:rPr>
        <w:t>/d，处理达到《城镇污水处理厂污染物排放标准》（GB18918-2002）中一级标准中的A标准的要求后，经拉哈生物技术与化学制药产业园区污水处理厂入河排污口排入到嫩江。</w:t>
      </w:r>
      <w:r>
        <w:rPr>
          <w:rFonts w:hint="eastAsia"/>
          <w:color w:val="auto"/>
          <w:lang w:val="en-US" w:eastAsia="zh-CN"/>
        </w:rPr>
        <w:t>待</w:t>
      </w:r>
      <w:r>
        <w:rPr>
          <w:rFonts w:hint="eastAsia"/>
          <w:lang w:val="en-US" w:eastAsia="zh-CN"/>
        </w:rPr>
        <w:t>拉哈小镇工业园区污水处理厂投入运营后，全厂污水满足拉哈小镇工业园区污水处理厂纳管标准后排入拉哈小镇工业园区污水处理厂。技改项目</w:t>
      </w:r>
      <w:r>
        <w:rPr>
          <w:rFonts w:hint="eastAsia" w:ascii="Times New Roman" w:hAnsi="Times New Roman" w:eastAsia="宋体" w:cs="Times New Roman"/>
          <w:lang w:val="en-US" w:eastAsia="zh-CN"/>
        </w:rPr>
        <w:t>符合该条例要求。</w:t>
      </w:r>
    </w:p>
    <w:p w14:paraId="7866A089">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3"/>
        <w:rPr>
          <w:rFonts w:hint="eastAsia" w:ascii="Times New Roman" w:hAnsi="Times New Roman" w:eastAsia="Times New Roman" w:cs="Times New Roman"/>
          <w:b/>
          <w:sz w:val="24"/>
          <w:szCs w:val="24"/>
          <w:lang w:val="en-US" w:eastAsia="zh-CN" w:bidi="ar-SA"/>
        </w:rPr>
      </w:pPr>
      <w:r>
        <w:rPr>
          <w:rFonts w:hint="eastAsia" w:eastAsia="Times New Roman" w:cs="Times New Roman"/>
          <w:b/>
          <w:sz w:val="24"/>
          <w:szCs w:val="24"/>
          <w:lang w:val="en-US" w:eastAsia="zh-CN" w:bidi="ar-SA"/>
        </w:rPr>
        <w:t>1.4.3.2</w:t>
      </w:r>
      <w:r>
        <w:rPr>
          <w:rFonts w:hint="eastAsia" w:ascii="Times New Roman" w:hAnsi="Times New Roman" w:eastAsia="Times New Roman" w:cs="Times New Roman"/>
          <w:b/>
          <w:sz w:val="24"/>
          <w:szCs w:val="24"/>
          <w:lang w:val="en-US" w:eastAsia="zh-CN" w:bidi="ar-SA"/>
        </w:rPr>
        <w:t xml:space="preserve"> 与《齐齐哈尔市</w:t>
      </w:r>
      <w:r>
        <w:rPr>
          <w:rFonts w:hint="default" w:ascii="Times New Roman" w:hAnsi="Times New Roman" w:eastAsia="Times New Roman" w:cs="Times New Roman"/>
          <w:b/>
          <w:sz w:val="24"/>
          <w:szCs w:val="24"/>
          <w:lang w:val="en-US" w:eastAsia="zh-CN" w:bidi="ar-SA"/>
        </w:rPr>
        <w:t>国民经济和社会发展第十四个</w:t>
      </w:r>
      <w:r>
        <w:rPr>
          <w:rFonts w:hint="default" w:ascii="Times New Roman" w:hAnsi="Times New Roman" w:eastAsia="Times New Roman" w:cs="Times New Roman"/>
          <w:b/>
          <w:sz w:val="24"/>
          <w:szCs w:val="24"/>
          <w:lang w:val="en-US" w:eastAsia="zh-CN" w:bidi="ar-SA"/>
        </w:rPr>
        <w:fldChar w:fldCharType="begin"/>
      </w:r>
      <w:r>
        <w:rPr>
          <w:rFonts w:hint="default" w:ascii="Times New Roman" w:hAnsi="Times New Roman" w:eastAsia="Times New Roman" w:cs="Times New Roman"/>
          <w:b/>
          <w:sz w:val="24"/>
          <w:szCs w:val="24"/>
          <w:lang w:val="en-US" w:eastAsia="zh-CN" w:bidi="ar-SA"/>
        </w:rPr>
        <w:instrText xml:space="preserve"> HYPERLINK "https://news.163.com/news/search?keyword=%E4%BA%94%E5%B9%B4%E8%A7%84%E5%88%92" \t "_blank" </w:instrText>
      </w:r>
      <w:r>
        <w:rPr>
          <w:rFonts w:hint="default" w:ascii="Times New Roman" w:hAnsi="Times New Roman" w:eastAsia="Times New Roman" w:cs="Times New Roman"/>
          <w:b/>
          <w:sz w:val="24"/>
          <w:szCs w:val="24"/>
          <w:lang w:val="en-US" w:eastAsia="zh-CN" w:bidi="ar-SA"/>
        </w:rPr>
        <w:fldChar w:fldCharType="separate"/>
      </w:r>
      <w:r>
        <w:rPr>
          <w:rFonts w:hint="default" w:ascii="Times New Roman" w:hAnsi="Times New Roman" w:eastAsia="Times New Roman" w:cs="Times New Roman"/>
          <w:b/>
          <w:sz w:val="24"/>
          <w:szCs w:val="24"/>
          <w:lang w:val="en-US" w:eastAsia="zh-CN" w:bidi="ar-SA"/>
        </w:rPr>
        <w:t>五年规划</w:t>
      </w:r>
      <w:r>
        <w:rPr>
          <w:rFonts w:hint="default" w:ascii="Times New Roman" w:hAnsi="Times New Roman" w:eastAsia="Times New Roman" w:cs="Times New Roman"/>
          <w:b/>
          <w:sz w:val="24"/>
          <w:szCs w:val="24"/>
          <w:lang w:val="en-US" w:eastAsia="zh-CN" w:bidi="ar-SA"/>
        </w:rPr>
        <w:fldChar w:fldCharType="end"/>
      </w:r>
      <w:r>
        <w:rPr>
          <w:rFonts w:hint="default" w:ascii="Times New Roman" w:hAnsi="Times New Roman" w:eastAsia="Times New Roman" w:cs="Times New Roman"/>
          <w:b/>
          <w:sz w:val="24"/>
          <w:szCs w:val="24"/>
          <w:lang w:val="en-US" w:eastAsia="zh-CN" w:bidi="ar-SA"/>
        </w:rPr>
        <w:t>和</w:t>
      </w:r>
      <w:r>
        <w:rPr>
          <w:rFonts w:hint="eastAsia" w:ascii="Times New Roman" w:hAnsi="Times New Roman" w:eastAsia="Times New Roman" w:cs="Times New Roman"/>
          <w:b/>
          <w:sz w:val="24"/>
          <w:szCs w:val="24"/>
          <w:lang w:val="en-US" w:eastAsia="zh-CN" w:bidi="ar-SA"/>
        </w:rPr>
        <w:t>二〇三五</w:t>
      </w:r>
      <w:r>
        <w:rPr>
          <w:rFonts w:hint="default" w:ascii="Times New Roman" w:hAnsi="Times New Roman" w:eastAsia="Times New Roman" w:cs="Times New Roman"/>
          <w:b/>
          <w:sz w:val="24"/>
          <w:szCs w:val="24"/>
          <w:lang w:val="en-US" w:eastAsia="zh-CN" w:bidi="ar-SA"/>
        </w:rPr>
        <w:t>年远景目标纲要</w:t>
      </w:r>
      <w:r>
        <w:rPr>
          <w:rFonts w:hint="eastAsia" w:ascii="Times New Roman" w:hAnsi="Times New Roman" w:eastAsia="Times New Roman" w:cs="Times New Roman"/>
          <w:b/>
          <w:sz w:val="24"/>
          <w:szCs w:val="24"/>
          <w:lang w:val="en-US" w:eastAsia="zh-CN" w:bidi="ar-SA"/>
        </w:rPr>
        <w:t>》的协调性分析</w:t>
      </w:r>
    </w:p>
    <w:p w14:paraId="3F5E5474">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一、主要相关内容</w:t>
      </w:r>
    </w:p>
    <w:p w14:paraId="4EB8605E">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第三章 大力发展精密超精密制造产业</w:t>
      </w:r>
    </w:p>
    <w:p w14:paraId="0B9E906D">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第三节 培育壮大重点龙头企业</w:t>
      </w:r>
    </w:p>
    <w:p w14:paraId="5847ED46">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实施百亿级企业成长行动计划，采取现有百亿级企业巩固提升、重点企业培育壮大、在建大项目投产生产等路径，加速形成规模梯度合理、行业分布优化、经营管理科学、发展前景广阔的百亿级企业矩阵。到2025年，百亿级企业达到20户，全市规模以上工业企业突破500户。</w:t>
      </w:r>
    </w:p>
    <w:tbl>
      <w:tblPr>
        <w:tblStyle w:val="53"/>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0" w:type="dxa"/>
          <w:left w:w="0" w:type="dxa"/>
          <w:bottom w:w="0" w:type="dxa"/>
          <w:right w:w="0" w:type="dxa"/>
        </w:tblCellMar>
      </w:tblPr>
      <w:tblGrid>
        <w:gridCol w:w="1330"/>
        <w:gridCol w:w="6980"/>
      </w:tblGrid>
      <w:tr w14:paraId="0F21DC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397" w:hRule="atLeast"/>
          <w:jc w:val="center"/>
        </w:trPr>
        <w:tc>
          <w:tcPr>
            <w:tcW w:w="5000" w:type="pct"/>
            <w:gridSpan w:val="2"/>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06CAF3D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专栏11：百亿级企业（项目）培育名录</w:t>
            </w:r>
          </w:p>
        </w:tc>
      </w:tr>
      <w:tr w14:paraId="03B43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397" w:hRule="atLeast"/>
          <w:jc w:val="center"/>
        </w:trPr>
        <w:tc>
          <w:tcPr>
            <w:tcW w:w="800"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1E1A299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重点任务</w:t>
            </w:r>
          </w:p>
        </w:tc>
        <w:tc>
          <w:tcPr>
            <w:tcW w:w="4199"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6D452C96">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重点企业</w:t>
            </w:r>
          </w:p>
        </w:tc>
      </w:tr>
      <w:tr w14:paraId="125959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800"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07F51C9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百亿级企业</w:t>
            </w:r>
          </w:p>
        </w:tc>
        <w:tc>
          <w:tcPr>
            <w:tcW w:w="4199"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1104F98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中国一重、中车齐车、飞鹤乳业、紫金铜业、建龙北钢、阜丰生物、益海嘉里产业园、益海嘉里制药、华瑞制药、云鹰集团、中粮龙江。</w:t>
            </w:r>
          </w:p>
        </w:tc>
      </w:tr>
      <w:tr w14:paraId="19E550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397" w:hRule="atLeast"/>
          <w:jc w:val="center"/>
        </w:trPr>
        <w:tc>
          <w:tcPr>
            <w:tcW w:w="800"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38EF725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百亿级目标企业</w:t>
            </w:r>
          </w:p>
        </w:tc>
        <w:tc>
          <w:tcPr>
            <w:tcW w:w="4199"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252F823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牧原集团、仁和药业、景宏石油、腾翔铸锻造、昊华化工、元盛食品、蒙牛乳业、克东禹王（胰蛋白酶抑制剂）、</w:t>
            </w:r>
            <w:r>
              <w:rPr>
                <w:rFonts w:hint="eastAsia" w:ascii="Times New Roman" w:hAnsi="Times New Roman" w:eastAsia="宋体" w:cs="Times New Roman"/>
                <w:b/>
                <w:bCs/>
                <w:snapToGrid/>
                <w:color w:val="auto"/>
                <w:kern w:val="2"/>
                <w:sz w:val="21"/>
                <w:szCs w:val="21"/>
                <w:lang w:val="en-US" w:eastAsia="zh-CN"/>
              </w:rPr>
              <w:t>鸿展生物</w:t>
            </w:r>
            <w:r>
              <w:rPr>
                <w:rFonts w:hint="eastAsia" w:ascii="Times New Roman" w:hAnsi="Times New Roman" w:eastAsia="宋体" w:cs="Times New Roman"/>
                <w:snapToGrid/>
                <w:color w:val="auto"/>
                <w:kern w:val="2"/>
                <w:sz w:val="21"/>
                <w:szCs w:val="21"/>
                <w:lang w:val="en-US" w:eastAsia="zh-CN"/>
              </w:rPr>
              <w:t>、丰源泰富（聚乳酸）</w:t>
            </w:r>
          </w:p>
        </w:tc>
      </w:tr>
      <w:tr w14:paraId="120B6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97" w:hRule="atLeast"/>
          <w:jc w:val="center"/>
        </w:trPr>
        <w:tc>
          <w:tcPr>
            <w:tcW w:w="800"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4D4B484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百亿级目标项目</w:t>
            </w:r>
          </w:p>
        </w:tc>
        <w:tc>
          <w:tcPr>
            <w:tcW w:w="4199" w:type="pct"/>
            <w:tcBorders>
              <w:top w:val="outset" w:color="000000" w:sz="4" w:space="0"/>
              <w:left w:val="outset" w:color="000000" w:sz="4" w:space="0"/>
              <w:bottom w:val="outset" w:color="000000" w:sz="4" w:space="0"/>
              <w:right w:val="outset" w:color="000000" w:sz="4" w:space="0"/>
            </w:tcBorders>
            <w:shd w:val="clear" w:color="auto" w:fill="auto"/>
            <w:noWrap w:val="0"/>
            <w:vAlign w:val="center"/>
          </w:tcPr>
          <w:p w14:paraId="06141026">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首农集团投资项目、东方希望肉食一体化、国电投核小堆项目、通用集团合作项目、秸秆综合利用、精密超精密制造、原料药基地、风电装备、瞻望航空小镇、建华国家智慧都市农业综合体项目</w:t>
            </w:r>
          </w:p>
        </w:tc>
      </w:tr>
    </w:tbl>
    <w:p w14:paraId="4C379587">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二、</w:t>
      </w:r>
      <w:r>
        <w:rPr>
          <w:rFonts w:hint="eastAsia" w:cs="Times New Roman"/>
          <w:lang w:val="en-US" w:eastAsia="zh-CN"/>
        </w:rPr>
        <w:t>符合</w:t>
      </w:r>
      <w:r>
        <w:rPr>
          <w:rFonts w:hint="eastAsia" w:ascii="Times New Roman" w:hAnsi="Times New Roman" w:eastAsia="宋体" w:cs="Times New Roman"/>
          <w:lang w:val="en-US" w:eastAsia="zh-CN"/>
        </w:rPr>
        <w:t>性分析</w:t>
      </w:r>
    </w:p>
    <w:p w14:paraId="09FC55A6">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黑龙江鸿展生物科技股份有限公司</w:t>
      </w:r>
      <w:r>
        <w:rPr>
          <w:rFonts w:hint="eastAsia" w:cs="Times New Roman"/>
          <w:lang w:val="en-US" w:eastAsia="zh-CN"/>
        </w:rPr>
        <w:t>属于百亿级目标企业，技改项目完成后最终实现</w:t>
      </w:r>
      <w:r>
        <w:rPr>
          <w:rFonts w:hint="eastAsia" w:ascii="Times New Roman"/>
          <w:szCs w:val="24"/>
        </w:rPr>
        <w:t>“</w:t>
      </w:r>
      <w:r>
        <w:rPr>
          <w:rFonts w:hint="eastAsia" w:ascii="Times New Roman"/>
          <w:szCs w:val="24"/>
          <w:lang w:val="en-US" w:eastAsia="zh-CN"/>
        </w:rPr>
        <w:t>其他酒精60万吨或医用酒精70万吨</w:t>
      </w:r>
      <w:r>
        <w:rPr>
          <w:rFonts w:hint="eastAsia" w:ascii="Times New Roman"/>
          <w:szCs w:val="24"/>
        </w:rPr>
        <w:t>”两条腿走路的生产计划</w:t>
      </w:r>
      <w:r>
        <w:rPr>
          <w:rFonts w:hint="eastAsia"/>
          <w:szCs w:val="24"/>
          <w:lang w:eastAsia="zh-CN"/>
        </w:rPr>
        <w:t>，</w:t>
      </w:r>
      <w:r>
        <w:rPr>
          <w:rFonts w:hint="eastAsia"/>
          <w:szCs w:val="24"/>
          <w:lang w:val="en-US" w:eastAsia="zh-CN"/>
        </w:rPr>
        <w:t>更有助于企业良好发展</w:t>
      </w:r>
      <w:r>
        <w:rPr>
          <w:rFonts w:hint="eastAsia" w:ascii="Times New Roman" w:hAnsi="Times New Roman" w:eastAsia="宋体" w:cs="Times New Roman"/>
          <w:lang w:val="en-US" w:eastAsia="zh-CN"/>
        </w:rPr>
        <w:t>。</w:t>
      </w:r>
    </w:p>
    <w:p w14:paraId="4DC7DD68">
      <w:pPr>
        <w:spacing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综上所述，本规划与《</w:t>
      </w:r>
      <w:r>
        <w:rPr>
          <w:rFonts w:hint="eastAsia" w:ascii="Times New Roman" w:hAnsi="Times New Roman" w:eastAsia="宋体" w:cs="Times New Roman"/>
          <w:lang w:val="en-US" w:eastAsia="zh-CN"/>
        </w:rPr>
        <w:t>齐齐哈尔市</w:t>
      </w:r>
      <w:r>
        <w:rPr>
          <w:rFonts w:hint="default" w:ascii="Times New Roman" w:hAnsi="Times New Roman" w:eastAsia="宋体" w:cs="Times New Roman"/>
          <w:lang w:val="en-US" w:eastAsia="zh-CN"/>
        </w:rPr>
        <w:t>国民经济和社会发展第十四个</w:t>
      </w: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"https://news.163.com/news/search?keyword=%E4%BA%94%E5%B9%B4%E8%A7%84%E5%88%92" \t "_blank" </w:instrText>
      </w:r>
      <w:r>
        <w:rPr>
          <w:rFonts w:hint="default" w:ascii="Times New Roman" w:hAnsi="Times New Roman" w:eastAsia="宋体" w:cs="Times New Roman"/>
          <w:lang w:val="en-US" w:eastAsia="zh-CN"/>
        </w:rPr>
        <w:fldChar w:fldCharType="separate"/>
      </w:r>
      <w:r>
        <w:rPr>
          <w:rFonts w:hint="default" w:ascii="Times New Roman" w:hAnsi="Times New Roman" w:eastAsia="宋体" w:cs="Times New Roman"/>
          <w:lang w:val="en-US" w:eastAsia="zh-CN"/>
        </w:rPr>
        <w:t>五年规划</w:t>
      </w:r>
      <w:r>
        <w:rPr>
          <w:rFonts w:hint="default" w:ascii="Times New Roman" w:hAnsi="Times New Roman" w:eastAsia="宋体" w:cs="Times New Roman"/>
          <w:lang w:val="en-US" w:eastAsia="zh-CN"/>
        </w:rPr>
        <w:fldChar w:fldCharType="end"/>
      </w:r>
      <w:r>
        <w:rPr>
          <w:rFonts w:hint="default" w:ascii="Times New Roman" w:hAnsi="Times New Roman" w:eastAsia="宋体" w:cs="Times New Roman"/>
          <w:lang w:val="en-US" w:eastAsia="zh-CN"/>
        </w:rPr>
        <w:t>和</w:t>
      </w:r>
      <w:r>
        <w:rPr>
          <w:rFonts w:hint="eastAsia" w:ascii="Times New Roman" w:hAnsi="Times New Roman" w:eastAsia="宋体" w:cs="Times New Roman"/>
          <w:lang w:val="en-US" w:eastAsia="zh-CN"/>
        </w:rPr>
        <w:t>二〇三五</w:t>
      </w:r>
      <w:r>
        <w:rPr>
          <w:rFonts w:hint="default" w:ascii="Times New Roman" w:hAnsi="Times New Roman" w:eastAsia="宋体" w:cs="Times New Roman"/>
          <w:lang w:val="en-US" w:eastAsia="zh-CN"/>
        </w:rPr>
        <w:t>年远景目标纲要》相协调。</w:t>
      </w:r>
    </w:p>
    <w:p w14:paraId="226C1F41">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3"/>
        <w:rPr>
          <w:rFonts w:hint="eastAsia" w:eastAsia="Times New Roman" w:cs="Times New Roman"/>
          <w:b/>
          <w:sz w:val="24"/>
          <w:szCs w:val="24"/>
          <w:lang w:val="en-US" w:eastAsia="zh-CN" w:bidi="ar-SA"/>
        </w:rPr>
      </w:pPr>
      <w:r>
        <w:rPr>
          <w:rFonts w:hint="eastAsia" w:eastAsia="Times New Roman" w:cs="Times New Roman"/>
          <w:b/>
          <w:sz w:val="24"/>
          <w:szCs w:val="24"/>
          <w:lang w:val="en-US" w:eastAsia="zh-CN" w:bidi="ar-SA"/>
        </w:rPr>
        <w:t>1.4.3.3与《齐齐哈尔市重点流域水生态环境保护“十四五”规划》的协调性分析</w:t>
      </w:r>
    </w:p>
    <w:p w14:paraId="269AA64C">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一、主要相关内容</w:t>
      </w:r>
    </w:p>
    <w:p w14:paraId="0CA2EA77">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优化空间布局。坚持以水定城、以水定地、以水定人、以水定产，严格控制缺水地区、水污染严重地区和敏感区域高耗水、高污染行业发展，鼓励推动高耗水企业向水资源条件允许的工业园区集中，提高化工、有色、农副食品加工、印染、制革、原料药制造、电镀、冶金等行业园区集聚水平。</w:t>
      </w:r>
    </w:p>
    <w:p w14:paraId="0FE06CB4">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严格环境准入。强化“三线一单”落地应用，建立动态更新和调整机制，根据流域保护目标要求，科学评估水资源、水环境承载能力，细化功能分区，提出差别化生态环境准入清单。</w:t>
      </w:r>
    </w:p>
    <w:p w14:paraId="2EEC833E">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二、</w:t>
      </w:r>
      <w:r>
        <w:rPr>
          <w:rFonts w:hint="eastAsia" w:cs="Times New Roman"/>
          <w:lang w:val="en-US" w:eastAsia="zh-CN"/>
        </w:rPr>
        <w:t>符合</w:t>
      </w:r>
      <w:r>
        <w:rPr>
          <w:rFonts w:hint="eastAsia" w:ascii="Times New Roman" w:hAnsi="Times New Roman" w:eastAsia="宋体" w:cs="Times New Roman"/>
          <w:lang w:val="en-US" w:eastAsia="zh-CN"/>
        </w:rPr>
        <w:t>性分析</w:t>
      </w:r>
    </w:p>
    <w:p w14:paraId="75A019D0">
      <w:pPr>
        <w:spacing w:line="360" w:lineRule="auto"/>
        <w:ind w:firstLine="480" w:firstLineChars="200"/>
        <w:rPr>
          <w:rFonts w:hint="eastAsia" w:ascii="Times New Roman" w:hAnsi="Times New Roman" w:eastAsia="宋体" w:cs="Times New Roman"/>
          <w:lang w:val="en-US" w:eastAsia="zh-CN"/>
        </w:rPr>
      </w:pPr>
      <w:r>
        <w:rPr>
          <w:rFonts w:hint="eastAsia"/>
          <w:color w:val="auto"/>
          <w:lang w:val="en-US" w:eastAsia="zh-CN"/>
        </w:rPr>
        <w:t>技改</w:t>
      </w:r>
      <w:r>
        <w:rPr>
          <w:rFonts w:hint="eastAsia"/>
          <w:color w:val="auto"/>
          <w:lang w:eastAsia="zh-CN"/>
        </w:rPr>
        <w:t>项目</w:t>
      </w:r>
      <w:r>
        <w:rPr>
          <w:rFonts w:hint="eastAsia"/>
          <w:color w:val="auto"/>
          <w:lang w:val="en-US" w:eastAsia="zh-CN"/>
        </w:rPr>
        <w:t>新增</w:t>
      </w:r>
      <w:r>
        <w:rPr>
          <w:rFonts w:hint="eastAsia"/>
          <w:color w:val="auto"/>
          <w:lang w:eastAsia="zh-CN"/>
        </w:rPr>
        <w:t>污水处理站处理规模为</w:t>
      </w:r>
      <w:r>
        <w:rPr>
          <w:rFonts w:hint="eastAsia"/>
          <w:color w:val="auto"/>
          <w:lang w:val="en-US" w:eastAsia="zh-CN"/>
        </w:rPr>
        <w:t>6</w:t>
      </w:r>
      <w:r>
        <w:rPr>
          <w:rFonts w:hint="eastAsia"/>
          <w:color w:val="auto"/>
          <w:lang w:eastAsia="zh-CN"/>
        </w:rPr>
        <w:t>000m</w:t>
      </w:r>
      <w:r>
        <w:rPr>
          <w:rFonts w:hint="eastAsia"/>
          <w:color w:val="auto"/>
          <w:vertAlign w:val="superscript"/>
          <w:lang w:eastAsia="zh-CN"/>
        </w:rPr>
        <w:t>3</w:t>
      </w:r>
      <w:r>
        <w:rPr>
          <w:rFonts w:hint="eastAsia"/>
          <w:color w:val="auto"/>
          <w:lang w:eastAsia="zh-CN"/>
        </w:rPr>
        <w:t>/d，处理达到《城镇污水处理厂污染物排放标准》（GB18918-2002）中一级标准中的A标准的要求后，经拉哈生物技术与化学制药产业园区污水处理厂入河排污口排入到嫩江。</w:t>
      </w:r>
      <w:r>
        <w:rPr>
          <w:rFonts w:hint="eastAsia"/>
          <w:color w:val="auto"/>
          <w:lang w:val="en-US" w:eastAsia="zh-CN"/>
        </w:rPr>
        <w:t>待</w:t>
      </w:r>
      <w:r>
        <w:rPr>
          <w:rFonts w:hint="eastAsia"/>
          <w:lang w:val="en-US" w:eastAsia="zh-CN"/>
        </w:rPr>
        <w:t>拉哈小镇工业园区污水处理厂投入运营后，全厂污水满足拉哈小镇工业园区污水处理厂纳管标准后排入拉哈小镇工业园区污水处理厂。技改项目</w:t>
      </w:r>
      <w:r>
        <w:rPr>
          <w:rFonts w:hint="eastAsia" w:ascii="Times New Roman" w:hAnsi="Times New Roman" w:eastAsia="宋体" w:cs="Times New Roman"/>
          <w:lang w:val="en-US" w:eastAsia="zh-CN"/>
        </w:rPr>
        <w:t>符合该条例要求。综上，本规划与《齐齐哈尔市重点流域水生态环境保护“十四五”规划》相协调。</w:t>
      </w:r>
    </w:p>
    <w:p w14:paraId="00E1D0E6">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3"/>
        <w:rPr>
          <w:rFonts w:hint="eastAsia" w:eastAsia="Times New Roman" w:cs="Times New Roman"/>
          <w:b/>
          <w:sz w:val="24"/>
          <w:szCs w:val="24"/>
          <w:lang w:val="en-US" w:eastAsia="zh-CN" w:bidi="ar-SA"/>
        </w:rPr>
      </w:pPr>
      <w:r>
        <w:rPr>
          <w:rFonts w:hint="eastAsia" w:eastAsia="Times New Roman" w:cs="Times New Roman"/>
          <w:b/>
          <w:sz w:val="24"/>
          <w:szCs w:val="24"/>
          <w:lang w:val="en-US" w:eastAsia="zh-CN" w:bidi="ar-SA"/>
        </w:rPr>
        <w:t>1.4.3.4与地方国土空间总体规划的协调性分析</w:t>
      </w:r>
    </w:p>
    <w:p w14:paraId="1E76EA08">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一、主要相关内容</w:t>
      </w:r>
    </w:p>
    <w:p w14:paraId="4066E54D">
      <w:pPr>
        <w:spacing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（1）讷河市国土空间总体规划</w:t>
      </w:r>
    </w:p>
    <w:p w14:paraId="0990962E">
      <w:pPr>
        <w:spacing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根据《讷河市国土空间总体规划（2021</w:t>
      </w:r>
      <w:r>
        <w:rPr>
          <w:rFonts w:hint="eastAsia" w:cs="Times New Roman"/>
          <w:lang w:val="en-US" w:eastAsia="zh-CN"/>
        </w:rPr>
        <w:t>-</w:t>
      </w:r>
      <w:r>
        <w:rPr>
          <w:rFonts w:hint="eastAsia" w:ascii="Times New Roman" w:hAnsi="Times New Roman" w:eastAsia="宋体" w:cs="Times New Roman"/>
          <w:lang w:val="en-US" w:eastAsia="zh-CN"/>
        </w:rPr>
        <w:t>2035年）》，拉哈生物技术与化学制药产业园重点发展生物化工、化工新材料、新能源化工、精细化工等产业。</w:t>
      </w:r>
    </w:p>
    <w:p w14:paraId="0CD5E710">
      <w:pPr>
        <w:spacing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（2）拉哈镇国土空间总体规划</w:t>
      </w:r>
    </w:p>
    <w:p w14:paraId="2A2825AA">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根据《讷河市拉哈镇国土空间总体规划（2021</w:t>
      </w:r>
      <w:r>
        <w:rPr>
          <w:rFonts w:hint="eastAsia" w:cs="Times New Roman"/>
          <w:lang w:val="en-US" w:eastAsia="zh-CN"/>
        </w:rPr>
        <w:t>-</w:t>
      </w:r>
      <w:r>
        <w:rPr>
          <w:rFonts w:hint="eastAsia" w:ascii="Times New Roman" w:hAnsi="Times New Roman" w:eastAsia="宋体" w:cs="Times New Roman"/>
          <w:lang w:val="en-US" w:eastAsia="zh-CN"/>
        </w:rPr>
        <w:t>2035年）》，结合《讷河市国土空间总体规划（2021</w:t>
      </w:r>
      <w:r>
        <w:rPr>
          <w:rFonts w:hint="eastAsia" w:cs="Times New Roman"/>
          <w:lang w:val="en-US" w:eastAsia="zh-CN"/>
        </w:rPr>
        <w:t>-</w:t>
      </w:r>
      <w:r>
        <w:rPr>
          <w:rFonts w:hint="eastAsia" w:ascii="Times New Roman" w:hAnsi="Times New Roman" w:eastAsia="宋体" w:cs="Times New Roman"/>
          <w:lang w:val="en-US" w:eastAsia="zh-CN"/>
        </w:rPr>
        <w:t>2035年）》拉哈生物技术与化学制药产业园区建设等上位规划要求、拉哈镇现代农业发展优势及讷河市经济开发区政策机遇，以创新驱动、科技赋能、多元融合为发展引领，强化城镇协同互补，城乡携手共进，将拉哈镇建设成为“智能化和工业化深度融合、工业化和城镇化良性互动、城镇化和农业现代化相互协调、产城融合发展”的工贸型城镇。</w:t>
      </w:r>
    </w:p>
    <w:p w14:paraId="7E612A2A">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城镇职能是讷河市域“讷河市域南部副中心，以生物化工、化工新材料、新能源化工、精细化工、制糖加工、商贸物流等为支柱的产业集聚中心，且具有交通优势的工贸型城镇”。</w:t>
      </w:r>
    </w:p>
    <w:p w14:paraId="39F41239">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二、</w:t>
      </w:r>
      <w:r>
        <w:rPr>
          <w:rFonts w:hint="eastAsia" w:cs="Times New Roman"/>
          <w:lang w:val="en-US" w:eastAsia="zh-CN"/>
        </w:rPr>
        <w:t>符合</w:t>
      </w:r>
      <w:r>
        <w:rPr>
          <w:rFonts w:hint="eastAsia" w:ascii="Times New Roman" w:hAnsi="Times New Roman" w:eastAsia="宋体" w:cs="Times New Roman"/>
          <w:lang w:val="en-US" w:eastAsia="zh-CN"/>
        </w:rPr>
        <w:t>性分析</w:t>
      </w:r>
    </w:p>
    <w:p w14:paraId="2A8FA4CE">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本次</w:t>
      </w:r>
      <w:r>
        <w:rPr>
          <w:rFonts w:hint="eastAsia" w:cs="Times New Roman"/>
          <w:lang w:val="en-US" w:eastAsia="zh-CN"/>
        </w:rPr>
        <w:t>技改位于</w:t>
      </w:r>
      <w:r>
        <w:rPr>
          <w:rFonts w:hint="eastAsia" w:ascii="Times New Roman" w:hAnsi="Times New Roman" w:eastAsia="宋体" w:cs="Times New Roman"/>
          <w:lang w:val="en-US" w:eastAsia="zh-CN"/>
        </w:rPr>
        <w:t>黑龙江鸿展生物科技股份有限公司，不新增占地，符合地方国土空间总体规划中相关要求。</w:t>
      </w:r>
    </w:p>
    <w:p w14:paraId="2889FF10">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3"/>
        <w:rPr>
          <w:rFonts w:hint="default" w:eastAsia="Times New Roman" w:cs="Times New Roman"/>
          <w:b/>
          <w:sz w:val="24"/>
          <w:szCs w:val="24"/>
          <w:lang w:val="en-US" w:eastAsia="zh-CN" w:bidi="ar-SA"/>
        </w:rPr>
      </w:pPr>
      <w:r>
        <w:rPr>
          <w:rFonts w:hint="eastAsia" w:eastAsia="Times New Roman" w:cs="Times New Roman"/>
          <w:b/>
          <w:sz w:val="24"/>
          <w:szCs w:val="24"/>
          <w:lang w:val="en-US" w:eastAsia="zh-CN" w:bidi="ar-SA"/>
        </w:rPr>
        <w:t>1.4.3.5与《讷河市</w:t>
      </w:r>
      <w:r>
        <w:rPr>
          <w:rFonts w:hint="default" w:eastAsia="Times New Roman" w:cs="Times New Roman"/>
          <w:b/>
          <w:sz w:val="24"/>
          <w:szCs w:val="24"/>
          <w:lang w:val="en-US" w:eastAsia="zh-CN" w:bidi="ar-SA"/>
        </w:rPr>
        <w:t>国民经济和社会发展第十四个</w:t>
      </w:r>
      <w:r>
        <w:rPr>
          <w:rFonts w:hint="default" w:eastAsia="Times New Roman" w:cs="Times New Roman"/>
          <w:b/>
          <w:sz w:val="24"/>
          <w:szCs w:val="24"/>
          <w:lang w:val="en-US" w:eastAsia="zh-CN" w:bidi="ar-SA"/>
        </w:rPr>
        <w:fldChar w:fldCharType="begin"/>
      </w:r>
      <w:r>
        <w:rPr>
          <w:rFonts w:hint="default" w:eastAsia="Times New Roman" w:cs="Times New Roman"/>
          <w:b/>
          <w:sz w:val="24"/>
          <w:szCs w:val="24"/>
          <w:lang w:val="en-US" w:eastAsia="zh-CN" w:bidi="ar-SA"/>
        </w:rPr>
        <w:instrText xml:space="preserve"> HYPERLINK "https://news.163.com/news/search?keyword=%E4%BA%94%E5%B9%B4%E8%A7%84%E5%88%92" \t "_blank" </w:instrText>
      </w:r>
      <w:r>
        <w:rPr>
          <w:rFonts w:hint="default" w:eastAsia="Times New Roman" w:cs="Times New Roman"/>
          <w:b/>
          <w:sz w:val="24"/>
          <w:szCs w:val="24"/>
          <w:lang w:val="en-US" w:eastAsia="zh-CN" w:bidi="ar-SA"/>
        </w:rPr>
        <w:fldChar w:fldCharType="separate"/>
      </w:r>
      <w:r>
        <w:rPr>
          <w:rFonts w:hint="default" w:eastAsia="Times New Roman" w:cs="Times New Roman"/>
          <w:b/>
          <w:sz w:val="24"/>
          <w:szCs w:val="24"/>
          <w:lang w:val="en-US" w:eastAsia="zh-CN" w:bidi="ar-SA"/>
        </w:rPr>
        <w:t>五年规划</w:t>
      </w:r>
      <w:r>
        <w:rPr>
          <w:rFonts w:hint="default" w:eastAsia="Times New Roman" w:cs="Times New Roman"/>
          <w:b/>
          <w:sz w:val="24"/>
          <w:szCs w:val="24"/>
          <w:lang w:val="en-US" w:eastAsia="zh-CN" w:bidi="ar-SA"/>
        </w:rPr>
        <w:fldChar w:fldCharType="end"/>
      </w:r>
      <w:r>
        <w:rPr>
          <w:rFonts w:hint="default" w:eastAsia="Times New Roman" w:cs="Times New Roman"/>
          <w:b/>
          <w:sz w:val="24"/>
          <w:szCs w:val="24"/>
          <w:lang w:val="en-US" w:eastAsia="zh-CN" w:bidi="ar-SA"/>
        </w:rPr>
        <w:t>和</w:t>
      </w:r>
      <w:r>
        <w:rPr>
          <w:rFonts w:hint="eastAsia" w:eastAsia="Times New Roman" w:cs="Times New Roman"/>
          <w:b/>
          <w:sz w:val="24"/>
          <w:szCs w:val="24"/>
          <w:lang w:val="en-US" w:eastAsia="zh-CN" w:bidi="ar-SA"/>
        </w:rPr>
        <w:t>二〇三五</w:t>
      </w:r>
      <w:r>
        <w:rPr>
          <w:rFonts w:hint="default" w:eastAsia="Times New Roman" w:cs="Times New Roman"/>
          <w:b/>
          <w:sz w:val="24"/>
          <w:szCs w:val="24"/>
          <w:lang w:val="en-US" w:eastAsia="zh-CN" w:bidi="ar-SA"/>
        </w:rPr>
        <w:t>年远景目标纲要</w:t>
      </w:r>
      <w:r>
        <w:rPr>
          <w:rFonts w:hint="eastAsia" w:eastAsia="Times New Roman" w:cs="Times New Roman"/>
          <w:b/>
          <w:sz w:val="24"/>
          <w:szCs w:val="24"/>
          <w:lang w:val="en-US" w:eastAsia="zh-CN" w:bidi="ar-SA"/>
        </w:rPr>
        <w:t>》的协调性分析</w:t>
      </w:r>
    </w:p>
    <w:p w14:paraId="71A52601">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一、主要相关内容</w:t>
      </w:r>
    </w:p>
    <w:p w14:paraId="09EA9292">
      <w:pPr>
        <w:spacing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第二节 优化产业布局</w:t>
      </w:r>
    </w:p>
    <w:p w14:paraId="40C935C5">
      <w:pPr>
        <w:spacing w:line="360" w:lineRule="auto"/>
        <w:ind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依托资源优势和产业发展基础，对资源配置及重点产业发展方向进行统筹与协调及优化，积极推动新旧动能转换及生态经济发展，打造“一区一廊三园”产业空间新布局。一区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把讷河经济开发区打造成为全市转型升级的“主战场，和县域经济的“核心区”，为建设现代化新讷河提供有力支撑。一廊</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打造“城区</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六合</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拉哈”的国道和铁路之间工业走廊。</w:t>
      </w:r>
    </w:p>
    <w:p w14:paraId="4D75AB65">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三园：以现有鸿展、华瑞制药企业为依托，围绕现代生物与化工技术打造生物发酵、生物医药、生物化工、非金属材料等产业集群，同时推动新能源产业，重点打造拉哈生物技术与化学制药产业园；以现有鸿源油脂、福兴粮油等食品加工企业为基础，扩大食品产业规模构建畜牧及粮油深加工全产业链，打造一良食品加工产业园；以汉麻精深加工及秸秆综合利用为主体，积极推进汉麻产业链延伸和秸秆“五化”利用，打造全胜节能环保产业园。</w:t>
      </w:r>
    </w:p>
    <w:p w14:paraId="3208F0DA">
      <w:pPr>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0" w:firstLineChars="0"/>
        <w:jc w:val="center"/>
        <w:textAlignment w:val="auto"/>
        <w:rPr>
          <w:rFonts w:hint="default" w:ascii="仿宋" w:hAnsi="仿宋" w:eastAsia="仿宋" w:cs="仿宋"/>
          <w:bCs/>
          <w:color w:val="auto"/>
          <w:kern w:val="0"/>
          <w:sz w:val="28"/>
          <w:szCs w:val="28"/>
          <w:highlight w:val="none"/>
          <w:lang w:val="en-US" w:eastAsia="zh-CN"/>
        </w:rPr>
      </w:pPr>
      <w:r>
        <w:rPr>
          <w:color w:val="auto"/>
        </w:rPr>
        <w:drawing>
          <wp:inline distT="0" distB="0" distL="114300" distR="114300">
            <wp:extent cx="4471670" cy="4126865"/>
            <wp:effectExtent l="0" t="0" r="5080" b="6985"/>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23"/>
                    <a:stretch>
                      <a:fillRect/>
                    </a:stretch>
                  </pic:blipFill>
                  <pic:spPr>
                    <a:xfrm>
                      <a:off x="0" y="0"/>
                      <a:ext cx="4471670" cy="4126865"/>
                    </a:xfrm>
                    <a:prstGeom prst="rect">
                      <a:avLst/>
                    </a:prstGeom>
                    <a:noFill/>
                    <a:ln>
                      <a:noFill/>
                    </a:ln>
                  </pic:spPr>
                </pic:pic>
              </a:graphicData>
            </a:graphic>
          </wp:inline>
        </w:drawing>
      </w:r>
      <w:r>
        <w:rPr>
          <w:rFonts w:hint="eastAsia" w:ascii="仿宋" w:hAnsi="仿宋" w:eastAsia="仿宋" w:cs="仿宋"/>
          <w:bCs/>
          <w:color w:val="auto"/>
          <w:kern w:val="0"/>
          <w:sz w:val="28"/>
          <w:szCs w:val="28"/>
          <w:highlight w:val="none"/>
          <w:lang w:val="en-US" w:eastAsia="zh-CN"/>
        </w:rPr>
        <w:t>。</w:t>
      </w:r>
    </w:p>
    <w:p w14:paraId="6C0C2CA8">
      <w:pPr>
        <w:spacing w:line="360" w:lineRule="auto"/>
        <w:jc w:val="center"/>
        <w:rPr>
          <w:rFonts w:hint="default"/>
          <w:b/>
          <w:lang w:val="en-US" w:eastAsia="zh-CN"/>
        </w:rPr>
      </w:pPr>
      <w:r>
        <w:rPr>
          <w:rFonts w:hint="eastAsia"/>
          <w:b/>
          <w:lang w:val="en-US" w:eastAsia="zh-CN"/>
        </w:rPr>
        <w:t>图1.4-1  讷河市</w:t>
      </w:r>
      <w:r>
        <w:rPr>
          <w:rFonts w:hint="default"/>
          <w:b/>
          <w:lang w:val="en-US" w:eastAsia="zh-CN"/>
        </w:rPr>
        <w:t>“一区一廊三园”</w:t>
      </w:r>
      <w:r>
        <w:rPr>
          <w:rFonts w:hint="eastAsia"/>
          <w:b/>
          <w:lang w:val="en-US" w:eastAsia="zh-CN"/>
        </w:rPr>
        <w:t>示意图</w:t>
      </w:r>
    </w:p>
    <w:p w14:paraId="65C9097C">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二、</w:t>
      </w:r>
      <w:r>
        <w:rPr>
          <w:rFonts w:hint="eastAsia" w:cs="Times New Roman"/>
          <w:lang w:val="en-US" w:eastAsia="zh-CN"/>
        </w:rPr>
        <w:t>符合</w:t>
      </w:r>
      <w:r>
        <w:rPr>
          <w:rFonts w:hint="eastAsia" w:ascii="Times New Roman" w:hAnsi="Times New Roman" w:eastAsia="宋体" w:cs="Times New Roman"/>
          <w:lang w:val="en-US" w:eastAsia="zh-CN"/>
        </w:rPr>
        <w:t>性分析</w:t>
      </w:r>
    </w:p>
    <w:p w14:paraId="0C0B270F">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根据拉哈生物技术与化学制药产业园的区位条件、经济社会发展现实基础、潜在优势以及区域经济发展战略部署，规划确定发展定位为：拉哈生物技术与化学制药产业园将以省级园区为起点，以国家级园区为远景目标，形成以生物化工为核心，精细化工、新能源化工、化工新材料为辅的综合产业园。</w:t>
      </w:r>
    </w:p>
    <w:p w14:paraId="6743F0F3">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本次规划符合</w:t>
      </w:r>
      <w:r>
        <w:rPr>
          <w:rFonts w:hint="default" w:ascii="Times New Roman" w:hAnsi="Times New Roman" w:eastAsia="宋体" w:cs="Times New Roman"/>
          <w:lang w:val="en-US" w:eastAsia="zh-CN"/>
        </w:rPr>
        <w:t>《</w:t>
      </w:r>
      <w:r>
        <w:rPr>
          <w:rFonts w:hint="eastAsia" w:ascii="Times New Roman" w:hAnsi="Times New Roman" w:eastAsia="宋体" w:cs="Times New Roman"/>
          <w:lang w:val="en-US" w:eastAsia="zh-CN"/>
        </w:rPr>
        <w:t>讷河市</w:t>
      </w:r>
      <w:r>
        <w:rPr>
          <w:rFonts w:hint="default" w:ascii="Times New Roman" w:hAnsi="Times New Roman" w:eastAsia="宋体" w:cs="Times New Roman"/>
          <w:lang w:val="en-US" w:eastAsia="zh-CN"/>
        </w:rPr>
        <w:t>国民经济和社会发展第十四个</w:t>
      </w: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"https://news.163.com/news/search?keyword=%E4%BA%94%E5%B9%B4%E8%A7%84%E5%88%92" \t "_blank" </w:instrText>
      </w:r>
      <w:r>
        <w:rPr>
          <w:rFonts w:hint="default" w:ascii="Times New Roman" w:hAnsi="Times New Roman" w:eastAsia="宋体" w:cs="Times New Roman"/>
          <w:lang w:val="en-US" w:eastAsia="zh-CN"/>
        </w:rPr>
        <w:fldChar w:fldCharType="separate"/>
      </w:r>
      <w:r>
        <w:rPr>
          <w:rFonts w:hint="default" w:ascii="Times New Roman" w:hAnsi="Times New Roman" w:eastAsia="宋体" w:cs="Times New Roman"/>
          <w:lang w:val="en-US" w:eastAsia="zh-CN"/>
        </w:rPr>
        <w:t>五年规划</w:t>
      </w:r>
      <w:r>
        <w:rPr>
          <w:rFonts w:hint="default" w:ascii="Times New Roman" w:hAnsi="Times New Roman" w:eastAsia="宋体" w:cs="Times New Roman"/>
          <w:lang w:val="en-US" w:eastAsia="zh-CN"/>
        </w:rPr>
        <w:fldChar w:fldCharType="end"/>
      </w:r>
      <w:r>
        <w:rPr>
          <w:rFonts w:hint="default" w:ascii="Times New Roman" w:hAnsi="Times New Roman" w:eastAsia="宋体" w:cs="Times New Roman"/>
          <w:lang w:val="en-US" w:eastAsia="zh-CN"/>
        </w:rPr>
        <w:t>和</w:t>
      </w:r>
      <w:r>
        <w:rPr>
          <w:rFonts w:hint="eastAsia" w:ascii="Times New Roman" w:hAnsi="Times New Roman" w:eastAsia="宋体" w:cs="Times New Roman"/>
          <w:lang w:val="en-US" w:eastAsia="zh-CN"/>
        </w:rPr>
        <w:t>二〇三五</w:t>
      </w:r>
      <w:r>
        <w:rPr>
          <w:rFonts w:hint="default" w:ascii="Times New Roman" w:hAnsi="Times New Roman" w:eastAsia="宋体" w:cs="Times New Roman"/>
          <w:lang w:val="en-US" w:eastAsia="zh-CN"/>
        </w:rPr>
        <w:t>年远景目标纲要</w:t>
      </w:r>
      <w:r>
        <w:rPr>
          <w:rFonts w:hint="eastAsia" w:ascii="Times New Roman" w:hAnsi="Times New Roman" w:eastAsia="宋体" w:cs="Times New Roman"/>
          <w:lang w:val="en-US" w:eastAsia="zh-CN"/>
        </w:rPr>
        <w:t>》（讷河市发展和改革局，2021年1月）的相关要求。</w:t>
      </w:r>
    </w:p>
    <w:p w14:paraId="71BC6B60">
      <w:pPr>
        <w:pStyle w:val="5"/>
      </w:pPr>
      <w:r>
        <w:t>1.4.</w:t>
      </w:r>
      <w:r>
        <w:rPr>
          <w:rFonts w:hint="eastAsia" w:eastAsia="宋体"/>
          <w:lang w:val="en-US" w:eastAsia="zh-CN"/>
        </w:rPr>
        <w:t>3.6</w:t>
      </w:r>
      <w:r>
        <w:t xml:space="preserve">与《关于做好环境影响评价制度与排污许可制衔接相关工作的通知》（环办环评[2017]84 号）符合性分析 </w:t>
      </w:r>
    </w:p>
    <w:p w14:paraId="69B1E903">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一、主要相关内容</w:t>
      </w:r>
    </w:p>
    <w:p w14:paraId="127D82AF">
      <w:pPr>
        <w:spacing w:line="360" w:lineRule="auto"/>
        <w:ind w:firstLine="480" w:firstLineChars="200"/>
        <w:jc w:val="left"/>
      </w:pPr>
      <w:r>
        <w:rPr>
          <w:lang w:bidi="ar"/>
        </w:rPr>
        <w:t>根据《关于做好环境影响评价制度与排污许可制衔接相关工作的通知》中相关内容：</w:t>
      </w:r>
      <w:r>
        <w:rPr>
          <w:rFonts w:eastAsia="TimesNewRomanPSMT"/>
          <w:lang w:bidi="ar"/>
        </w:rPr>
        <w:t>“</w:t>
      </w:r>
      <w:r>
        <w:rPr>
          <w:lang w:bidi="ar"/>
        </w:rPr>
        <w:t>三、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r>
        <w:rPr>
          <w:b w:val="0"/>
          <w:bCs w:val="0"/>
          <w:color w:val="auto"/>
          <w:lang w:bidi="ar"/>
        </w:rPr>
        <w:t>。六、</w:t>
      </w:r>
      <w:r>
        <w:rPr>
          <w:lang w:bidi="ar"/>
        </w:rPr>
        <w:t>建设项目发生实际排污行为之前，排污单位应当按照国家环境保护相关法律法规以及排污许可证申请与核发技术规范要求申请排污许可证，不得无证排污或不按证排污。环境影响报告书（表）</w:t>
      </w:r>
      <w:r>
        <w:rPr>
          <w:rFonts w:eastAsia="TimesNewRomanPSMT"/>
          <w:lang w:bidi="ar"/>
        </w:rPr>
        <w:t>2015</w:t>
      </w:r>
      <w:r>
        <w:rPr>
          <w:lang w:bidi="ar"/>
        </w:rPr>
        <w:t>年</w:t>
      </w:r>
      <w:r>
        <w:rPr>
          <w:rFonts w:eastAsia="TimesNewRomanPSMT"/>
          <w:lang w:bidi="ar"/>
        </w:rPr>
        <w:t>1</w:t>
      </w:r>
      <w:r>
        <w:rPr>
          <w:lang w:bidi="ar"/>
        </w:rPr>
        <w:t>月</w:t>
      </w:r>
      <w:r>
        <w:rPr>
          <w:rFonts w:eastAsia="TimesNewRomanPSMT"/>
          <w:lang w:bidi="ar"/>
        </w:rPr>
        <w:t>1</w:t>
      </w:r>
      <w:r>
        <w:rPr>
          <w:lang w:bidi="ar"/>
        </w:rPr>
        <w:t>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w:t>
      </w:r>
      <w:r>
        <w:rPr>
          <w:rFonts w:eastAsia="TimesNewRomanPSMT"/>
          <w:lang w:bidi="ar"/>
        </w:rPr>
        <w:t xml:space="preserve">” </w:t>
      </w:r>
    </w:p>
    <w:p w14:paraId="52DADC73">
      <w:pPr>
        <w:numPr>
          <w:ilvl w:val="0"/>
          <w:numId w:val="1"/>
        </w:numPr>
        <w:spacing w:line="360" w:lineRule="auto"/>
        <w:ind w:firstLine="480" w:firstLineChars="200"/>
        <w:jc w:val="left"/>
        <w:rPr>
          <w:rFonts w:hint="eastAsia" w:ascii="Times New Roman" w:hAnsi="Times New Roman" w:eastAsia="宋体" w:cs="Times New Roman"/>
          <w:lang w:val="en-US" w:eastAsia="zh-CN"/>
        </w:rPr>
      </w:pPr>
      <w:r>
        <w:rPr>
          <w:rFonts w:hint="eastAsia" w:cs="Times New Roman"/>
          <w:lang w:val="en-US" w:eastAsia="zh-CN"/>
        </w:rPr>
        <w:t>符合</w:t>
      </w:r>
      <w:r>
        <w:rPr>
          <w:rFonts w:hint="eastAsia" w:ascii="Times New Roman" w:hAnsi="Times New Roman" w:eastAsia="宋体" w:cs="Times New Roman"/>
          <w:lang w:val="en-US" w:eastAsia="zh-CN"/>
        </w:rPr>
        <w:t>性分析</w:t>
      </w:r>
    </w:p>
    <w:p w14:paraId="5FDE5080">
      <w:pPr>
        <w:numPr>
          <w:ilvl w:val="0"/>
          <w:numId w:val="0"/>
        </w:numPr>
        <w:spacing w:line="360" w:lineRule="auto"/>
        <w:ind w:firstLine="480" w:firstLineChars="200"/>
        <w:jc w:val="left"/>
      </w:pPr>
      <w:r>
        <w:rPr>
          <w:color w:val="auto"/>
          <w:lang w:bidi="ar"/>
        </w:rPr>
        <w:t>本项目属于</w:t>
      </w:r>
      <w:r>
        <w:rPr>
          <w:rFonts w:hint="eastAsia"/>
          <w:color w:val="auto"/>
          <w:lang w:eastAsia="zh-CN" w:bidi="ar"/>
        </w:rPr>
        <w:t>医用酒精技术改造项目</w:t>
      </w:r>
      <w:r>
        <w:rPr>
          <w:color w:val="auto"/>
          <w:lang w:bidi="ar"/>
        </w:rPr>
        <w:t>，属于被纳</w:t>
      </w:r>
      <w:r>
        <w:rPr>
          <w:lang w:bidi="ar"/>
        </w:rPr>
        <w:t xml:space="preserve">入排污许可管理的建设项目。在本次环境影响评价报告书中，按照污染源源强核算技术指南、环境影响评价要素导则、排污许可证申请与核发技术规范等技术文件，核定本项目的产排污环节、污染物种类及污染防治设施和措施，并根据《排污单位自行监测技术指南 火力发电及锅炉》制定了自行监测计划等相关内容。本项目在项目发生实际排污行为之前，依法申请排污许可证。 </w:t>
      </w:r>
    </w:p>
    <w:p w14:paraId="214F8893">
      <w:pPr>
        <w:spacing w:line="360" w:lineRule="auto"/>
        <w:ind w:firstLine="480" w:firstLineChars="200"/>
        <w:jc w:val="left"/>
      </w:pPr>
      <w:r>
        <w:rPr>
          <w:lang w:bidi="ar"/>
        </w:rPr>
        <w:t>因此，本项目符合《关于做好环境影响评价制度与排污许可制衔接相关工作的通知》要求。</w:t>
      </w:r>
    </w:p>
    <w:p w14:paraId="44A7716C">
      <w:pPr>
        <w:pStyle w:val="5"/>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1.4.3.</w:t>
      </w:r>
      <w:r>
        <w:rPr>
          <w:rFonts w:hint="eastAsia" w:eastAsia="宋体" w:cs="Times New Roman"/>
          <w:lang w:val="en-US" w:eastAsia="zh-CN"/>
        </w:rPr>
        <w:t>7</w:t>
      </w:r>
      <w:r>
        <w:rPr>
          <w:rFonts w:hint="eastAsia" w:ascii="Times New Roman" w:hAnsi="Times New Roman" w:eastAsia="宋体" w:cs="Times New Roman"/>
          <w:lang w:val="en-US" w:eastAsia="zh-CN"/>
        </w:rPr>
        <w:t>与《危险化学品安全综合治理方案的通知》（国办发【2016】88号）的符合性分析</w:t>
      </w:r>
    </w:p>
    <w:p w14:paraId="439771E8">
      <w:pPr>
        <w:numPr>
          <w:ilvl w:val="0"/>
          <w:numId w:val="2"/>
        </w:num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主要相关内容</w:t>
      </w:r>
    </w:p>
    <w:p w14:paraId="21EF995C">
      <w:pPr>
        <w:numPr>
          <w:ilvl w:val="0"/>
          <w:numId w:val="0"/>
        </w:numPr>
        <w:spacing w:line="360" w:lineRule="auto"/>
        <w:ind w:firstLine="480" w:firstLineChars="200"/>
        <w:rPr>
          <w:rFonts w:hint="eastAsia" w:ascii="Times New Roman" w:hAnsi="Times New Roman" w:eastAsia="宋体" w:cs="Times New Roman"/>
          <w:b w:val="0"/>
          <w:bCs w:val="0"/>
          <w:snapToGrid w:val="0"/>
          <w:kern w:val="0"/>
          <w:sz w:val="24"/>
          <w:szCs w:val="24"/>
          <w:lang w:val="en-US" w:eastAsia="zh-CN"/>
        </w:rPr>
      </w:pPr>
      <w:r>
        <w:rPr>
          <w:rFonts w:hint="eastAsia" w:ascii="Times New Roman" w:hAnsi="Times New Roman" w:eastAsia="宋体" w:cs="Times New Roman"/>
          <w:b w:val="0"/>
          <w:bCs w:val="0"/>
          <w:snapToGrid w:val="0"/>
          <w:kern w:val="0"/>
          <w:sz w:val="24"/>
          <w:szCs w:val="24"/>
          <w:lang w:val="en-US" w:eastAsia="zh-CN"/>
        </w:rPr>
        <w:t>其中“（二）有效防范遏制危险化学品重特大事故。5.加强化工园区和涉及危险化学品重大风险功能区及危险化学品罐区的风险管控。”</w:t>
      </w:r>
    </w:p>
    <w:p w14:paraId="7C30CFE0">
      <w:pPr>
        <w:numPr>
          <w:ilvl w:val="0"/>
          <w:numId w:val="0"/>
        </w:numPr>
        <w:spacing w:line="360" w:lineRule="auto"/>
        <w:ind w:firstLine="480" w:firstLineChars="200"/>
        <w:jc w:val="left"/>
        <w:rPr>
          <w:rFonts w:hint="eastAsia" w:ascii="Times New Roman" w:hAnsi="Times New Roman" w:eastAsia="宋体" w:cs="Times New Roman"/>
          <w:lang w:val="en-US" w:eastAsia="zh-CN"/>
        </w:rPr>
      </w:pPr>
      <w:r>
        <w:rPr>
          <w:rFonts w:hint="eastAsia" w:cs="Times New Roman"/>
          <w:lang w:val="en-US" w:eastAsia="zh-CN"/>
        </w:rPr>
        <w:t>二、符合</w:t>
      </w:r>
      <w:r>
        <w:rPr>
          <w:rFonts w:hint="eastAsia" w:ascii="Times New Roman" w:hAnsi="Times New Roman" w:eastAsia="宋体" w:cs="Times New Roman"/>
          <w:lang w:val="en-US" w:eastAsia="zh-CN"/>
        </w:rPr>
        <w:t>性分析</w:t>
      </w:r>
    </w:p>
    <w:p w14:paraId="72F1A44E">
      <w:pPr>
        <w:spacing w:line="360" w:lineRule="auto"/>
        <w:ind w:firstLine="480" w:firstLineChars="200"/>
        <w:outlineLvl w:val="9"/>
        <w:rPr>
          <w:rFonts w:hint="eastAsia" w:eastAsia="宋体"/>
          <w:lang w:val="en-US" w:eastAsia="zh-CN"/>
        </w:rPr>
      </w:pPr>
      <w:r>
        <w:rPr>
          <w:rFonts w:hint="eastAsia" w:cs="Times New Roman"/>
          <w:b w:val="0"/>
          <w:bCs w:val="0"/>
          <w:snapToGrid w:val="0"/>
          <w:kern w:val="0"/>
          <w:sz w:val="24"/>
          <w:szCs w:val="24"/>
          <w:lang w:val="en-US" w:eastAsia="zh-CN"/>
        </w:rPr>
        <w:t>本项目</w:t>
      </w:r>
      <w:r>
        <w:rPr>
          <w:rFonts w:hint="eastAsia" w:ascii="Times New Roman" w:hAnsi="Times New Roman" w:eastAsia="宋体" w:cs="Times New Roman"/>
          <w:b w:val="0"/>
          <w:bCs w:val="0"/>
          <w:snapToGrid w:val="0"/>
          <w:kern w:val="0"/>
          <w:sz w:val="24"/>
          <w:szCs w:val="24"/>
          <w:lang w:val="en-US" w:eastAsia="zh-CN"/>
        </w:rPr>
        <w:t>采用DCS对整个生产过程进行监测、控制和生产管理。通过DCS的屏幕，监测生产过程的各种参数的动态值、趋势及过程动态画面，并实现报表打印和报警打印。操作室内设的操作站可对全部生产装置进行操作，工艺系统图上所显示的全部控制功能（如检测、控制、报警顺序、动态因素等）都由DCS控制系统来实现。位于危险场所的仪表选型应适应有关的区域等级划分。由于乙醇属于有毒和易燃液体，必须设置检测报警仪，并在控制室设置报警系统盘，同时也要将信号引入DCS系统。在生产厂房和酒罐设置酒精泄露自动检测报警系统。符合《危险化学品安全综合治理方案的通知》（国办发【2016】88号）的规定。</w:t>
      </w:r>
    </w:p>
    <w:p w14:paraId="4ACDFD94">
      <w:pPr>
        <w:pStyle w:val="5"/>
      </w:pPr>
      <w:r>
        <w:rPr>
          <w:rFonts w:hint="eastAsia" w:eastAsia="宋体"/>
          <w:lang w:val="en-US" w:eastAsia="zh-CN"/>
        </w:rPr>
        <w:t>1.4.3.8与</w:t>
      </w:r>
      <w:r>
        <w:rPr>
          <w:rFonts w:hint="eastAsia"/>
        </w:rPr>
        <w:t>《</w:t>
      </w:r>
      <w:r>
        <w:rPr>
          <w:rFonts w:hint="eastAsia" w:eastAsia="宋体"/>
          <w:lang w:eastAsia="zh-CN"/>
        </w:rPr>
        <w:t>黑龙江讷河经济开发区拉哈生物技术与化学制药产业园总体规划（2021-2035）</w:t>
      </w:r>
      <w:r>
        <w:rPr>
          <w:rFonts w:hint="eastAsia"/>
        </w:rPr>
        <w:t>》</w:t>
      </w:r>
      <w:r>
        <w:t>的符合性分析</w:t>
      </w:r>
    </w:p>
    <w:p w14:paraId="0439B04A">
      <w:pPr>
        <w:numPr>
          <w:ilvl w:val="0"/>
          <w:numId w:val="0"/>
        </w:numPr>
        <w:spacing w:line="360" w:lineRule="auto"/>
        <w:ind w:firstLine="480" w:firstLineChars="200"/>
        <w:rPr>
          <w:rFonts w:hint="eastAsia" w:ascii="Times New Roman" w:hAnsi="Times New Roman" w:eastAsia="宋体" w:cs="Times New Roman"/>
          <w:lang w:val="en-US" w:eastAsia="zh-CN"/>
        </w:rPr>
      </w:pPr>
      <w:r>
        <w:rPr>
          <w:rFonts w:hint="eastAsia" w:cs="Times New Roman"/>
          <w:lang w:val="en-US" w:eastAsia="zh-CN"/>
        </w:rPr>
        <w:t>一、</w:t>
      </w:r>
      <w:r>
        <w:rPr>
          <w:rFonts w:hint="eastAsia" w:ascii="Times New Roman" w:hAnsi="Times New Roman" w:eastAsia="宋体" w:cs="Times New Roman"/>
          <w:lang w:val="en-US" w:eastAsia="zh-CN"/>
        </w:rPr>
        <w:t>主要相关内容</w:t>
      </w:r>
    </w:p>
    <w:p w14:paraId="79867A99">
      <w:pPr>
        <w:spacing w:line="360" w:lineRule="auto"/>
        <w:ind w:firstLine="480" w:firstLineChars="200"/>
        <w:jc w:val="left"/>
        <w:rPr>
          <w:rFonts w:hint="eastAsia" w:ascii="Times New Roman" w:hAnsi="Times New Roman" w:eastAsia="宋体" w:cs="Times New Roman"/>
          <w:b w:val="0"/>
          <w:bCs w:val="0"/>
          <w:snapToGrid w:val="0"/>
          <w:kern w:val="0"/>
          <w:sz w:val="24"/>
          <w:szCs w:val="24"/>
          <w:lang w:val="en-US" w:eastAsia="zh-CN"/>
        </w:rPr>
      </w:pPr>
      <w:r>
        <w:rPr>
          <w:rFonts w:hint="eastAsia" w:ascii="Times New Roman" w:hAnsi="Times New Roman" w:cs="Times New Roman"/>
          <w:lang w:eastAsia="zh-CN" w:bidi="ar"/>
        </w:rPr>
        <w:t>《</w:t>
      </w:r>
      <w:r>
        <w:rPr>
          <w:rFonts w:hint="eastAsia" w:cs="Times New Roman"/>
          <w:lang w:eastAsia="zh-CN" w:bidi="ar"/>
        </w:rPr>
        <w:t>黑龙江讷河经济开发区拉哈生物技术与化学制药产业园总体规划（2021-2035）</w:t>
      </w:r>
      <w:r>
        <w:rPr>
          <w:rFonts w:hint="eastAsia" w:ascii="Times New Roman" w:hAnsi="Times New Roman" w:cs="Times New Roman"/>
          <w:lang w:eastAsia="zh-CN" w:bidi="ar"/>
        </w:rPr>
        <w:t>》产业定位：</w:t>
      </w:r>
      <w:r>
        <w:rPr>
          <w:rFonts w:hint="eastAsia" w:ascii="Times New Roman" w:hAnsi="Times New Roman" w:eastAsia="宋体" w:cs="Times New Roman"/>
          <w:b w:val="0"/>
          <w:bCs w:val="0"/>
          <w:snapToGrid w:val="0"/>
          <w:kern w:val="0"/>
          <w:sz w:val="24"/>
          <w:szCs w:val="24"/>
          <w:lang w:val="en-US" w:eastAsia="zh-CN"/>
        </w:rPr>
        <w:t>拉哈生物技术与化学制药产业园将以省级园区为起点，以国家级园区为远景目标，形成以生物化工为核心，精细化工、新能源化工、化工新材料为辅的综合产业园。 本项目为医用酒精技术改造项目，位于生物发酵产业区，与园区规划相符。</w:t>
      </w:r>
    </w:p>
    <w:p w14:paraId="71B495B0">
      <w:pPr>
        <w:spacing w:line="360" w:lineRule="auto"/>
        <w:ind w:firstLine="480" w:firstLineChars="200"/>
        <w:jc w:val="left"/>
        <w:rPr>
          <w:rFonts w:hint="eastAsia" w:ascii="Times New Roman" w:hAnsi="Times New Roman" w:cs="Times New Roman"/>
          <w:lang w:bidi="ar"/>
        </w:rPr>
      </w:pPr>
      <w:r>
        <w:rPr>
          <w:rFonts w:hint="eastAsia" w:ascii="Times New Roman" w:hAnsi="Times New Roman" w:cs="Times New Roman"/>
          <w:lang w:eastAsia="zh-CN" w:bidi="ar"/>
        </w:rPr>
        <w:t>园区入园建设项目</w:t>
      </w:r>
      <w:r>
        <w:rPr>
          <w:rFonts w:hint="eastAsia" w:ascii="Times New Roman" w:hAnsi="Times New Roman" w:cs="Times New Roman"/>
          <w:lang w:bidi="ar"/>
        </w:rPr>
        <w:t>准入条件：</w:t>
      </w:r>
    </w:p>
    <w:p w14:paraId="3FA397A6">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1、符合产业政策的原则：建设项目须符合国家及黑龙江省、讷河市制定的相关政策。</w:t>
      </w:r>
    </w:p>
    <w:p w14:paraId="4B021D73">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2、符合环境功能要求原则：建设项目的新、改扩建对当地环境的影响不能导致当地环境功能的降低。</w:t>
      </w:r>
    </w:p>
    <w:p w14:paraId="1A1CA431">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3、符合清洁生产原则：生产工艺应体现能耗物耗小，污染产量小的清洁生产工艺的要求。</w:t>
      </w:r>
    </w:p>
    <w:p w14:paraId="37F6A4A2">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4、符合达标排放原则：项目污染物排放必须确保国家或地方规定的污染物排放标准。</w:t>
      </w:r>
    </w:p>
    <w:p w14:paraId="37CE4616">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5、总量控制原则：建设项目应符合地方总量控制的原则。</w:t>
      </w:r>
    </w:p>
    <w:p w14:paraId="73971857">
      <w:pPr>
        <w:numPr>
          <w:ilvl w:val="0"/>
          <w:numId w:val="0"/>
        </w:numPr>
        <w:spacing w:line="360" w:lineRule="auto"/>
        <w:ind w:firstLine="480" w:firstLineChars="200"/>
        <w:jc w:val="left"/>
        <w:rPr>
          <w:rFonts w:hint="eastAsia" w:ascii="Times New Roman" w:hAnsi="Times New Roman" w:eastAsia="宋体" w:cs="Times New Roman"/>
          <w:lang w:val="en-US" w:eastAsia="zh-CN"/>
        </w:rPr>
      </w:pPr>
      <w:r>
        <w:rPr>
          <w:rFonts w:hint="eastAsia" w:cs="Times New Roman"/>
          <w:lang w:val="en-US" w:eastAsia="zh-CN"/>
        </w:rPr>
        <w:t>二、符合</w:t>
      </w:r>
      <w:r>
        <w:rPr>
          <w:rFonts w:hint="eastAsia" w:ascii="Times New Roman" w:hAnsi="Times New Roman" w:eastAsia="宋体" w:cs="Times New Roman"/>
          <w:lang w:val="en-US" w:eastAsia="zh-CN"/>
        </w:rPr>
        <w:t>性分析</w:t>
      </w:r>
    </w:p>
    <w:p w14:paraId="6EBA20C6">
      <w:pPr>
        <w:spacing w:line="360" w:lineRule="auto"/>
        <w:ind w:firstLine="480" w:firstLineChars="200"/>
        <w:jc w:val="left"/>
        <w:rPr>
          <w:rFonts w:hint="eastAsia" w:ascii="Times New Roman" w:hAnsi="Times New Roman" w:cs="Times New Roman"/>
          <w:lang w:eastAsia="zh-CN" w:bidi="ar"/>
        </w:rPr>
      </w:pPr>
      <w:r>
        <w:rPr>
          <w:rFonts w:hint="eastAsia" w:ascii="Times New Roman" w:hAnsi="Times New Roman" w:cs="Times New Roman"/>
          <w:lang w:eastAsia="zh-CN" w:bidi="ar"/>
        </w:rPr>
        <w:t>本项目不属于</w:t>
      </w:r>
      <w:r>
        <w:rPr>
          <w:rFonts w:hint="eastAsia" w:ascii="Times New Roman" w:hAnsi="Times New Roman" w:cs="Times New Roman"/>
          <w:lang w:bidi="ar"/>
        </w:rPr>
        <w:t>《产业结构调整指导目录(20</w:t>
      </w:r>
      <w:r>
        <w:rPr>
          <w:rFonts w:hint="eastAsia" w:cs="Times New Roman"/>
          <w:lang w:val="en-US" w:eastAsia="zh-CN" w:bidi="ar"/>
        </w:rPr>
        <w:t>24</w:t>
      </w:r>
      <w:r>
        <w:rPr>
          <w:rFonts w:hint="eastAsia" w:ascii="Times New Roman" w:hAnsi="Times New Roman" w:cs="Times New Roman"/>
          <w:lang w:bidi="ar"/>
        </w:rPr>
        <w:t>年本)》中限制类和淘汰类项目</w:t>
      </w:r>
      <w:r>
        <w:rPr>
          <w:rFonts w:hint="eastAsia" w:ascii="Times New Roman" w:hAnsi="Times New Roman" w:cs="Times New Roman"/>
          <w:lang w:eastAsia="zh-CN" w:bidi="ar"/>
        </w:rPr>
        <w:t>，属于允许类项目，符合产业政策要求；根据环境影响预测与评价结果可知，项目建成后符合环境功能要求；本项目生产工艺均采用目前国内成熟的生产技术，在保证产品质量的前提下采取有效的节能降耗和节约用水措施，废物回用率较高，污染物排放均能达标排放，整个过程实现了资源化、减量化和无害化，在许多方面贯彻体现了清洁生产的原则，清洁生产水平可以达到国内先进水平，符合清洁生产原则；各个污染源采取措施后均能达标排放，符合达标排放原则；本项目产生的污染物按要求申请总量，符合地方总量控制的原则。终上所述，本项目与《</w:t>
      </w:r>
      <w:r>
        <w:rPr>
          <w:rFonts w:hint="eastAsia" w:cs="Times New Roman"/>
          <w:lang w:eastAsia="zh-CN" w:bidi="ar"/>
        </w:rPr>
        <w:t>黑龙江讷河经济开发区拉哈生物技术与化学制药产业园总体规划（2021-2035）</w:t>
      </w:r>
      <w:r>
        <w:rPr>
          <w:rFonts w:hint="eastAsia" w:ascii="Times New Roman" w:hAnsi="Times New Roman" w:cs="Times New Roman"/>
          <w:lang w:eastAsia="zh-CN" w:bidi="ar"/>
        </w:rPr>
        <w:t>》相符。</w:t>
      </w:r>
    </w:p>
    <w:p w14:paraId="237C1B79">
      <w:pPr>
        <w:spacing w:line="360" w:lineRule="auto"/>
        <w:jc w:val="left"/>
        <w:rPr>
          <w:rFonts w:hint="eastAsia" w:ascii="Times New Roman" w:eastAsia="宋体"/>
          <w:color w:val="auto"/>
          <w:lang w:eastAsia="zh-CN"/>
        </w:rPr>
      </w:pPr>
      <w:r>
        <mc:AlternateContent>
          <mc:Choice Requires="wps">
            <w:drawing>
              <wp:anchor distT="0" distB="0" distL="114300" distR="114300" simplePos="0" relativeHeight="251663360" behindDoc="0" locked="0" layoutInCell="1" allowOverlap="1">
                <wp:simplePos x="0" y="0"/>
                <wp:positionH relativeFrom="column">
                  <wp:posOffset>2466975</wp:posOffset>
                </wp:positionH>
                <wp:positionV relativeFrom="paragraph">
                  <wp:posOffset>5497830</wp:posOffset>
                </wp:positionV>
                <wp:extent cx="550545" cy="581025"/>
                <wp:effectExtent l="4445" t="4445" r="16510" b="5080"/>
                <wp:wrapNone/>
                <wp:docPr id="13" name="任意多边形 13"/>
                <wp:cNvGraphicFramePr/>
                <a:graphic xmlns:a="http://schemas.openxmlformats.org/drawingml/2006/main">
                  <a:graphicData uri="http://schemas.microsoft.com/office/word/2010/wordprocessingShape">
                    <wps:wsp>
                      <wps:cNvSpPr/>
                      <wps:spPr>
                        <a:xfrm>
                          <a:off x="0" y="0"/>
                          <a:ext cx="550545" cy="581025"/>
                        </a:xfrm>
                        <a:custGeom>
                          <a:avLst/>
                          <a:gdLst/>
                          <a:ahLst/>
                          <a:cxnLst/>
                          <a:pathLst>
                            <a:path w="6840" h="6708">
                              <a:moveTo>
                                <a:pt x="5040" y="0"/>
                              </a:moveTo>
                              <a:lnTo>
                                <a:pt x="1080" y="624"/>
                              </a:lnTo>
                              <a:lnTo>
                                <a:pt x="1260" y="2964"/>
                              </a:lnTo>
                              <a:lnTo>
                                <a:pt x="0" y="3120"/>
                              </a:lnTo>
                              <a:lnTo>
                                <a:pt x="360" y="6084"/>
                              </a:lnTo>
                              <a:lnTo>
                                <a:pt x="4320" y="6084"/>
                              </a:lnTo>
                              <a:lnTo>
                                <a:pt x="4680" y="6084"/>
                              </a:lnTo>
                              <a:lnTo>
                                <a:pt x="5400" y="6240"/>
                              </a:lnTo>
                              <a:lnTo>
                                <a:pt x="5760" y="6396"/>
                              </a:lnTo>
                              <a:lnTo>
                                <a:pt x="5940" y="6552"/>
                              </a:lnTo>
                              <a:lnTo>
                                <a:pt x="6120" y="6708"/>
                              </a:lnTo>
                              <a:lnTo>
                                <a:pt x="6480" y="6552"/>
                              </a:lnTo>
                              <a:lnTo>
                                <a:pt x="6480" y="5304"/>
                              </a:lnTo>
                              <a:lnTo>
                                <a:pt x="6480" y="4992"/>
                              </a:lnTo>
                              <a:lnTo>
                                <a:pt x="6840" y="4992"/>
                              </a:lnTo>
                              <a:lnTo>
                                <a:pt x="6840" y="4368"/>
                              </a:lnTo>
                              <a:lnTo>
                                <a:pt x="6300" y="4368"/>
                              </a:lnTo>
                              <a:lnTo>
                                <a:pt x="6120" y="1872"/>
                              </a:lnTo>
                              <a:lnTo>
                                <a:pt x="5040" y="2028"/>
                              </a:lnTo>
                              <a:lnTo>
                                <a:pt x="5040" y="0"/>
                              </a:lnTo>
                              <a:close/>
                            </a:path>
                          </a:pathLst>
                        </a:custGeom>
                        <a:solidFill>
                          <a:srgbClr val="FF0000">
                            <a:alpha val="50000"/>
                          </a:srgbClr>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4.25pt;margin-top:432.9pt;height:45.75pt;width:43.35pt;z-index:251663360;mso-width-relative:page;mso-height-relative:page;" fillcolor="#FF0000" filled="t" stroked="t" coordsize="6840,6708" o:gfxdata="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&#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EdmY+7YAAAACwEAAA8AAAAAAAAAAQAgAAAAIgAAAGRy&#10;cy9kb3ducmV2LnhtbFBLAQIUABQAAAAIAIdO4kD+NPgp6QIAANcHAAAOAAAAAAAAAAEAIAAAACcB&#10;AABkcnMvZTJvRG9jLnhtbFBLBQYAAAAABgAGAFkBAACCBgAAAAA=&#10;" path="m5040,0l1080,624,1260,2964,0,3120,360,6084,4320,6084,4680,6084,5400,6240,5760,6396,5940,6552,6120,6708,6480,6552,6480,5304,6480,4992,6840,4992,6840,4368,6300,4368,6120,1872,5040,2028,5040,0xe">
                <v:fill on="t" opacity="32768f" focussize="0,0"/>
                <v:stroke color="#FF0000" joinstyle="round"/>
                <v:imagedata o:title=""/>
                <o:lock v:ext="edit" aspectratio="f"/>
              </v:shape>
            </w:pict>
          </mc:Fallback>
        </mc:AlternateContent>
      </w:r>
      <w:r>
        <w:rPr>
          <w:rFonts w:hint="eastAsia" w:ascii="Times New Roman" w:eastAsia="宋体"/>
          <w:color w:val="auto"/>
          <w:lang w:eastAsia="zh-CN"/>
        </w:rPr>
        <w:drawing>
          <wp:inline distT="0" distB="0" distL="114300" distR="114300">
            <wp:extent cx="5262880" cy="7441565"/>
            <wp:effectExtent l="0" t="0" r="13970" b="6985"/>
            <wp:docPr id="51" name="图片 51" descr="附图8、规划图集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附图8、规划图集_07"/>
                    <pic:cNvPicPr>
                      <a:picLocks noChangeAspect="1"/>
                    </pic:cNvPicPr>
                  </pic:nvPicPr>
                  <pic:blipFill>
                    <a:blip r:embed="rId24"/>
                    <a:stretch>
                      <a:fillRect/>
                    </a:stretch>
                  </pic:blipFill>
                  <pic:spPr>
                    <a:xfrm>
                      <a:off x="0" y="0"/>
                      <a:ext cx="5262880" cy="7441565"/>
                    </a:xfrm>
                    <a:prstGeom prst="rect">
                      <a:avLst/>
                    </a:prstGeom>
                  </pic:spPr>
                </pic:pic>
              </a:graphicData>
            </a:graphic>
          </wp:inline>
        </w:drawing>
      </w:r>
    </w:p>
    <w:p w14:paraId="4E2E9CB3">
      <w:pPr>
        <w:spacing w:before="71" w:line="239" w:lineRule="auto"/>
        <w:ind w:left="95" w:right="185" w:firstLine="33"/>
        <w:jc w:val="center"/>
        <w:rPr>
          <w:rFonts w:ascii="Times New Roman" w:hAnsi="Times New Roman" w:cs="Times New Roman"/>
          <w:color w:val="auto"/>
        </w:rPr>
      </w:pPr>
      <w:r>
        <w:rPr>
          <w:rFonts w:hint="eastAsia"/>
          <w:color w:val="auto"/>
          <w:lang w:val="en-US" w:eastAsia="zh-CN"/>
        </w:rPr>
        <w:t>图</w:t>
      </w:r>
      <w:r>
        <w:rPr>
          <w:color w:val="auto"/>
        </w:rPr>
        <w:t xml:space="preserve"> 1.</w:t>
      </w:r>
      <w:r>
        <w:rPr>
          <w:rFonts w:hint="eastAsia"/>
          <w:color w:val="auto"/>
          <w:lang w:val="en-US" w:eastAsia="zh-CN"/>
        </w:rPr>
        <w:t>4-2</w:t>
      </w:r>
      <w:r>
        <w:rPr>
          <w:color w:val="auto"/>
        </w:rPr>
        <w:t xml:space="preserve">  </w:t>
      </w:r>
      <w:r>
        <w:rPr>
          <w:rFonts w:ascii="Times New Roman" w:hAnsi="Times New Roman" w:cs="Times New Roman"/>
          <w:color w:val="auto"/>
        </w:rPr>
        <w:t>本项目所在园区位置图</w:t>
      </w:r>
    </w:p>
    <w:p w14:paraId="455C3EA6">
      <w:pPr>
        <w:pStyle w:val="42"/>
        <w:rPr>
          <w:rFonts w:hint="eastAsia"/>
          <w:lang w:val="en-US" w:eastAsia="zh-CN"/>
        </w:rPr>
      </w:pPr>
    </w:p>
    <w:p w14:paraId="3E5016FC">
      <w:pPr>
        <w:pStyle w:val="5"/>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1.4.3.</w:t>
      </w:r>
      <w:r>
        <w:rPr>
          <w:rFonts w:hint="eastAsia" w:eastAsia="宋体" w:cs="Times New Roman"/>
          <w:lang w:val="en-US" w:eastAsia="zh-CN"/>
        </w:rPr>
        <w:t>9</w:t>
      </w:r>
      <w:r>
        <w:rPr>
          <w:rFonts w:hint="eastAsia" w:ascii="Times New Roman" w:hAnsi="Times New Roman" w:eastAsia="宋体" w:cs="Times New Roman"/>
          <w:lang w:val="en-US" w:eastAsia="zh-CN"/>
        </w:rPr>
        <w:t>与规划环评的符合性分析</w:t>
      </w:r>
    </w:p>
    <w:p w14:paraId="5F66ADCC">
      <w:pPr>
        <w:pStyle w:val="331"/>
        <w:adjustRightInd w:val="0"/>
        <w:snapToGrid w:val="0"/>
        <w:spacing w:line="360" w:lineRule="auto"/>
        <w:ind w:firstLine="480" w:firstLineChars="200"/>
        <w:rPr>
          <w:rFonts w:hint="default" w:ascii="Times New Roman" w:hAnsi="Times New Roman" w:cs="Times New Roman"/>
          <w:color w:val="auto"/>
          <w:sz w:val="24"/>
          <w:szCs w:val="22"/>
          <w:lang w:val="en-US" w:eastAsia="zh-CN"/>
        </w:rPr>
      </w:pPr>
      <w:r>
        <w:rPr>
          <w:rFonts w:hint="default" w:ascii="Times New Roman" w:hAnsi="Times New Roman" w:cs="Times New Roman"/>
          <w:color w:val="auto"/>
          <w:sz w:val="24"/>
          <w:szCs w:val="22"/>
          <w:lang w:eastAsia="zh-CN"/>
        </w:rPr>
        <w:t>对照《</w:t>
      </w:r>
      <w:r>
        <w:rPr>
          <w:rFonts w:hint="eastAsia" w:ascii="Times New Roman" w:hAnsi="Times New Roman" w:cs="Times New Roman"/>
          <w:color w:val="auto"/>
          <w:sz w:val="24"/>
          <w:szCs w:val="22"/>
          <w:lang w:eastAsia="zh-CN"/>
        </w:rPr>
        <w:t>黑龙江讷河经济开发区拉哈生物技术与化学制药产业园总体规划（2021-2035）</w:t>
      </w:r>
      <w:r>
        <w:rPr>
          <w:rFonts w:hint="default" w:ascii="Times New Roman" w:hAnsi="Times New Roman" w:cs="Times New Roman"/>
          <w:color w:val="auto"/>
          <w:sz w:val="24"/>
          <w:szCs w:val="22"/>
          <w:lang w:eastAsia="zh-CN"/>
        </w:rPr>
        <w:t>》环境影响报告书中</w:t>
      </w:r>
      <w:r>
        <w:rPr>
          <w:rFonts w:hint="eastAsia" w:ascii="Times New Roman" w:hAnsi="Times New Roman" w:cs="Times New Roman"/>
          <w:color w:val="auto"/>
          <w:sz w:val="24"/>
          <w:szCs w:val="22"/>
          <w:lang w:val="en-US" w:eastAsia="zh-CN"/>
        </w:rPr>
        <w:t>生态环境分区</w:t>
      </w:r>
      <w:r>
        <w:rPr>
          <w:rFonts w:hint="default" w:ascii="Times New Roman" w:hAnsi="Times New Roman" w:cs="Times New Roman"/>
          <w:color w:val="auto"/>
          <w:sz w:val="24"/>
          <w:szCs w:val="22"/>
          <w:lang w:eastAsia="zh-CN"/>
        </w:rPr>
        <w:t>管控要求（见表</w:t>
      </w:r>
      <w:r>
        <w:rPr>
          <w:rFonts w:hint="default" w:ascii="Times New Roman" w:hAnsi="Times New Roman" w:cs="Times New Roman"/>
          <w:color w:val="auto"/>
          <w:sz w:val="24"/>
          <w:szCs w:val="22"/>
          <w:lang w:val="en-US" w:eastAsia="zh-CN"/>
        </w:rPr>
        <w:t>1.4-1</w:t>
      </w:r>
      <w:r>
        <w:rPr>
          <w:rFonts w:hint="default" w:ascii="Times New Roman" w:hAnsi="Times New Roman" w:cs="Times New Roman"/>
          <w:color w:val="auto"/>
          <w:sz w:val="24"/>
          <w:szCs w:val="22"/>
          <w:lang w:eastAsia="zh-CN"/>
        </w:rPr>
        <w:t>），本项目符合规划环评要求。</w:t>
      </w:r>
    </w:p>
    <w:p w14:paraId="0D9969D1">
      <w:pPr>
        <w:pStyle w:val="331"/>
        <w:adjustRightInd w:val="0"/>
        <w:snapToGrid w:val="0"/>
        <w:spacing w:line="240" w:lineRule="auto"/>
        <w:ind w:left="0" w:leftChars="0" w:firstLine="0" w:firstLineChars="0"/>
        <w:jc w:val="center"/>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表1.4-</w:t>
      </w:r>
      <w:r>
        <w:rPr>
          <w:rFonts w:hint="eastAsia" w:ascii="Times New Roman" w:hAnsi="Times New Roman" w:cs="Times New Roman"/>
          <w:color w:val="auto"/>
          <w:sz w:val="24"/>
          <w:szCs w:val="24"/>
          <w:lang w:val="en-US" w:eastAsia="zh-CN" w:bidi="ar-SA"/>
        </w:rPr>
        <w:t>1</w:t>
      </w:r>
      <w:r>
        <w:rPr>
          <w:rFonts w:hint="eastAsia" w:ascii="Times New Roman" w:hAnsi="Times New Roman" w:eastAsia="宋体" w:cs="Times New Roman"/>
          <w:color w:val="auto"/>
          <w:sz w:val="24"/>
          <w:szCs w:val="24"/>
          <w:lang w:val="en-US" w:eastAsia="zh-CN" w:bidi="ar-SA"/>
        </w:rPr>
        <w:t>与规划环评符合性分析</w:t>
      </w:r>
    </w:p>
    <w:tbl>
      <w:tblPr>
        <w:tblStyle w:val="54"/>
        <w:tblW w:w="87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87"/>
        <w:gridCol w:w="1039"/>
        <w:gridCol w:w="5800"/>
        <w:gridCol w:w="1472"/>
      </w:tblGrid>
      <w:tr w14:paraId="553EB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tcBorders>
              <w:tl2br w:val="nil"/>
              <w:tr2bl w:val="nil"/>
            </w:tcBorders>
            <w:noWrap w:val="0"/>
            <w:vAlign w:val="center"/>
          </w:tcPr>
          <w:p w14:paraId="5A56A9B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序号</w:t>
            </w:r>
          </w:p>
        </w:tc>
        <w:tc>
          <w:tcPr>
            <w:tcW w:w="1039" w:type="dxa"/>
            <w:tcBorders>
              <w:tl2br w:val="nil"/>
              <w:tr2bl w:val="nil"/>
            </w:tcBorders>
            <w:noWrap w:val="0"/>
            <w:vAlign w:val="center"/>
          </w:tcPr>
          <w:p w14:paraId="6CD0C8E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项目</w:t>
            </w:r>
          </w:p>
        </w:tc>
        <w:tc>
          <w:tcPr>
            <w:tcW w:w="5800" w:type="dxa"/>
            <w:tcBorders>
              <w:tl2br w:val="nil"/>
              <w:tr2bl w:val="nil"/>
            </w:tcBorders>
            <w:noWrap w:val="0"/>
            <w:vAlign w:val="center"/>
          </w:tcPr>
          <w:p w14:paraId="58A3977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负面清单</w:t>
            </w:r>
          </w:p>
        </w:tc>
        <w:tc>
          <w:tcPr>
            <w:tcW w:w="1472" w:type="dxa"/>
            <w:tcBorders>
              <w:tl2br w:val="nil"/>
              <w:tr2bl w:val="nil"/>
            </w:tcBorders>
            <w:noWrap w:val="0"/>
            <w:vAlign w:val="center"/>
          </w:tcPr>
          <w:p w14:paraId="54B000E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依据</w:t>
            </w:r>
          </w:p>
        </w:tc>
      </w:tr>
      <w:tr w14:paraId="06B56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restart"/>
            <w:tcBorders>
              <w:tl2br w:val="nil"/>
              <w:tr2bl w:val="nil"/>
            </w:tcBorders>
            <w:noWrap w:val="0"/>
            <w:vAlign w:val="center"/>
          </w:tcPr>
          <w:p w14:paraId="04D77DD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1</w:t>
            </w:r>
          </w:p>
        </w:tc>
        <w:tc>
          <w:tcPr>
            <w:tcW w:w="1039" w:type="dxa"/>
            <w:vMerge w:val="restart"/>
            <w:tcBorders>
              <w:tl2br w:val="nil"/>
              <w:tr2bl w:val="nil"/>
            </w:tcBorders>
            <w:noWrap w:val="0"/>
            <w:vAlign w:val="center"/>
          </w:tcPr>
          <w:p w14:paraId="01BFDD9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行业准入</w:t>
            </w:r>
          </w:p>
          <w:p w14:paraId="122E9E16">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限制</w:t>
            </w:r>
          </w:p>
        </w:tc>
        <w:tc>
          <w:tcPr>
            <w:tcW w:w="5800" w:type="dxa"/>
            <w:tcBorders>
              <w:tl2br w:val="nil"/>
              <w:tr2bl w:val="nil"/>
            </w:tcBorders>
            <w:noWrap w:val="0"/>
            <w:vAlign w:val="center"/>
          </w:tcPr>
          <w:p w14:paraId="273D69C2">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国家和地方的产业政策禁止类或淘汰类的项目①</w:t>
            </w:r>
          </w:p>
        </w:tc>
        <w:tc>
          <w:tcPr>
            <w:tcW w:w="1472" w:type="dxa"/>
            <w:tcBorders>
              <w:tl2br w:val="nil"/>
              <w:tr2bl w:val="nil"/>
            </w:tcBorders>
            <w:noWrap w:val="0"/>
            <w:vAlign w:val="center"/>
          </w:tcPr>
          <w:p w14:paraId="4A15764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国家及地方产业政策</w:t>
            </w:r>
          </w:p>
        </w:tc>
      </w:tr>
      <w:tr w14:paraId="5AAE3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418EB96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064F2F5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2947EFF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按《产业结构调整指导目录》（2024年本）限制类和淘汰类的项目，对园区企业和项目进行管理。</w:t>
            </w:r>
          </w:p>
        </w:tc>
        <w:tc>
          <w:tcPr>
            <w:tcW w:w="1472" w:type="dxa"/>
            <w:tcBorders>
              <w:tl2br w:val="nil"/>
              <w:tr2bl w:val="nil"/>
            </w:tcBorders>
            <w:noWrap w:val="0"/>
            <w:vAlign w:val="center"/>
          </w:tcPr>
          <w:p w14:paraId="2AB9866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国家及地方产业政策</w:t>
            </w:r>
          </w:p>
        </w:tc>
      </w:tr>
      <w:tr w14:paraId="69231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383DBD8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0D0049C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1CEEC2D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不属于规划产业发展方向的项目</w:t>
            </w:r>
          </w:p>
        </w:tc>
        <w:tc>
          <w:tcPr>
            <w:tcW w:w="1472" w:type="dxa"/>
            <w:tcBorders>
              <w:tl2br w:val="nil"/>
              <w:tr2bl w:val="nil"/>
            </w:tcBorders>
            <w:noWrap w:val="0"/>
            <w:vAlign w:val="center"/>
          </w:tcPr>
          <w:p w14:paraId="69EA9EA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规划要求</w:t>
            </w:r>
          </w:p>
        </w:tc>
      </w:tr>
      <w:tr w14:paraId="14BDD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restart"/>
            <w:tcBorders>
              <w:tl2br w:val="nil"/>
              <w:tr2bl w:val="nil"/>
            </w:tcBorders>
            <w:noWrap w:val="0"/>
            <w:vAlign w:val="center"/>
          </w:tcPr>
          <w:p w14:paraId="3FEB5E4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2</w:t>
            </w:r>
          </w:p>
        </w:tc>
        <w:tc>
          <w:tcPr>
            <w:tcW w:w="1039" w:type="dxa"/>
            <w:vMerge w:val="restart"/>
            <w:tcBorders>
              <w:tl2br w:val="nil"/>
              <w:tr2bl w:val="nil"/>
            </w:tcBorders>
            <w:noWrap w:val="0"/>
            <w:vAlign w:val="center"/>
          </w:tcPr>
          <w:p w14:paraId="0407E96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产品准入</w:t>
            </w:r>
          </w:p>
        </w:tc>
        <w:tc>
          <w:tcPr>
            <w:tcW w:w="5800" w:type="dxa"/>
            <w:tcBorders>
              <w:tl2br w:val="nil"/>
              <w:tr2bl w:val="nil"/>
            </w:tcBorders>
            <w:noWrap w:val="0"/>
            <w:vAlign w:val="center"/>
          </w:tcPr>
          <w:p w14:paraId="6B1636F9">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《产业结构调整指导目录》（2024年本）淘汰类产品</w:t>
            </w:r>
          </w:p>
        </w:tc>
        <w:tc>
          <w:tcPr>
            <w:tcW w:w="1472" w:type="dxa"/>
            <w:vMerge w:val="restart"/>
            <w:tcBorders>
              <w:tl2br w:val="nil"/>
              <w:tr2bl w:val="nil"/>
            </w:tcBorders>
            <w:noWrap w:val="0"/>
            <w:vAlign w:val="center"/>
          </w:tcPr>
          <w:p w14:paraId="2A6ECD8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国家产业及地方政策</w:t>
            </w:r>
          </w:p>
        </w:tc>
      </w:tr>
      <w:tr w14:paraId="05A06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21D87F1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6097C81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05DA1D2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不符合国家、黑龙江省、</w:t>
            </w:r>
            <w:r>
              <w:rPr>
                <w:rFonts w:hint="eastAsia" w:ascii="Times New Roman" w:hAnsi="Times New Roman" w:eastAsia="宋体" w:cs="Times New Roman"/>
                <w:snapToGrid/>
                <w:color w:val="auto"/>
                <w:kern w:val="2"/>
                <w:sz w:val="21"/>
                <w:szCs w:val="21"/>
                <w:lang w:val="en-US" w:eastAsia="zh-CN"/>
              </w:rPr>
              <w:t>齐齐哈尔</w:t>
            </w:r>
            <w:r>
              <w:rPr>
                <w:rFonts w:hint="eastAsia" w:ascii="Times New Roman" w:hAnsi="Times New Roman" w:eastAsia="宋体" w:cs="Times New Roman"/>
                <w:snapToGrid/>
                <w:color w:val="auto"/>
                <w:kern w:val="2"/>
                <w:sz w:val="21"/>
                <w:szCs w:val="21"/>
                <w:lang w:eastAsia="zh-CN"/>
              </w:rPr>
              <w:t>市有关规定，不具备安全生产条件，需要淘汰的产品。</w:t>
            </w:r>
          </w:p>
        </w:tc>
        <w:tc>
          <w:tcPr>
            <w:tcW w:w="1472" w:type="dxa"/>
            <w:vMerge w:val="continue"/>
            <w:tcBorders>
              <w:tl2br w:val="nil"/>
              <w:tr2bl w:val="nil"/>
            </w:tcBorders>
            <w:noWrap w:val="0"/>
            <w:vAlign w:val="center"/>
          </w:tcPr>
          <w:p w14:paraId="689B3C5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r>
      <w:tr w14:paraId="600AE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restart"/>
            <w:tcBorders>
              <w:tl2br w:val="nil"/>
              <w:tr2bl w:val="nil"/>
            </w:tcBorders>
            <w:noWrap w:val="0"/>
            <w:vAlign w:val="center"/>
          </w:tcPr>
          <w:p w14:paraId="61D5897F">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3</w:t>
            </w:r>
          </w:p>
        </w:tc>
        <w:tc>
          <w:tcPr>
            <w:tcW w:w="1039" w:type="dxa"/>
            <w:vMerge w:val="restart"/>
            <w:tcBorders>
              <w:tl2br w:val="nil"/>
              <w:tr2bl w:val="nil"/>
            </w:tcBorders>
            <w:noWrap w:val="0"/>
            <w:vAlign w:val="center"/>
          </w:tcPr>
          <w:p w14:paraId="0DB8305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工艺准入</w:t>
            </w:r>
          </w:p>
        </w:tc>
        <w:tc>
          <w:tcPr>
            <w:tcW w:w="5800" w:type="dxa"/>
            <w:tcBorders>
              <w:tl2br w:val="nil"/>
              <w:tr2bl w:val="nil"/>
            </w:tcBorders>
            <w:noWrap w:val="0"/>
            <w:vAlign w:val="center"/>
          </w:tcPr>
          <w:p w14:paraId="53C7F35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工艺、装备水平不满足行业准入条件的项目</w:t>
            </w:r>
          </w:p>
        </w:tc>
        <w:tc>
          <w:tcPr>
            <w:tcW w:w="1472" w:type="dxa"/>
            <w:tcBorders>
              <w:tl2br w:val="nil"/>
              <w:tr2bl w:val="nil"/>
            </w:tcBorders>
            <w:noWrap w:val="0"/>
            <w:vAlign w:val="center"/>
          </w:tcPr>
          <w:p w14:paraId="7815F0E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行业准入要求</w:t>
            </w:r>
          </w:p>
        </w:tc>
      </w:tr>
      <w:tr w14:paraId="7A683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6426884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43C4BFE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7A5B646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产业结构调整指导目录》（2024年本）淘汰类工艺装备的项目；《外商投资准入特别管理措施（负面清单）（2019年版）》《工商投资领域制止重复建设目录》《严重污染（大气）环境的淘汰工艺与设备名录》以及黑龙江省有关产业政策中明确列入淘汰的项目</w:t>
            </w:r>
          </w:p>
        </w:tc>
        <w:tc>
          <w:tcPr>
            <w:tcW w:w="1472" w:type="dxa"/>
            <w:vMerge w:val="restart"/>
            <w:tcBorders>
              <w:tl2br w:val="nil"/>
              <w:tr2bl w:val="nil"/>
            </w:tcBorders>
            <w:noWrap w:val="0"/>
            <w:vAlign w:val="center"/>
          </w:tcPr>
          <w:p w14:paraId="1F7B640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国家产业及地方政策要求</w:t>
            </w:r>
          </w:p>
        </w:tc>
      </w:tr>
      <w:tr w14:paraId="5CE90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766B9E2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4722308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16368EDF">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生产方法、生产工艺及设施装备不符合国家最新技术政策要求的项目</w:t>
            </w:r>
          </w:p>
        </w:tc>
        <w:tc>
          <w:tcPr>
            <w:tcW w:w="1472" w:type="dxa"/>
            <w:vMerge w:val="continue"/>
            <w:tcBorders>
              <w:tl2br w:val="nil"/>
              <w:tr2bl w:val="nil"/>
            </w:tcBorders>
            <w:noWrap w:val="0"/>
            <w:vAlign w:val="center"/>
          </w:tcPr>
          <w:p w14:paraId="01C88E3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r>
      <w:tr w14:paraId="33AAB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restart"/>
            <w:tcBorders>
              <w:tl2br w:val="nil"/>
              <w:tr2bl w:val="nil"/>
            </w:tcBorders>
            <w:noWrap w:val="0"/>
            <w:vAlign w:val="center"/>
          </w:tcPr>
          <w:p w14:paraId="72AB0212">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4</w:t>
            </w:r>
          </w:p>
        </w:tc>
        <w:tc>
          <w:tcPr>
            <w:tcW w:w="1039" w:type="dxa"/>
            <w:vMerge w:val="restart"/>
            <w:tcBorders>
              <w:tl2br w:val="nil"/>
              <w:tr2bl w:val="nil"/>
            </w:tcBorders>
            <w:noWrap w:val="0"/>
            <w:vAlign w:val="center"/>
          </w:tcPr>
          <w:p w14:paraId="5E63961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污染物排放管控</w:t>
            </w:r>
          </w:p>
        </w:tc>
        <w:tc>
          <w:tcPr>
            <w:tcW w:w="5800" w:type="dxa"/>
            <w:tcBorders>
              <w:tl2br w:val="nil"/>
              <w:tr2bl w:val="nil"/>
            </w:tcBorders>
            <w:noWrap w:val="0"/>
            <w:vAlign w:val="center"/>
          </w:tcPr>
          <w:p w14:paraId="5082CBB2">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废气无法稳定达标排放的项目</w:t>
            </w:r>
          </w:p>
        </w:tc>
        <w:tc>
          <w:tcPr>
            <w:tcW w:w="1472" w:type="dxa"/>
            <w:vMerge w:val="restart"/>
            <w:tcBorders>
              <w:tl2br w:val="nil"/>
              <w:tr2bl w:val="nil"/>
            </w:tcBorders>
            <w:noWrap w:val="0"/>
            <w:vAlign w:val="center"/>
          </w:tcPr>
          <w:p w14:paraId="4656CFF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规划环评要求</w:t>
            </w:r>
          </w:p>
        </w:tc>
      </w:tr>
      <w:tr w14:paraId="53BB3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732EB27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4DBD0B8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66FD23E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无废水预处理设施或废水不能够达到相关行业标准的间接排放标准或污水处理厂的进水水质要求的项目；</w:t>
            </w:r>
          </w:p>
        </w:tc>
        <w:tc>
          <w:tcPr>
            <w:tcW w:w="1472" w:type="dxa"/>
            <w:vMerge w:val="continue"/>
            <w:tcBorders>
              <w:tl2br w:val="nil"/>
              <w:tr2bl w:val="nil"/>
            </w:tcBorders>
            <w:noWrap w:val="0"/>
            <w:vAlign w:val="center"/>
          </w:tcPr>
          <w:p w14:paraId="6F76E1A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r>
      <w:tr w14:paraId="2CD08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6AC8115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2483CAD6">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4DF8A45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污染物排放不满足规划区总量控制要求的项目</w:t>
            </w:r>
          </w:p>
        </w:tc>
        <w:tc>
          <w:tcPr>
            <w:tcW w:w="1472" w:type="dxa"/>
            <w:vMerge w:val="continue"/>
            <w:tcBorders>
              <w:tl2br w:val="nil"/>
              <w:tr2bl w:val="nil"/>
            </w:tcBorders>
            <w:noWrap w:val="0"/>
            <w:vAlign w:val="center"/>
          </w:tcPr>
          <w:p w14:paraId="25509D8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r>
      <w:tr w14:paraId="30314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restart"/>
            <w:tcBorders>
              <w:tl2br w:val="nil"/>
              <w:tr2bl w:val="nil"/>
            </w:tcBorders>
            <w:noWrap w:val="0"/>
            <w:vAlign w:val="center"/>
          </w:tcPr>
          <w:p w14:paraId="73C924B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5</w:t>
            </w:r>
          </w:p>
        </w:tc>
        <w:tc>
          <w:tcPr>
            <w:tcW w:w="1039" w:type="dxa"/>
            <w:vMerge w:val="restart"/>
            <w:tcBorders>
              <w:tl2br w:val="nil"/>
              <w:tr2bl w:val="nil"/>
            </w:tcBorders>
            <w:noWrap w:val="0"/>
            <w:vAlign w:val="center"/>
          </w:tcPr>
          <w:p w14:paraId="661AA9F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布局要求</w:t>
            </w:r>
          </w:p>
        </w:tc>
        <w:tc>
          <w:tcPr>
            <w:tcW w:w="5800" w:type="dxa"/>
            <w:tcBorders>
              <w:tl2br w:val="nil"/>
              <w:tr2bl w:val="nil"/>
            </w:tcBorders>
            <w:noWrap w:val="0"/>
            <w:vAlign w:val="center"/>
          </w:tcPr>
          <w:p w14:paraId="343256C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不符合规划空间用地布局要求的项目</w:t>
            </w:r>
          </w:p>
        </w:tc>
        <w:tc>
          <w:tcPr>
            <w:tcW w:w="1472" w:type="dxa"/>
            <w:vMerge w:val="restart"/>
            <w:tcBorders>
              <w:tl2br w:val="nil"/>
              <w:tr2bl w:val="nil"/>
            </w:tcBorders>
            <w:noWrap w:val="0"/>
            <w:vAlign w:val="center"/>
          </w:tcPr>
          <w:p w14:paraId="17278E0F">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规划环评要求</w:t>
            </w:r>
          </w:p>
        </w:tc>
      </w:tr>
      <w:tr w14:paraId="0E9B9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vMerge w:val="continue"/>
            <w:tcBorders>
              <w:tl2br w:val="nil"/>
              <w:tr2bl w:val="nil"/>
            </w:tcBorders>
            <w:noWrap w:val="0"/>
            <w:vAlign w:val="center"/>
          </w:tcPr>
          <w:p w14:paraId="74C5E0A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1039" w:type="dxa"/>
            <w:vMerge w:val="continue"/>
            <w:tcBorders>
              <w:tl2br w:val="nil"/>
              <w:tr2bl w:val="nil"/>
            </w:tcBorders>
            <w:noWrap w:val="0"/>
            <w:vAlign w:val="center"/>
          </w:tcPr>
          <w:p w14:paraId="1868DC7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c>
          <w:tcPr>
            <w:tcW w:w="5800" w:type="dxa"/>
            <w:tcBorders>
              <w:tl2br w:val="nil"/>
              <w:tr2bl w:val="nil"/>
            </w:tcBorders>
            <w:noWrap w:val="0"/>
            <w:vAlign w:val="center"/>
          </w:tcPr>
          <w:p w14:paraId="5CB6A0C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不符合规划产业布局的项目</w:t>
            </w:r>
          </w:p>
        </w:tc>
        <w:tc>
          <w:tcPr>
            <w:tcW w:w="1472" w:type="dxa"/>
            <w:vMerge w:val="continue"/>
            <w:tcBorders>
              <w:tl2br w:val="nil"/>
              <w:tr2bl w:val="nil"/>
            </w:tcBorders>
            <w:noWrap w:val="0"/>
            <w:vAlign w:val="center"/>
          </w:tcPr>
          <w:p w14:paraId="46B0468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tc>
      </w:tr>
      <w:tr w14:paraId="7596E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tcBorders>
              <w:tl2br w:val="nil"/>
              <w:tr2bl w:val="nil"/>
            </w:tcBorders>
            <w:noWrap w:val="0"/>
            <w:vAlign w:val="center"/>
          </w:tcPr>
          <w:p w14:paraId="5DDEC0D6">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6</w:t>
            </w:r>
          </w:p>
        </w:tc>
        <w:tc>
          <w:tcPr>
            <w:tcW w:w="1039" w:type="dxa"/>
            <w:tcBorders>
              <w:tl2br w:val="nil"/>
              <w:tr2bl w:val="nil"/>
            </w:tcBorders>
            <w:noWrap w:val="0"/>
            <w:vAlign w:val="center"/>
          </w:tcPr>
          <w:p w14:paraId="7A94A4D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清洁生产</w:t>
            </w:r>
          </w:p>
        </w:tc>
        <w:tc>
          <w:tcPr>
            <w:tcW w:w="5800" w:type="dxa"/>
            <w:tcBorders>
              <w:tl2br w:val="nil"/>
              <w:tr2bl w:val="nil"/>
            </w:tcBorders>
            <w:noWrap w:val="0"/>
            <w:vAlign w:val="center"/>
          </w:tcPr>
          <w:p w14:paraId="3483A8F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对于出台（或试行）清洁生产标准的行业，入区企业要达到清洁生产企业水平；对于没有清洁生产标准的行业，入区企业清洁生产水平要达到本行业国内先进水平。</w:t>
            </w:r>
          </w:p>
        </w:tc>
        <w:tc>
          <w:tcPr>
            <w:tcW w:w="1472" w:type="dxa"/>
            <w:tcBorders>
              <w:tl2br w:val="nil"/>
              <w:tr2bl w:val="nil"/>
            </w:tcBorders>
            <w:noWrap w:val="0"/>
            <w:vAlign w:val="center"/>
          </w:tcPr>
          <w:p w14:paraId="15BD730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相关政策要求</w:t>
            </w:r>
          </w:p>
        </w:tc>
      </w:tr>
      <w:tr w14:paraId="312CD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87" w:type="dxa"/>
            <w:tcBorders>
              <w:tl2br w:val="nil"/>
              <w:tr2bl w:val="nil"/>
            </w:tcBorders>
            <w:noWrap w:val="0"/>
            <w:vAlign w:val="center"/>
          </w:tcPr>
          <w:p w14:paraId="2C453796">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7</w:t>
            </w:r>
          </w:p>
        </w:tc>
        <w:tc>
          <w:tcPr>
            <w:tcW w:w="1039" w:type="dxa"/>
            <w:tcBorders>
              <w:tl2br w:val="nil"/>
              <w:tr2bl w:val="nil"/>
            </w:tcBorders>
            <w:noWrap w:val="0"/>
            <w:vAlign w:val="center"/>
          </w:tcPr>
          <w:p w14:paraId="710AB19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环境质量底线</w:t>
            </w:r>
          </w:p>
        </w:tc>
        <w:tc>
          <w:tcPr>
            <w:tcW w:w="5800" w:type="dxa"/>
            <w:tcBorders>
              <w:tl2br w:val="nil"/>
              <w:tr2bl w:val="nil"/>
            </w:tcBorders>
            <w:noWrap w:val="0"/>
            <w:vAlign w:val="center"/>
          </w:tcPr>
          <w:p w14:paraId="6FE9D81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大气环境、水环境和土壤环境发生持续性区域超标时，</w:t>
            </w:r>
          </w:p>
          <w:p w14:paraId="5C0664A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val="en-US" w:eastAsia="zh-CN"/>
              </w:rPr>
              <w:t>不满足达标规划或无对应</w:t>
            </w:r>
            <w:r>
              <w:rPr>
                <w:rFonts w:hint="eastAsia" w:ascii="Times New Roman" w:hAnsi="Times New Roman" w:eastAsia="宋体" w:cs="Times New Roman"/>
                <w:snapToGrid/>
                <w:color w:val="auto"/>
                <w:kern w:val="2"/>
                <w:sz w:val="21"/>
                <w:szCs w:val="21"/>
                <w:lang w:eastAsia="zh-CN"/>
              </w:rPr>
              <w:t>超标因子</w:t>
            </w:r>
            <w:r>
              <w:rPr>
                <w:rFonts w:hint="eastAsia" w:ascii="Times New Roman" w:hAnsi="Times New Roman" w:eastAsia="宋体" w:cs="Times New Roman"/>
                <w:snapToGrid/>
                <w:color w:val="auto"/>
                <w:kern w:val="2"/>
                <w:sz w:val="21"/>
                <w:szCs w:val="21"/>
                <w:lang w:val="en-US" w:eastAsia="zh-CN"/>
              </w:rPr>
              <w:t>消减源</w:t>
            </w:r>
            <w:r>
              <w:rPr>
                <w:rFonts w:hint="eastAsia" w:ascii="Times New Roman" w:hAnsi="Times New Roman" w:eastAsia="宋体" w:cs="Times New Roman"/>
                <w:snapToGrid/>
                <w:color w:val="auto"/>
                <w:kern w:val="2"/>
                <w:sz w:val="21"/>
                <w:szCs w:val="21"/>
                <w:lang w:eastAsia="zh-CN"/>
              </w:rPr>
              <w:t>的项目禁止建设。</w:t>
            </w:r>
          </w:p>
        </w:tc>
        <w:tc>
          <w:tcPr>
            <w:tcW w:w="1472" w:type="dxa"/>
            <w:tcBorders>
              <w:tl2br w:val="nil"/>
              <w:tr2bl w:val="nil"/>
            </w:tcBorders>
            <w:noWrap w:val="0"/>
            <w:vAlign w:val="center"/>
          </w:tcPr>
          <w:p w14:paraId="0DA6323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规划环评要求</w:t>
            </w:r>
          </w:p>
        </w:tc>
      </w:tr>
    </w:tbl>
    <w:p w14:paraId="1DEA286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76BE9EFF">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78AB04F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7D6C3C3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7C23249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6A4751E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6424EE9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07C210F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11FA1E9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27629F02">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17F82F19">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5136D96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37C470B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39F9C9E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p w14:paraId="0615D502">
      <w:pPr>
        <w:pStyle w:val="331"/>
        <w:adjustRightInd w:val="0"/>
        <w:snapToGrid w:val="0"/>
        <w:spacing w:line="240" w:lineRule="auto"/>
        <w:ind w:left="0" w:leftChars="0" w:firstLine="0" w:firstLineChars="0"/>
        <w:jc w:val="center"/>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表1.4-</w:t>
      </w:r>
      <w:r>
        <w:rPr>
          <w:rFonts w:hint="eastAsia" w:ascii="Times New Roman" w:hAnsi="Times New Roman" w:cs="Times New Roman"/>
          <w:color w:val="auto"/>
          <w:sz w:val="24"/>
          <w:szCs w:val="24"/>
          <w:lang w:val="en-US" w:eastAsia="zh-CN" w:bidi="ar-SA"/>
        </w:rPr>
        <w:t>2</w:t>
      </w:r>
      <w:r>
        <w:rPr>
          <w:rFonts w:hint="eastAsia" w:ascii="Times New Roman" w:hAnsi="Times New Roman" w:eastAsia="宋体" w:cs="Times New Roman"/>
          <w:color w:val="auto"/>
          <w:sz w:val="24"/>
          <w:szCs w:val="24"/>
          <w:lang w:val="en-US" w:eastAsia="zh-CN" w:bidi="ar-SA"/>
        </w:rPr>
        <w:t>与规划环评符合性分析</w:t>
      </w:r>
    </w:p>
    <w:tbl>
      <w:tblPr>
        <w:tblStyle w:val="53"/>
        <w:tblW w:w="90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75"/>
        <w:gridCol w:w="3495"/>
        <w:gridCol w:w="941"/>
      </w:tblGrid>
      <w:tr w14:paraId="7E1E8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75" w:type="dxa"/>
            <w:noWrap w:val="0"/>
            <w:vAlign w:val="center"/>
          </w:tcPr>
          <w:p w14:paraId="77E4C82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生态空间管制清单</w:t>
            </w:r>
          </w:p>
        </w:tc>
        <w:tc>
          <w:tcPr>
            <w:tcW w:w="3495" w:type="dxa"/>
            <w:noWrap w:val="0"/>
            <w:vAlign w:val="center"/>
          </w:tcPr>
          <w:p w14:paraId="367B334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本项目</w:t>
            </w:r>
          </w:p>
        </w:tc>
        <w:tc>
          <w:tcPr>
            <w:tcW w:w="941" w:type="dxa"/>
            <w:noWrap w:val="0"/>
            <w:vAlign w:val="center"/>
          </w:tcPr>
          <w:p w14:paraId="0630B676">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相符性</w:t>
            </w:r>
          </w:p>
        </w:tc>
      </w:tr>
      <w:tr w14:paraId="72B79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75" w:type="dxa"/>
            <w:noWrap w:val="0"/>
            <w:vAlign w:val="center"/>
          </w:tcPr>
          <w:p w14:paraId="2C7C587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eastAsia="zh-CN"/>
              </w:rPr>
              <w:t>禁止建设区：防护绿地</w:t>
            </w:r>
            <w:r>
              <w:rPr>
                <w:rFonts w:hint="default" w:ascii="Times New Roman" w:hAnsi="Times New Roman" w:eastAsia="宋体" w:cs="Times New Roman"/>
                <w:snapToGrid/>
                <w:color w:val="auto"/>
                <w:kern w:val="2"/>
                <w:sz w:val="21"/>
                <w:szCs w:val="21"/>
                <w:lang w:val="en-US" w:eastAsia="zh-CN"/>
              </w:rPr>
              <w:t>114.29hm2，</w:t>
            </w:r>
            <w:r>
              <w:rPr>
                <w:rFonts w:hint="default" w:ascii="Times New Roman" w:hAnsi="Times New Roman" w:eastAsia="宋体" w:cs="Times New Roman"/>
                <w:snapToGrid/>
                <w:color w:val="auto"/>
                <w:kern w:val="2"/>
                <w:sz w:val="21"/>
                <w:szCs w:val="21"/>
                <w:lang w:eastAsia="zh-CN"/>
              </w:rPr>
              <w:t>禁止占用；距离松花江规划防洪堤</w:t>
            </w:r>
            <w:r>
              <w:rPr>
                <w:rFonts w:hint="default" w:ascii="Times New Roman" w:hAnsi="Times New Roman" w:eastAsia="宋体" w:cs="Times New Roman"/>
                <w:snapToGrid/>
                <w:color w:val="auto"/>
                <w:kern w:val="2"/>
                <w:sz w:val="21"/>
                <w:szCs w:val="21"/>
                <w:lang w:val="en-US" w:eastAsia="zh-CN"/>
              </w:rPr>
              <w:t>1000m范围内，禁止发展农药制造产业区；距离居民区500m范围内，禁止发展农药制造产业区；限制建设区：环境风险防护距离内、大气环境防护距离内，限制占用。</w:t>
            </w:r>
          </w:p>
        </w:tc>
        <w:tc>
          <w:tcPr>
            <w:tcW w:w="3495" w:type="dxa"/>
            <w:noWrap w:val="0"/>
            <w:vAlign w:val="center"/>
          </w:tcPr>
          <w:p w14:paraId="0EA2436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本项目为</w:t>
            </w:r>
            <w:r>
              <w:rPr>
                <w:rFonts w:hint="eastAsia" w:ascii="Times New Roman" w:hAnsi="Times New Roman" w:eastAsia="宋体" w:cs="Times New Roman"/>
                <w:snapToGrid/>
                <w:color w:val="auto"/>
                <w:kern w:val="2"/>
                <w:sz w:val="21"/>
                <w:szCs w:val="21"/>
                <w:lang w:eastAsia="zh-CN"/>
              </w:rPr>
              <w:t>医用酒精技术改造项目</w:t>
            </w:r>
            <w:r>
              <w:rPr>
                <w:rFonts w:hint="default" w:ascii="Times New Roman" w:hAnsi="Times New Roman" w:eastAsia="宋体" w:cs="Times New Roman"/>
                <w:snapToGrid/>
                <w:color w:val="auto"/>
                <w:kern w:val="2"/>
                <w:sz w:val="21"/>
                <w:szCs w:val="21"/>
                <w:lang w:eastAsia="zh-CN"/>
              </w:rPr>
              <w:t>，本项目所在园区位置为</w:t>
            </w:r>
            <w:r>
              <w:rPr>
                <w:rFonts w:hint="eastAsia" w:ascii="Times New Roman" w:hAnsi="Times New Roman" w:eastAsia="宋体" w:cs="Times New Roman"/>
                <w:snapToGrid/>
                <w:color w:val="auto"/>
                <w:kern w:val="2"/>
                <w:sz w:val="21"/>
                <w:szCs w:val="21"/>
                <w:lang w:eastAsia="zh-CN"/>
              </w:rPr>
              <w:t>生物发酵产业区</w:t>
            </w:r>
            <w:r>
              <w:rPr>
                <w:rFonts w:hint="default" w:ascii="Times New Roman" w:hAnsi="Times New Roman" w:eastAsia="宋体" w:cs="Times New Roman"/>
                <w:snapToGrid/>
                <w:color w:val="auto"/>
                <w:kern w:val="2"/>
                <w:sz w:val="21"/>
                <w:szCs w:val="21"/>
                <w:lang w:eastAsia="zh-CN"/>
              </w:rPr>
              <w:t>，不在生态空间管制要求中的禁止建设区和限制建设区</w:t>
            </w:r>
          </w:p>
        </w:tc>
        <w:tc>
          <w:tcPr>
            <w:tcW w:w="941" w:type="dxa"/>
            <w:noWrap w:val="0"/>
            <w:vAlign w:val="center"/>
          </w:tcPr>
          <w:p w14:paraId="43944D8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相符</w:t>
            </w:r>
          </w:p>
        </w:tc>
      </w:tr>
      <w:tr w14:paraId="4708E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75" w:type="dxa"/>
            <w:noWrap w:val="0"/>
            <w:vAlign w:val="center"/>
          </w:tcPr>
          <w:p w14:paraId="472C72D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eastAsia="zh-CN"/>
              </w:rPr>
              <w:t>规划环评中“三线一单”管控要求</w:t>
            </w:r>
          </w:p>
        </w:tc>
        <w:tc>
          <w:tcPr>
            <w:tcW w:w="3495" w:type="dxa"/>
            <w:noWrap w:val="0"/>
            <w:vAlign w:val="center"/>
          </w:tcPr>
          <w:p w14:paraId="1E6521F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eastAsia="zh-CN"/>
              </w:rPr>
              <w:t>本项目</w:t>
            </w:r>
          </w:p>
        </w:tc>
        <w:tc>
          <w:tcPr>
            <w:tcW w:w="941" w:type="dxa"/>
            <w:noWrap w:val="0"/>
            <w:vAlign w:val="center"/>
          </w:tcPr>
          <w:p w14:paraId="516262E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相符</w:t>
            </w:r>
          </w:p>
        </w:tc>
      </w:tr>
      <w:tr w14:paraId="1E370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75" w:type="dxa"/>
            <w:noWrap w:val="0"/>
            <w:vAlign w:val="center"/>
          </w:tcPr>
          <w:p w14:paraId="66300F6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生态保护红线：</w:t>
            </w:r>
          </w:p>
          <w:p w14:paraId="0D4B6A8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黑龙江省暂未完成生态保护红线划定工作，根据《生态保护红线划定指南》（环办生态</w:t>
            </w:r>
            <w:r>
              <w:rPr>
                <w:rFonts w:hint="default" w:ascii="Times New Roman" w:hAnsi="Times New Roman" w:eastAsia="宋体" w:cs="Times New Roman"/>
                <w:snapToGrid/>
                <w:color w:val="auto"/>
                <w:kern w:val="2"/>
                <w:sz w:val="21"/>
                <w:szCs w:val="21"/>
                <w:lang w:val="en-US" w:eastAsia="zh-CN"/>
              </w:rPr>
              <w:t>[2017]48号</w:t>
            </w:r>
            <w:r>
              <w:rPr>
                <w:rFonts w:hint="default" w:ascii="Times New Roman" w:hAnsi="Times New Roman" w:eastAsia="宋体" w:cs="Times New Roman"/>
                <w:snapToGrid/>
                <w:color w:val="auto"/>
                <w:kern w:val="2"/>
                <w:sz w:val="21"/>
                <w:szCs w:val="21"/>
                <w:lang w:eastAsia="zh-CN"/>
              </w:rPr>
              <w:t>）：生态保护红线是生态空间范围内具有特殊重要生态功能、必须实行强制性严格保护的区域，是保障和维护国家生态安全的底线和生命线，通常包括重要水源涵养、生物多样性维护、水土保持、防风固沙、海岸生态稳定等功能的生态功能重要区域，以及水土流失、土地沙化、石漠化、盐渍化等生态环境敏感脆弱区域。</w:t>
            </w:r>
          </w:p>
          <w:p w14:paraId="584E008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eastAsia="zh-CN"/>
              </w:rPr>
              <w:t>布局选址：根据生态管控空间管制要求进行布局、选址。</w:t>
            </w:r>
          </w:p>
        </w:tc>
        <w:tc>
          <w:tcPr>
            <w:tcW w:w="3495" w:type="dxa"/>
            <w:noWrap w:val="0"/>
            <w:vAlign w:val="center"/>
          </w:tcPr>
          <w:p w14:paraId="6C0BC9B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本项目位于黑龙江省讷河市拉哈生物技术与化学制药产业园内北部园区，占地均为工业用地，项目所在区域不涉及自然保护区、森林公园、风景名胜区、世界文化自然遗产、地质公园和基本农田等，根据《生态保护红线划定指南》（环办生态</w:t>
            </w:r>
            <w:r>
              <w:rPr>
                <w:rFonts w:hint="default" w:ascii="Times New Roman" w:hAnsi="Times New Roman" w:eastAsia="宋体" w:cs="Times New Roman"/>
                <w:snapToGrid/>
                <w:color w:val="auto"/>
                <w:kern w:val="2"/>
                <w:sz w:val="21"/>
                <w:szCs w:val="21"/>
                <w:lang w:val="en-US" w:eastAsia="zh-CN"/>
              </w:rPr>
              <w:t>[2017]48号</w:t>
            </w:r>
            <w:r>
              <w:rPr>
                <w:rFonts w:hint="default" w:ascii="Times New Roman" w:hAnsi="Times New Roman" w:eastAsia="宋体" w:cs="Times New Roman"/>
                <w:snapToGrid/>
                <w:color w:val="auto"/>
                <w:kern w:val="2"/>
                <w:sz w:val="21"/>
                <w:szCs w:val="21"/>
                <w:lang w:eastAsia="zh-CN"/>
              </w:rPr>
              <w:t>），本项目选址处占地未涉及《黑龙江生态保护红线划定方案》中必须划定为生态保护红线的区域；选址不在生态空间管制要求中的禁止和限制建设区</w:t>
            </w:r>
          </w:p>
        </w:tc>
        <w:tc>
          <w:tcPr>
            <w:tcW w:w="941" w:type="dxa"/>
            <w:noWrap w:val="0"/>
            <w:vAlign w:val="center"/>
          </w:tcPr>
          <w:p w14:paraId="10BD3E1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相符</w:t>
            </w:r>
          </w:p>
        </w:tc>
      </w:tr>
      <w:tr w14:paraId="5A77B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75" w:type="dxa"/>
            <w:noWrap w:val="0"/>
            <w:vAlign w:val="center"/>
          </w:tcPr>
          <w:p w14:paraId="3727010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环境质量底线：</w:t>
            </w:r>
          </w:p>
          <w:p w14:paraId="68F73E4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大气环境：</w:t>
            </w:r>
            <w:r>
              <w:rPr>
                <w:rFonts w:hint="eastAsia" w:ascii="Times New Roman" w:hAnsi="Times New Roman" w:eastAsia="宋体" w:cs="Times New Roman"/>
                <w:snapToGrid/>
                <w:color w:val="auto"/>
                <w:kern w:val="2"/>
                <w:sz w:val="21"/>
                <w:szCs w:val="21"/>
                <w:lang w:val="en-US" w:eastAsia="zh-CN"/>
              </w:rPr>
              <w:t>《环境空气质量标准》（GB3095-2026）过度阶段浓度限值</w:t>
            </w:r>
            <w:r>
              <w:rPr>
                <w:rFonts w:hint="default" w:ascii="Times New Roman" w:hAnsi="Times New Roman" w:eastAsia="宋体" w:cs="Times New Roman"/>
                <w:snapToGrid/>
                <w:color w:val="auto"/>
                <w:kern w:val="2"/>
                <w:sz w:val="21"/>
                <w:szCs w:val="21"/>
                <w:lang w:val="en-US" w:eastAsia="zh-CN"/>
              </w:rPr>
              <w:t>二级标准</w:t>
            </w:r>
          </w:p>
          <w:p w14:paraId="3E0EA0C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地表水环境：《地表水环境质量标准》（GB3838-2002）中Ⅲ类标准</w:t>
            </w:r>
          </w:p>
          <w:p w14:paraId="2436422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地下水环境：《地下水质量标准》（GB/T14848-2017）中Ⅲ类标准</w:t>
            </w:r>
          </w:p>
          <w:p w14:paraId="1A22A81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土壤环境：《土壤环境质量 建设用地土壤污染风险管控标准（试行）》（GB36600-2018）第二类用地筛选值</w:t>
            </w:r>
          </w:p>
        </w:tc>
        <w:tc>
          <w:tcPr>
            <w:tcW w:w="3495" w:type="dxa"/>
            <w:noWrap w:val="0"/>
            <w:vAlign w:val="center"/>
          </w:tcPr>
          <w:p w14:paraId="6FBB2B9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大气环境：</w:t>
            </w:r>
            <w:r>
              <w:rPr>
                <w:rFonts w:hint="eastAsia" w:ascii="Times New Roman" w:hAnsi="Times New Roman" w:eastAsia="宋体" w:cs="Times New Roman"/>
                <w:snapToGrid/>
                <w:color w:val="auto"/>
                <w:kern w:val="2"/>
                <w:sz w:val="21"/>
                <w:szCs w:val="21"/>
                <w:lang w:val="en-US" w:eastAsia="zh-CN"/>
              </w:rPr>
              <w:t>《环境空气质量标准》（GB3095-2026）过度阶段浓度限值</w:t>
            </w:r>
            <w:r>
              <w:rPr>
                <w:rFonts w:hint="default" w:ascii="Times New Roman" w:hAnsi="Times New Roman" w:eastAsia="宋体" w:cs="Times New Roman"/>
                <w:snapToGrid/>
                <w:color w:val="auto"/>
                <w:kern w:val="2"/>
                <w:sz w:val="21"/>
                <w:szCs w:val="21"/>
                <w:lang w:val="en-US" w:eastAsia="zh-CN"/>
              </w:rPr>
              <w:t>二级标准</w:t>
            </w:r>
          </w:p>
          <w:p w14:paraId="28249D9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地表水环境：《地表水环境质量标准》（GB3838-2002）中Ⅲ类标准</w:t>
            </w:r>
          </w:p>
          <w:p w14:paraId="4FE12A9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地下水环境：《地下水质量标准》（GB/T14848-2017）中Ⅲ类标准</w:t>
            </w:r>
          </w:p>
          <w:p w14:paraId="79452A9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val="en-US" w:eastAsia="zh-CN"/>
              </w:rPr>
              <w:t>土壤环境：《土壤环境质量 建设用地土壤污染风险管控标准（试行）》（GB36600-2018）第二类用地筛选值</w:t>
            </w:r>
          </w:p>
        </w:tc>
        <w:tc>
          <w:tcPr>
            <w:tcW w:w="941" w:type="dxa"/>
            <w:noWrap w:val="0"/>
            <w:vAlign w:val="center"/>
          </w:tcPr>
          <w:p w14:paraId="639C362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相符</w:t>
            </w:r>
          </w:p>
        </w:tc>
      </w:tr>
      <w:tr w14:paraId="1B9F4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75" w:type="dxa"/>
            <w:noWrap w:val="0"/>
            <w:vAlign w:val="center"/>
          </w:tcPr>
          <w:p w14:paraId="5021444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eastAsia="zh-CN"/>
              </w:rPr>
              <w:t>资源利用上线：用水量上限：</w:t>
            </w:r>
            <w:r>
              <w:rPr>
                <w:rFonts w:hint="default" w:ascii="Times New Roman" w:hAnsi="Times New Roman" w:eastAsia="宋体" w:cs="Times New Roman"/>
                <w:snapToGrid/>
                <w:color w:val="auto"/>
                <w:kern w:val="2"/>
                <w:sz w:val="21"/>
                <w:szCs w:val="21"/>
                <w:lang w:val="en-US" w:eastAsia="zh-CN"/>
              </w:rPr>
              <w:t>85276.15t/d；土地资源总量上限：1552.65hm2；工业用地总量上限：1115.44hm2；</w:t>
            </w:r>
          </w:p>
        </w:tc>
        <w:tc>
          <w:tcPr>
            <w:tcW w:w="3495" w:type="dxa"/>
            <w:noWrap w:val="0"/>
            <w:vAlign w:val="center"/>
          </w:tcPr>
          <w:p w14:paraId="2F00D6E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cs="Times New Roman"/>
                <w:snapToGrid/>
                <w:color w:val="auto"/>
                <w:kern w:val="2"/>
                <w:sz w:val="21"/>
                <w:szCs w:val="21"/>
                <w:lang w:val="en-US" w:eastAsia="zh-CN"/>
              </w:rPr>
              <w:t>本项目</w:t>
            </w:r>
            <w:r>
              <w:rPr>
                <w:rFonts w:hint="eastAsia" w:ascii="Times New Roman" w:hAnsi="Times New Roman" w:eastAsia="宋体" w:cs="Times New Roman"/>
                <w:snapToGrid/>
                <w:color w:val="auto"/>
                <w:kern w:val="2"/>
                <w:sz w:val="21"/>
                <w:szCs w:val="21"/>
                <w:lang w:val="en-US" w:eastAsia="zh-CN"/>
              </w:rPr>
              <w:t>不新增用水或者未超过上限</w:t>
            </w:r>
          </w:p>
          <w:p w14:paraId="1548001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待园区净水厂建成后由园区统一供水</w:t>
            </w:r>
            <w:r>
              <w:rPr>
                <w:rFonts w:hint="default" w:ascii="Times New Roman" w:hAnsi="Times New Roman" w:eastAsia="宋体" w:cs="Times New Roman"/>
                <w:snapToGrid/>
                <w:color w:val="auto"/>
                <w:kern w:val="2"/>
                <w:sz w:val="21"/>
                <w:szCs w:val="21"/>
                <w:lang w:val="en-US" w:eastAsia="zh-CN"/>
              </w:rPr>
              <w:t>；未超过工业用地上限</w:t>
            </w:r>
          </w:p>
        </w:tc>
        <w:tc>
          <w:tcPr>
            <w:tcW w:w="941" w:type="dxa"/>
            <w:noWrap w:val="0"/>
            <w:vAlign w:val="center"/>
          </w:tcPr>
          <w:p w14:paraId="29B1C56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相符</w:t>
            </w:r>
          </w:p>
        </w:tc>
      </w:tr>
      <w:tr w14:paraId="458D0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575" w:type="dxa"/>
            <w:noWrap w:val="0"/>
            <w:vAlign w:val="center"/>
          </w:tcPr>
          <w:p w14:paraId="6638E7F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eastAsia="zh-CN"/>
              </w:rPr>
              <w:t>环境准入负面清单：《产业结构调整指导目录（</w:t>
            </w:r>
            <w:r>
              <w:rPr>
                <w:rFonts w:hint="default" w:ascii="Times New Roman" w:hAnsi="Times New Roman" w:eastAsia="宋体" w:cs="Times New Roman"/>
                <w:snapToGrid/>
                <w:color w:val="auto"/>
                <w:kern w:val="2"/>
                <w:sz w:val="21"/>
                <w:szCs w:val="21"/>
                <w:lang w:val="en-US" w:eastAsia="zh-CN"/>
              </w:rPr>
              <w:t>20</w:t>
            </w:r>
            <w:r>
              <w:rPr>
                <w:rFonts w:hint="eastAsia" w:ascii="Times New Roman" w:hAnsi="Times New Roman" w:eastAsia="宋体" w:cs="Times New Roman"/>
                <w:snapToGrid/>
                <w:color w:val="auto"/>
                <w:kern w:val="2"/>
                <w:sz w:val="21"/>
                <w:szCs w:val="21"/>
                <w:lang w:val="en-US" w:eastAsia="zh-CN"/>
              </w:rPr>
              <w:t>21</w:t>
            </w:r>
            <w:r>
              <w:rPr>
                <w:rFonts w:hint="default" w:ascii="Times New Roman" w:hAnsi="Times New Roman" w:eastAsia="宋体" w:cs="Times New Roman"/>
                <w:snapToGrid/>
                <w:color w:val="auto"/>
                <w:kern w:val="2"/>
                <w:sz w:val="21"/>
                <w:szCs w:val="21"/>
                <w:lang w:val="en-US" w:eastAsia="zh-CN"/>
              </w:rPr>
              <w:t>年本</w:t>
            </w:r>
            <w:r>
              <w:rPr>
                <w:rFonts w:hint="default" w:ascii="Times New Roman" w:hAnsi="Times New Roman" w:eastAsia="宋体" w:cs="Times New Roman"/>
                <w:snapToGrid/>
                <w:color w:val="auto"/>
                <w:kern w:val="2"/>
                <w:sz w:val="21"/>
                <w:szCs w:val="21"/>
                <w:lang w:eastAsia="zh-CN"/>
              </w:rPr>
              <w:t>）》中限制类产业和淘汰类产业；《外商投资产业指导目录（</w:t>
            </w:r>
            <w:r>
              <w:rPr>
                <w:rFonts w:hint="default" w:ascii="Times New Roman" w:hAnsi="Times New Roman" w:eastAsia="宋体" w:cs="Times New Roman"/>
                <w:snapToGrid/>
                <w:color w:val="auto"/>
                <w:kern w:val="2"/>
                <w:sz w:val="21"/>
                <w:szCs w:val="21"/>
                <w:lang w:val="en-US" w:eastAsia="zh-CN"/>
              </w:rPr>
              <w:t>2017年修订</w:t>
            </w:r>
            <w:r>
              <w:rPr>
                <w:rFonts w:hint="default" w:ascii="Times New Roman" w:hAnsi="Times New Roman" w:eastAsia="宋体" w:cs="Times New Roman"/>
                <w:snapToGrid/>
                <w:color w:val="auto"/>
                <w:kern w:val="2"/>
                <w:sz w:val="21"/>
                <w:szCs w:val="21"/>
                <w:lang w:eastAsia="zh-CN"/>
              </w:rPr>
              <w:t>）》中限制类和禁止投资产业；《环境保护综合名录》中涉及到的“高污染、高环境风险”产品名录；不符合《工业项目建设用地控制指标》（国土资发</w:t>
            </w:r>
            <w:r>
              <w:rPr>
                <w:rFonts w:hint="default" w:ascii="Times New Roman" w:hAnsi="Times New Roman" w:eastAsia="宋体" w:cs="Times New Roman"/>
                <w:snapToGrid/>
                <w:color w:val="auto"/>
                <w:kern w:val="2"/>
                <w:sz w:val="21"/>
                <w:szCs w:val="21"/>
                <w:lang w:val="en-US" w:eastAsia="zh-CN"/>
              </w:rPr>
              <w:t>[2008]24号</w:t>
            </w:r>
            <w:r>
              <w:rPr>
                <w:rFonts w:hint="default" w:ascii="Times New Roman" w:hAnsi="Times New Roman" w:eastAsia="宋体" w:cs="Times New Roman"/>
                <w:snapToGrid/>
                <w:color w:val="auto"/>
                <w:kern w:val="2"/>
                <w:sz w:val="21"/>
                <w:szCs w:val="21"/>
                <w:lang w:eastAsia="zh-CN"/>
              </w:rPr>
              <w:t>）中相关要求以及国家、省、市级相关文件要求的项目；入园项目评估中否定的项目，如不符合园区产业定位或国家相关产业政策或清洁生产妖气的项目，采用落后的生产工艺或生产设备的项目，排放的废水无法满足园区污水处理厂进水要求的项目，环境影响不可接受、环境风险和安全风险不可控的项目；污染物总量指标未落实的项目；高能耗、高污染和资源性行业；涉及重金属（铅、汞、镉、铬和类金属砷等）排放的项目</w:t>
            </w:r>
          </w:p>
        </w:tc>
        <w:tc>
          <w:tcPr>
            <w:tcW w:w="3495" w:type="dxa"/>
            <w:noWrap w:val="0"/>
            <w:vAlign w:val="center"/>
          </w:tcPr>
          <w:p w14:paraId="12A405B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本项目符合产业政策要求，不属于环境保护综合名录中的高污染、高环境风险产品名录中的项目；本项目生产工艺均采用目前国内成熟的生产技术，在保证产品质量的前提下采取有效的节能降耗和节约用水措施，废物回用率较高，污染物排放均能达标排放，整个过程实现了资源化、减量化和无害化，在许多方面贯彻体现了清洁生产的原则，清洁生产水平可以达到国内先进水平，符合清洁生产原则；</w:t>
            </w:r>
            <w:r>
              <w:rPr>
                <w:rFonts w:hint="eastAsia" w:cs="Times New Roman"/>
                <w:snapToGrid/>
                <w:color w:val="auto"/>
                <w:kern w:val="2"/>
                <w:sz w:val="21"/>
                <w:szCs w:val="21"/>
                <w:lang w:val="en-US" w:eastAsia="zh-CN"/>
              </w:rPr>
              <w:t>本项目</w:t>
            </w:r>
            <w:r>
              <w:rPr>
                <w:rFonts w:hint="default" w:ascii="Times New Roman" w:hAnsi="Times New Roman" w:eastAsia="宋体" w:cs="Times New Roman"/>
                <w:snapToGrid/>
                <w:color w:val="auto"/>
                <w:kern w:val="2"/>
                <w:sz w:val="21"/>
                <w:szCs w:val="21"/>
                <w:lang w:eastAsia="zh-CN"/>
              </w:rPr>
              <w:t>不涉及重金属排放</w:t>
            </w:r>
            <w:r>
              <w:rPr>
                <w:rFonts w:hint="eastAsia" w:ascii="Times New Roman" w:hAnsi="Times New Roman" w:eastAsia="宋体" w:cs="Times New Roman"/>
                <w:snapToGrid/>
                <w:color w:val="auto"/>
                <w:kern w:val="2"/>
                <w:sz w:val="21"/>
                <w:szCs w:val="21"/>
                <w:lang w:eastAsia="zh-CN"/>
              </w:rPr>
              <w:t>。</w:t>
            </w:r>
          </w:p>
        </w:tc>
        <w:tc>
          <w:tcPr>
            <w:tcW w:w="941" w:type="dxa"/>
            <w:noWrap w:val="0"/>
            <w:vAlign w:val="center"/>
          </w:tcPr>
          <w:p w14:paraId="7EDD369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eastAsia="zh-CN"/>
              </w:rPr>
            </w:pPr>
            <w:r>
              <w:rPr>
                <w:rFonts w:hint="default" w:ascii="Times New Roman" w:hAnsi="Times New Roman" w:eastAsia="宋体" w:cs="Times New Roman"/>
                <w:snapToGrid/>
                <w:color w:val="auto"/>
                <w:kern w:val="2"/>
                <w:sz w:val="21"/>
                <w:szCs w:val="21"/>
                <w:lang w:eastAsia="zh-CN"/>
              </w:rPr>
              <w:t>相符</w:t>
            </w:r>
          </w:p>
        </w:tc>
      </w:tr>
    </w:tbl>
    <w:p w14:paraId="47347FD6">
      <w:pPr>
        <w:pStyle w:val="5"/>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1.4.3.</w:t>
      </w:r>
      <w:r>
        <w:rPr>
          <w:rFonts w:hint="eastAsia" w:eastAsia="宋体" w:cs="Times New Roman"/>
          <w:lang w:val="en-US" w:eastAsia="zh-CN"/>
        </w:rPr>
        <w:t>10</w:t>
      </w:r>
      <w:r>
        <w:rPr>
          <w:rFonts w:hint="eastAsia" w:ascii="Times New Roman" w:hAnsi="Times New Roman" w:eastAsia="宋体" w:cs="Times New Roman"/>
          <w:lang w:val="en-US" w:eastAsia="zh-CN"/>
        </w:rPr>
        <w:t xml:space="preserve"> 与规划环评审查意见的符合性分析</w:t>
      </w:r>
    </w:p>
    <w:p w14:paraId="5FCFCE18">
      <w:pPr>
        <w:pStyle w:val="331"/>
        <w:adjustRightInd w:val="0"/>
        <w:snapToGrid w:val="0"/>
        <w:spacing w:line="360" w:lineRule="auto"/>
        <w:ind w:firstLine="480" w:firstLineChars="200"/>
        <w:rPr>
          <w:rFonts w:hint="default" w:ascii="Times New Roman" w:hAnsi="Times New Roman" w:eastAsia="宋体" w:cs="Times New Roman"/>
          <w:sz w:val="24"/>
          <w:szCs w:val="24"/>
          <w:lang w:val="en-US" w:eastAsia="zh-CN" w:bidi="ar"/>
        </w:rPr>
      </w:pPr>
      <w:r>
        <w:rPr>
          <w:rFonts w:hint="eastAsia" w:ascii="宋体" w:hAnsi="宋体" w:cs="宋体"/>
          <w:color w:val="auto"/>
          <w:sz w:val="24"/>
          <w:szCs w:val="22"/>
          <w:lang w:eastAsia="zh-CN"/>
        </w:rPr>
        <w:t>《</w:t>
      </w:r>
      <w:r>
        <w:rPr>
          <w:rFonts w:hint="eastAsia" w:ascii="Times New Roman" w:hAnsi="Times New Roman" w:cs="Times New Roman"/>
          <w:sz w:val="24"/>
          <w:szCs w:val="24"/>
          <w:lang w:val="en-US" w:eastAsia="zh-CN" w:bidi="ar"/>
        </w:rPr>
        <w:t>黑龙江讷河经济开发区拉哈生物技术与化学制药产业园总体规划（2021-2035）</w:t>
      </w:r>
      <w:r>
        <w:rPr>
          <w:rFonts w:hint="eastAsia" w:ascii="Times New Roman" w:hAnsi="Times New Roman" w:eastAsia="宋体" w:cs="Times New Roman"/>
          <w:sz w:val="24"/>
          <w:szCs w:val="24"/>
          <w:lang w:val="en-US" w:eastAsia="zh-CN" w:bidi="ar"/>
        </w:rPr>
        <w:t>》于2020年7月3日取得齐齐哈尔市生态环境局审查意见（齐环函[2020]47号），其中第五条对规划包含的项目环评的意见：规划中所包含的项目，在开展环境影响评价时，应符合规划产业定位，加强环境风险评价内容，与有关规划的符合性分析、环境质量现状调查等方面的内容可适当简化。</w:t>
      </w:r>
    </w:p>
    <w:p w14:paraId="11F0C8A6">
      <w:pPr>
        <w:pStyle w:val="331"/>
        <w:adjustRightInd w:val="0"/>
        <w:snapToGrid w:val="0"/>
        <w:spacing w:line="360" w:lineRule="auto"/>
        <w:ind w:firstLine="480" w:firstLineChars="200"/>
        <w:rPr>
          <w:rFonts w:hint="eastAsia" w:ascii="Times New Roman" w:hAnsi="Times New Roman" w:eastAsia="宋体" w:cs="Times New Roman"/>
          <w:sz w:val="24"/>
          <w:szCs w:val="24"/>
          <w:lang w:val="en-US" w:eastAsia="zh-CN" w:bidi="ar"/>
        </w:rPr>
      </w:pPr>
      <w:r>
        <w:rPr>
          <w:rFonts w:hint="eastAsia" w:ascii="Times New Roman" w:hAnsi="Times New Roman" w:eastAsia="宋体" w:cs="Times New Roman"/>
          <w:sz w:val="24"/>
          <w:szCs w:val="24"/>
          <w:lang w:val="en-US" w:eastAsia="zh-CN" w:bidi="ar"/>
        </w:rPr>
        <w:t>根据前面与《</w:t>
      </w:r>
      <w:r>
        <w:rPr>
          <w:rFonts w:hint="eastAsia" w:ascii="Times New Roman" w:hAnsi="Times New Roman" w:cs="Times New Roman"/>
          <w:sz w:val="24"/>
          <w:szCs w:val="24"/>
          <w:lang w:val="en-US" w:eastAsia="zh-CN" w:bidi="ar"/>
        </w:rPr>
        <w:t>黑龙江讷河经济开发区拉哈生物技术与化学制药产业园总体规划（2021-2035）</w:t>
      </w:r>
      <w:r>
        <w:rPr>
          <w:rFonts w:hint="eastAsia" w:ascii="Times New Roman" w:hAnsi="Times New Roman" w:eastAsia="宋体" w:cs="Times New Roman"/>
          <w:sz w:val="24"/>
          <w:szCs w:val="24"/>
          <w:lang w:val="en-US" w:eastAsia="zh-CN" w:bidi="ar"/>
        </w:rPr>
        <w:t>》符合性分析，本项目符合园区产业定位，本次评价加强环境风险评价内容，符合规划环评审查意见要求。</w:t>
      </w:r>
    </w:p>
    <w:p w14:paraId="345918F1">
      <w:pPr>
        <w:pStyle w:val="5"/>
        <w:rPr>
          <w:rFonts w:hint="eastAsia" w:ascii="Times New Roman" w:hAnsi="Times New Roman" w:eastAsia="宋体" w:cs="Times New Roman"/>
          <w:color w:val="auto"/>
          <w:lang w:val="en-US" w:eastAsia="zh-CN"/>
        </w:rPr>
      </w:pPr>
      <w:bookmarkStart w:id="48" w:name="_Toc1445"/>
      <w:bookmarkStart w:id="49" w:name="bookmark48"/>
      <w:bookmarkStart w:id="50" w:name="bookmark47"/>
      <w:bookmarkStart w:id="51" w:name="bookmark46"/>
      <w:bookmarkStart w:id="52" w:name="bookmark45"/>
      <w:r>
        <w:rPr>
          <w:rFonts w:hint="default" w:ascii="Times New Roman" w:hAnsi="Times New Roman" w:eastAsia="宋体" w:cs="Times New Roman"/>
          <w:color w:val="auto"/>
          <w:lang w:val="en-US" w:eastAsia="zh-CN"/>
        </w:rPr>
        <w:t>1.4.3</w:t>
      </w:r>
      <w:r>
        <w:rPr>
          <w:rFonts w:hint="eastAsia" w:ascii="Times New Roman" w:hAnsi="Times New Roman" w:eastAsia="宋体" w:cs="Times New Roman"/>
          <w:color w:val="auto"/>
          <w:lang w:val="en-US" w:eastAsia="zh-CN"/>
        </w:rPr>
        <w:t>.</w:t>
      </w:r>
      <w:r>
        <w:rPr>
          <w:rFonts w:hint="eastAsia" w:eastAsia="宋体" w:cs="Times New Roman"/>
          <w:color w:val="auto"/>
          <w:lang w:val="en-US" w:eastAsia="zh-CN"/>
        </w:rPr>
        <w:t>11</w:t>
      </w:r>
      <w:r>
        <w:rPr>
          <w:rFonts w:hint="eastAsia" w:ascii="Times New Roman" w:hAnsi="Times New Roman" w:eastAsia="宋体" w:cs="Times New Roman"/>
          <w:color w:val="auto"/>
          <w:lang w:val="en-US" w:eastAsia="zh-CN"/>
        </w:rPr>
        <w:t>与“生态环境分区管控”的符合性分析</w:t>
      </w:r>
    </w:p>
    <w:p w14:paraId="69206B3A">
      <w:pPr>
        <w:pageBreakBefore w:val="0"/>
        <w:widowControl w:val="0"/>
        <w:kinsoku/>
        <w:wordWrap/>
        <w:overflowPunct/>
        <w:topLinePunct w:val="0"/>
        <w:bidi w:val="0"/>
        <w:spacing w:line="360" w:lineRule="auto"/>
        <w:ind w:firstLine="480"/>
        <w:rPr>
          <w:rFonts w:hint="eastAsia" w:ascii="Times New Roman" w:cs="Times New Roman"/>
          <w:color w:val="auto"/>
          <w:lang w:eastAsia="zh-CN"/>
        </w:rPr>
      </w:pPr>
      <w:r>
        <w:rPr>
          <w:rFonts w:hint="eastAsia" w:ascii="Times New Roman" w:hAnsi="Times New Roman" w:cs="Times New Roman"/>
          <w:color w:val="auto"/>
        </w:rPr>
        <w:t>本项目位于</w:t>
      </w:r>
      <w:r>
        <w:rPr>
          <w:rFonts w:hint="eastAsia" w:cs="Times New Roman"/>
          <w:color w:val="auto"/>
          <w:lang w:eastAsia="zh-CN"/>
        </w:rPr>
        <w:t>拉哈生物技术与化学制药产业园黑龙江鸿展生物科技股份有限公司院内</w:t>
      </w:r>
      <w:r>
        <w:rPr>
          <w:rFonts w:hint="eastAsia" w:ascii="Times New Roman" w:hAnsi="Times New Roman" w:cs="Times New Roman"/>
          <w:color w:val="auto"/>
        </w:rPr>
        <w:t>，根据黑龙江省生态环境分区管控数据应用平台查询结果，</w:t>
      </w:r>
      <w:r>
        <w:rPr>
          <w:rFonts w:hint="eastAsia" w:ascii="Times New Roman" w:cs="Times New Roman"/>
          <w:color w:val="auto"/>
          <w:lang w:eastAsia="zh-CN"/>
        </w:rPr>
        <w:t>所在区域属于</w:t>
      </w:r>
      <w:r>
        <w:rPr>
          <w:color w:val="auto"/>
          <w:spacing w:val="-1"/>
        </w:rPr>
        <w:t>拉哈生物技术与化学制</w:t>
      </w:r>
      <w:r>
        <w:rPr>
          <w:color w:val="auto"/>
          <w:spacing w:val="-3"/>
        </w:rPr>
        <w:t>药产业园</w:t>
      </w:r>
      <w:r>
        <w:rPr>
          <w:rFonts w:hint="eastAsia" w:ascii="Times New Roman" w:cs="Times New Roman"/>
          <w:color w:val="auto"/>
          <w:lang w:val="en-US" w:eastAsia="zh-CN"/>
        </w:rPr>
        <w:t>-</w:t>
      </w:r>
      <w:r>
        <w:rPr>
          <w:color w:val="auto"/>
          <w:spacing w:val="-2"/>
        </w:rPr>
        <w:t>重点管控单元</w:t>
      </w:r>
      <w:r>
        <w:rPr>
          <w:rFonts w:hint="eastAsia" w:ascii="Times New Roman" w:cs="Times New Roman"/>
          <w:color w:val="auto"/>
          <w:lang w:eastAsia="zh-CN"/>
        </w:rPr>
        <w:t>（</w:t>
      </w:r>
      <w:r>
        <w:rPr>
          <w:rFonts w:hint="eastAsia" w:cs="Times New Roman"/>
          <w:color w:val="auto"/>
          <w:lang w:eastAsia="zh-CN"/>
        </w:rPr>
        <w:t>ZH23028120003</w:t>
      </w:r>
      <w:r>
        <w:rPr>
          <w:rFonts w:hint="eastAsia" w:ascii="Times New Roman" w:cs="Times New Roman"/>
          <w:color w:val="auto"/>
          <w:lang w:eastAsia="zh-CN"/>
        </w:rPr>
        <w:t>）。</w:t>
      </w:r>
    </w:p>
    <w:p w14:paraId="65F9213E">
      <w:pPr>
        <w:pageBreakBefore w:val="0"/>
        <w:widowControl w:val="0"/>
        <w:kinsoku/>
        <w:wordWrap/>
        <w:overflowPunct/>
        <w:topLinePunct w:val="0"/>
        <w:bidi w:val="0"/>
        <w:spacing w:line="360" w:lineRule="auto"/>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（1）一图</w:t>
      </w:r>
    </w:p>
    <w:p w14:paraId="276D582E">
      <w:pPr>
        <w:pageBreakBefore w:val="0"/>
        <w:widowControl w:val="0"/>
        <w:kinsoku/>
        <w:wordWrap/>
        <w:overflowPunct/>
        <w:topLinePunct w:val="0"/>
        <w:bidi w:val="0"/>
        <w:spacing w:line="360" w:lineRule="auto"/>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根据《</w:t>
      </w:r>
      <w:r>
        <w:rPr>
          <w:rFonts w:hint="eastAsia" w:ascii="Times New Roman" w:hAnsi="Times New Roman" w:cs="Times New Roman"/>
          <w:color w:val="auto"/>
        </w:rPr>
        <w:t>黑龙江鸿展生物科技股份有限公司年产70万吨医用酒精技术改造</w:t>
      </w:r>
      <w:r>
        <w:rPr>
          <w:rFonts w:hint="eastAsia" w:ascii="Times New Roman" w:hAnsi="Times New Roman" w:cs="Times New Roman"/>
          <w:color w:val="auto"/>
          <w:lang w:eastAsia="zh-CN"/>
        </w:rPr>
        <w:t>项目</w:t>
      </w:r>
      <w:r>
        <w:rPr>
          <w:rFonts w:hint="eastAsia" w:ascii="Times New Roman" w:hAnsi="Times New Roman" w:cs="Times New Roman"/>
          <w:color w:val="auto"/>
          <w:lang w:val="en-US" w:eastAsia="zh-CN"/>
        </w:rPr>
        <w:t>生态环境分区管控分析报告》，本项目所在区域属于</w:t>
      </w:r>
      <w:r>
        <w:rPr>
          <w:rFonts w:hint="eastAsia" w:ascii="Times New Roman" w:cs="Times New Roman"/>
          <w:color w:val="auto"/>
          <w:lang w:eastAsia="zh-CN"/>
        </w:rPr>
        <w:t>属于</w:t>
      </w:r>
      <w:r>
        <w:rPr>
          <w:color w:val="auto"/>
          <w:spacing w:val="-1"/>
        </w:rPr>
        <w:t>拉哈生物技术与化学制</w:t>
      </w:r>
      <w:r>
        <w:rPr>
          <w:color w:val="auto"/>
          <w:spacing w:val="-3"/>
        </w:rPr>
        <w:t>药产业园</w:t>
      </w:r>
      <w:r>
        <w:rPr>
          <w:rFonts w:hint="eastAsia" w:ascii="Times New Roman" w:cs="Times New Roman"/>
          <w:color w:val="auto"/>
          <w:lang w:val="en-US" w:eastAsia="zh-CN"/>
        </w:rPr>
        <w:t>-</w:t>
      </w:r>
      <w:r>
        <w:rPr>
          <w:color w:val="auto"/>
          <w:spacing w:val="-2"/>
        </w:rPr>
        <w:t>重点管控单元</w:t>
      </w:r>
      <w:r>
        <w:rPr>
          <w:rFonts w:hint="eastAsia" w:ascii="Times New Roman" w:cs="Times New Roman"/>
          <w:color w:val="auto"/>
          <w:lang w:eastAsia="zh-CN"/>
        </w:rPr>
        <w:t>（</w:t>
      </w:r>
      <w:r>
        <w:rPr>
          <w:rFonts w:hint="eastAsia" w:cs="Times New Roman"/>
          <w:color w:val="auto"/>
          <w:lang w:eastAsia="zh-CN"/>
        </w:rPr>
        <w:t>ZH23028120003</w:t>
      </w:r>
      <w:r>
        <w:rPr>
          <w:rFonts w:hint="eastAsia" w:ascii="Times New Roman" w:cs="Times New Roman"/>
          <w:color w:val="auto"/>
          <w:lang w:eastAsia="zh-CN"/>
        </w:rPr>
        <w:t>）</w:t>
      </w:r>
      <w:r>
        <w:rPr>
          <w:rFonts w:hint="eastAsia" w:ascii="Times New Roman" w:hAnsi="Times New Roman" w:cs="Times New Roman"/>
          <w:color w:val="auto"/>
          <w:lang w:val="en-US" w:eastAsia="zh-CN"/>
        </w:rPr>
        <w:t>。</w:t>
      </w:r>
    </w:p>
    <w:p w14:paraId="30C68366">
      <w:pPr>
        <w:autoSpaceDE w:val="0"/>
        <w:autoSpaceDN w:val="0"/>
        <w:adjustRightInd w:val="0"/>
        <w:snapToGrid w:val="0"/>
        <w:spacing w:line="360" w:lineRule="auto"/>
        <w:jc w:val="both"/>
        <w:rPr>
          <w:rFonts w:hint="eastAsia" w:ascii="Times New Roman" w:hAnsi="Times New Roman" w:eastAsia="宋体" w:cs="Times New Roman"/>
          <w:b/>
          <w:bCs/>
          <w:color w:val="auto"/>
          <w:sz w:val="24"/>
          <w:highlight w:val="none"/>
          <w:lang w:val="en-US" w:eastAsia="zh-CN"/>
        </w:rPr>
      </w:pPr>
      <w:r>
        <w:rPr>
          <w:color w:val="auto"/>
          <w:position w:val="-137"/>
        </w:rPr>
        <w:drawing>
          <wp:inline distT="0" distB="0" distL="0" distR="0">
            <wp:extent cx="5450205" cy="3153410"/>
            <wp:effectExtent l="0" t="0" r="17145" b="8890"/>
            <wp:docPr id="58" name="IM 4"/>
            <wp:cNvGraphicFramePr/>
            <a:graphic xmlns:a="http://schemas.openxmlformats.org/drawingml/2006/main">
              <a:graphicData uri="http://schemas.openxmlformats.org/drawingml/2006/picture">
                <pic:pic xmlns:pic="http://schemas.openxmlformats.org/drawingml/2006/picture">
                  <pic:nvPicPr>
                    <pic:cNvPr id="58" name="IM 4"/>
                    <pic:cNvPicPr/>
                  </pic:nvPicPr>
                  <pic:blipFill>
                    <a:blip r:embed="rId25"/>
                    <a:stretch>
                      <a:fillRect/>
                    </a:stretch>
                  </pic:blipFill>
                  <pic:spPr>
                    <a:xfrm>
                      <a:off x="0" y="0"/>
                      <a:ext cx="5450205" cy="3153410"/>
                    </a:xfrm>
                    <a:prstGeom prst="rect">
                      <a:avLst/>
                    </a:prstGeom>
                  </pic:spPr>
                </pic:pic>
              </a:graphicData>
            </a:graphic>
          </wp:inline>
        </w:drawing>
      </w:r>
    </w:p>
    <w:p w14:paraId="24BE8C84">
      <w:pPr>
        <w:pStyle w:val="514"/>
        <w:spacing w:line="500" w:lineRule="exact"/>
        <w:ind w:firstLine="1896" w:firstLineChars="800"/>
        <w:jc w:val="left"/>
        <w:rPr>
          <w:rFonts w:hint="eastAsia" w:ascii="Times New Roman" w:hAnsi="Times New Roman" w:eastAsia="宋体" w:cs="Times New Roman"/>
          <w:color w:val="auto"/>
          <w:w w:val="99"/>
          <w:highlight w:val="none"/>
        </w:rPr>
      </w:pPr>
      <w:r>
        <w:rPr>
          <w:rFonts w:hint="eastAsia" w:ascii="Times New Roman" w:hAnsi="Times New Roman" w:eastAsia="宋体" w:cs="Times New Roman"/>
          <w:color w:val="auto"/>
          <w:w w:val="99"/>
          <w:highlight w:val="none"/>
        </w:rPr>
        <w:t>图 1-1    环境分区管控图</w:t>
      </w:r>
    </w:p>
    <w:p w14:paraId="6198387E">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（2）一表</w:t>
      </w:r>
    </w:p>
    <w:p w14:paraId="47ECC935">
      <w:pPr>
        <w:autoSpaceDE w:val="0"/>
        <w:autoSpaceDN w:val="0"/>
        <w:adjustRightInd w:val="0"/>
        <w:snapToGrid w:val="0"/>
        <w:spacing w:line="360" w:lineRule="auto"/>
        <w:ind w:firstLine="480" w:firstLineChars="200"/>
        <w:jc w:val="left"/>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根据查阅黑龙江省“生态环境分区管控平台”《</w:t>
      </w:r>
      <w:r>
        <w:rPr>
          <w:rFonts w:hint="eastAsia" w:ascii="Times New Roman" w:hAnsi="Times New Roman" w:cs="Times New Roman"/>
          <w:color w:val="auto"/>
        </w:rPr>
        <w:t>黑龙江鸿展生物科技股份有限公司年产 70 万吨医用酒精技术改造</w:t>
      </w:r>
      <w:r>
        <w:rPr>
          <w:rFonts w:hint="eastAsia" w:ascii="Times New Roman" w:hAnsi="Times New Roman" w:cs="Times New Roman"/>
          <w:color w:val="auto"/>
          <w:lang w:eastAsia="zh-CN"/>
        </w:rPr>
        <w:t>项目</w:t>
      </w:r>
      <w:r>
        <w:rPr>
          <w:rFonts w:hint="eastAsia" w:ascii="Times New Roman" w:hAnsi="Times New Roman" w:cs="Times New Roman"/>
          <w:color w:val="auto"/>
          <w:lang w:val="en-US" w:eastAsia="zh-CN"/>
        </w:rPr>
        <w:t>生态环境分区管控分析报告</w:t>
      </w:r>
      <w:r>
        <w:rPr>
          <w:rFonts w:hint="eastAsia" w:ascii="Times New Roman" w:hAnsi="Times New Roman" w:eastAsia="宋体" w:cs="Times New Roman"/>
          <w:color w:val="auto"/>
          <w:sz w:val="24"/>
          <w:highlight w:val="none"/>
          <w:lang w:val="en-US" w:eastAsia="zh-CN"/>
        </w:rPr>
        <w:t>》 及</w:t>
      </w:r>
      <w:r>
        <w:rPr>
          <w:rFonts w:hint="eastAsia" w:ascii="Times New Roman" w:cs="Times New Roman"/>
          <w:color w:val="auto"/>
          <w:sz w:val="24"/>
          <w:highlight w:val="none"/>
          <w:lang w:val="en-US" w:eastAsia="zh-CN"/>
        </w:rPr>
        <w:t>齐齐哈尔</w:t>
      </w:r>
      <w:r>
        <w:rPr>
          <w:rFonts w:hint="eastAsia" w:ascii="Times New Roman" w:hAnsi="Times New Roman" w:eastAsia="宋体" w:cs="Times New Roman"/>
          <w:color w:val="auto"/>
          <w:sz w:val="24"/>
          <w:highlight w:val="none"/>
          <w:lang w:val="en-US" w:eastAsia="zh-CN"/>
        </w:rPr>
        <w:t>市生态环境准入清单（2023年版），生态环境准入清单详见表1</w:t>
      </w:r>
      <w:r>
        <w:rPr>
          <w:rFonts w:hint="eastAsia" w:ascii="Times New Roman"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，与</w:t>
      </w:r>
      <w:r>
        <w:rPr>
          <w:rFonts w:hint="eastAsia" w:cs="Times New Roman"/>
          <w:color w:val="auto"/>
          <w:sz w:val="24"/>
          <w:highlight w:val="none"/>
          <w:lang w:val="en-US" w:eastAsia="zh-CN"/>
        </w:rPr>
        <w:t>讷河市</w:t>
      </w:r>
      <w:r>
        <w:rPr>
          <w:rFonts w:hint="eastAsia" w:ascii="Times New Roman" w:hAnsi="Times New Roman" w:eastAsia="宋体" w:cs="Times New Roman"/>
          <w:color w:val="auto"/>
          <w:sz w:val="24"/>
          <w:highlight w:val="none"/>
          <w:lang w:val="en-US" w:eastAsia="zh-CN"/>
        </w:rPr>
        <w:t>地下水环境分区管控要求符合性分析见表1</w:t>
      </w:r>
      <w:r>
        <w:rPr>
          <w:rFonts w:hint="eastAsia" w:ascii="Times New Roman"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4</w:t>
      </w:r>
      <w:r>
        <w:rPr>
          <w:rFonts w:hint="eastAsia" w:ascii="Times New Roman" w:hAnsi="Times New Roman" w:eastAsia="宋体" w:cs="Times New Roman"/>
          <w:color w:val="auto"/>
          <w:sz w:val="24"/>
          <w:highlight w:val="none"/>
          <w:lang w:val="en-US" w:eastAsia="zh-CN"/>
        </w:rPr>
        <w:t>。</w:t>
      </w:r>
    </w:p>
    <w:p w14:paraId="16DD271F">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auto"/>
          <w:kern w:val="2"/>
          <w:sz w:val="24"/>
          <w:szCs w:val="24"/>
          <w:lang w:val="zh-CN"/>
        </w:rPr>
      </w:pPr>
      <w:r>
        <w:rPr>
          <w:rFonts w:hint="default" w:ascii="Times New Roman" w:hAnsi="Times New Roman" w:eastAsia="宋体" w:cs="Times New Roman"/>
          <w:b/>
          <w:bCs/>
          <w:color w:val="auto"/>
          <w:kern w:val="2"/>
          <w:sz w:val="24"/>
          <w:szCs w:val="24"/>
          <w:lang w:val="zh-CN"/>
        </w:rPr>
        <w:t>表</w:t>
      </w:r>
      <w:r>
        <w:rPr>
          <w:rFonts w:hint="default" w:ascii="Times New Roman" w:hAnsi="Times New Roman" w:eastAsia="宋体" w:cs="Times New Roman"/>
          <w:b/>
          <w:bCs/>
          <w:color w:val="auto"/>
          <w:kern w:val="2"/>
          <w:sz w:val="24"/>
          <w:szCs w:val="24"/>
          <w:lang w:val="en-US" w:eastAsia="zh-CN"/>
        </w:rPr>
        <w:t>1.4-</w:t>
      </w:r>
      <w:r>
        <w:rPr>
          <w:rFonts w:hint="eastAsia" w:cs="Times New Roman"/>
          <w:b/>
          <w:bCs/>
          <w:color w:val="auto"/>
          <w:kern w:val="2"/>
          <w:sz w:val="24"/>
          <w:szCs w:val="24"/>
          <w:lang w:val="en-US" w:eastAsia="zh-CN"/>
        </w:rPr>
        <w:t>3</w:t>
      </w:r>
      <w:r>
        <w:rPr>
          <w:rFonts w:hint="default" w:ascii="Times New Roman" w:hAnsi="Times New Roman" w:eastAsia="宋体" w:cs="Times New Roman"/>
          <w:b/>
          <w:bCs/>
          <w:color w:val="auto"/>
          <w:kern w:val="2"/>
          <w:sz w:val="24"/>
          <w:szCs w:val="24"/>
          <w:lang w:val="zh-CN"/>
        </w:rPr>
        <w:t>环境分区管控要求符合性分析</w:t>
      </w:r>
    </w:p>
    <w:tbl>
      <w:tblPr>
        <w:tblStyle w:val="500"/>
        <w:tblW w:w="8877" w:type="dxa"/>
        <w:tblInd w:w="10" w:type="dxa"/>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Layout w:type="fixed"/>
        <w:tblCellMar>
          <w:top w:w="0" w:type="dxa"/>
          <w:left w:w="0" w:type="dxa"/>
          <w:bottom w:w="0" w:type="dxa"/>
          <w:right w:w="0" w:type="dxa"/>
        </w:tblCellMar>
      </w:tblPr>
      <w:tblGrid>
        <w:gridCol w:w="836"/>
        <w:gridCol w:w="829"/>
        <w:gridCol w:w="610"/>
        <w:gridCol w:w="5229"/>
        <w:gridCol w:w="1373"/>
      </w:tblGrid>
      <w:tr w14:paraId="65136223">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637" w:hRule="atLeast"/>
        </w:trPr>
        <w:tc>
          <w:tcPr>
            <w:tcW w:w="836" w:type="dxa"/>
            <w:tcBorders>
              <w:tl2br w:val="nil"/>
              <w:tr2bl w:val="nil"/>
            </w:tcBorders>
            <w:vAlign w:val="center"/>
          </w:tcPr>
          <w:p w14:paraId="48623F9B">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环境管控单元编码</w:t>
            </w:r>
          </w:p>
        </w:tc>
        <w:tc>
          <w:tcPr>
            <w:tcW w:w="829" w:type="dxa"/>
            <w:tcBorders>
              <w:tl2br w:val="nil"/>
              <w:tr2bl w:val="nil"/>
            </w:tcBorders>
            <w:vAlign w:val="center"/>
          </w:tcPr>
          <w:p w14:paraId="700AA67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环境管控单元名称</w:t>
            </w:r>
          </w:p>
        </w:tc>
        <w:tc>
          <w:tcPr>
            <w:tcW w:w="610" w:type="dxa"/>
            <w:tcBorders>
              <w:tl2br w:val="nil"/>
              <w:tr2bl w:val="nil"/>
            </w:tcBorders>
            <w:vAlign w:val="center"/>
          </w:tcPr>
          <w:p w14:paraId="4AC14413">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管控单元分类</w:t>
            </w:r>
          </w:p>
        </w:tc>
        <w:tc>
          <w:tcPr>
            <w:tcW w:w="5229" w:type="dxa"/>
            <w:tcBorders>
              <w:tl2br w:val="nil"/>
              <w:tr2bl w:val="nil"/>
            </w:tcBorders>
            <w:vAlign w:val="center"/>
          </w:tcPr>
          <w:p w14:paraId="01154F53">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管控要求</w:t>
            </w:r>
          </w:p>
        </w:tc>
        <w:tc>
          <w:tcPr>
            <w:tcW w:w="1373" w:type="dxa"/>
            <w:tcBorders>
              <w:tl2br w:val="nil"/>
              <w:tr2bl w:val="nil"/>
            </w:tcBorders>
            <w:shd w:val="clear" w:color="auto" w:fill="auto"/>
            <w:vAlign w:val="center"/>
          </w:tcPr>
          <w:p w14:paraId="7E57C300">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spacing w:val="-3"/>
                <w:kern w:val="0"/>
                <w:sz w:val="21"/>
                <w:szCs w:val="21"/>
                <w:lang w:val="en-US" w:eastAsia="zh-CN" w:bidi="ar-SA"/>
              </w:rPr>
            </w:pPr>
            <w:r>
              <w:rPr>
                <w:rFonts w:hint="default" w:ascii="Times New Roman" w:hAnsi="Times New Roman" w:eastAsia="宋体" w:cs="Times New Roman"/>
                <w:b/>
                <w:bCs/>
                <w:color w:val="auto"/>
                <w:spacing w:val="-3"/>
                <w:kern w:val="0"/>
                <w:sz w:val="21"/>
                <w:szCs w:val="21"/>
                <w:lang w:val="en-US" w:eastAsia="zh-CN"/>
              </w:rPr>
              <w:t>本项目符合性分析</w:t>
            </w:r>
          </w:p>
        </w:tc>
      </w:tr>
      <w:tr w14:paraId="3ED63B08">
        <w:tblPrEx>
          <w:tblBorders>
            <w:top w:val="single" w:color="auto" w:sz="4" w:space="0"/>
            <w:left w:val="single" w:color="auto" w:sz="4"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861" w:hRule="atLeast"/>
        </w:trPr>
        <w:tc>
          <w:tcPr>
            <w:tcW w:w="836" w:type="dxa"/>
            <w:tcBorders>
              <w:tl2br w:val="nil"/>
              <w:tr2bl w:val="nil"/>
            </w:tcBorders>
            <w:vAlign w:val="center"/>
          </w:tcPr>
          <w:p w14:paraId="6480A44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0101A53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133ACB4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0C11A65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1A4384C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4D0BD57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ZH23028120003</w:t>
            </w:r>
          </w:p>
        </w:tc>
        <w:tc>
          <w:tcPr>
            <w:tcW w:w="829" w:type="dxa"/>
            <w:tcBorders>
              <w:tl2br w:val="nil"/>
              <w:tr2bl w:val="nil"/>
            </w:tcBorders>
            <w:vAlign w:val="center"/>
          </w:tcPr>
          <w:p w14:paraId="787525F9">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2D44555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20CB036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291B90D0">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0D31334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116B6BE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拉哈生物技术与化学制药产业园</w:t>
            </w:r>
          </w:p>
        </w:tc>
        <w:tc>
          <w:tcPr>
            <w:tcW w:w="610" w:type="dxa"/>
            <w:tcBorders>
              <w:tl2br w:val="nil"/>
              <w:tr2bl w:val="nil"/>
            </w:tcBorders>
            <w:vAlign w:val="center"/>
          </w:tcPr>
          <w:p w14:paraId="2DEC90D9">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0017D78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5BC4468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085003C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4B3A168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p>
          <w:p w14:paraId="667CC09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重点管控单元</w:t>
            </w:r>
          </w:p>
        </w:tc>
        <w:tc>
          <w:tcPr>
            <w:tcW w:w="5229" w:type="dxa"/>
            <w:tcBorders>
              <w:tl2br w:val="nil"/>
              <w:tr2bl w:val="nil"/>
            </w:tcBorders>
            <w:vAlign w:val="center"/>
          </w:tcPr>
          <w:p w14:paraId="6ADB2EC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一、空间布局约束</w:t>
            </w:r>
          </w:p>
          <w:p w14:paraId="4B52E8A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1.《产业结构调整指导目录（2019年本）》中限制类产业和淘汰类产业；2.《外商投资产业指导目录（2017 年修订）》中限制和禁止投资产业。3.禁止C263农药制造中的 C2631化学农药制造中的化学农药原药；C267 炸药、火工及焰火产品制造。 4.《环境保护综合名录》中涉及到的“高污染、高环境风险”产品名录。 5.入园项目评估中否定的项目。如不符合园区产业定位或国家相关产业政策或清洁生产要求的项目，采用落后的生产工艺或生产设备的项目，排放的废水无法满足园区污水处理厂进水要求的项目，环境影响不可接受、环境风险和安全风险不可控的项目。 6.不符合《工业项目建设用地控制指标》（国土资发[</w:t>
            </w:r>
            <w:r>
              <w:rPr>
                <w:rFonts w:hint="eastAsia" w:ascii="Times New Roman" w:hAnsi="Times New Roman" w:eastAsia="宋体" w:cs="Times New Roman"/>
                <w:snapToGrid/>
                <w:color w:val="auto"/>
                <w:kern w:val="2"/>
                <w:sz w:val="21"/>
                <w:szCs w:val="21"/>
                <w:lang w:eastAsia="zh-CN"/>
              </w:rPr>
              <w:fldChar w:fldCharType="begin"/>
            </w:r>
            <w:r>
              <w:rPr>
                <w:rFonts w:hint="eastAsia" w:ascii="Times New Roman" w:hAnsi="Times New Roman" w:eastAsia="宋体" w:cs="Times New Roman"/>
                <w:snapToGrid/>
                <w:color w:val="auto"/>
                <w:kern w:val="2"/>
                <w:sz w:val="21"/>
                <w:szCs w:val="21"/>
                <w:lang w:eastAsia="zh-CN"/>
              </w:rPr>
              <w:instrText xml:space="preserve"> HYPERLINK \l "bookmark1" </w:instrText>
            </w:r>
            <w:r>
              <w:rPr>
                <w:rFonts w:hint="eastAsia" w:ascii="Times New Roman" w:hAnsi="Times New Roman" w:eastAsia="宋体" w:cs="Times New Roman"/>
                <w:snapToGrid/>
                <w:color w:val="auto"/>
                <w:kern w:val="2"/>
                <w:sz w:val="21"/>
                <w:szCs w:val="21"/>
                <w:lang w:eastAsia="zh-CN"/>
              </w:rPr>
              <w:fldChar w:fldCharType="separate"/>
            </w:r>
            <w:r>
              <w:rPr>
                <w:rFonts w:hint="eastAsia" w:ascii="Times New Roman" w:hAnsi="Times New Roman" w:eastAsia="宋体" w:cs="Times New Roman"/>
                <w:snapToGrid/>
                <w:color w:val="auto"/>
                <w:kern w:val="2"/>
                <w:sz w:val="21"/>
                <w:szCs w:val="21"/>
                <w:lang w:eastAsia="zh-CN"/>
              </w:rPr>
              <w:t>2008</w:t>
            </w:r>
            <w:r>
              <w:rPr>
                <w:rFonts w:hint="eastAsia" w:ascii="Times New Roman" w:hAnsi="Times New Roman" w:eastAsia="宋体" w:cs="Times New Roman"/>
                <w:snapToGrid/>
                <w:color w:val="auto"/>
                <w:kern w:val="2"/>
                <w:sz w:val="21"/>
                <w:szCs w:val="21"/>
                <w:lang w:eastAsia="zh-CN"/>
              </w:rPr>
              <w:fldChar w:fldCharType="end"/>
            </w:r>
            <w:r>
              <w:rPr>
                <w:rFonts w:hint="eastAsia" w:ascii="Times New Roman" w:hAnsi="Times New Roman" w:eastAsia="宋体" w:cs="Times New Roman"/>
                <w:snapToGrid/>
                <w:color w:val="auto"/>
                <w:kern w:val="2"/>
                <w:sz w:val="21"/>
                <w:szCs w:val="21"/>
                <w:lang w:eastAsia="zh-CN"/>
              </w:rPr>
              <w:t>]24 号）中相关要求以及国家、省、市级相关文件要求的项目。7.高耗能、高污染和资源性行业。8.涉及重金属（铅、汞、镉、铬和类金属砷等）排放的项目。 9.同时执行：（1）入园建设项目开展环评工作时，应以产业园区规划环评为依据，重点分析项目环评与规划环评结论及审查意见的符合性；产业园区招商引资、入园建设项目环评审批等应将规划环评结论及审查意见作为重要依据。（2）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3）重大制造业项目、依托能源和矿产资源的资源加工业项目原则上布局在重点开发区。（4）未纳入国家有关领域产业规划的，一律不得新建改扩建炼油和新建乙烯、对二甲苯、煤制烯烃项目。（5）禁止引进国家产业政策明令淘汰和限制的产品、技术、工艺、设备及行为。（6）编制产业园区开发建设规划时应依法开展规划环评。（7）规划审批机关在审批规划时，应将规划环评结论及审查意见作为决策的重要依据，在审批中未采纳环境影响报告书结论及审查意见的，应当作出说明并存档备查。（8）产业园区招商引资、入园建设项目环评审批等应将规划环评结论及审查意见作为重要依据。（9）产业园区开发建设规划应符合国家政策和相关法律法规要求，规划发生重大调整或修订的，应当依法重新或补充开展规划环评工作。 10.水环境工业污染重点管控区同时执行：（1）区域内严格控制高耗水、高污染行业发展。（2）加快淘汰落后产能，大力推进产业结构调整和优化升级。（3）根据水资源和水环境承载能力，以水定城、以水定地、以水定人、以水定产。 11.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p w14:paraId="1C47D71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cs="Times New Roman"/>
                <w:snapToGrid/>
                <w:color w:val="auto"/>
                <w:kern w:val="2"/>
                <w:sz w:val="21"/>
                <w:szCs w:val="21"/>
                <w:lang w:val="en-US" w:eastAsia="zh-CN"/>
              </w:rPr>
              <w:t>二、</w:t>
            </w:r>
            <w:r>
              <w:rPr>
                <w:rFonts w:hint="eastAsia" w:ascii="Times New Roman" w:hAnsi="Times New Roman" w:eastAsia="宋体" w:cs="Times New Roman"/>
                <w:snapToGrid/>
                <w:color w:val="auto"/>
                <w:kern w:val="2"/>
                <w:sz w:val="21"/>
                <w:szCs w:val="21"/>
                <w:lang w:eastAsia="zh-CN"/>
              </w:rPr>
              <w:t>污染物排放管控</w:t>
            </w:r>
          </w:p>
          <w:p w14:paraId="31FAB8A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一、大气污染物排放总量（建议值）： 园区热电联产项目规划近期SO2、NOx 和 PM10 排放量分别为 169.96t/a，339.92t/a 和 70.732t/a；规划远期 SO2、NOx 和 PM10 排放量分别为</w:t>
            </w:r>
          </w:p>
          <w:p w14:paraId="23CA317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320.698t/a、650.706t/a 和 141.464t/a。VOCs 排放指标 63.75t/a。 二、水污染物排放总量（建议值）： 规划近期园区排入嫩江水污染物COD1095t/a，氨氮 109.5t/a；规划远期园区排入嫩江水污染物COD1127.85t/a，氨氮 113.15t/a。 二、同时执行： 1.应按规定建设污水集中处理设施，并安装自动在线监控装置。 2.新建、扩建“两高”项目应采用先进适用的工艺技术和装备，单位产品物耗、能耗、水耗等达到清洁生产先进水平，依法制定并严格落实防治土壤与地下水污染的措施。严把新上项目碳排放关，新建、改建、扩建煤电、石化、化工、钢铁、有色冶炼、建材等高耗能、高排放项目，要充分论证，确保能耗、物耗、水耗达到清洁生产先进水平。 3.新、改、扩建涉重金属重点行业建设项目必须遵循重点重金属污染物排放“减量置换”或“等量替换 ”原则。 4.对于含有毒有害水污染物的工业废水和生活污水混合处理的污水处理厂产生的污泥，不能采用土地利用方式。 5.加强消耗臭氧层物质和氢氟碳化物环境管理，加强泡沫、制冷、氟化工等行业治理，逐步淘汰氢氯氟烃使用。 6.新建煤制烯烃、新建煤制对二甲苯 (PX) 项目纳入《现代煤化工产业创新发展布局方案》后，由省级政府核准。新建年产超过 100 万吨的煤制甲醇项目，由省级政府核准。</w:t>
            </w:r>
          </w:p>
          <w:p w14:paraId="07B6060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7.各地不得新建、扩建二氟甲烷、1,1,1,2-四氟乙烷、五氟乙烷、1,1,1-三氟乙烷、1.1.1.3.3-五氟丙烷用作制冷剂、发泡剂等受控用途的 HFCs 化工生产设施 （不含副立设施），环境影响报告书 （表） 已通过审批的除外。 四、水环境工业污染重点管控区同时执行：（1）新建、改建和</w:t>
            </w:r>
            <w:r>
              <w:rPr>
                <w:rFonts w:hint="eastAsia" w:cs="Times New Roman"/>
                <w:snapToGrid/>
                <w:color w:val="auto"/>
                <w:kern w:val="2"/>
                <w:sz w:val="21"/>
                <w:szCs w:val="21"/>
                <w:lang w:eastAsia="zh-CN"/>
              </w:rPr>
              <w:t>本项目</w:t>
            </w:r>
            <w:r>
              <w:rPr>
                <w:rFonts w:hint="eastAsia" w:ascii="Times New Roman" w:hAnsi="Times New Roman" w:eastAsia="宋体" w:cs="Times New Roman"/>
                <w:snapToGrid/>
                <w:color w:val="auto"/>
                <w:kern w:val="2"/>
                <w:sz w:val="21"/>
                <w:szCs w:val="21"/>
                <w:lang w:eastAsia="zh-CN"/>
              </w:rPr>
              <w:t>应当优先采用资源利用率高以及污染物产生量少的清洁生产技术、工艺和设备。（2）集中治理工业集聚区内工业废水，区内工业废水必须经预处理达到集中处理要求后，方可进入污水集中处理设施。新建、升级工业集聚区应同步规划和建设污水、垃圾集中处理等污染治理设施。 五、水环境农业污染重点管控区同时执行：（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w:t>
            </w:r>
          </w:p>
          <w:p w14:paraId="76325A03">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三、环境风险防控</w:t>
            </w:r>
          </w:p>
          <w:p w14:paraId="425461F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1.开发区内有尚未开发土地，距离现状及规划居住区较近；规划工业片区部分紧邻居住用地或水域，应严格控制入驻企业危险物质使用和储存量。严格筛选进区项目，严格项目环境准入门槛，限制引入重大风险源企业，严格控制涉危企业。项目入区后，合理规划平面布置，危险品仓储用地应与人员稠密的车间、食堂等保持一定距离，如在危险品仓库周围可安排一般仓储用地加以缓冲；凡禁火区均应设置明显标志牌；配备足够的消防设施，落实防火安全</w:t>
            </w:r>
          </w:p>
          <w:p w14:paraId="1EE7977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责任制。已建企业环境风险水平应控制在现有水平。 2.企业应在有毒有害、易燃易爆气体贮存区、使用点等处，设置气体泄漏探测器，及时探测有毒有害、可燃气体泄漏情况，实现气体监视系统声光报警功能；设置罐区、围堰等部位的液体泄漏侦测器，及时侦测液体泄漏情况；并与企业的中央监控室及区在线监控中心联网。 3.各风险企业的生产区、贮存区、固废存放处及污水事故池应做好地面防渗，并加强对污水管线跑冒滴漏的定期巡视，避免污水、消防废水、固体废物渗滤液等污染地下水体。同时，建议在危险固废存放区安装在线监测设备进行监控预警。 4.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 5.水环境工业污染重点管控区同时执行：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p w14:paraId="3DD7199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四、资源开发效率要求</w:t>
            </w:r>
          </w:p>
          <w:p w14:paraId="255852F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1.用水量上限：85276.15t/d。 2.土地资源总量上限：1552.65hm2；工业用地总量上限：1115.44hm2。 3.能耗上限：0.5t 标煤/万元。 4. (1）落实最严格的水资源管理制度，实行水资源消耗总量和强度双控。（2）全面推行清洁生产，依法在“双超双有高耗能”行业实施强制性清洁生产审核。</w:t>
            </w:r>
          </w:p>
        </w:tc>
        <w:tc>
          <w:tcPr>
            <w:tcW w:w="1373" w:type="dxa"/>
            <w:tcBorders>
              <w:tl2br w:val="nil"/>
              <w:tr2bl w:val="nil"/>
            </w:tcBorders>
            <w:shd w:val="clear" w:color="auto" w:fill="auto"/>
            <w:vAlign w:val="center"/>
          </w:tcPr>
          <w:p w14:paraId="71AA085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eastAsia="zh-CN"/>
              </w:rPr>
              <w:t>本项目</w:t>
            </w:r>
            <w:r>
              <w:rPr>
                <w:rFonts w:hint="default" w:ascii="Times New Roman" w:hAnsi="Times New Roman" w:eastAsia="宋体" w:cs="Times New Roman"/>
                <w:snapToGrid/>
                <w:color w:val="auto"/>
                <w:kern w:val="2"/>
                <w:sz w:val="21"/>
                <w:szCs w:val="21"/>
                <w:lang w:val="en-US" w:eastAsia="zh-CN"/>
              </w:rPr>
              <w:t>为</w:t>
            </w:r>
            <w:r>
              <w:rPr>
                <w:rFonts w:hint="eastAsia" w:cs="Times New Roman"/>
                <w:snapToGrid/>
                <w:color w:val="auto"/>
                <w:kern w:val="2"/>
                <w:sz w:val="21"/>
                <w:szCs w:val="21"/>
                <w:lang w:val="en-US" w:eastAsia="zh-CN"/>
              </w:rPr>
              <w:t>技改</w:t>
            </w:r>
            <w:r>
              <w:rPr>
                <w:rFonts w:hint="default" w:ascii="Times New Roman" w:hAnsi="Times New Roman" w:eastAsia="宋体" w:cs="Times New Roman"/>
                <w:snapToGrid/>
                <w:color w:val="auto"/>
                <w:kern w:val="2"/>
                <w:sz w:val="21"/>
                <w:szCs w:val="21"/>
                <w:lang w:val="en-US" w:eastAsia="zh-CN"/>
              </w:rPr>
              <w:t>项目，</w:t>
            </w:r>
            <w:r>
              <w:rPr>
                <w:rFonts w:hint="eastAsia" w:ascii="Times New Roman" w:hAnsi="Times New Roman" w:eastAsia="宋体" w:cs="Times New Roman"/>
                <w:snapToGrid/>
                <w:color w:val="auto"/>
                <w:kern w:val="2"/>
                <w:sz w:val="21"/>
                <w:szCs w:val="21"/>
                <w:lang w:val="en-US" w:eastAsia="zh-CN"/>
              </w:rPr>
              <w:t>不新增占地，不涉及占用生态空间中的林地、草原等。</w:t>
            </w:r>
          </w:p>
          <w:p w14:paraId="3C732A7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val="en-US" w:eastAsia="zh-CN"/>
              </w:rPr>
            </w:pPr>
          </w:p>
        </w:tc>
      </w:tr>
    </w:tbl>
    <w:p w14:paraId="44E6B8BF">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FF0000"/>
          <w:kern w:val="2"/>
          <w:sz w:val="24"/>
          <w:szCs w:val="24"/>
          <w:lang w:val="zh-CN"/>
        </w:rPr>
      </w:pPr>
    </w:p>
    <w:p w14:paraId="5D3B0C1C">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FF0000"/>
          <w:kern w:val="2"/>
          <w:sz w:val="24"/>
          <w:szCs w:val="24"/>
          <w:lang w:val="zh-CN"/>
        </w:rPr>
      </w:pPr>
    </w:p>
    <w:p w14:paraId="2A7281FE">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FF0000"/>
          <w:kern w:val="2"/>
          <w:sz w:val="24"/>
          <w:szCs w:val="24"/>
          <w:lang w:val="zh-CN"/>
        </w:rPr>
      </w:pPr>
    </w:p>
    <w:p w14:paraId="4F482281">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FF0000"/>
          <w:kern w:val="2"/>
          <w:sz w:val="24"/>
          <w:szCs w:val="24"/>
          <w:lang w:val="zh-CN"/>
        </w:rPr>
      </w:pPr>
    </w:p>
    <w:p w14:paraId="4296F56F">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FF0000"/>
          <w:kern w:val="2"/>
          <w:sz w:val="24"/>
          <w:szCs w:val="24"/>
          <w:lang w:val="zh-CN"/>
        </w:rPr>
      </w:pPr>
    </w:p>
    <w:p w14:paraId="2B853960">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FF0000"/>
          <w:kern w:val="2"/>
          <w:sz w:val="24"/>
          <w:szCs w:val="24"/>
          <w:lang w:val="zh-CN"/>
        </w:rPr>
      </w:pPr>
    </w:p>
    <w:p w14:paraId="11AD4C74">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FF0000"/>
          <w:kern w:val="2"/>
          <w:sz w:val="24"/>
          <w:szCs w:val="24"/>
          <w:lang w:val="zh-CN"/>
        </w:rPr>
      </w:pPr>
    </w:p>
    <w:p w14:paraId="7D64D976">
      <w:pPr>
        <w:pStyle w:val="515"/>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b/>
          <w:bCs/>
          <w:color w:val="auto"/>
          <w:kern w:val="2"/>
          <w:sz w:val="24"/>
          <w:szCs w:val="24"/>
          <w:lang w:val="zh-CN"/>
        </w:rPr>
      </w:pPr>
      <w:r>
        <w:rPr>
          <w:rFonts w:hint="default" w:ascii="Times New Roman" w:hAnsi="Times New Roman" w:eastAsia="宋体" w:cs="Times New Roman"/>
          <w:b/>
          <w:bCs/>
          <w:color w:val="auto"/>
          <w:kern w:val="2"/>
          <w:sz w:val="24"/>
          <w:szCs w:val="24"/>
          <w:lang w:val="zh-CN"/>
        </w:rPr>
        <w:t>表</w:t>
      </w:r>
      <w:r>
        <w:rPr>
          <w:rFonts w:hint="default" w:ascii="Times New Roman" w:hAnsi="Times New Roman" w:eastAsia="宋体" w:cs="Times New Roman"/>
          <w:b/>
          <w:bCs/>
          <w:color w:val="auto"/>
          <w:kern w:val="2"/>
          <w:sz w:val="24"/>
          <w:szCs w:val="24"/>
          <w:lang w:val="en-US" w:eastAsia="zh-CN"/>
        </w:rPr>
        <w:t>1.4-</w:t>
      </w:r>
      <w:r>
        <w:rPr>
          <w:rFonts w:hint="eastAsia" w:cs="Times New Roman"/>
          <w:b/>
          <w:bCs/>
          <w:color w:val="auto"/>
          <w:kern w:val="2"/>
          <w:sz w:val="24"/>
          <w:szCs w:val="24"/>
          <w:lang w:val="en-US" w:eastAsia="zh-CN"/>
        </w:rPr>
        <w:t>4</w:t>
      </w:r>
      <w:r>
        <w:rPr>
          <w:rFonts w:hint="default" w:ascii="Times New Roman" w:hAnsi="Times New Roman" w:eastAsia="宋体" w:cs="Times New Roman"/>
          <w:b/>
          <w:bCs/>
          <w:color w:val="auto"/>
          <w:kern w:val="2"/>
          <w:sz w:val="24"/>
          <w:szCs w:val="24"/>
          <w:lang w:val="zh-CN"/>
        </w:rPr>
        <w:t>项目与地下水环境管控区相交情况符合性分析</w:t>
      </w:r>
    </w:p>
    <w:tbl>
      <w:tblPr>
        <w:tblStyle w:val="500"/>
        <w:tblW w:w="8791" w:type="dxa"/>
        <w:tblInd w:w="1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862"/>
        <w:gridCol w:w="996"/>
        <w:gridCol w:w="711"/>
        <w:gridCol w:w="783"/>
        <w:gridCol w:w="1002"/>
        <w:gridCol w:w="3150"/>
        <w:gridCol w:w="1287"/>
      </w:tblGrid>
      <w:tr w14:paraId="1E8D379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862" w:type="dxa"/>
            <w:tcBorders>
              <w:tl2br w:val="nil"/>
              <w:tr2bl w:val="nil"/>
            </w:tcBorders>
            <w:vAlign w:val="center"/>
          </w:tcPr>
          <w:p w14:paraId="6D56BEED">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环境管控区编码</w:t>
            </w:r>
          </w:p>
        </w:tc>
        <w:tc>
          <w:tcPr>
            <w:tcW w:w="996" w:type="dxa"/>
            <w:tcBorders>
              <w:tl2br w:val="nil"/>
              <w:tr2bl w:val="nil"/>
            </w:tcBorders>
            <w:vAlign w:val="center"/>
          </w:tcPr>
          <w:p w14:paraId="0C8325F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环境管控区名称</w:t>
            </w:r>
          </w:p>
        </w:tc>
        <w:tc>
          <w:tcPr>
            <w:tcW w:w="711" w:type="dxa"/>
            <w:tcBorders>
              <w:tl2br w:val="nil"/>
              <w:tr2bl w:val="nil"/>
            </w:tcBorders>
            <w:vAlign w:val="center"/>
          </w:tcPr>
          <w:p w14:paraId="4F9B9C24">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所属地市</w:t>
            </w:r>
          </w:p>
        </w:tc>
        <w:tc>
          <w:tcPr>
            <w:tcW w:w="783" w:type="dxa"/>
            <w:tcBorders>
              <w:tl2br w:val="nil"/>
              <w:tr2bl w:val="nil"/>
            </w:tcBorders>
            <w:vAlign w:val="center"/>
          </w:tcPr>
          <w:p w14:paraId="433A19A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所属区县</w:t>
            </w:r>
          </w:p>
        </w:tc>
        <w:tc>
          <w:tcPr>
            <w:tcW w:w="1002" w:type="dxa"/>
            <w:tcBorders>
              <w:tl2br w:val="nil"/>
              <w:tr2bl w:val="nil"/>
            </w:tcBorders>
            <w:vAlign w:val="center"/>
          </w:tcPr>
          <w:p w14:paraId="18C5EB1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管控区类型</w:t>
            </w:r>
          </w:p>
        </w:tc>
        <w:tc>
          <w:tcPr>
            <w:tcW w:w="3150" w:type="dxa"/>
            <w:tcBorders>
              <w:tl2br w:val="nil"/>
              <w:tr2bl w:val="nil"/>
            </w:tcBorders>
            <w:vAlign w:val="center"/>
          </w:tcPr>
          <w:p w14:paraId="2A3C3ED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管控要求</w:t>
            </w:r>
          </w:p>
        </w:tc>
        <w:tc>
          <w:tcPr>
            <w:tcW w:w="1287" w:type="dxa"/>
            <w:tcBorders>
              <w:tl2br w:val="nil"/>
              <w:tr2bl w:val="nil"/>
            </w:tcBorders>
            <w:vAlign w:val="center"/>
          </w:tcPr>
          <w:p w14:paraId="6B500B3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本项目符合性分析</w:t>
            </w:r>
          </w:p>
        </w:tc>
      </w:tr>
      <w:tr w14:paraId="1A0B3B8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1929" w:hRule="atLeast"/>
        </w:trPr>
        <w:tc>
          <w:tcPr>
            <w:tcW w:w="862" w:type="dxa"/>
            <w:tcBorders>
              <w:tl2br w:val="nil"/>
              <w:tr2bl w:val="nil"/>
            </w:tcBorders>
            <w:vAlign w:val="center"/>
          </w:tcPr>
          <w:p w14:paraId="22C0D5E8">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YS2302816220002</w:t>
            </w:r>
          </w:p>
        </w:tc>
        <w:tc>
          <w:tcPr>
            <w:tcW w:w="996" w:type="dxa"/>
            <w:tcBorders>
              <w:tl2br w:val="nil"/>
              <w:tr2bl w:val="nil"/>
            </w:tcBorders>
            <w:vAlign w:val="center"/>
          </w:tcPr>
          <w:p w14:paraId="3FAE7C22">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讷河市地下水环境二级管控区</w:t>
            </w:r>
          </w:p>
        </w:tc>
        <w:tc>
          <w:tcPr>
            <w:tcW w:w="711" w:type="dxa"/>
            <w:tcBorders>
              <w:tl2br w:val="nil"/>
              <w:tr2bl w:val="nil"/>
            </w:tcBorders>
            <w:vAlign w:val="center"/>
          </w:tcPr>
          <w:p w14:paraId="16C25FD1">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齐齐哈尔市</w:t>
            </w:r>
          </w:p>
        </w:tc>
        <w:tc>
          <w:tcPr>
            <w:tcW w:w="783" w:type="dxa"/>
            <w:tcBorders>
              <w:tl2br w:val="nil"/>
              <w:tr2bl w:val="nil"/>
            </w:tcBorders>
            <w:vAlign w:val="center"/>
          </w:tcPr>
          <w:p w14:paraId="2EB6D2FC">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讷河市</w:t>
            </w:r>
          </w:p>
        </w:tc>
        <w:tc>
          <w:tcPr>
            <w:tcW w:w="1002" w:type="dxa"/>
            <w:tcBorders>
              <w:tl2br w:val="nil"/>
              <w:tr2bl w:val="nil"/>
            </w:tcBorders>
            <w:vAlign w:val="center"/>
          </w:tcPr>
          <w:p w14:paraId="5954840B">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重点管控区</w:t>
            </w:r>
          </w:p>
        </w:tc>
        <w:tc>
          <w:tcPr>
            <w:tcW w:w="3150" w:type="dxa"/>
            <w:tcBorders>
              <w:tl2br w:val="nil"/>
              <w:tr2bl w:val="nil"/>
            </w:tcBorders>
            <w:vAlign w:val="center"/>
          </w:tcPr>
          <w:p w14:paraId="3156E377">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空间布局约束</w:t>
            </w:r>
          </w:p>
          <w:p w14:paraId="14CEEFEE">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1.严格建设项目土壤环境影响评价制度。对涉及有毒有害物质可能造成土壤污染的新（改、扩）建项目，依法进行环境影响评价，提出并落实防腐蚀、防渗漏、防遗撒等土壤污染防治具体措施。2.合理规划污染地块用途，从严管控农药、化工等行业中的重度污染地块规划用途，确需开发利用的，鼓励用于拓展生态空间。3.污染地块未经治理与修复，或者经治理与修复但未达到相关规划用地土壤环境质量要求的，有关环境保护主管部门不予批准选址涉及该污染地块的建设项目环境影响报告书或者报告表。</w:t>
            </w:r>
          </w:p>
          <w:p w14:paraId="7A21B2B5">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环境风险防控</w:t>
            </w:r>
          </w:p>
          <w:p w14:paraId="307437FA">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1.化学品生产企业以及工业集聚区、矿山开采区、尾矿库、危险废物处置场、垃圾填埋场等的运营、管理单位，应当采取防渗漏等措施，并建设地下水水质监测井进行监测，防止地下水污染。2.指导地下水污染防治重点排污单位优先开展地下水污染渗漏排查，针对存在问题的设施，采取污染防渗改造措施。3.重点单位在隐患排查、监测等活动中发现工矿用地土壤和地下水存在污染迹象的，应当排查污染源，查明污染原因，采取措施防止新增污染，并参照污染地块土壤环境管理有关规定及时开展土壤和地下水环境调查与风险评</w:t>
            </w:r>
          </w:p>
          <w:p w14:paraId="2C736FEF">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估，根据调查与风险评估结果采取风险管控或者治理与修复等措施。</w:t>
            </w:r>
          </w:p>
          <w:p w14:paraId="19A3D3E9">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污染物排放管控</w:t>
            </w:r>
          </w:p>
          <w:p w14:paraId="4512CA12">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snapToGrid/>
                <w:color w:val="auto"/>
                <w:kern w:val="2"/>
                <w:sz w:val="21"/>
                <w:szCs w:val="21"/>
                <w:lang w:eastAsia="zh-CN"/>
              </w:rPr>
              <w:t>新建、扩建“两高”项目应采用先进适用的工艺技术和装备，单位产品物耗、能耗、水耗等达到清洁生产先进水平，依法制定并严格落实防治地下水污染的措施。</w:t>
            </w:r>
          </w:p>
        </w:tc>
        <w:tc>
          <w:tcPr>
            <w:tcW w:w="1287" w:type="dxa"/>
            <w:tcBorders>
              <w:tl2br w:val="nil"/>
              <w:tr2bl w:val="nil"/>
            </w:tcBorders>
            <w:vAlign w:val="center"/>
          </w:tcPr>
          <w:p w14:paraId="33211202">
            <w:pPr>
              <w:keepNext w:val="0"/>
              <w:keepLines w:val="0"/>
              <w:widowControl/>
              <w:suppressLineNumbers w:val="0"/>
              <w:kinsoku/>
              <w:autoSpaceDE/>
              <w:autoSpaceDN/>
              <w:adjustRightInd w:val="0"/>
              <w:snapToGrid w:val="0"/>
              <w:spacing w:before="0" w:beforeAutospacing="0" w:after="0" w:afterAutospacing="0" w:line="240" w:lineRule="auto"/>
              <w:ind w:left="0" w:right="0"/>
              <w:jc w:val="center"/>
              <w:textAlignment w:val="auto"/>
              <w:rPr>
                <w:rFonts w:hint="eastAsia" w:ascii="Times New Roman" w:hAnsi="Times New Roman" w:eastAsia="宋体" w:cs="Times New Roman"/>
                <w:snapToGrid/>
                <w:color w:val="auto"/>
                <w:kern w:val="2"/>
                <w:sz w:val="21"/>
                <w:szCs w:val="21"/>
                <w:lang w:eastAsia="zh-CN"/>
              </w:rPr>
            </w:pPr>
            <w:r>
              <w:rPr>
                <w:rFonts w:hint="eastAsia" w:ascii="Times New Roman" w:hAnsi="Times New Roman" w:eastAsia="宋体" w:cs="Times New Roman"/>
                <w:color w:val="auto"/>
                <w:sz w:val="21"/>
                <w:szCs w:val="21"/>
                <w:lang w:eastAsia="zh-CN"/>
              </w:rPr>
              <w:t>本项目供水来自地下水井，用水主要为生活用水</w:t>
            </w:r>
            <w:r>
              <w:rPr>
                <w:rFonts w:hint="eastAsia" w:ascii="Times New Roman" w:hAnsi="Times New Roman" w:eastAsia="宋体" w:cs="Times New Roman"/>
                <w:color w:val="auto"/>
                <w:sz w:val="21"/>
                <w:szCs w:val="21"/>
                <w:lang w:val="en-US" w:eastAsia="zh-CN"/>
              </w:rPr>
              <w:t>和生产用水</w:t>
            </w:r>
            <w:r>
              <w:rPr>
                <w:rFonts w:hint="eastAsia" w:ascii="Times New Roman" w:hAnsi="Times New Roman" w:eastAsia="宋体" w:cs="Times New Roman"/>
                <w:color w:val="auto"/>
                <w:sz w:val="21"/>
                <w:szCs w:val="21"/>
                <w:lang w:eastAsia="zh-CN"/>
              </w:rPr>
              <w:t>。符合</w:t>
            </w:r>
            <w:r>
              <w:rPr>
                <w:rFonts w:hint="eastAsia" w:ascii="Times New Roman" w:hAnsi="Times New Roman" w:eastAsia="宋体" w:cs="Times New Roman"/>
                <w:color w:val="auto"/>
                <w:sz w:val="21"/>
                <w:szCs w:val="21"/>
                <w:lang w:val="en-US" w:eastAsia="zh-CN"/>
              </w:rPr>
              <w:t>重点</w:t>
            </w:r>
            <w:r>
              <w:rPr>
                <w:rFonts w:hint="eastAsia" w:ascii="Times New Roman" w:hAnsi="Times New Roman" w:eastAsia="宋体" w:cs="Times New Roman"/>
                <w:color w:val="auto"/>
                <w:sz w:val="21"/>
                <w:szCs w:val="21"/>
                <w:lang w:eastAsia="zh-CN"/>
              </w:rPr>
              <w:t>般管控区要求。</w:t>
            </w:r>
          </w:p>
        </w:tc>
      </w:tr>
    </w:tbl>
    <w:p w14:paraId="4E6FFABF">
      <w:pPr>
        <w:pStyle w:val="3"/>
      </w:pPr>
      <w:r>
        <w:t>1.5主要环境问题及环境影响</w:t>
      </w:r>
      <w:bookmarkEnd w:id="48"/>
      <w:bookmarkEnd w:id="49"/>
      <w:bookmarkEnd w:id="50"/>
      <w:bookmarkEnd w:id="51"/>
      <w:bookmarkEnd w:id="52"/>
    </w:p>
    <w:p w14:paraId="5387E0D9">
      <w:pPr>
        <w:spacing w:line="360" w:lineRule="auto"/>
        <w:ind w:firstLine="480"/>
      </w:pPr>
      <w:bookmarkStart w:id="53" w:name="bookmark51"/>
      <w:bookmarkStart w:id="54" w:name="bookmark50"/>
      <w:bookmarkStart w:id="55" w:name="bookmark49"/>
      <w:r>
        <w:t>根据《建设项目环境影响评价技术导则  总纲》（HJ2.1-2016）的要求，本评价的主要内容包括：一般包括概述、总则、建设项目工程分析、环境现状调查与评价、环境影响预测与评价、环境保护措施及其可行性论证、环境影响经济损益分析、环境管理与监测计划、环境影响评价结论和附表、附件和附图等内容。</w:t>
      </w:r>
    </w:p>
    <w:p w14:paraId="59A542DC">
      <w:pPr>
        <w:spacing w:line="360" w:lineRule="auto"/>
        <w:ind w:firstLine="480"/>
      </w:pPr>
      <w:r>
        <w:t>根据项目特点及当地环境质量现状，以工程分析为基础，以环境质量现状及预测影响分析、污染防治对策分析为重点评价专题，兼顾其它专题。根据项目特点，本项目潜在的主要环境影响为工程运营对环境空气、声环境等的影响。项目关注的主要环境问题如下：</w:t>
      </w:r>
    </w:p>
    <w:p w14:paraId="4ADF59C6">
      <w:pPr>
        <w:pStyle w:val="4"/>
      </w:pPr>
      <w:r>
        <w:t>1.5.1现有工程环境问题及影响</w:t>
      </w:r>
      <w:bookmarkEnd w:id="53"/>
      <w:bookmarkEnd w:id="54"/>
      <w:bookmarkEnd w:id="55"/>
    </w:p>
    <w:p w14:paraId="527A9F60">
      <w:pPr>
        <w:spacing w:line="360" w:lineRule="auto"/>
        <w:ind w:firstLine="480" w:firstLineChars="200"/>
      </w:pPr>
      <w:r>
        <w:t>现有工程年200万吨玉米深加工项目</w:t>
      </w:r>
      <w:r>
        <w:rPr>
          <w:rFonts w:hint="eastAsia"/>
        </w:rPr>
        <w:t>分二期建设，一期建设3万吨/年食用酒精，15万吨/年医药用酒精，5万吨/年化妆品用酒精和7万吨/年电子级无水酒精；二期扩大为15万吨医用酒精，5万吨/年化妆品酒精和10万吨/年电子级无水酒精。</w:t>
      </w:r>
      <w:r>
        <w:t>年200万吨玉米深加工项目于20</w:t>
      </w:r>
      <w:r>
        <w:rPr>
          <w:rFonts w:hint="eastAsia"/>
          <w:lang w:val="en-US" w:eastAsia="zh-CN"/>
        </w:rPr>
        <w:t>17</w:t>
      </w:r>
      <w:r>
        <w:t>年</w:t>
      </w:r>
      <w:r>
        <w:rPr>
          <w:rFonts w:hint="eastAsia"/>
        </w:rPr>
        <w:t>10</w:t>
      </w:r>
      <w:r>
        <w:t>月2</w:t>
      </w:r>
      <w:r>
        <w:rPr>
          <w:rFonts w:hint="eastAsia"/>
        </w:rPr>
        <w:t>3</w:t>
      </w:r>
      <w:r>
        <w:t>日取得</w:t>
      </w:r>
      <w:r>
        <w:rPr>
          <w:rFonts w:hint="eastAsia"/>
        </w:rPr>
        <w:t>环评</w:t>
      </w:r>
      <w:r>
        <w:t>批复（齐环</w:t>
      </w:r>
      <w:r>
        <w:rPr>
          <w:rFonts w:hint="eastAsia"/>
          <w:lang w:val="en-US" w:eastAsia="zh-CN"/>
        </w:rPr>
        <w:t>行审</w:t>
      </w:r>
      <w:r>
        <w:t>[20</w:t>
      </w:r>
      <w:r>
        <w:rPr>
          <w:rFonts w:hint="eastAsia"/>
          <w:lang w:val="en-US" w:eastAsia="zh-CN"/>
        </w:rPr>
        <w:t>17</w:t>
      </w:r>
      <w:r>
        <w:t xml:space="preserve">] </w:t>
      </w:r>
      <w:r>
        <w:rPr>
          <w:rFonts w:hint="eastAsia"/>
          <w:lang w:val="en-US" w:eastAsia="zh-CN"/>
        </w:rPr>
        <w:t>50</w:t>
      </w:r>
      <w:r>
        <w:t>号）</w:t>
      </w:r>
      <w:r>
        <w:rPr>
          <w:rFonts w:hint="eastAsia"/>
        </w:rPr>
        <w:t>，</w:t>
      </w:r>
      <w:r>
        <w:rPr>
          <w:rFonts w:hint="eastAsia"/>
          <w:lang w:val="en-US" w:eastAsia="zh-CN"/>
        </w:rPr>
        <w:t>分期验收，一期工程</w:t>
      </w:r>
      <w:r>
        <w:rPr>
          <w:rFonts w:hint="eastAsia"/>
        </w:rPr>
        <w:t>于</w:t>
      </w:r>
      <w:r>
        <w:t>201</w:t>
      </w:r>
      <w:r>
        <w:rPr>
          <w:rFonts w:hint="eastAsia"/>
          <w:lang w:val="en-US" w:eastAsia="zh-CN"/>
        </w:rPr>
        <w:t>9</w:t>
      </w:r>
      <w:r>
        <w:t>年6月投入运行并进行了环保验收，于201</w:t>
      </w:r>
      <w:r>
        <w:rPr>
          <w:rFonts w:hint="eastAsia"/>
          <w:lang w:val="en-US" w:eastAsia="zh-CN"/>
        </w:rPr>
        <w:t>9</w:t>
      </w:r>
      <w:r>
        <w:t>年</w:t>
      </w:r>
      <w:r>
        <w:rPr>
          <w:rFonts w:hint="eastAsia"/>
          <w:lang w:val="en-US" w:eastAsia="zh-CN"/>
        </w:rPr>
        <w:t>7</w:t>
      </w:r>
      <w:r>
        <w:t>月</w:t>
      </w:r>
      <w:r>
        <w:rPr>
          <w:rFonts w:hint="eastAsia"/>
          <w:lang w:val="en-US" w:eastAsia="zh-CN"/>
        </w:rPr>
        <w:t>30</w:t>
      </w:r>
      <w:r>
        <w:t>日取得齐齐哈尔市</w:t>
      </w:r>
      <w:r>
        <w:rPr>
          <w:rFonts w:hint="eastAsia"/>
          <w:lang w:val="en-US" w:eastAsia="zh-CN"/>
        </w:rPr>
        <w:t>生态环境</w:t>
      </w:r>
      <w:r>
        <w:t>局</w:t>
      </w:r>
      <w:r>
        <w:rPr>
          <w:rFonts w:hint="eastAsia"/>
        </w:rPr>
        <w:t>固体废物污染防治设施竣工环境保护</w:t>
      </w:r>
      <w:r>
        <w:rPr>
          <w:rFonts w:hint="eastAsia"/>
          <w:lang w:val="en-US" w:eastAsia="zh-CN"/>
        </w:rPr>
        <w:t>分期</w:t>
      </w:r>
      <w:r>
        <w:rPr>
          <w:rFonts w:hint="eastAsia"/>
        </w:rPr>
        <w:t>验收合格的函</w:t>
      </w:r>
      <w:r>
        <w:t>（齐环</w:t>
      </w:r>
      <w:r>
        <w:rPr>
          <w:rFonts w:hint="eastAsia"/>
          <w:lang w:val="en-US" w:eastAsia="zh-CN"/>
        </w:rPr>
        <w:t>行审</w:t>
      </w:r>
      <w:r>
        <w:t>[20</w:t>
      </w:r>
      <w:r>
        <w:rPr>
          <w:rFonts w:hint="eastAsia"/>
          <w:lang w:val="en-US" w:eastAsia="zh-CN"/>
        </w:rPr>
        <w:t>19</w:t>
      </w:r>
      <w:r>
        <w:t xml:space="preserve">] </w:t>
      </w:r>
      <w:r>
        <w:rPr>
          <w:rFonts w:hint="eastAsia"/>
          <w:lang w:val="en-US" w:eastAsia="zh-CN"/>
        </w:rPr>
        <w:t>78</w:t>
      </w:r>
      <w:r>
        <w:t>号）。</w:t>
      </w:r>
      <w:r>
        <w:rPr>
          <w:rFonts w:hint="eastAsia"/>
          <w:lang w:val="en-US" w:eastAsia="zh-CN"/>
        </w:rPr>
        <w:t>二期工程</w:t>
      </w:r>
      <w:r>
        <w:rPr>
          <w:rFonts w:hint="eastAsia"/>
        </w:rPr>
        <w:t>于</w:t>
      </w:r>
      <w:r>
        <w:t>20</w:t>
      </w:r>
      <w:r>
        <w:rPr>
          <w:rFonts w:hint="eastAsia"/>
          <w:lang w:val="en-US" w:eastAsia="zh-CN"/>
        </w:rPr>
        <w:t>20</w:t>
      </w:r>
      <w:r>
        <w:t>年6月投入运行并进行了环保验收，于20</w:t>
      </w:r>
      <w:r>
        <w:rPr>
          <w:rFonts w:hint="eastAsia"/>
          <w:lang w:val="en-US" w:eastAsia="zh-CN"/>
        </w:rPr>
        <w:t>20</w:t>
      </w:r>
      <w:r>
        <w:t>年</w:t>
      </w:r>
      <w:r>
        <w:rPr>
          <w:rFonts w:hint="eastAsia"/>
          <w:lang w:val="en-US" w:eastAsia="zh-CN"/>
        </w:rPr>
        <w:t>8</w:t>
      </w:r>
      <w:r>
        <w:t>月</w:t>
      </w:r>
      <w:r>
        <w:rPr>
          <w:rFonts w:hint="eastAsia"/>
          <w:lang w:val="en-US" w:eastAsia="zh-CN"/>
        </w:rPr>
        <w:t>25</w:t>
      </w:r>
      <w:r>
        <w:t>日取得齐齐哈尔市</w:t>
      </w:r>
      <w:r>
        <w:rPr>
          <w:rFonts w:hint="eastAsia"/>
          <w:lang w:val="en-US" w:eastAsia="zh-CN"/>
        </w:rPr>
        <w:t>生态环境</w:t>
      </w:r>
      <w:r>
        <w:t>局</w:t>
      </w:r>
      <w:r>
        <w:rPr>
          <w:rFonts w:hint="eastAsia"/>
        </w:rPr>
        <w:t>二期固体废物污染防治设施竣工环境保护验收合格的函</w:t>
      </w:r>
      <w:r>
        <w:t>（齐环</w:t>
      </w:r>
      <w:r>
        <w:rPr>
          <w:rFonts w:hint="eastAsia"/>
          <w:lang w:val="en-US" w:eastAsia="zh-CN"/>
        </w:rPr>
        <w:t>行审</w:t>
      </w:r>
      <w:r>
        <w:t>[20</w:t>
      </w:r>
      <w:r>
        <w:rPr>
          <w:rFonts w:hint="eastAsia"/>
          <w:lang w:val="en-US" w:eastAsia="zh-CN"/>
        </w:rPr>
        <w:t>20</w:t>
      </w:r>
      <w:r>
        <w:t xml:space="preserve">] </w:t>
      </w:r>
      <w:r>
        <w:rPr>
          <w:rFonts w:hint="eastAsia"/>
          <w:lang w:val="en-US" w:eastAsia="zh-CN"/>
        </w:rPr>
        <w:t>124</w:t>
      </w:r>
      <w:r>
        <w:t>号）。</w:t>
      </w:r>
    </w:p>
    <w:p w14:paraId="48BCEF33">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本评价主要关注现有工程污染物产生及排放情况，配套环保设施运行情况， 是否可以满足稳定达标排放的要求，具体污染物</w:t>
      </w:r>
      <w:r>
        <w:rPr>
          <w:rFonts w:hint="eastAsia"/>
          <w:color w:val="000000" w:themeColor="text1"/>
          <w:lang w:val="en-US" w:eastAsia="zh-CN"/>
          <w14:textFill>
            <w14:solidFill>
              <w14:schemeClr w14:val="tx1"/>
            </w14:solidFill>
          </w14:textFill>
        </w:rPr>
        <w:t>达标</w:t>
      </w:r>
      <w:r>
        <w:rPr>
          <w:color w:val="000000" w:themeColor="text1"/>
          <w14:textFill>
            <w14:solidFill>
              <w14:schemeClr w14:val="tx1"/>
            </w14:solidFill>
          </w14:textFill>
        </w:rPr>
        <w:t>情况如下：</w:t>
      </w:r>
    </w:p>
    <w:p w14:paraId="6AAFB8AB">
      <w:pPr>
        <w:spacing w:line="360" w:lineRule="auto"/>
        <w:ind w:firstLine="480" w:firstLineChars="200"/>
        <w:rPr>
          <w:color w:val="auto"/>
        </w:rPr>
      </w:pPr>
      <w:bookmarkStart w:id="56" w:name="bookmark52"/>
      <w:r>
        <w:rPr>
          <w:color w:val="auto"/>
        </w:rPr>
        <w:t>（</w:t>
      </w:r>
      <w:bookmarkEnd w:id="56"/>
      <w:r>
        <w:rPr>
          <w:color w:val="auto"/>
        </w:rPr>
        <w:t>1）废气</w:t>
      </w:r>
    </w:p>
    <w:p w14:paraId="0E2C71BD">
      <w:pPr>
        <w:spacing w:line="360" w:lineRule="auto"/>
        <w:ind w:firstLine="480" w:firstLineChars="200"/>
        <w:jc w:val="left"/>
        <w:rPr>
          <w:rFonts w:hint="default"/>
          <w:color w:val="auto"/>
          <w:lang w:val="en-US" w:eastAsia="zh-CN"/>
        </w:rPr>
      </w:pPr>
      <w:bookmarkStart w:id="57" w:name="bookmark53"/>
      <w:r>
        <w:rPr>
          <w:rFonts w:hint="eastAsia"/>
          <w:color w:val="auto"/>
          <w:lang w:val="en-US" w:eastAsia="zh-CN"/>
        </w:rPr>
        <w:t>现有</w:t>
      </w:r>
      <w:r>
        <w:rPr>
          <w:rFonts w:hint="default"/>
          <w:color w:val="auto"/>
          <w:lang w:val="en-US" w:eastAsia="zh-CN"/>
        </w:rPr>
        <w:t>工程</w:t>
      </w:r>
      <w:r>
        <w:rPr>
          <w:rFonts w:hint="eastAsia"/>
          <w:color w:val="auto"/>
          <w:lang w:val="en-US" w:eastAsia="zh-CN"/>
        </w:rPr>
        <w:t>有组织</w:t>
      </w:r>
      <w:r>
        <w:rPr>
          <w:rFonts w:hint="default"/>
          <w:color w:val="auto"/>
          <w:lang w:val="en-US" w:eastAsia="zh-CN"/>
        </w:rPr>
        <w:t>废气</w:t>
      </w:r>
      <w:r>
        <w:rPr>
          <w:rFonts w:hint="eastAsia"/>
          <w:color w:val="auto"/>
          <w:lang w:val="en-US" w:eastAsia="zh-CN"/>
        </w:rPr>
        <w:t>排气筒共41个，</w:t>
      </w:r>
      <w:r>
        <w:rPr>
          <w:rFonts w:hint="default"/>
          <w:color w:val="auto"/>
          <w:lang w:val="en-US" w:eastAsia="zh-CN"/>
        </w:rPr>
        <w:t>主要为锅炉产生的烟气</w:t>
      </w:r>
      <w:r>
        <w:rPr>
          <w:rFonts w:hint="eastAsia"/>
          <w:color w:val="auto"/>
          <w:lang w:val="en-US" w:eastAsia="zh-CN"/>
        </w:rPr>
        <w:t>（DA001）</w:t>
      </w:r>
      <w:r>
        <w:rPr>
          <w:rFonts w:hint="default"/>
          <w:color w:val="auto"/>
          <w:lang w:val="en-US" w:eastAsia="zh-CN"/>
        </w:rPr>
        <w:t>；污水处理站产生的恶臭</w:t>
      </w:r>
      <w:r>
        <w:rPr>
          <w:rFonts w:hint="eastAsia"/>
          <w:color w:val="auto"/>
          <w:lang w:val="en-US" w:eastAsia="zh-CN"/>
        </w:rPr>
        <w:t>（DA012）</w:t>
      </w:r>
      <w:r>
        <w:rPr>
          <w:rFonts w:hint="default"/>
          <w:color w:val="auto"/>
          <w:lang w:val="en-US" w:eastAsia="zh-CN"/>
        </w:rPr>
        <w:t>；</w:t>
      </w:r>
      <w:r>
        <w:rPr>
          <w:rFonts w:hint="eastAsia"/>
          <w:color w:val="auto"/>
          <w:lang w:val="en-US" w:eastAsia="zh-CN"/>
        </w:rPr>
        <w:t>不凝气废气（DA003、DA004、DA016、DA017、DA030、DA031）；粉碎废气（DA005-DA010、DA014、DA015、DA018-DA029、DA035、DA040）；冷却废气（DA012、DA033、DA034、DA036-DA039）；CO2洗涤塔废气（DA002、DA032、DA041、DA042）；无组织废气主要为厂界的颗粒物、非甲烷总烃、氨、硫化氢、臭气浓度</w:t>
      </w:r>
      <w:r>
        <w:rPr>
          <w:rFonts w:hint="default"/>
          <w:color w:val="auto"/>
          <w:lang w:val="en-US" w:eastAsia="zh-CN"/>
        </w:rPr>
        <w:t>等。</w:t>
      </w:r>
    </w:p>
    <w:p w14:paraId="7AFECCD2">
      <w:pPr>
        <w:spacing w:line="360" w:lineRule="auto"/>
        <w:ind w:firstLine="480" w:firstLineChars="200"/>
        <w:rPr>
          <w:rFonts w:hint="default"/>
          <w:color w:val="auto"/>
          <w:lang w:val="en-US" w:eastAsia="zh-CN"/>
        </w:rPr>
      </w:pPr>
      <w:r>
        <w:rPr>
          <w:rFonts w:hint="eastAsia"/>
          <w:color w:val="auto"/>
          <w:lang w:val="en-US" w:eastAsia="zh-CN"/>
        </w:rPr>
        <w:t>现有工程共有41个排气筒，各个排气筒均能够达标排放。厂界各项污染物均能够满足相关标准要求。</w:t>
      </w:r>
    </w:p>
    <w:p w14:paraId="7C0CECF7">
      <w:pPr>
        <w:spacing w:line="360" w:lineRule="auto"/>
        <w:ind w:firstLine="480" w:firstLineChars="200"/>
        <w:rPr>
          <w:color w:val="auto"/>
        </w:rPr>
      </w:pPr>
      <w:r>
        <w:rPr>
          <w:rFonts w:eastAsia="Times New Roman"/>
          <w:color w:val="auto"/>
        </w:rPr>
        <w:t>（</w:t>
      </w:r>
      <w:bookmarkEnd w:id="57"/>
      <w:r>
        <w:rPr>
          <w:rFonts w:eastAsia="Times New Roman"/>
          <w:color w:val="auto"/>
        </w:rPr>
        <w:t>2</w:t>
      </w:r>
      <w:r>
        <w:rPr>
          <w:color w:val="auto"/>
        </w:rPr>
        <w:t>）废水</w:t>
      </w:r>
    </w:p>
    <w:p w14:paraId="1FA69012">
      <w:pPr>
        <w:spacing w:line="360" w:lineRule="auto"/>
        <w:ind w:firstLine="480" w:firstLineChars="200"/>
        <w:rPr>
          <w:rFonts w:hint="eastAsia" w:ascii="Times New Roman" w:hAnsi="Times New Roman" w:cs="Times New Roman"/>
          <w:snapToGrid w:val="0"/>
          <w:color w:val="auto"/>
          <w:spacing w:val="0"/>
          <w:position w:val="0"/>
          <w:lang w:eastAsia="zh-CN"/>
        </w:rPr>
      </w:pPr>
      <w:bookmarkStart w:id="58" w:name="bookmark54"/>
      <w:r>
        <w:rPr>
          <w:rFonts w:hint="eastAsia" w:ascii="Times New Roman" w:hAnsi="Times New Roman" w:cs="Times New Roman"/>
          <w:snapToGrid w:val="0"/>
          <w:color w:val="auto"/>
          <w:spacing w:val="0"/>
          <w:position w:val="0"/>
          <w:lang w:val="en-US" w:eastAsia="zh-CN"/>
        </w:rPr>
        <w:t>现有工程</w:t>
      </w:r>
      <w:r>
        <w:rPr>
          <w:rFonts w:hint="default" w:ascii="Times New Roman" w:hAnsi="Times New Roman" w:cs="Times New Roman"/>
          <w:snapToGrid w:val="0"/>
          <w:color w:val="auto"/>
          <w:spacing w:val="0"/>
          <w:position w:val="0"/>
        </w:rPr>
        <w:t xml:space="preserve">污水处理站处理能力 </w:t>
      </w:r>
      <w:r>
        <w:rPr>
          <w:rFonts w:hint="eastAsia" w:ascii="Times New Roman" w:hAnsi="Times New Roman" w:cs="Times New Roman"/>
          <w:snapToGrid w:val="0"/>
          <w:color w:val="auto"/>
          <w:spacing w:val="0"/>
          <w:position w:val="0"/>
          <w:lang w:val="en-US" w:eastAsia="zh-CN"/>
        </w:rPr>
        <w:t>1.2</w:t>
      </w:r>
      <w:r>
        <w:rPr>
          <w:rFonts w:hint="default" w:ascii="Times New Roman" w:hAnsi="Times New Roman" w:cs="Times New Roman"/>
          <w:snapToGrid w:val="0"/>
          <w:color w:val="auto"/>
          <w:spacing w:val="0"/>
          <w:position w:val="0"/>
        </w:rPr>
        <w:t xml:space="preserve">万 </w:t>
      </w:r>
      <w:r>
        <w:rPr>
          <w:rFonts w:hint="default" w:ascii="Times New Roman" w:hAnsi="Times New Roman" w:eastAsia="Times New Roman" w:cs="Times New Roman"/>
          <w:snapToGrid w:val="0"/>
          <w:color w:val="auto"/>
          <w:spacing w:val="0"/>
          <w:position w:val="0"/>
        </w:rPr>
        <w:t>t/d</w:t>
      </w:r>
      <w:r>
        <w:rPr>
          <w:rFonts w:hint="default" w:ascii="Times New Roman" w:hAnsi="Times New Roman" w:cs="Times New Roman"/>
          <w:snapToGrid w:val="0"/>
          <w:color w:val="auto"/>
          <w:spacing w:val="0"/>
          <w:position w:val="0"/>
        </w:rPr>
        <w:t>，采用</w:t>
      </w:r>
      <w:r>
        <w:rPr>
          <w:rFonts w:hint="default" w:ascii="Times New Roman" w:hAnsi="Times New Roman" w:eastAsia="Times New Roman" w:cs="Times New Roman"/>
          <w:snapToGrid w:val="0"/>
          <w:color w:val="auto"/>
          <w:spacing w:val="0"/>
          <w:position w:val="0"/>
        </w:rPr>
        <w:t>“</w:t>
      </w:r>
      <w:r>
        <w:rPr>
          <w:rFonts w:hint="eastAsia" w:ascii="Times New Roman" w:hAnsi="Times New Roman" w:cs="Times New Roman"/>
          <w:snapToGrid w:val="0"/>
          <w:color w:val="auto"/>
          <w:spacing w:val="0"/>
          <w:position w:val="0"/>
          <w:lang w:eastAsia="zh-CN"/>
        </w:rPr>
        <w:t>SPIC厌氧+生物接触氧化+连续活性砂滤</w:t>
      </w:r>
      <w:r>
        <w:rPr>
          <w:rFonts w:hint="default" w:ascii="Times New Roman" w:hAnsi="Times New Roman" w:eastAsia="Times New Roman" w:cs="Times New Roman"/>
          <w:snapToGrid w:val="0"/>
          <w:color w:val="auto"/>
          <w:spacing w:val="0"/>
          <w:position w:val="0"/>
        </w:rPr>
        <w:t>”</w:t>
      </w:r>
      <w:r>
        <w:rPr>
          <w:rFonts w:hint="default" w:ascii="Times New Roman" w:hAnsi="Times New Roman" w:cs="Times New Roman"/>
          <w:snapToGrid w:val="0"/>
          <w:color w:val="auto"/>
          <w:spacing w:val="0"/>
          <w:position w:val="0"/>
        </w:rPr>
        <w:t>方法对污水处理，</w:t>
      </w:r>
      <w:r>
        <w:rPr>
          <w:rFonts w:hint="eastAsia" w:ascii="Times New Roman" w:hAnsi="Times New Roman" w:cs="Times New Roman"/>
          <w:snapToGrid w:val="0"/>
          <w:color w:val="auto"/>
          <w:spacing w:val="0"/>
          <w:position w:val="0"/>
          <w:lang w:eastAsia="zh-CN"/>
        </w:rPr>
        <w:t>本项目的污水经厂区污水处理站处理后，满足《城镇污水处理厂污染物排放标准》（GB18918-2002）中一级标准中的A标准的要求后，</w:t>
      </w:r>
      <w:r>
        <w:rPr>
          <w:rFonts w:hint="eastAsia"/>
          <w:color w:val="auto"/>
          <w:lang w:val="en-US" w:eastAsia="zh-CN"/>
        </w:rPr>
        <w:t>经拉哈生物技术与化学制药产业园区污水处理厂入河排污口排入到嫩江</w:t>
      </w:r>
      <w:r>
        <w:rPr>
          <w:rFonts w:hint="eastAsia" w:ascii="Times New Roman" w:hAnsi="Times New Roman" w:cs="Times New Roman"/>
          <w:snapToGrid w:val="0"/>
          <w:color w:val="auto"/>
          <w:spacing w:val="0"/>
          <w:position w:val="0"/>
          <w:lang w:eastAsia="zh-CN"/>
        </w:rPr>
        <w:t>。</w:t>
      </w:r>
    </w:p>
    <w:p w14:paraId="63BF53C1">
      <w:pPr>
        <w:spacing w:line="360" w:lineRule="auto"/>
        <w:ind w:firstLine="480" w:firstLineChars="200"/>
        <w:rPr>
          <w:color w:val="auto"/>
        </w:rPr>
      </w:pPr>
      <w:r>
        <w:rPr>
          <w:color w:val="auto"/>
        </w:rPr>
        <w:t>（</w:t>
      </w:r>
      <w:bookmarkEnd w:id="58"/>
      <w:r>
        <w:rPr>
          <w:color w:val="auto"/>
        </w:rPr>
        <w:t>3）噪声</w:t>
      </w:r>
    </w:p>
    <w:p w14:paraId="5FC12E8B">
      <w:pPr>
        <w:spacing w:line="360" w:lineRule="auto"/>
        <w:ind w:firstLine="480" w:firstLineChars="200"/>
        <w:rPr>
          <w:rFonts w:hint="eastAsia" w:ascii="Times New Roman" w:hAnsi="Times New Roman" w:eastAsia="宋体" w:cs="Times New Roman"/>
          <w:color w:val="auto"/>
          <w:sz w:val="24"/>
          <w:lang w:val="zh-CN" w:eastAsia="zh-CN"/>
        </w:rPr>
      </w:pPr>
      <w:bookmarkStart w:id="59" w:name="bookmark55"/>
      <w:bookmarkEnd w:id="59"/>
      <w:r>
        <w:rPr>
          <w:rFonts w:hint="eastAsia" w:ascii="Times New Roman" w:hAnsi="Times New Roman" w:eastAsia="宋体" w:cs="Times New Roman"/>
          <w:color w:val="auto"/>
          <w:sz w:val="24"/>
          <w:lang w:val="en-US" w:eastAsia="zh-CN"/>
        </w:rPr>
        <w:t>现有工程</w:t>
      </w:r>
      <w:r>
        <w:rPr>
          <w:rFonts w:hint="eastAsia" w:ascii="Times New Roman" w:hAnsi="Times New Roman" w:eastAsia="宋体" w:cs="Times New Roman"/>
          <w:color w:val="auto"/>
          <w:sz w:val="24"/>
          <w:lang w:val="zh-CN" w:eastAsia="zh-CN"/>
        </w:rPr>
        <w:t>昼间噪声值为5</w:t>
      </w:r>
      <w:r>
        <w:rPr>
          <w:rFonts w:hint="eastAsia" w:ascii="Times New Roman" w:hAnsi="Times New Roman" w:cs="Times New Roman"/>
          <w:color w:val="auto"/>
          <w:sz w:val="24"/>
          <w:lang w:val="en-US" w:eastAsia="zh-CN"/>
        </w:rPr>
        <w:t>0.2</w:t>
      </w:r>
      <w:r>
        <w:rPr>
          <w:rFonts w:hint="eastAsia" w:ascii="Times New Roman" w:hAnsi="Times New Roman" w:eastAsia="宋体" w:cs="Times New Roman"/>
          <w:color w:val="auto"/>
          <w:sz w:val="24"/>
          <w:lang w:val="zh-CN" w:eastAsia="zh-CN"/>
        </w:rPr>
        <w:t>~5</w:t>
      </w:r>
      <w:r>
        <w:rPr>
          <w:rFonts w:hint="eastAsia" w:ascii="Times New Roman" w:hAnsi="Times New Roman" w:cs="Times New Roman"/>
          <w:color w:val="auto"/>
          <w:sz w:val="24"/>
          <w:lang w:val="en-US" w:eastAsia="zh-CN"/>
        </w:rPr>
        <w:t>7.8</w:t>
      </w:r>
      <w:r>
        <w:rPr>
          <w:rFonts w:hint="eastAsia" w:ascii="Times New Roman" w:hAnsi="Times New Roman" w:eastAsia="宋体" w:cs="Times New Roman"/>
          <w:color w:val="auto"/>
          <w:sz w:val="24"/>
          <w:lang w:val="zh-CN" w:eastAsia="zh-CN"/>
        </w:rPr>
        <w:t>dB(A)，夜间声值为4</w:t>
      </w:r>
      <w:r>
        <w:rPr>
          <w:rFonts w:hint="eastAsia" w:ascii="Times New Roman" w:hAnsi="Times New Roman" w:cs="Times New Roman"/>
          <w:color w:val="auto"/>
          <w:sz w:val="24"/>
          <w:lang w:val="en-US" w:eastAsia="zh-CN"/>
        </w:rPr>
        <w:t>9.4</w:t>
      </w:r>
      <w:r>
        <w:rPr>
          <w:rFonts w:hint="eastAsia" w:ascii="Times New Roman" w:hAnsi="Times New Roman" w:eastAsia="宋体" w:cs="Times New Roman"/>
          <w:color w:val="auto"/>
          <w:sz w:val="24"/>
          <w:lang w:val="zh-CN" w:eastAsia="zh-CN"/>
        </w:rPr>
        <w:t>~</w:t>
      </w:r>
      <w:r>
        <w:rPr>
          <w:rFonts w:hint="eastAsia" w:ascii="Times New Roman" w:hAnsi="Times New Roman" w:cs="Times New Roman"/>
          <w:color w:val="auto"/>
          <w:sz w:val="24"/>
          <w:lang w:val="en-US" w:eastAsia="zh-CN"/>
        </w:rPr>
        <w:t>50.5</w:t>
      </w:r>
      <w:r>
        <w:rPr>
          <w:rFonts w:hint="eastAsia" w:ascii="Times New Roman" w:hAnsi="Times New Roman" w:eastAsia="宋体" w:cs="Times New Roman"/>
          <w:color w:val="auto"/>
          <w:sz w:val="24"/>
          <w:lang w:val="zh-CN" w:eastAsia="zh-CN"/>
        </w:rPr>
        <w:t>dB(A)</w:t>
      </w:r>
      <w:r>
        <w:rPr>
          <w:rFonts w:hint="eastAsia" w:ascii="Times New Roman" w:hAnsi="Times New Roman" w:cs="Times New Roman"/>
          <w:color w:val="auto"/>
          <w:sz w:val="24"/>
          <w:lang w:val="zh-CN" w:eastAsia="zh-CN"/>
        </w:rPr>
        <w:t>；</w:t>
      </w:r>
      <w:r>
        <w:rPr>
          <w:rFonts w:hint="eastAsia" w:ascii="Times New Roman" w:hAnsi="Times New Roman" w:eastAsia="宋体" w:cs="Times New Roman"/>
          <w:color w:val="auto"/>
          <w:sz w:val="24"/>
          <w:lang w:val="zh-CN" w:eastAsia="zh-CN"/>
        </w:rPr>
        <w:t>满足《工业企业厂界环境噪声排放标准》(GB12348-2008)中的</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zh-CN" w:eastAsia="zh-CN"/>
        </w:rPr>
        <w:t>类标准限值要求。</w:t>
      </w:r>
    </w:p>
    <w:p w14:paraId="6ED381F5">
      <w:pPr>
        <w:spacing w:line="360" w:lineRule="auto"/>
        <w:ind w:firstLine="480" w:firstLineChars="200"/>
        <w:rPr>
          <w:color w:val="auto"/>
        </w:rPr>
      </w:pPr>
      <w:r>
        <w:rPr>
          <w:color w:val="auto"/>
        </w:rPr>
        <w:t>（4）固废</w:t>
      </w:r>
    </w:p>
    <w:p w14:paraId="3A4ED6D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玉米皮等杂质和生活垃圾统一收集后由天津四季环保科技有限公司黑龙江省分公司处理；污水处理站污泥掺混入燃煤进入锅炉燃烧；废活性炭、废树脂、釜渣（塔底废物）、化验室废液和污水处理站在线监测废液属于危险废物，暂存在</w:t>
      </w:r>
      <w:r>
        <w:rPr>
          <w:rFonts w:hint="eastAsia" w:cs="Times New Roman"/>
          <w:color w:val="auto"/>
          <w:lang w:val="en-US" w:eastAsia="zh-CN"/>
        </w:rPr>
        <w:t>危险废物贮存间</w:t>
      </w:r>
      <w:r>
        <w:rPr>
          <w:rFonts w:hint="eastAsia" w:ascii="Times New Roman" w:hAnsi="Times New Roman" w:eastAsia="宋体" w:cs="Times New Roman"/>
          <w:color w:val="auto"/>
          <w:lang w:val="en-US" w:eastAsia="zh-CN"/>
        </w:rPr>
        <w:t>后交由黑龙江天爱优创科技有限公司处置。沼气净化用脱硫剂由长葛市万通催化剂有限公司回收。</w:t>
      </w:r>
      <w:r>
        <w:rPr>
          <w:rFonts w:hint="default" w:ascii="Times New Roman" w:hAnsi="Times New Roman" w:eastAsia="宋体" w:cs="Times New Roman"/>
          <w:color w:val="auto"/>
          <w:lang w:val="en-US" w:eastAsia="zh-CN"/>
        </w:rPr>
        <w:t>综上分析，本项目产生的固体废物处置率达100%，运营期加强管理，固废暂存设施采取防雨、防渗、防漏等措施后，不会对环境产生危害影响。</w:t>
      </w:r>
    </w:p>
    <w:p w14:paraId="14676757">
      <w:pPr>
        <w:spacing w:line="360" w:lineRule="auto"/>
        <w:ind w:firstLine="480" w:firstLineChars="200"/>
        <w:rPr>
          <w:color w:val="auto"/>
        </w:rPr>
      </w:pPr>
      <w:r>
        <w:rPr>
          <w:rFonts w:hint="eastAsia" w:ascii="Times New Roman" w:hAnsi="Times New Roman" w:eastAsia="Times New Roman" w:cs="Times New Roman"/>
          <w:color w:val="auto"/>
          <w:lang w:val="en-US" w:eastAsia="zh-CN"/>
        </w:rPr>
        <w:t>该危险废物贮存间按照《危险废物贮存污染控制标准》（GB18597及其修改单）要求建设。根据《齐齐哈尔市生态环境局关于关于黑龙江鸿展生物科技股份有限公司年200万吨玉米深加工项目固体废物污染防治设施竣工环境保护分期验收合格的函》（齐环行审〔2019〕78号），该危废贮存间已通过竣工环境保护验收。</w:t>
      </w:r>
      <w:r>
        <w:rPr>
          <w:color w:val="auto"/>
        </w:rPr>
        <w:t>综合利用率达到100%，固体废物均得到妥善处理不外排，对外环境无影响。</w:t>
      </w:r>
    </w:p>
    <w:p w14:paraId="53A8B4AD">
      <w:pPr>
        <w:pStyle w:val="487"/>
        <w:keepNext/>
        <w:keepLines/>
        <w:spacing w:after="60"/>
        <w:jc w:val="left"/>
        <w:rPr>
          <w:rFonts w:ascii="Times New Roman" w:hAnsi="Times New Roman" w:cs="Times New Roman"/>
        </w:rPr>
      </w:pPr>
      <w:bookmarkStart w:id="60" w:name="bookmark56"/>
      <w:bookmarkStart w:id="61" w:name="bookmark58"/>
      <w:bookmarkStart w:id="62" w:name="bookmark57"/>
      <w:r>
        <w:rPr>
          <w:rFonts w:ascii="Times New Roman" w:hAnsi="Times New Roman" w:eastAsia="Times New Roman" w:cs="Times New Roman"/>
          <w:lang w:val="en-US" w:eastAsia="zh-CN" w:bidi="en-US"/>
        </w:rPr>
        <w:t>1.</w:t>
      </w:r>
      <w:r>
        <w:rPr>
          <w:rFonts w:ascii="Times New Roman" w:hAnsi="Times New Roman" w:cs="Times New Roman"/>
          <w:lang w:val="en-US" w:eastAsia="zh-CN" w:bidi="en-US"/>
        </w:rPr>
        <w:t>5</w:t>
      </w:r>
      <w:r>
        <w:rPr>
          <w:rFonts w:ascii="Times New Roman" w:hAnsi="Times New Roman" w:eastAsia="Times New Roman" w:cs="Times New Roman"/>
          <w:lang w:val="en-US" w:eastAsia="zh-CN" w:bidi="en-US"/>
        </w:rPr>
        <w:t>.2</w:t>
      </w:r>
      <w:bookmarkEnd w:id="60"/>
      <w:bookmarkEnd w:id="61"/>
      <w:bookmarkEnd w:id="62"/>
      <w:bookmarkStart w:id="63" w:name="bookmark61"/>
      <w:bookmarkStart w:id="64" w:name="bookmark59"/>
      <w:bookmarkStart w:id="65" w:name="bookmark60"/>
      <w:r>
        <w:rPr>
          <w:rFonts w:ascii="Times New Roman" w:hAnsi="Times New Roman" w:cs="Times New Roman"/>
        </w:rPr>
        <w:t>扩建工程运营期环境问题及影响</w:t>
      </w:r>
      <w:bookmarkEnd w:id="63"/>
      <w:bookmarkEnd w:id="64"/>
      <w:bookmarkEnd w:id="65"/>
    </w:p>
    <w:p w14:paraId="66FDDB33">
      <w:pPr>
        <w:pStyle w:val="20"/>
        <w:spacing w:line="360" w:lineRule="auto"/>
        <w:ind w:right="272" w:firstLine="480" w:firstLineChars="200"/>
        <w:jc w:val="both"/>
        <w:rPr>
          <w:rFonts w:ascii="Times New Roman" w:hAnsi="Times New Roman" w:cs="Times New Roman"/>
          <w:snapToGrid w:val="0"/>
          <w:sz w:val="24"/>
          <w:szCs w:val="24"/>
        </w:rPr>
      </w:pPr>
      <w:bookmarkStart w:id="66" w:name="bookmark62"/>
      <w:bookmarkEnd w:id="66"/>
      <w:r>
        <w:rPr>
          <w:rFonts w:ascii="Times New Roman" w:hAnsi="Times New Roman" w:cs="Times New Roman"/>
          <w:snapToGrid w:val="0"/>
          <w:sz w:val="24"/>
          <w:szCs w:val="24"/>
          <w:lang w:eastAsia="zh-CN"/>
        </w:rPr>
        <w:t>（</w:t>
      </w:r>
      <w:r>
        <w:rPr>
          <w:rFonts w:ascii="Times New Roman" w:hAnsi="Times New Roman" w:cs="Times New Roman"/>
          <w:snapToGrid w:val="0"/>
          <w:sz w:val="24"/>
          <w:szCs w:val="24"/>
          <w:lang w:val="en-US" w:eastAsia="zh-CN"/>
        </w:rPr>
        <w:t>1</w:t>
      </w:r>
      <w:r>
        <w:rPr>
          <w:rFonts w:ascii="Times New Roman" w:hAnsi="Times New Roman" w:cs="Times New Roman"/>
          <w:snapToGrid w:val="0"/>
          <w:sz w:val="24"/>
          <w:szCs w:val="24"/>
          <w:lang w:eastAsia="zh-CN"/>
        </w:rPr>
        <w:t>）</w:t>
      </w:r>
      <w:r>
        <w:rPr>
          <w:rFonts w:ascii="Times New Roman" w:hAnsi="Times New Roman" w:cs="Times New Roman"/>
          <w:snapToGrid w:val="0"/>
          <w:sz w:val="24"/>
          <w:szCs w:val="24"/>
        </w:rPr>
        <w:t>废气</w:t>
      </w:r>
    </w:p>
    <w:p w14:paraId="6B47D349">
      <w:pPr>
        <w:pStyle w:val="20"/>
        <w:spacing w:line="360" w:lineRule="auto"/>
        <w:ind w:right="272" w:firstLine="480" w:firstLineChars="200"/>
        <w:jc w:val="both"/>
        <w:rPr>
          <w:rFonts w:ascii="Times New Roman" w:hAnsi="Times New Roman" w:cs="Times New Roman"/>
          <w:snapToGrid w:val="0"/>
          <w:sz w:val="24"/>
          <w:szCs w:val="24"/>
        </w:rPr>
      </w:pPr>
      <w:r>
        <w:rPr>
          <w:rFonts w:ascii="Times New Roman" w:hAnsi="Times New Roman" w:cs="Times New Roman"/>
          <w:snapToGrid w:val="0"/>
          <w:sz w:val="24"/>
          <w:szCs w:val="24"/>
        </w:rPr>
        <w:t>本项目产生的废气经采取措施后均能达标排放，由预测结果可知最大落地浓度均可满足环境质量标准，各个污染物预测到到各个敏感点浓度均能达到质量标准，不会对敏感点产生影响。</w:t>
      </w:r>
    </w:p>
    <w:p w14:paraId="6140BBB2">
      <w:pPr>
        <w:pStyle w:val="20"/>
        <w:spacing w:line="360" w:lineRule="auto"/>
        <w:ind w:right="272" w:firstLine="480" w:firstLineChars="200"/>
        <w:jc w:val="both"/>
        <w:rPr>
          <w:rFonts w:ascii="Times New Roman" w:hAnsi="Times New Roman" w:cs="Times New Roman"/>
          <w:snapToGrid w:val="0"/>
          <w:sz w:val="24"/>
          <w:szCs w:val="24"/>
        </w:rPr>
      </w:pPr>
      <w:r>
        <w:rPr>
          <w:rFonts w:ascii="Times New Roman" w:hAnsi="Times New Roman" w:cs="Times New Roman"/>
          <w:snapToGrid w:val="0"/>
          <w:sz w:val="24"/>
          <w:szCs w:val="24"/>
        </w:rPr>
        <w:t>（2）废水</w:t>
      </w:r>
    </w:p>
    <w:p w14:paraId="102F156C">
      <w:pPr>
        <w:pStyle w:val="20"/>
        <w:spacing w:line="360" w:lineRule="auto"/>
        <w:ind w:right="272" w:firstLine="480" w:firstLineChars="200"/>
        <w:jc w:val="both"/>
        <w:rPr>
          <w:rFonts w:ascii="Times New Roman" w:hAnsi="Times New Roman" w:cs="Times New Roman"/>
          <w:snapToGrid w:val="0"/>
          <w:sz w:val="24"/>
          <w:szCs w:val="24"/>
        </w:rPr>
      </w:pPr>
      <w:r>
        <w:rPr>
          <w:rFonts w:ascii="Times New Roman" w:hAnsi="Times New Roman" w:cs="Times New Roman"/>
          <w:snapToGrid w:val="0"/>
          <w:sz w:val="24"/>
          <w:szCs w:val="24"/>
        </w:rPr>
        <w:t>本次扩建</w:t>
      </w:r>
      <w:r>
        <w:rPr>
          <w:rFonts w:hint="eastAsia" w:ascii="Times New Roman" w:hAnsi="Times New Roman" w:cs="Times New Roman"/>
          <w:snapToGrid w:val="0"/>
          <w:sz w:val="24"/>
          <w:szCs w:val="24"/>
          <w:lang w:val="en-US" w:eastAsia="zh-CN"/>
        </w:rPr>
        <w:t>不</w:t>
      </w:r>
      <w:r>
        <w:rPr>
          <w:rFonts w:ascii="Times New Roman" w:hAnsi="Times New Roman" w:cs="Times New Roman"/>
          <w:snapToGrid w:val="0"/>
          <w:sz w:val="24"/>
          <w:szCs w:val="24"/>
        </w:rPr>
        <w:t>新增工作人员。</w:t>
      </w:r>
    </w:p>
    <w:p w14:paraId="5B991B5D">
      <w:pPr>
        <w:pStyle w:val="20"/>
        <w:spacing w:line="360" w:lineRule="auto"/>
        <w:ind w:right="272" w:firstLine="480" w:firstLineChars="200"/>
        <w:jc w:val="both"/>
        <w:rPr>
          <w:rFonts w:hint="eastAsia" w:ascii="Times New Roman" w:hAnsi="Times New Roman" w:cs="Times New Roman"/>
          <w:snapToGrid w:val="0"/>
          <w:sz w:val="24"/>
          <w:szCs w:val="24"/>
          <w:lang w:val="en-US" w:eastAsia="zh-CN"/>
        </w:rPr>
      </w:pPr>
      <w:bookmarkStart w:id="67" w:name="bookmark63"/>
      <w:r>
        <w:rPr>
          <w:rFonts w:ascii="Times New Roman" w:hAnsi="Times New Roman" w:cs="Times New Roman"/>
          <w:snapToGrid w:val="0"/>
          <w:sz w:val="24"/>
          <w:szCs w:val="24"/>
        </w:rPr>
        <w:t>在正常工况下，</w:t>
      </w:r>
      <w:r>
        <w:rPr>
          <w:rFonts w:hint="eastAsia" w:cs="Times New Roman"/>
          <w:snapToGrid w:val="0"/>
          <w:sz w:val="24"/>
          <w:szCs w:val="24"/>
          <w:lang w:val="en-US" w:eastAsia="zh-CN"/>
        </w:rPr>
        <w:t>本项目</w:t>
      </w:r>
      <w:r>
        <w:rPr>
          <w:rFonts w:hint="eastAsia" w:ascii="Times New Roman" w:hAnsi="Times New Roman" w:cs="Times New Roman"/>
          <w:snapToGrid w:val="0"/>
          <w:sz w:val="24"/>
          <w:szCs w:val="24"/>
          <w:lang w:val="en-US" w:eastAsia="zh-CN"/>
        </w:rPr>
        <w:t>的污水经厂区扩建的污水处理站处理后，满足《城镇污水处理厂污染物排放标准》（GB18918-2002）中一级标准中的A标准的要求后，</w:t>
      </w:r>
      <w:r>
        <w:rPr>
          <w:rFonts w:hint="eastAsia" w:cs="Times New Roman"/>
          <w:snapToGrid w:val="0"/>
          <w:sz w:val="24"/>
          <w:szCs w:val="24"/>
          <w:lang w:val="en-US" w:eastAsia="zh-CN"/>
        </w:rPr>
        <w:t>经拉哈生物技术与化学制药产业园区污水处理厂入河排污口排入到嫩江</w:t>
      </w:r>
      <w:r>
        <w:rPr>
          <w:rFonts w:hint="eastAsia" w:ascii="Times New Roman" w:hAnsi="Times New Roman" w:cs="Times New Roman"/>
          <w:snapToGrid w:val="0"/>
          <w:sz w:val="24"/>
          <w:szCs w:val="24"/>
          <w:lang w:val="en-US" w:eastAsia="zh-CN"/>
        </w:rPr>
        <w:t>。待拉哈小镇工业园区污水处理厂投入运营后，全厂污水满足拉哈小镇工业园区污水处理厂纳管标准后排入拉哈小镇工业园区污水处理厂。</w:t>
      </w:r>
    </w:p>
    <w:p w14:paraId="678B9664">
      <w:pPr>
        <w:pStyle w:val="20"/>
        <w:spacing w:line="360" w:lineRule="auto"/>
        <w:ind w:right="272" w:firstLine="480" w:firstLineChars="200"/>
        <w:jc w:val="both"/>
        <w:rPr>
          <w:rFonts w:ascii="Times New Roman" w:hAnsi="Times New Roman" w:cs="Times New Roman"/>
          <w:snapToGrid w:val="0"/>
          <w:sz w:val="24"/>
          <w:szCs w:val="24"/>
        </w:rPr>
      </w:pPr>
      <w:r>
        <w:rPr>
          <w:rFonts w:ascii="Times New Roman" w:hAnsi="Times New Roman" w:cs="Times New Roman"/>
          <w:snapToGrid w:val="0"/>
          <w:sz w:val="24"/>
          <w:szCs w:val="24"/>
        </w:rPr>
        <w:t>在</w:t>
      </w:r>
      <w:r>
        <w:rPr>
          <w:rFonts w:hint="eastAsia" w:ascii="Times New Roman" w:hAnsi="Times New Roman" w:cs="Times New Roman"/>
          <w:snapToGrid w:val="0"/>
          <w:sz w:val="24"/>
          <w:szCs w:val="24"/>
          <w:lang w:eastAsia="zh-CN"/>
        </w:rPr>
        <w:t>事故状态</w:t>
      </w:r>
      <w:r>
        <w:rPr>
          <w:rFonts w:ascii="Times New Roman" w:hAnsi="Times New Roman" w:cs="Times New Roman"/>
          <w:snapToGrid w:val="0"/>
          <w:sz w:val="24"/>
          <w:szCs w:val="24"/>
        </w:rPr>
        <w:t>下，主要为当污水处理系统的某一环节发生故障运行不正常污水经处理后的出水无法满足回用水的水质要求时的污水或发生风险事故时的污水，为防止污水处理站发生事故时废水未经处理直接排放，本项目建设废水事故池，事故池容积需满足事故状态下污水存储量，事故时间控制在24h内，故本项目新建一座</w:t>
      </w:r>
      <w:r>
        <w:rPr>
          <w:rFonts w:hint="eastAsia" w:cs="Times New Roman"/>
          <w:snapToGrid w:val="0"/>
          <w:sz w:val="24"/>
          <w:szCs w:val="24"/>
          <w:lang w:val="en-US" w:eastAsia="zh-CN"/>
        </w:rPr>
        <w:t>6</w:t>
      </w:r>
      <w:r>
        <w:rPr>
          <w:rFonts w:hint="eastAsia" w:ascii="Times New Roman" w:hAnsi="Times New Roman" w:cs="Times New Roman"/>
          <w:snapToGrid w:val="0"/>
          <w:sz w:val="24"/>
          <w:szCs w:val="24"/>
          <w:lang w:eastAsia="zh-CN"/>
        </w:rPr>
        <w:t>000</w:t>
      </w:r>
      <w:r>
        <w:rPr>
          <w:rFonts w:ascii="Times New Roman" w:hAnsi="Times New Roman" w:cs="Times New Roman"/>
          <w:snapToGrid w:val="0"/>
          <w:sz w:val="24"/>
          <w:szCs w:val="24"/>
        </w:rPr>
        <w:t xml:space="preserve"> m</w:t>
      </w:r>
      <w:r>
        <w:rPr>
          <w:rFonts w:ascii="Times New Roman" w:hAnsi="Times New Roman" w:cs="Times New Roman"/>
          <w:snapToGrid w:val="0"/>
          <w:sz w:val="24"/>
          <w:szCs w:val="24"/>
          <w:vertAlign w:val="superscript"/>
        </w:rPr>
        <w:t>3</w:t>
      </w:r>
      <w:r>
        <w:rPr>
          <w:rFonts w:ascii="Times New Roman" w:hAnsi="Times New Roman" w:cs="Times New Roman"/>
          <w:snapToGrid w:val="0"/>
          <w:sz w:val="24"/>
          <w:szCs w:val="24"/>
        </w:rPr>
        <w:t>事故池，事故池底部和四壁必须采取防渗措施，防止对地下水造成污染。</w:t>
      </w:r>
    </w:p>
    <w:p w14:paraId="52DBBBE3">
      <w:pPr>
        <w:pStyle w:val="20"/>
        <w:spacing w:line="360" w:lineRule="auto"/>
        <w:ind w:right="272" w:firstLine="480" w:firstLineChars="200"/>
        <w:jc w:val="both"/>
        <w:rPr>
          <w:rFonts w:ascii="Times New Roman" w:hAnsi="Times New Roman" w:cs="Times New Roman"/>
          <w:snapToGrid w:val="0"/>
          <w:sz w:val="24"/>
          <w:szCs w:val="24"/>
        </w:rPr>
      </w:pPr>
      <w:r>
        <w:rPr>
          <w:rFonts w:ascii="Times New Roman" w:hAnsi="Times New Roman" w:cs="Times New Roman"/>
          <w:snapToGrid w:val="0"/>
          <w:sz w:val="24"/>
          <w:szCs w:val="24"/>
        </w:rPr>
        <w:t>由预测结果可知，在评价范围内，均可以满足《地表水环境质量标准》(GB3838</w:t>
      </w:r>
      <w:r>
        <w:rPr>
          <w:rFonts w:hint="eastAsia" w:cs="Times New Roman"/>
          <w:snapToGrid w:val="0"/>
          <w:sz w:val="24"/>
          <w:szCs w:val="24"/>
          <w:lang w:val="en-US" w:eastAsia="zh-CN"/>
        </w:rPr>
        <w:t>-</w:t>
      </w:r>
      <w:r>
        <w:rPr>
          <w:rFonts w:ascii="Times New Roman" w:hAnsi="Times New Roman" w:cs="Times New Roman"/>
          <w:snapToGrid w:val="0"/>
          <w:sz w:val="24"/>
          <w:szCs w:val="24"/>
        </w:rPr>
        <w:t>2002)中的</w:t>
      </w:r>
      <w:r>
        <w:rPr>
          <w:rFonts w:ascii="Times New Roman" w:hAnsi="Times New Roman" w:cs="Times New Roman"/>
          <w:snapToGrid w:val="0"/>
          <w:sz w:val="24"/>
          <w:szCs w:val="24"/>
        </w:rPr>
        <w:fldChar w:fldCharType="begin"/>
      </w:r>
      <w:r>
        <w:rPr>
          <w:rFonts w:ascii="Times New Roman" w:hAnsi="Times New Roman" w:cs="Times New Roman"/>
          <w:snapToGrid w:val="0"/>
          <w:sz w:val="24"/>
          <w:szCs w:val="24"/>
        </w:rPr>
        <w:instrText xml:space="preserve"> = 3 \* ROMAN \* MERGEFORMAT </w:instrText>
      </w:r>
      <w:r>
        <w:rPr>
          <w:rFonts w:ascii="Times New Roman" w:hAnsi="Times New Roman" w:cs="Times New Roman"/>
          <w:snapToGrid w:val="0"/>
          <w:sz w:val="24"/>
          <w:szCs w:val="24"/>
        </w:rPr>
        <w:fldChar w:fldCharType="separate"/>
      </w:r>
      <w:r>
        <w:rPr>
          <w:rFonts w:ascii="Times New Roman" w:hAnsi="Times New Roman" w:cs="Times New Roman"/>
          <w:snapToGrid w:val="0"/>
          <w:sz w:val="24"/>
          <w:szCs w:val="24"/>
        </w:rPr>
        <w:t>III</w:t>
      </w:r>
      <w:r>
        <w:rPr>
          <w:rFonts w:ascii="Times New Roman" w:hAnsi="Times New Roman" w:cs="Times New Roman"/>
          <w:snapToGrid w:val="0"/>
          <w:sz w:val="24"/>
          <w:szCs w:val="24"/>
        </w:rPr>
        <w:fldChar w:fldCharType="end"/>
      </w:r>
      <w:r>
        <w:rPr>
          <w:rFonts w:ascii="Times New Roman" w:hAnsi="Times New Roman" w:cs="Times New Roman"/>
          <w:snapToGrid w:val="0"/>
          <w:sz w:val="24"/>
          <w:szCs w:val="24"/>
        </w:rPr>
        <w:t>类标准，且随着河流向下运动，污染物浓度逐渐降低，对当地水体水质影响较小。</w:t>
      </w:r>
    </w:p>
    <w:p w14:paraId="19CBAC18">
      <w:pPr>
        <w:pStyle w:val="20"/>
        <w:spacing w:line="360" w:lineRule="auto"/>
        <w:ind w:right="272" w:firstLine="480" w:firstLineChars="200"/>
        <w:jc w:val="both"/>
        <w:rPr>
          <w:rFonts w:ascii="Times New Roman" w:hAnsi="Times New Roman" w:cs="Times New Roman"/>
          <w:snapToGrid w:val="0"/>
          <w:sz w:val="24"/>
          <w:szCs w:val="24"/>
        </w:rPr>
      </w:pPr>
      <w:r>
        <w:rPr>
          <w:rFonts w:ascii="Times New Roman" w:hAnsi="Times New Roman" w:cs="Times New Roman"/>
          <w:snapToGrid w:val="0"/>
          <w:sz w:val="24"/>
          <w:szCs w:val="24"/>
        </w:rPr>
        <w:t>（</w:t>
      </w:r>
      <w:bookmarkEnd w:id="67"/>
      <w:r>
        <w:rPr>
          <w:rFonts w:ascii="Times New Roman" w:hAnsi="Times New Roman" w:cs="Times New Roman"/>
          <w:snapToGrid w:val="0"/>
          <w:sz w:val="24"/>
          <w:szCs w:val="24"/>
        </w:rPr>
        <w:t>3）噪声</w:t>
      </w:r>
    </w:p>
    <w:p w14:paraId="33C2F670">
      <w:pPr>
        <w:pStyle w:val="20"/>
        <w:spacing w:line="360" w:lineRule="auto"/>
        <w:ind w:right="272" w:firstLine="480" w:firstLineChars="200"/>
        <w:jc w:val="both"/>
        <w:rPr>
          <w:rFonts w:ascii="Times New Roman" w:hAnsi="Times New Roman" w:cs="Times New Roman"/>
          <w:snapToGrid w:val="0"/>
          <w:sz w:val="24"/>
          <w:szCs w:val="24"/>
        </w:rPr>
      </w:pPr>
      <w:r>
        <w:rPr>
          <w:rFonts w:hint="eastAsia" w:cs="Times New Roman"/>
          <w:snapToGrid w:val="0"/>
          <w:sz w:val="24"/>
          <w:szCs w:val="24"/>
          <w:lang w:eastAsia="zh-CN"/>
        </w:rPr>
        <w:t>本项目</w:t>
      </w:r>
      <w:r>
        <w:rPr>
          <w:rFonts w:ascii="Times New Roman" w:hAnsi="Times New Roman" w:cs="Times New Roman"/>
          <w:snapToGrid w:val="0"/>
          <w:sz w:val="24"/>
          <w:szCs w:val="24"/>
        </w:rPr>
        <w:t>运行期噪声源主要为各类水泵、风机等，对噪声进行治理主要采取以下措施：对机械设备，采用低噪声设备；对噪声较大的设备，如风机等设备加设隔声罩，并在各噪声较大的运转层设隔声值班室；设计上在对空排汽管的管口加设消声装置，同时，通过厂房隔声和距离衰减，</w:t>
      </w:r>
      <w:r>
        <w:rPr>
          <w:rFonts w:hint="eastAsia" w:cs="Times New Roman"/>
          <w:snapToGrid w:val="0"/>
          <w:sz w:val="24"/>
          <w:szCs w:val="24"/>
          <w:lang w:eastAsia="zh-CN"/>
        </w:rPr>
        <w:t>本项目</w:t>
      </w:r>
      <w:r>
        <w:rPr>
          <w:rFonts w:ascii="Times New Roman" w:hAnsi="Times New Roman" w:cs="Times New Roman"/>
          <w:snapToGrid w:val="0"/>
          <w:sz w:val="24"/>
          <w:szCs w:val="24"/>
        </w:rPr>
        <w:t>运营期，项目厂界噪声满足《工业企业厂界环境噪声排放标准》（GB12348-2008）中的</w:t>
      </w:r>
      <w:r>
        <w:rPr>
          <w:rFonts w:hint="eastAsia" w:ascii="Times New Roman" w:hAnsi="Times New Roman" w:cs="Times New Roman"/>
          <w:snapToGrid w:val="0"/>
          <w:sz w:val="24"/>
          <w:szCs w:val="24"/>
          <w:lang w:eastAsia="zh-CN"/>
        </w:rPr>
        <w:t>3类</w:t>
      </w:r>
      <w:r>
        <w:rPr>
          <w:rFonts w:ascii="Times New Roman" w:hAnsi="Times New Roman" w:cs="Times New Roman"/>
          <w:snapToGrid w:val="0"/>
          <w:sz w:val="24"/>
          <w:szCs w:val="24"/>
        </w:rPr>
        <w:t>标准。经预测，对声环境产生的不利影响较小。</w:t>
      </w:r>
    </w:p>
    <w:p w14:paraId="030EE307">
      <w:pPr>
        <w:spacing w:line="360" w:lineRule="auto"/>
        <w:ind w:firstLine="480" w:firstLineChars="200"/>
      </w:pPr>
      <w:bookmarkStart w:id="68" w:name="bookmark64"/>
      <w:r>
        <w:t>（</w:t>
      </w:r>
      <w:bookmarkEnd w:id="68"/>
      <w:r>
        <w:t>4）固废</w:t>
      </w:r>
    </w:p>
    <w:p w14:paraId="55A2162C">
      <w:pPr>
        <w:spacing w:line="360" w:lineRule="auto"/>
        <w:ind w:firstLine="480" w:firstLineChars="200"/>
        <w:rPr>
          <w:rFonts w:ascii="Times New Roman" w:hAnsi="Times New Roman" w:eastAsia="宋体" w:cs="Times New Roman"/>
          <w:snapToGrid w:val="0"/>
          <w:sz w:val="24"/>
          <w:szCs w:val="24"/>
          <w:lang w:val="en-US" w:eastAsia="zh-CN" w:bidi="ar-SA"/>
        </w:rPr>
      </w:pPr>
      <w:r>
        <w:rPr>
          <w:rFonts w:hint="eastAsia" w:cs="Times New Roman"/>
          <w:snapToGrid w:val="0"/>
          <w:sz w:val="24"/>
          <w:szCs w:val="24"/>
          <w:lang w:val="en-US" w:eastAsia="zh-CN" w:bidi="ar-SA"/>
        </w:rPr>
        <w:t>本项目</w:t>
      </w:r>
      <w:r>
        <w:rPr>
          <w:rFonts w:ascii="Times New Roman" w:hAnsi="Times New Roman" w:eastAsia="宋体" w:cs="Times New Roman"/>
          <w:snapToGrid w:val="0"/>
          <w:sz w:val="24"/>
          <w:szCs w:val="24"/>
          <w:lang w:val="en-US" w:eastAsia="zh-CN" w:bidi="ar-SA"/>
        </w:rPr>
        <w:t>产生固废主要为污水处理站污泥</w:t>
      </w:r>
      <w:r>
        <w:rPr>
          <w:rFonts w:hint="eastAsia" w:ascii="Times New Roman" w:hAnsi="Times New Roman" w:eastAsia="宋体" w:cs="Times New Roman"/>
          <w:snapToGrid w:val="0"/>
          <w:sz w:val="24"/>
          <w:szCs w:val="24"/>
          <w:lang w:val="en-US" w:eastAsia="zh-CN" w:bidi="ar-SA"/>
        </w:rPr>
        <w:t>，污水处理站恶臭吸附过程中产生的废活性炭</w:t>
      </w:r>
      <w:r>
        <w:rPr>
          <w:rFonts w:ascii="Times New Roman" w:hAnsi="Times New Roman" w:eastAsia="宋体" w:cs="Times New Roman"/>
          <w:snapToGrid w:val="0"/>
          <w:sz w:val="24"/>
          <w:szCs w:val="24"/>
          <w:lang w:val="en-US" w:eastAsia="zh-CN" w:bidi="ar-SA"/>
        </w:rPr>
        <w:t>。</w:t>
      </w:r>
    </w:p>
    <w:p w14:paraId="1374BEF9">
      <w:pPr>
        <w:spacing w:line="360" w:lineRule="auto"/>
        <w:ind w:firstLine="480" w:firstLineChars="200"/>
      </w:pPr>
      <w:r>
        <w:t>经分析，产生固废均可得到有效处置，综合利用，对周围环境影响较小。</w:t>
      </w:r>
    </w:p>
    <w:p w14:paraId="281CAC2C">
      <w:pPr>
        <w:pStyle w:val="3"/>
      </w:pPr>
      <w:bookmarkStart w:id="69" w:name="bookmark75"/>
      <w:bookmarkStart w:id="70" w:name="_Toc28137"/>
      <w:bookmarkStart w:id="71" w:name="bookmark73"/>
      <w:bookmarkStart w:id="72" w:name="bookmark72"/>
      <w:bookmarkStart w:id="73" w:name="bookmark74"/>
      <w:r>
        <w:t>1.6环境影响评价结论</w:t>
      </w:r>
      <w:bookmarkEnd w:id="69"/>
      <w:bookmarkEnd w:id="70"/>
      <w:bookmarkEnd w:id="71"/>
      <w:bookmarkEnd w:id="72"/>
      <w:bookmarkEnd w:id="73"/>
    </w:p>
    <w:p w14:paraId="6AD41848">
      <w:pPr>
        <w:pStyle w:val="486"/>
        <w:spacing w:line="360" w:lineRule="auto"/>
        <w:ind w:firstLine="480"/>
        <w:rPr>
          <w:rFonts w:ascii="Times New Roman" w:hAnsi="Times New Roman" w:cs="Times New Roman"/>
        </w:rPr>
        <w:sectPr>
          <w:footerReference r:id="rId6" w:type="default"/>
          <w:pgSz w:w="11900" w:h="16840"/>
          <w:pgMar w:top="1440" w:right="1800" w:bottom="1440" w:left="1800" w:header="1109" w:footer="535" w:gutter="0"/>
          <w:pgBorders>
            <w:top w:val="none" w:sz="0" w:space="0"/>
            <w:left w:val="none" w:sz="0" w:space="0"/>
            <w:bottom w:val="none" w:sz="0" w:space="0"/>
            <w:right w:val="none" w:sz="0" w:space="0"/>
          </w:pgBorders>
          <w:cols w:space="720" w:num="1"/>
          <w:docGrid w:linePitch="360" w:charSpace="0"/>
        </w:sectPr>
      </w:pPr>
      <w:r>
        <w:rPr>
          <w:rFonts w:hint="eastAsia" w:ascii="Times New Roman" w:hAnsi="Times New Roman" w:cs="Times New Roman"/>
          <w:lang w:eastAsia="zh-CN"/>
        </w:rPr>
        <w:t>本项目</w:t>
      </w:r>
      <w:r>
        <w:rPr>
          <w:rFonts w:ascii="Times New Roman" w:hAnsi="Times New Roman" w:cs="Times New Roman"/>
        </w:rPr>
        <w:t>对环境的影响主要在运营期，项目建设单位应加强运营期的环境保护管理工作，加强员工的环境保护教育，严格管理，文明施工。建设单位对运营期的污染防治措施予以落实并正常运行的前提下，各个污染物均可达标排放，对周围环境影响可被环境所接受，对拟建项目附近公众参与进行调查表明，当地政府机构、普通群众对</w:t>
      </w:r>
      <w:r>
        <w:rPr>
          <w:rFonts w:hint="eastAsia" w:ascii="Times New Roman" w:hAnsi="Times New Roman" w:cs="Times New Roman"/>
          <w:lang w:eastAsia="zh-CN"/>
        </w:rPr>
        <w:t>本项目</w:t>
      </w:r>
      <w:r>
        <w:rPr>
          <w:rFonts w:ascii="Times New Roman" w:hAnsi="Times New Roman" w:cs="Times New Roman"/>
        </w:rPr>
        <w:t>建设总体意见是大力支持的，综上所述，</w:t>
      </w:r>
      <w:r>
        <w:rPr>
          <w:rFonts w:hint="eastAsia" w:ascii="Times New Roman" w:hAnsi="Times New Roman" w:cs="Times New Roman"/>
          <w:lang w:eastAsia="zh-CN"/>
        </w:rPr>
        <w:t>本项目</w:t>
      </w:r>
      <w:r>
        <w:rPr>
          <w:rFonts w:ascii="Times New Roman" w:hAnsi="Times New Roman" w:cs="Times New Roman"/>
        </w:rPr>
        <w:t>的建设从环境保护角度而言是可行的。</w:t>
      </w:r>
    </w:p>
    <w:bookmarkEnd w:id="9"/>
    <w:bookmarkEnd w:id="10"/>
    <w:bookmarkEnd w:id="11"/>
    <w:bookmarkEnd w:id="12"/>
    <w:bookmarkEnd w:id="13"/>
    <w:bookmarkEnd w:id="14"/>
    <w:bookmarkEnd w:id="15"/>
    <w:bookmarkEnd w:id="16"/>
    <w:bookmarkEnd w:id="27"/>
    <w:bookmarkEnd w:id="28"/>
    <w:p w14:paraId="6D1D9F87">
      <w:pPr>
        <w:pStyle w:val="2"/>
      </w:pPr>
      <w:bookmarkStart w:id="74" w:name="_Toc18424"/>
      <w:bookmarkStart w:id="75" w:name="_Toc14623"/>
      <w:r>
        <w:t>2.总则</w:t>
      </w:r>
      <w:bookmarkEnd w:id="74"/>
      <w:bookmarkEnd w:id="75"/>
    </w:p>
    <w:p w14:paraId="1A89536B">
      <w:pPr>
        <w:pStyle w:val="3"/>
      </w:pPr>
      <w:bookmarkStart w:id="76" w:name="_Toc17791550"/>
      <w:bookmarkStart w:id="77" w:name="_Toc532974692"/>
      <w:bookmarkStart w:id="78" w:name="_Toc21441"/>
      <w:bookmarkStart w:id="79" w:name="_Toc511500948"/>
      <w:bookmarkStart w:id="80" w:name="_Toc326318533"/>
      <w:bookmarkStart w:id="81" w:name="_Toc25338"/>
      <w:bookmarkStart w:id="82" w:name="_Toc32746"/>
      <w:bookmarkStart w:id="83" w:name="_Toc23668"/>
      <w:bookmarkStart w:id="84" w:name="_Toc16386"/>
      <w:bookmarkStart w:id="85" w:name="_Toc391455057"/>
      <w:bookmarkStart w:id="86" w:name="_Toc30890"/>
      <w:bookmarkStart w:id="87" w:name="_Toc25433"/>
      <w:bookmarkStart w:id="88" w:name="_Toc56828292"/>
      <w:bookmarkStart w:id="89" w:name="_Toc56419632"/>
      <w:bookmarkStart w:id="90" w:name="_Toc56485227"/>
      <w:bookmarkStart w:id="91" w:name="_Toc56500369"/>
      <w:bookmarkStart w:id="92" w:name="_Toc56499043"/>
      <w:bookmarkStart w:id="93" w:name="_Toc56498885"/>
      <w:bookmarkStart w:id="94" w:name="_Toc354076692"/>
      <w:bookmarkStart w:id="95" w:name="_Toc56583307"/>
      <w:bookmarkStart w:id="96" w:name="_Toc56484309"/>
      <w:bookmarkStart w:id="97" w:name="_Toc56484636"/>
      <w:bookmarkStart w:id="98" w:name="_Toc56484482"/>
      <w:bookmarkStart w:id="99" w:name="_Toc56498703"/>
      <w:bookmarkStart w:id="100" w:name="_Toc56583193"/>
      <w:bookmarkStart w:id="101" w:name="_Toc56498964"/>
      <w:bookmarkStart w:id="102" w:name="_Toc56827527"/>
      <w:bookmarkStart w:id="103" w:name="_Toc56419285"/>
      <w:bookmarkStart w:id="104" w:name="_Toc56393765"/>
      <w:r>
        <w:t>2.1编制依据</w:t>
      </w:r>
      <w:bookmarkEnd w:id="76"/>
      <w:bookmarkEnd w:id="77"/>
      <w:bookmarkEnd w:id="78"/>
      <w:bookmarkEnd w:id="79"/>
    </w:p>
    <w:p w14:paraId="248788E5">
      <w:pPr>
        <w:pStyle w:val="4"/>
      </w:pPr>
      <w:bookmarkStart w:id="105" w:name="_Toc454462655"/>
      <w:bookmarkStart w:id="106" w:name="_Toc454201484"/>
      <w:bookmarkStart w:id="107" w:name="_Toc534486399"/>
      <w:bookmarkStart w:id="108" w:name="_Toc532974693"/>
      <w:r>
        <w:t>2.1.1相关法律、法规</w:t>
      </w:r>
      <w:bookmarkEnd w:id="105"/>
      <w:bookmarkEnd w:id="106"/>
      <w:bookmarkEnd w:id="107"/>
      <w:r>
        <w:t>、文件</w:t>
      </w:r>
      <w:bookmarkEnd w:id="108"/>
    </w:p>
    <w:p w14:paraId="53AB5FCB">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bookmarkStart w:id="109" w:name="_Toc532974694"/>
      <w:bookmarkStart w:id="110" w:name="_Toc454462656"/>
      <w:bookmarkStart w:id="111" w:name="_Toc454201485"/>
      <w:bookmarkStart w:id="112" w:name="_Toc534486400"/>
      <w:r>
        <w:rPr>
          <w:rFonts w:hint="eastAsia" w:ascii="Times New Roman" w:hAnsi="Times New Roman" w:eastAsia="宋体" w:cs="Times New Roman"/>
          <w:sz w:val="24"/>
          <w:szCs w:val="24"/>
          <w:lang w:val="zh-TW" w:eastAsia="zh-CN" w:bidi="zh-TW"/>
        </w:rPr>
        <w:t>（1）《中华人民共和国环境保护法》（2015年1月1日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5827C459">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（2）《中华人民共和国环境影响评价法》（2018年12月29日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31143B29">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（3）《中华人民共和国水污染防治法》（20</w:t>
      </w:r>
      <w:r>
        <w:rPr>
          <w:rFonts w:hint="eastAsia" w:ascii="Times New Roman" w:hAnsi="Times New Roman" w:eastAsia="宋体" w:cs="Times New Roman"/>
          <w:sz w:val="24"/>
          <w:szCs w:val="24"/>
          <w:lang w:val="en-US" w:eastAsia="zh-CN" w:bidi="zh-TW"/>
        </w:rPr>
        <w:t>18</w:t>
      </w:r>
      <w:r>
        <w:rPr>
          <w:rFonts w:hint="eastAsia" w:ascii="Times New Roman" w:hAnsi="Times New Roman" w:eastAsia="宋体" w:cs="Times New Roman"/>
          <w:sz w:val="24"/>
          <w:szCs w:val="24"/>
          <w:lang w:val="zh-TW" w:eastAsia="zh-CN" w:bidi="zh-TW"/>
        </w:rPr>
        <w:t>年</w:t>
      </w:r>
      <w:r>
        <w:rPr>
          <w:rFonts w:hint="eastAsia" w:ascii="Times New Roman" w:hAnsi="Times New Roman" w:eastAsia="宋体" w:cs="Times New Roman"/>
          <w:sz w:val="24"/>
          <w:szCs w:val="24"/>
          <w:lang w:val="en-US" w:eastAsia="zh-CN" w:bidi="zh-TW"/>
        </w:rPr>
        <w:t>1</w:t>
      </w:r>
      <w:r>
        <w:rPr>
          <w:rFonts w:hint="eastAsia" w:ascii="Times New Roman" w:hAnsi="Times New Roman" w:eastAsia="宋体" w:cs="Times New Roman"/>
          <w:sz w:val="24"/>
          <w:szCs w:val="24"/>
          <w:lang w:val="zh-TW" w:eastAsia="zh-CN" w:bidi="zh-TW"/>
        </w:rPr>
        <w:t>月</w:t>
      </w:r>
      <w:r>
        <w:rPr>
          <w:rFonts w:hint="eastAsia" w:ascii="Times New Roman" w:hAnsi="Times New Roman" w:eastAsia="宋体" w:cs="Times New Roman"/>
          <w:sz w:val="24"/>
          <w:szCs w:val="24"/>
          <w:lang w:val="en-US" w:eastAsia="zh-CN" w:bidi="zh-TW"/>
        </w:rPr>
        <w:t>1</w:t>
      </w:r>
      <w:r>
        <w:rPr>
          <w:rFonts w:hint="eastAsia" w:ascii="Times New Roman" w:hAnsi="Times New Roman" w:eastAsia="宋体" w:cs="Times New Roman"/>
          <w:sz w:val="24"/>
          <w:szCs w:val="24"/>
          <w:lang w:val="zh-TW" w:eastAsia="zh-CN" w:bidi="zh-TW"/>
        </w:rPr>
        <w:t>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67C48CD6">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（4）《中华人民共和国大气污染防治法》（2018年10月26日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099AC86F">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（5）《中华人民共和国噪声污染防治法》（2022年6月5日起施行）；</w:t>
      </w:r>
    </w:p>
    <w:p w14:paraId="41E07E1B">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（6）《中华人民共和国固体废物污染环境防治法》（2020年9月1日起施行）；</w:t>
      </w:r>
    </w:p>
    <w:p w14:paraId="1B6F64D9">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（7）《中华人民共和国土壤污染防治法》（2019年1月1日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10A5A6C3">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（8）《中华人民共和国可再生能源法》（20</w:t>
      </w:r>
      <w:r>
        <w:rPr>
          <w:rFonts w:hint="eastAsia" w:ascii="Times New Roman" w:hAnsi="Times New Roman" w:eastAsia="宋体" w:cs="Times New Roman"/>
          <w:sz w:val="24"/>
          <w:szCs w:val="24"/>
          <w:lang w:val="en-US" w:eastAsia="zh-CN" w:bidi="zh-TW"/>
        </w:rPr>
        <w:t>10</w:t>
      </w:r>
      <w:r>
        <w:rPr>
          <w:rFonts w:hint="eastAsia" w:ascii="Times New Roman" w:hAnsi="Times New Roman" w:eastAsia="宋体" w:cs="Times New Roman"/>
          <w:sz w:val="24"/>
          <w:szCs w:val="24"/>
          <w:lang w:val="zh-TW" w:eastAsia="zh-CN" w:bidi="zh-TW"/>
        </w:rPr>
        <w:t>年</w:t>
      </w:r>
      <w:r>
        <w:rPr>
          <w:rFonts w:hint="eastAsia" w:ascii="Times New Roman" w:hAnsi="Times New Roman" w:eastAsia="宋体" w:cs="Times New Roman"/>
          <w:sz w:val="24"/>
          <w:szCs w:val="24"/>
          <w:lang w:val="en-US" w:eastAsia="zh-CN" w:bidi="zh-TW"/>
        </w:rPr>
        <w:t>4</w:t>
      </w:r>
      <w:r>
        <w:rPr>
          <w:rFonts w:hint="eastAsia" w:ascii="Times New Roman" w:hAnsi="Times New Roman" w:eastAsia="宋体" w:cs="Times New Roman"/>
          <w:sz w:val="24"/>
          <w:szCs w:val="24"/>
          <w:lang w:val="zh-TW" w:eastAsia="zh-CN" w:bidi="zh-TW"/>
        </w:rPr>
        <w:t>月</w:t>
      </w:r>
      <w:r>
        <w:rPr>
          <w:rFonts w:hint="eastAsia" w:ascii="Times New Roman" w:hAnsi="Times New Roman" w:eastAsia="宋体" w:cs="Times New Roman"/>
          <w:sz w:val="24"/>
          <w:szCs w:val="24"/>
          <w:lang w:val="en-US" w:eastAsia="zh-CN" w:bidi="zh-TW"/>
        </w:rPr>
        <w:t>1</w:t>
      </w:r>
      <w:r>
        <w:rPr>
          <w:rFonts w:hint="eastAsia" w:ascii="Times New Roman" w:hAnsi="Times New Roman" w:eastAsia="宋体" w:cs="Times New Roman"/>
          <w:sz w:val="24"/>
          <w:szCs w:val="24"/>
          <w:lang w:val="zh-TW" w:eastAsia="zh-CN" w:bidi="zh-TW"/>
        </w:rPr>
        <w:t>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59641772">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（9）《中华人民共和国水土保持法》（201</w:t>
      </w:r>
      <w:r>
        <w:rPr>
          <w:rFonts w:hint="eastAsia" w:ascii="Times New Roman" w:hAnsi="Times New Roman" w:eastAsia="宋体" w:cs="Times New Roman"/>
          <w:sz w:val="24"/>
          <w:szCs w:val="24"/>
          <w:lang w:val="en-US" w:eastAsia="zh-CN" w:bidi="zh-TW"/>
        </w:rPr>
        <w:t>1</w:t>
      </w:r>
      <w:r>
        <w:rPr>
          <w:rFonts w:hint="eastAsia" w:ascii="Times New Roman" w:hAnsi="Times New Roman" w:eastAsia="宋体" w:cs="Times New Roman"/>
          <w:sz w:val="24"/>
          <w:szCs w:val="24"/>
          <w:lang w:val="zh-TW" w:eastAsia="zh-CN" w:bidi="zh-TW"/>
        </w:rPr>
        <w:t>年</w:t>
      </w:r>
      <w:r>
        <w:rPr>
          <w:rFonts w:hint="eastAsia" w:ascii="Times New Roman" w:hAnsi="Times New Roman" w:eastAsia="宋体" w:cs="Times New Roman"/>
          <w:sz w:val="24"/>
          <w:szCs w:val="24"/>
          <w:lang w:val="en-US" w:eastAsia="zh-CN" w:bidi="zh-TW"/>
        </w:rPr>
        <w:t>3</w:t>
      </w:r>
      <w:r>
        <w:rPr>
          <w:rFonts w:hint="eastAsia" w:ascii="Times New Roman" w:hAnsi="Times New Roman" w:eastAsia="宋体" w:cs="Times New Roman"/>
          <w:sz w:val="24"/>
          <w:szCs w:val="24"/>
          <w:lang w:val="zh-TW" w:eastAsia="zh-CN" w:bidi="zh-TW"/>
        </w:rPr>
        <w:t>月</w:t>
      </w:r>
      <w:r>
        <w:rPr>
          <w:rFonts w:hint="eastAsia" w:ascii="Times New Roman" w:hAnsi="Times New Roman" w:eastAsia="宋体" w:cs="Times New Roman"/>
          <w:sz w:val="24"/>
          <w:szCs w:val="24"/>
          <w:lang w:val="en-US" w:eastAsia="zh-CN" w:bidi="zh-TW"/>
        </w:rPr>
        <w:t>1</w:t>
      </w:r>
      <w:r>
        <w:rPr>
          <w:rFonts w:hint="eastAsia" w:ascii="Times New Roman" w:hAnsi="Times New Roman" w:eastAsia="宋体" w:cs="Times New Roman"/>
          <w:sz w:val="24"/>
          <w:szCs w:val="24"/>
          <w:lang w:val="zh-TW" w:eastAsia="zh-CN" w:bidi="zh-TW"/>
        </w:rPr>
        <w:t>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23CB26D0">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（10）《中华人民共和国清洁生产促进法》（2012年7月1日起施行）；</w:t>
      </w:r>
    </w:p>
    <w:p w14:paraId="6F674C05">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（11）《中华人民共和国水法》（2016年7月2日修正版）。</w:t>
      </w:r>
    </w:p>
    <w:p w14:paraId="4CCE870B">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（12）《中华人民共和国循环经济促进法》（2018年10月26日修正版）；</w:t>
      </w:r>
    </w:p>
    <w:p w14:paraId="58125B39">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（13）《中华人民共和国节约能源法》（2018年10月26日修正版）；</w:t>
      </w:r>
    </w:p>
    <w:p w14:paraId="7260A044">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（14）《中华人民共和国城乡规划法》（2019年4月23日修正版）；</w:t>
      </w:r>
    </w:p>
    <w:p w14:paraId="7F32D68E">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（15）《中华人民共和国土地管理法》（2019年8月26日修正版）；</w:t>
      </w:r>
    </w:p>
    <w:p w14:paraId="62E7F1B8">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（16）《中华人民共和国黑土地保护法》（2022年8月1日实施）；</w:t>
      </w:r>
    </w:p>
    <w:p w14:paraId="546D3B8F">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17</w:t>
      </w: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中华人民共和国危险化学品安全法</w:t>
      </w: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2026年05月01日实施</w:t>
      </w:r>
      <w:r>
        <w:rPr>
          <w:rFonts w:hint="eastAsia" w:ascii="Times New Roman" w:hAnsi="Times New Roman" w:eastAsia="宋体" w:cs="Times New Roman"/>
          <w:sz w:val="24"/>
          <w:szCs w:val="24"/>
          <w:lang w:val="zh-TW" w:eastAsia="zh-CN" w:bidi="zh-TW"/>
        </w:rPr>
        <w:t>）；</w:t>
      </w:r>
    </w:p>
    <w:p w14:paraId="75211E8A">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18</w:t>
      </w: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中华人民共和国生态环境法典</w:t>
      </w: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2026年08月15日实施</w:t>
      </w:r>
      <w:r>
        <w:rPr>
          <w:rFonts w:hint="eastAsia" w:ascii="Times New Roman" w:hAnsi="Times New Roman" w:eastAsia="宋体" w:cs="Times New Roman"/>
          <w:sz w:val="24"/>
          <w:szCs w:val="24"/>
          <w:lang w:val="zh-TW" w:eastAsia="zh-CN" w:bidi="zh-TW"/>
        </w:rPr>
        <w:t>）。</w:t>
      </w:r>
    </w:p>
    <w:p w14:paraId="3CADEC4E">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（4）《国务院关于修改〈建设项目环境保护管理条例〉的决定》（国务院令第682号，2017年10月1日</w:t>
      </w:r>
      <w:r>
        <w:rPr>
          <w:rFonts w:hint="eastAsia" w:ascii="Times New Roman" w:hAnsi="Times New Roman" w:eastAsia="宋体" w:cs="Times New Roman"/>
          <w:sz w:val="24"/>
          <w:szCs w:val="24"/>
          <w:lang w:val="en-US" w:eastAsia="zh-CN" w:bidi="zh-TW"/>
        </w:rPr>
        <w:t>实施</w:t>
      </w:r>
      <w:r>
        <w:rPr>
          <w:rFonts w:hint="eastAsia" w:ascii="Times New Roman" w:hAnsi="Times New Roman" w:eastAsia="宋体" w:cs="Times New Roman"/>
          <w:sz w:val="24"/>
          <w:szCs w:val="24"/>
          <w:lang w:val="zh-TW" w:eastAsia="zh-CN" w:bidi="zh-TW"/>
        </w:rPr>
        <w:t>）；</w:t>
      </w:r>
    </w:p>
    <w:p w14:paraId="37CAFBDE">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（5）《排污许可管理条例》（国务院令第736号，2021年3月1日起施行）。</w:t>
      </w:r>
    </w:p>
    <w:p w14:paraId="0F2CC67E">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（6）《</w:t>
      </w:r>
      <w:r>
        <w:rPr>
          <w:rFonts w:hint="eastAsia" w:ascii="Times New Roman" w:hAnsi="Times New Roman" w:eastAsia="宋体" w:cs="Times New Roman"/>
          <w:sz w:val="24"/>
          <w:szCs w:val="24"/>
          <w:lang w:val="en-US" w:eastAsia="zh-CN" w:bidi="zh-TW"/>
        </w:rPr>
        <w:t>危险化学品安全管理条例</w:t>
      </w: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2013年12月7日</w:t>
      </w:r>
      <w:r>
        <w:rPr>
          <w:rFonts w:hint="eastAsia" w:ascii="Times New Roman" w:hAnsi="Times New Roman" w:eastAsia="宋体" w:cs="Times New Roman"/>
          <w:sz w:val="24"/>
          <w:szCs w:val="24"/>
          <w:lang w:val="zh-TW" w:eastAsia="zh-CN" w:bidi="zh-TW"/>
        </w:rPr>
        <w:t>起施行）；</w:t>
      </w:r>
    </w:p>
    <w:p w14:paraId="3F4F4E23">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（7）《黑龙江省土地管理条例》（202</w:t>
      </w:r>
      <w:r>
        <w:rPr>
          <w:rFonts w:hint="eastAsia" w:ascii="Times New Roman" w:hAnsi="Times New Roman" w:eastAsia="宋体" w:cs="Times New Roman"/>
          <w:sz w:val="24"/>
          <w:szCs w:val="24"/>
          <w:lang w:val="en-US" w:eastAsia="zh-CN" w:bidi="zh-TW"/>
        </w:rPr>
        <w:t>3</w:t>
      </w:r>
      <w:r>
        <w:rPr>
          <w:rFonts w:hint="eastAsia" w:ascii="Times New Roman" w:hAnsi="Times New Roman" w:eastAsia="宋体" w:cs="Times New Roman"/>
          <w:sz w:val="24"/>
          <w:szCs w:val="24"/>
          <w:lang w:val="zh-TW" w:eastAsia="zh-CN" w:bidi="zh-TW"/>
        </w:rPr>
        <w:t>年</w:t>
      </w:r>
      <w:r>
        <w:rPr>
          <w:rFonts w:hint="eastAsia" w:ascii="Times New Roman" w:hAnsi="Times New Roman" w:eastAsia="宋体" w:cs="Times New Roman"/>
          <w:sz w:val="24"/>
          <w:szCs w:val="24"/>
          <w:lang w:val="en-US" w:eastAsia="zh-CN" w:bidi="zh-TW"/>
        </w:rPr>
        <w:t>3</w:t>
      </w:r>
      <w:r>
        <w:rPr>
          <w:rFonts w:hint="eastAsia" w:ascii="Times New Roman" w:hAnsi="Times New Roman" w:eastAsia="宋体" w:cs="Times New Roman"/>
          <w:sz w:val="24"/>
          <w:szCs w:val="24"/>
          <w:lang w:val="zh-TW" w:eastAsia="zh-CN" w:bidi="zh-TW"/>
        </w:rPr>
        <w:t>月</w:t>
      </w:r>
      <w:r>
        <w:rPr>
          <w:rFonts w:hint="eastAsia" w:ascii="Times New Roman" w:hAnsi="Times New Roman" w:eastAsia="宋体" w:cs="Times New Roman"/>
          <w:sz w:val="24"/>
          <w:szCs w:val="24"/>
          <w:lang w:val="en-US" w:eastAsia="zh-CN" w:bidi="zh-TW"/>
        </w:rPr>
        <w:t>1</w:t>
      </w:r>
      <w:r>
        <w:rPr>
          <w:rFonts w:hint="eastAsia" w:ascii="Times New Roman" w:hAnsi="Times New Roman" w:eastAsia="宋体" w:cs="Times New Roman"/>
          <w:sz w:val="24"/>
          <w:szCs w:val="24"/>
          <w:lang w:val="zh-TW" w:eastAsia="zh-CN" w:bidi="zh-TW"/>
        </w:rPr>
        <w:t>日起施行）；</w:t>
      </w:r>
    </w:p>
    <w:p w14:paraId="567585E4">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（8）《黑龙江省大气污染防治条例》（2018年12月27日黑龙江省第十三届人民代表大会常务委员会第八次会议通过修改）；</w:t>
      </w:r>
    </w:p>
    <w:p w14:paraId="0E85285B">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（9）《黑龙江省水污染防治条例》（</w:t>
      </w:r>
      <w:r>
        <w:rPr>
          <w:rFonts w:hint="eastAsia" w:ascii="Times New Roman" w:hAnsi="Times New Roman" w:eastAsia="宋体" w:cs="Times New Roman"/>
          <w:sz w:val="24"/>
          <w:szCs w:val="24"/>
          <w:lang w:val="en-US" w:eastAsia="zh-CN" w:bidi="zh-TW"/>
        </w:rPr>
        <w:t>黑</w:t>
      </w:r>
      <w:r>
        <w:rPr>
          <w:rFonts w:hint="eastAsia" w:ascii="Times New Roman" w:hAnsi="Times New Roman" w:eastAsia="宋体" w:cs="Times New Roman"/>
          <w:sz w:val="24"/>
          <w:szCs w:val="24"/>
          <w:lang w:val="zh-TW" w:eastAsia="zh-CN" w:bidi="zh-TW"/>
        </w:rPr>
        <w:t>龙江省第十四届人民代表大会常务委员会第八次会议</w:t>
      </w:r>
      <w:r>
        <w:rPr>
          <w:rFonts w:hint="eastAsia" w:ascii="Times New Roman" w:hAnsi="Times New Roman" w:eastAsia="宋体" w:cs="Times New Roman"/>
          <w:sz w:val="24"/>
          <w:szCs w:val="24"/>
          <w:lang w:val="en-US" w:eastAsia="zh-CN" w:bidi="zh-TW"/>
        </w:rPr>
        <w:t>通过</w:t>
      </w:r>
      <w:r>
        <w:rPr>
          <w:rFonts w:hint="eastAsia" w:ascii="Times New Roman" w:hAnsi="Times New Roman" w:eastAsia="宋体" w:cs="Times New Roman"/>
          <w:sz w:val="24"/>
          <w:szCs w:val="24"/>
          <w:lang w:val="zh-TW" w:eastAsia="zh-CN" w:bidi="zh-TW"/>
        </w:rPr>
        <w:t>，20</w:t>
      </w:r>
      <w:r>
        <w:rPr>
          <w:rFonts w:hint="eastAsia" w:ascii="Times New Roman" w:hAnsi="Times New Roman" w:eastAsia="宋体" w:cs="Times New Roman"/>
          <w:sz w:val="24"/>
          <w:szCs w:val="24"/>
          <w:lang w:val="en-US" w:eastAsia="zh-CN" w:bidi="zh-TW"/>
        </w:rPr>
        <w:t>23</w:t>
      </w:r>
      <w:r>
        <w:rPr>
          <w:rFonts w:hint="eastAsia" w:ascii="Times New Roman" w:hAnsi="Times New Roman" w:eastAsia="宋体" w:cs="Times New Roman"/>
          <w:sz w:val="24"/>
          <w:szCs w:val="24"/>
          <w:lang w:val="zh-TW" w:eastAsia="zh-CN" w:bidi="zh-TW"/>
        </w:rPr>
        <w:t>年</w:t>
      </w:r>
      <w:r>
        <w:rPr>
          <w:rFonts w:hint="eastAsia" w:ascii="Times New Roman" w:hAnsi="Times New Roman" w:eastAsia="宋体" w:cs="Times New Roman"/>
          <w:sz w:val="24"/>
          <w:szCs w:val="24"/>
          <w:lang w:val="en-US" w:eastAsia="zh-CN" w:bidi="zh-TW"/>
        </w:rPr>
        <w:t>12</w:t>
      </w:r>
      <w:r>
        <w:rPr>
          <w:rFonts w:hint="eastAsia" w:ascii="Times New Roman" w:hAnsi="Times New Roman" w:eastAsia="宋体" w:cs="Times New Roman"/>
          <w:sz w:val="24"/>
          <w:szCs w:val="24"/>
          <w:lang w:val="zh-TW" w:eastAsia="zh-CN" w:bidi="zh-TW"/>
        </w:rPr>
        <w:t>月1日</w:t>
      </w:r>
      <w:r>
        <w:rPr>
          <w:rFonts w:hint="eastAsia" w:ascii="Times New Roman" w:hAnsi="Times New Roman" w:eastAsia="宋体" w:cs="Times New Roman"/>
          <w:sz w:val="24"/>
          <w:szCs w:val="24"/>
          <w:lang w:val="en-US" w:eastAsia="zh-CN" w:bidi="zh-TW"/>
        </w:rPr>
        <w:t>起施行</w:t>
      </w:r>
      <w:r>
        <w:rPr>
          <w:rFonts w:hint="eastAsia" w:ascii="Times New Roman" w:hAnsi="Times New Roman" w:eastAsia="宋体" w:cs="Times New Roman"/>
          <w:sz w:val="24"/>
          <w:szCs w:val="24"/>
          <w:lang w:val="zh-TW" w:eastAsia="zh-CN" w:bidi="zh-TW"/>
        </w:rPr>
        <w:t>）；</w:t>
      </w:r>
    </w:p>
    <w:p w14:paraId="435779A5">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（10）《黑龙江省节约用水条例》（2019年1月1日起施行）；</w:t>
      </w:r>
    </w:p>
    <w:p w14:paraId="02207347">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（11）《黑龙江省城乡规划条例》（黑龙江省十二届人民代表大会常务委员会第十六次会议通过，2014年12月17日；2018年6月28日黑龙江省第十三届人民代表大会常务委员会第四次会议通过修改）；</w:t>
      </w:r>
    </w:p>
    <w:p w14:paraId="6704706C">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（12）《地下水管理条例》（2021年9月15日国务院第149次常务会议通过2021年10月21日中华人民共和国国务院令第748号公布　自2021年12月1日起施行）；</w:t>
      </w:r>
    </w:p>
    <w:p w14:paraId="2276D388">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（13）《黑龙江省耕地保护</w:t>
      </w:r>
      <w:r>
        <w:rPr>
          <w:rFonts w:hint="eastAsia" w:ascii="Times New Roman" w:hAnsi="Times New Roman" w:eastAsia="宋体" w:cs="Times New Roman"/>
          <w:sz w:val="24"/>
          <w:szCs w:val="24"/>
          <w:lang w:val="en-US" w:eastAsia="zh-CN" w:bidi="zh-TW"/>
        </w:rPr>
        <w:t>条例</w:t>
      </w:r>
      <w:r>
        <w:rPr>
          <w:rFonts w:hint="eastAsia" w:ascii="Times New Roman" w:hAnsi="Times New Roman" w:eastAsia="宋体" w:cs="Times New Roman"/>
          <w:sz w:val="24"/>
          <w:szCs w:val="24"/>
          <w:lang w:val="zh-TW" w:eastAsia="zh-CN" w:bidi="zh-TW"/>
        </w:rPr>
        <w:t>》（2016年4月21日黑龙江省第十二届人民代表大会常务委员会第二十五次会议通过2021年10月29日黑龙江省第十三届人民代表大会常务委员会第二十八次会议修订）；</w:t>
      </w:r>
    </w:p>
    <w:p w14:paraId="24B24C08">
      <w:pPr>
        <w:pStyle w:val="516"/>
        <w:adjustRightInd w:val="0"/>
        <w:snapToGrid w:val="0"/>
        <w:spacing w:line="520" w:lineRule="exact"/>
        <w:ind w:firstLine="560"/>
        <w:rPr>
          <w:rFonts w:hint="eastAsia" w:ascii="Times New Roman" w:hAnsi="Times New Roman" w:eastAsia="宋体" w:cs="Times New Roman"/>
          <w:sz w:val="24"/>
          <w:szCs w:val="24"/>
          <w:lang w:val="zh-TW" w:eastAsia="zh-CN" w:bidi="zh-TW"/>
        </w:rPr>
      </w:pPr>
      <w:r>
        <w:rPr>
          <w:rFonts w:hint="eastAsia" w:ascii="Times New Roman" w:hAnsi="Times New Roman" w:eastAsia="宋体" w:cs="Times New Roman"/>
          <w:sz w:val="24"/>
          <w:szCs w:val="24"/>
          <w:lang w:val="zh-TW" w:eastAsia="zh-CN" w:bidi="zh-TW"/>
        </w:rPr>
        <w:t>（1</w:t>
      </w:r>
      <w:r>
        <w:rPr>
          <w:rFonts w:hint="eastAsia" w:ascii="Times New Roman" w:hAnsi="Times New Roman" w:eastAsia="宋体" w:cs="Times New Roman"/>
          <w:sz w:val="24"/>
          <w:szCs w:val="24"/>
          <w:lang w:val="en-US" w:eastAsia="zh-CN" w:bidi="zh-TW"/>
        </w:rPr>
        <w:t>4</w:t>
      </w:r>
      <w:r>
        <w:rPr>
          <w:rFonts w:hint="eastAsia" w:ascii="Times New Roman" w:hAnsi="Times New Roman" w:eastAsia="宋体" w:cs="Times New Roman"/>
          <w:sz w:val="24"/>
          <w:szCs w:val="24"/>
          <w:lang w:val="zh-TW" w:eastAsia="zh-CN" w:bidi="zh-TW"/>
        </w:rPr>
        <w:t>）《黑龙江省黑土地保护利用条例》（</w:t>
      </w:r>
      <w:r>
        <w:rPr>
          <w:rFonts w:hint="eastAsia" w:ascii="Times New Roman" w:hAnsi="Times New Roman" w:eastAsia="宋体" w:cs="Times New Roman"/>
          <w:sz w:val="24"/>
          <w:szCs w:val="24"/>
          <w:lang w:val="en-US" w:eastAsia="zh-CN" w:bidi="zh-TW"/>
        </w:rPr>
        <w:t>2023年12月24日黑龙江省第十四届人民代表大会常务委员会第九次会议修订</w:t>
      </w:r>
      <w:r>
        <w:rPr>
          <w:rFonts w:hint="eastAsia" w:ascii="Times New Roman" w:hAnsi="Times New Roman" w:eastAsia="宋体" w:cs="Times New Roman"/>
          <w:sz w:val="24"/>
          <w:szCs w:val="24"/>
          <w:lang w:val="zh-TW" w:eastAsia="zh-CN" w:bidi="zh-TW"/>
        </w:rPr>
        <w:t>）；</w:t>
      </w:r>
    </w:p>
    <w:p w14:paraId="4C380A1C">
      <w:pPr>
        <w:pStyle w:val="516"/>
        <w:adjustRightInd w:val="0"/>
        <w:snapToGrid w:val="0"/>
        <w:spacing w:line="520" w:lineRule="exact"/>
        <w:ind w:firstLine="560"/>
        <w:rPr>
          <w:rFonts w:hint="eastAsia" w:ascii="Times New Roman" w:hAnsi="Times New Roman" w:eastAsia="宋体" w:cs="Times New Roman"/>
          <w:sz w:val="24"/>
          <w:szCs w:val="24"/>
          <w:lang w:val="en-US" w:eastAsia="zh-CN" w:bidi="zh-TW"/>
        </w:rPr>
      </w:pPr>
      <w:r>
        <w:rPr>
          <w:rFonts w:hint="eastAsia" w:ascii="Times New Roman" w:hAnsi="Times New Roman" w:eastAsia="宋体" w:cs="Times New Roman"/>
          <w:sz w:val="24"/>
          <w:szCs w:val="24"/>
          <w:lang w:val="zh-TW" w:eastAsia="zh-CN" w:bidi="zh-TW"/>
        </w:rPr>
        <w:t>（</w:t>
      </w:r>
      <w:r>
        <w:rPr>
          <w:rFonts w:hint="eastAsia" w:ascii="Times New Roman" w:hAnsi="Times New Roman" w:eastAsia="宋体" w:cs="Times New Roman"/>
          <w:sz w:val="24"/>
          <w:szCs w:val="24"/>
          <w:lang w:val="en-US" w:eastAsia="zh-CN" w:bidi="zh-TW"/>
        </w:rPr>
        <w:t>15）《黑龙江省河道管理条例》（2025年5月1日起施行）；</w:t>
      </w:r>
    </w:p>
    <w:p w14:paraId="0CEEDBBA">
      <w:pPr>
        <w:pStyle w:val="516"/>
        <w:adjustRightInd w:val="0"/>
        <w:snapToGrid w:val="0"/>
        <w:spacing w:line="520" w:lineRule="exact"/>
        <w:ind w:firstLine="560"/>
        <w:rPr>
          <w:rFonts w:hint="eastAsia" w:ascii="Times New Roman" w:hAnsi="Times New Roman" w:eastAsia="宋体" w:cs="Times New Roman"/>
          <w:sz w:val="24"/>
          <w:szCs w:val="24"/>
          <w:lang w:val="en-US" w:eastAsia="zh-CN" w:bidi="zh-TW"/>
        </w:rPr>
      </w:pPr>
      <w:r>
        <w:rPr>
          <w:rFonts w:hint="eastAsia" w:ascii="Times New Roman" w:hAnsi="Times New Roman" w:eastAsia="宋体" w:cs="Times New Roman"/>
          <w:sz w:val="24"/>
          <w:szCs w:val="24"/>
          <w:lang w:val="en-US" w:eastAsia="zh-CN" w:bidi="zh-TW"/>
        </w:rPr>
        <w:t>（16）《黑龙江省水利工程管理条例》（2018年6月28日施行）；</w:t>
      </w:r>
    </w:p>
    <w:p w14:paraId="23118C7F">
      <w:pPr>
        <w:pStyle w:val="516"/>
        <w:adjustRightInd w:val="0"/>
        <w:snapToGrid w:val="0"/>
        <w:spacing w:line="520" w:lineRule="exact"/>
        <w:ind w:firstLine="560"/>
        <w:rPr>
          <w:rFonts w:hint="eastAsia" w:ascii="Times New Roman" w:hAnsi="Times New Roman" w:eastAsia="宋体" w:cs="Times New Roman"/>
          <w:sz w:val="24"/>
          <w:szCs w:val="24"/>
          <w:lang w:val="en-US" w:eastAsia="zh-CN" w:bidi="zh-TW"/>
        </w:rPr>
      </w:pPr>
      <w:r>
        <w:rPr>
          <w:rFonts w:hint="eastAsia" w:ascii="Times New Roman" w:hAnsi="Times New Roman" w:eastAsia="宋体" w:cs="Times New Roman"/>
          <w:sz w:val="24"/>
          <w:szCs w:val="24"/>
          <w:lang w:val="en-US" w:eastAsia="zh-CN" w:bidi="zh-TW"/>
        </w:rPr>
        <w:t>（17）《黑龙江省固体废物污染环境防治条例》（2025年1月1日施行）。</w:t>
      </w:r>
    </w:p>
    <w:p w14:paraId="03926444">
      <w:pPr>
        <w:pStyle w:val="4"/>
      </w:pPr>
      <w:r>
        <w:t>2.1.2相关技术规范</w:t>
      </w:r>
      <w:bookmarkEnd w:id="109"/>
      <w:bookmarkEnd w:id="110"/>
      <w:bookmarkEnd w:id="111"/>
      <w:bookmarkEnd w:id="112"/>
    </w:p>
    <w:p w14:paraId="0A246CB1">
      <w:pPr>
        <w:widowControl w:val="0"/>
        <w:autoSpaceDE w:val="0"/>
        <w:autoSpaceDN w:val="0"/>
        <w:spacing w:line="360" w:lineRule="auto"/>
        <w:ind w:firstLine="480" w:firstLineChars="200"/>
      </w:pPr>
      <w:r>
        <w:t>（1）《建设项目环境影响评价技术导则总纲》（HJ2.1-2016），2017年1月1日实施；</w:t>
      </w:r>
    </w:p>
    <w:p w14:paraId="3A975C3B">
      <w:pPr>
        <w:widowControl w:val="0"/>
        <w:autoSpaceDE w:val="0"/>
        <w:autoSpaceDN w:val="0"/>
        <w:spacing w:line="360" w:lineRule="auto"/>
        <w:ind w:firstLine="480" w:firstLineChars="200"/>
      </w:pPr>
      <w:r>
        <w:t>（2）《环境影响评价技术导则大气环境》（HJ2.2-2018），2018年12月1日实施；</w:t>
      </w:r>
    </w:p>
    <w:p w14:paraId="5AE083D6">
      <w:pPr>
        <w:widowControl w:val="0"/>
        <w:autoSpaceDE w:val="0"/>
        <w:autoSpaceDN w:val="0"/>
        <w:spacing w:line="360" w:lineRule="auto"/>
        <w:ind w:firstLine="480" w:firstLineChars="200"/>
      </w:pPr>
      <w:r>
        <w:t>（3）《环境影响评价技术导则地表水环境》（HJ2.3-2018），自2019年3月1日起实施；</w:t>
      </w:r>
    </w:p>
    <w:p w14:paraId="06467F39">
      <w:pPr>
        <w:widowControl w:val="0"/>
        <w:autoSpaceDE w:val="0"/>
        <w:autoSpaceDN w:val="0"/>
        <w:spacing w:line="360" w:lineRule="auto"/>
        <w:ind w:firstLine="480" w:firstLineChars="200"/>
      </w:pPr>
      <w:r>
        <w:t>（4）《环境影响评价技术导则声环境》（HJ2.4-20</w:t>
      </w:r>
      <w:r>
        <w:rPr>
          <w:rFonts w:hint="eastAsia"/>
        </w:rPr>
        <w:t>21</w:t>
      </w:r>
      <w:r>
        <w:t>），20</w:t>
      </w:r>
      <w:r>
        <w:rPr>
          <w:rFonts w:hint="eastAsia"/>
        </w:rPr>
        <w:t>22</w:t>
      </w:r>
      <w:r>
        <w:t>年</w:t>
      </w:r>
      <w:r>
        <w:rPr>
          <w:rFonts w:hint="eastAsia"/>
        </w:rPr>
        <w:t>7</w:t>
      </w:r>
      <w:r>
        <w:t>月1日实施；</w:t>
      </w:r>
    </w:p>
    <w:p w14:paraId="6EF01108">
      <w:pPr>
        <w:widowControl w:val="0"/>
        <w:autoSpaceDE w:val="0"/>
        <w:autoSpaceDN w:val="0"/>
        <w:spacing w:line="360" w:lineRule="auto"/>
        <w:ind w:firstLine="480" w:firstLineChars="200"/>
      </w:pPr>
      <w:r>
        <w:t>（5）《环境影响评价技术导则生态影响》（</w:t>
      </w:r>
      <w:r>
        <w:rPr>
          <w:rFonts w:hint="eastAsia"/>
          <w:lang w:eastAsia="zh-CN"/>
        </w:rPr>
        <w:t>HJ19-2022</w:t>
      </w:r>
      <w:r>
        <w:t>），20</w:t>
      </w:r>
      <w:r>
        <w:rPr>
          <w:rFonts w:hint="eastAsia"/>
        </w:rPr>
        <w:t>22</w:t>
      </w:r>
      <w:r>
        <w:t>年</w:t>
      </w:r>
      <w:r>
        <w:rPr>
          <w:rFonts w:hint="eastAsia"/>
        </w:rPr>
        <w:t>7</w:t>
      </w:r>
      <w:r>
        <w:t>月1日实施；</w:t>
      </w:r>
    </w:p>
    <w:p w14:paraId="75E6750F">
      <w:pPr>
        <w:widowControl w:val="0"/>
        <w:autoSpaceDE w:val="0"/>
        <w:autoSpaceDN w:val="0"/>
        <w:spacing w:line="360" w:lineRule="auto"/>
        <w:ind w:firstLine="480" w:firstLineChars="200"/>
      </w:pPr>
      <w:r>
        <w:t>（6）《环境影响评价技术导则地下水环境》（HJ610-2016），2016年1月7日实施；</w:t>
      </w:r>
    </w:p>
    <w:p w14:paraId="2D393117">
      <w:pPr>
        <w:widowControl w:val="0"/>
        <w:autoSpaceDE w:val="0"/>
        <w:autoSpaceDN w:val="0"/>
        <w:spacing w:line="360" w:lineRule="auto"/>
        <w:ind w:firstLine="480" w:firstLineChars="200"/>
      </w:pPr>
      <w:r>
        <w:t>（7）《环境影响评价技术导则土壤环境（试行）》（HJ 964</w:t>
      </w:r>
      <w:r>
        <w:rPr>
          <w:rFonts w:hint="eastAsia"/>
          <w:lang w:val="en-US" w:eastAsia="zh-CN"/>
        </w:rPr>
        <w:t>-</w:t>
      </w:r>
      <w:r>
        <w:t>2018），2019年7月1日实施。</w:t>
      </w:r>
    </w:p>
    <w:p w14:paraId="02815F2D">
      <w:pPr>
        <w:widowControl w:val="0"/>
        <w:autoSpaceDE w:val="0"/>
        <w:autoSpaceDN w:val="0"/>
        <w:spacing w:line="360" w:lineRule="auto"/>
        <w:ind w:firstLine="480" w:firstLineChars="200"/>
      </w:pPr>
      <w:r>
        <w:t>（8）《建设项目环境风险评价技术导则》（HJ169-2018），2019年3月1日实施。</w:t>
      </w:r>
    </w:p>
    <w:p w14:paraId="43D1ADF8">
      <w:pPr>
        <w:pStyle w:val="4"/>
      </w:pPr>
      <w:bookmarkStart w:id="113" w:name="_Toc115841411"/>
      <w:bookmarkStart w:id="114" w:name="_Toc116356891"/>
      <w:bookmarkStart w:id="115" w:name="_Toc11081"/>
      <w:bookmarkStart w:id="116" w:name="_Toc6152"/>
      <w:bookmarkStart w:id="117" w:name="_Toc16982"/>
      <w:bookmarkStart w:id="118" w:name="_Toc399232234"/>
      <w:bookmarkStart w:id="119" w:name="_Toc28792"/>
      <w:bookmarkStart w:id="120" w:name="_Toc399155492"/>
      <w:r>
        <w:t>2.1.</w:t>
      </w:r>
      <w:bookmarkEnd w:id="113"/>
      <w:bookmarkEnd w:id="114"/>
      <w:bookmarkEnd w:id="115"/>
      <w:bookmarkEnd w:id="116"/>
      <w:bookmarkEnd w:id="117"/>
      <w:bookmarkStart w:id="121" w:name="_Toc18542"/>
      <w:bookmarkStart w:id="122" w:name="_Toc20114"/>
      <w:bookmarkStart w:id="123" w:name="_Toc362"/>
      <w:r>
        <w:t>3其它相关材料</w:t>
      </w:r>
      <w:bookmarkEnd w:id="118"/>
      <w:bookmarkEnd w:id="119"/>
      <w:bookmarkEnd w:id="120"/>
      <w:bookmarkEnd w:id="121"/>
      <w:bookmarkEnd w:id="122"/>
      <w:bookmarkEnd w:id="123"/>
    </w:p>
    <w:p w14:paraId="4C65B6B2">
      <w:pPr>
        <w:widowControl w:val="0"/>
        <w:autoSpaceDE w:val="0"/>
        <w:autoSpaceDN w:val="0"/>
        <w:spacing w:line="360" w:lineRule="auto"/>
        <w:ind w:firstLine="480" w:firstLineChars="200"/>
      </w:pPr>
      <w:r>
        <w:rPr>
          <w:rFonts w:hint="eastAsia"/>
        </w:rPr>
        <w:t>（</w:t>
      </w:r>
      <w:r>
        <w:rPr>
          <w:rFonts w:hint="eastAsia"/>
          <w:lang w:val="en-US" w:eastAsia="zh-CN"/>
        </w:rPr>
        <w:t>1</w:t>
      </w:r>
      <w:r>
        <w:rPr>
          <w:rFonts w:hint="eastAsia"/>
        </w:rPr>
        <w:t>）</w:t>
      </w:r>
      <w:r>
        <w:t xml:space="preserve"> </w:t>
      </w:r>
      <w:r>
        <w:rPr>
          <w:rFonts w:hint="eastAsia"/>
          <w:lang w:eastAsia="zh-CN"/>
        </w:rPr>
        <w:t>黑龙江鸿展生物科技股份有限公司</w:t>
      </w:r>
      <w:r>
        <w:t>原</w:t>
      </w:r>
      <w:r>
        <w:rPr>
          <w:rFonts w:hint="eastAsia"/>
        </w:rPr>
        <w:t>有项目</w:t>
      </w:r>
      <w:r>
        <w:t>环境影响评价报告书及批复；</w:t>
      </w:r>
    </w:p>
    <w:p w14:paraId="66147095">
      <w:pPr>
        <w:widowControl w:val="0"/>
        <w:autoSpaceDE w:val="0"/>
        <w:autoSpaceDN w:val="0"/>
        <w:spacing w:line="360" w:lineRule="auto"/>
        <w:ind w:firstLine="480" w:firstLineChars="200"/>
      </w:pPr>
      <w:r>
        <w:rPr>
          <w:rFonts w:hint="eastAsia"/>
        </w:rPr>
        <w:t>（</w:t>
      </w:r>
      <w:r>
        <w:rPr>
          <w:rFonts w:hint="eastAsia"/>
          <w:lang w:val="en-US" w:eastAsia="zh-CN"/>
        </w:rPr>
        <w:t>2</w:t>
      </w:r>
      <w:r>
        <w:rPr>
          <w:rFonts w:hint="eastAsia"/>
        </w:rPr>
        <w:t>）</w:t>
      </w:r>
      <w:r>
        <w:t>《</w:t>
      </w:r>
      <w:r>
        <w:rPr>
          <w:rFonts w:hint="eastAsia"/>
          <w:lang w:eastAsia="zh-CN"/>
        </w:rPr>
        <w:t>黑龙江鸿展生物科技股份有限公司年产70万吨医用酒精技术改造项目</w:t>
      </w:r>
      <w:r>
        <w:t>》环境影响评价委托书；</w:t>
      </w:r>
    </w:p>
    <w:p w14:paraId="3DF02624">
      <w:pPr>
        <w:widowControl w:val="0"/>
        <w:autoSpaceDE w:val="0"/>
        <w:autoSpaceDN w:val="0"/>
        <w:spacing w:line="360" w:lineRule="auto"/>
        <w:ind w:firstLine="480" w:firstLineChars="200"/>
      </w:pPr>
      <w:r>
        <w:rPr>
          <w:rFonts w:hint="eastAsia"/>
        </w:rPr>
        <w:t>（</w:t>
      </w:r>
      <w:r>
        <w:rPr>
          <w:rFonts w:hint="eastAsia"/>
          <w:lang w:val="en-US" w:eastAsia="zh-CN"/>
        </w:rPr>
        <w:t>3</w:t>
      </w:r>
      <w:r>
        <w:rPr>
          <w:rFonts w:hint="eastAsia"/>
        </w:rPr>
        <w:t>）</w:t>
      </w:r>
      <w:r>
        <w:t>《</w:t>
      </w:r>
      <w:r>
        <w:rPr>
          <w:rFonts w:hint="eastAsia"/>
          <w:lang w:eastAsia="zh-CN"/>
        </w:rPr>
        <w:t>黑龙江鸿展生物科技股份有限公司年产70万吨医用酒精技术改造项目</w:t>
      </w:r>
      <w:r>
        <w:rPr>
          <w:rFonts w:hint="eastAsia"/>
        </w:rPr>
        <w:t>可行性研究报告</w:t>
      </w:r>
      <w:r>
        <w:t>》</w:t>
      </w:r>
      <w:r>
        <w:rPr>
          <w:rFonts w:hint="eastAsia"/>
        </w:rPr>
        <w:t>；</w:t>
      </w:r>
    </w:p>
    <w:p w14:paraId="5E777291">
      <w:pPr>
        <w:widowControl w:val="0"/>
        <w:autoSpaceDE w:val="0"/>
        <w:autoSpaceDN w:val="0"/>
        <w:spacing w:line="360" w:lineRule="auto"/>
        <w:ind w:firstLine="480" w:firstLineChars="200"/>
      </w:pPr>
      <w:r>
        <w:rPr>
          <w:rFonts w:hint="eastAsia"/>
        </w:rPr>
        <w:t>（</w:t>
      </w:r>
      <w:r>
        <w:rPr>
          <w:rFonts w:hint="eastAsia"/>
          <w:lang w:val="en-US" w:eastAsia="zh-CN"/>
        </w:rPr>
        <w:t>4</w:t>
      </w:r>
      <w:r>
        <w:rPr>
          <w:rFonts w:hint="eastAsia"/>
        </w:rPr>
        <w:t>）</w:t>
      </w:r>
      <w:r>
        <w:rPr>
          <w:rFonts w:hint="eastAsia"/>
          <w:lang w:eastAsia="zh-CN"/>
        </w:rPr>
        <w:t>黑龙江鸿展生物科技股份有限公司</w:t>
      </w:r>
      <w:r>
        <w:t>提供的其他资料。</w:t>
      </w:r>
    </w:p>
    <w:p w14:paraId="5BB27489">
      <w:pPr>
        <w:pStyle w:val="3"/>
      </w:pPr>
      <w:bookmarkStart w:id="124" w:name="_Toc29176"/>
      <w:r>
        <w:t>2.2评价目的和原则</w:t>
      </w:r>
      <w:bookmarkEnd w:id="124"/>
    </w:p>
    <w:p w14:paraId="06B518C3">
      <w:pPr>
        <w:pStyle w:val="4"/>
      </w:pPr>
      <w:bookmarkStart w:id="125" w:name="2.2.1_评价目的"/>
      <w:bookmarkEnd w:id="125"/>
      <w:r>
        <w:t>2.2.1评价目的</w:t>
      </w:r>
    </w:p>
    <w:p w14:paraId="59C81CE1">
      <w:pPr>
        <w:spacing w:line="360" w:lineRule="auto"/>
        <w:ind w:firstLine="480" w:firstLineChars="200"/>
      </w:pPr>
      <w:r>
        <w:t>本次评价结合</w:t>
      </w:r>
      <w:r>
        <w:rPr>
          <w:rFonts w:hint="eastAsia"/>
          <w:lang w:eastAsia="zh-CN"/>
        </w:rPr>
        <w:t>本项目</w:t>
      </w:r>
      <w:r>
        <w:t>所在区域的环境特点，以详尽的基础资料和数据为基础，贯彻预防为主的污染防治政策，以实事求是的科学态度开展</w:t>
      </w:r>
      <w:r>
        <w:rPr>
          <w:rFonts w:hint="eastAsia"/>
          <w:lang w:eastAsia="zh-CN"/>
        </w:rPr>
        <w:t>本项目</w:t>
      </w:r>
      <w:r>
        <w:t>的环境影响评价工作，充分发挥环境影响评价的作用。因此，本次评价目的如下：</w:t>
      </w:r>
    </w:p>
    <w:p w14:paraId="1DA0347A">
      <w:pPr>
        <w:spacing w:line="360" w:lineRule="auto"/>
        <w:ind w:firstLine="480" w:firstLineChars="200"/>
      </w:pPr>
      <w:r>
        <w:t>1、根据区域的资源情况，结合国家相关产业政策、环境保护政策，分析论证</w:t>
      </w:r>
      <w:r>
        <w:rPr>
          <w:rFonts w:hint="eastAsia"/>
          <w:lang w:eastAsia="zh-CN"/>
        </w:rPr>
        <w:t>本项目</w:t>
      </w:r>
      <w:r>
        <w:t>的环境可行性。</w:t>
      </w:r>
    </w:p>
    <w:p w14:paraId="335E11BA">
      <w:pPr>
        <w:spacing w:line="360" w:lineRule="auto"/>
        <w:ind w:firstLine="480" w:firstLineChars="200"/>
      </w:pPr>
      <w:r>
        <w:t>2、通过对项目所在区域环境质量现状调查、监测及污染源调查，掌握该区域环境质量现状和污染源分布情况。</w:t>
      </w:r>
    </w:p>
    <w:p w14:paraId="621CB799">
      <w:pPr>
        <w:spacing w:line="360" w:lineRule="auto"/>
        <w:ind w:firstLine="480" w:firstLineChars="200"/>
      </w:pPr>
      <w:r>
        <w:t>3、通过工程分析，分析</w:t>
      </w:r>
      <w:r>
        <w:rPr>
          <w:rFonts w:hint="eastAsia"/>
          <w:lang w:eastAsia="zh-CN"/>
        </w:rPr>
        <w:t>本项目</w:t>
      </w:r>
      <w:r>
        <w:t>涉及的工艺流程、产物环节及污染物排放特征，弄清“三废”排放规律、排放去向；核算“三废”产生量、排放量及浓度。</w:t>
      </w:r>
    </w:p>
    <w:p w14:paraId="22FBAA7B">
      <w:pPr>
        <w:spacing w:line="360" w:lineRule="auto"/>
        <w:ind w:firstLine="480" w:firstLineChars="200"/>
      </w:pPr>
      <w:r>
        <w:t>4、预测或分析</w:t>
      </w:r>
      <w:r>
        <w:rPr>
          <w:rFonts w:hint="eastAsia"/>
          <w:lang w:eastAsia="zh-CN"/>
        </w:rPr>
        <w:t>本项目</w:t>
      </w:r>
      <w:r>
        <w:t>排放的污染物对周围环境噪声的影响程度及范围。</w:t>
      </w:r>
    </w:p>
    <w:p w14:paraId="51F0BCB4">
      <w:pPr>
        <w:spacing w:line="360" w:lineRule="auto"/>
        <w:ind w:firstLine="480" w:firstLineChars="200"/>
      </w:pPr>
      <w:r>
        <w:t>5、结合当前技术经济条件，提出技术经济可行的污染防治措施。</w:t>
      </w:r>
    </w:p>
    <w:p w14:paraId="4F405CE5">
      <w:pPr>
        <w:spacing w:line="360" w:lineRule="auto"/>
        <w:ind w:firstLine="480" w:firstLineChars="200"/>
      </w:pPr>
      <w:r>
        <w:t>6、确保污染物达标排放、总量控制，将不利影响降至最低程度。</w:t>
      </w:r>
    </w:p>
    <w:p w14:paraId="160FDCD4">
      <w:pPr>
        <w:spacing w:line="360" w:lineRule="auto"/>
        <w:ind w:firstLine="480" w:firstLineChars="200"/>
      </w:pPr>
      <w:r>
        <w:t>7、提出项目的环境管理与监测计划。</w:t>
      </w:r>
    </w:p>
    <w:p w14:paraId="2BF47AE9">
      <w:pPr>
        <w:pStyle w:val="4"/>
      </w:pPr>
      <w:bookmarkStart w:id="126" w:name="2.2.2_评价原则"/>
      <w:bookmarkEnd w:id="126"/>
      <w:r>
        <w:t>2.2.2评价原则</w:t>
      </w:r>
    </w:p>
    <w:p w14:paraId="31C430B2">
      <w:pPr>
        <w:spacing w:line="360" w:lineRule="auto"/>
        <w:ind w:firstLine="480" w:firstLineChars="200"/>
      </w:pPr>
      <w:r>
        <w:t>（1）依法评价</w:t>
      </w:r>
    </w:p>
    <w:p w14:paraId="58C9A026">
      <w:pPr>
        <w:spacing w:line="360" w:lineRule="auto"/>
        <w:ind w:firstLine="480" w:firstLineChars="200"/>
      </w:pPr>
      <w:r>
        <w:t>贯彻执行我国环境保护相关法律法规、标准、政策和规划等，优化项目建设、服务环境管理。</w:t>
      </w:r>
    </w:p>
    <w:p w14:paraId="179E8568">
      <w:pPr>
        <w:spacing w:line="360" w:lineRule="auto"/>
        <w:ind w:firstLine="480" w:firstLineChars="200"/>
      </w:pPr>
      <w:r>
        <w:t>（2）科学评价</w:t>
      </w:r>
    </w:p>
    <w:p w14:paraId="767721B3">
      <w:pPr>
        <w:spacing w:line="360" w:lineRule="auto"/>
        <w:ind w:firstLine="480" w:firstLineChars="200"/>
      </w:pPr>
      <w:r>
        <w:t>规范环境影响评价方法，科学分析项目建设对环境质量的影响。</w:t>
      </w:r>
    </w:p>
    <w:p w14:paraId="78724FA6">
      <w:pPr>
        <w:spacing w:line="360" w:lineRule="auto"/>
        <w:ind w:firstLine="480" w:firstLineChars="200"/>
      </w:pPr>
      <w:r>
        <w:t>（3）突出重点</w:t>
      </w:r>
    </w:p>
    <w:p w14:paraId="31BC2EDF">
      <w:pPr>
        <w:spacing w:line="360" w:lineRule="auto"/>
        <w:ind w:firstLine="480" w:firstLineChars="200"/>
      </w:pPr>
      <w:r>
        <w:t>根据建设项目的工程内容及其特点，明确与环境要素间的作用效应关系，根据规划环境影响评价结论和审查意见，充分利用符合时效的数据资料及成果，对建设项目主要环境影响予以重点分析和评价。</w:t>
      </w:r>
    </w:p>
    <w:p w14:paraId="1D7F2A71">
      <w:pPr>
        <w:pStyle w:val="3"/>
      </w:pPr>
      <w:bookmarkStart w:id="127" w:name="_Toc25567"/>
      <w:r>
        <w:t>2.3评价因子筛选及评价标准</w:t>
      </w:r>
      <w:bookmarkEnd w:id="80"/>
      <w:bookmarkEnd w:id="81"/>
      <w:bookmarkEnd w:id="82"/>
      <w:bookmarkEnd w:id="83"/>
      <w:bookmarkEnd w:id="84"/>
      <w:bookmarkEnd w:id="85"/>
      <w:bookmarkEnd w:id="86"/>
      <w:bookmarkEnd w:id="87"/>
      <w:bookmarkEnd w:id="127"/>
    </w:p>
    <w:p w14:paraId="43A27867">
      <w:pPr>
        <w:pStyle w:val="4"/>
        <w:rPr>
          <w:szCs w:val="28"/>
        </w:rPr>
      </w:pPr>
      <w:r>
        <w:t>2.3.1评价因子</w:t>
      </w:r>
      <w:r>
        <w:rPr>
          <w:rFonts w:hint="eastAsia"/>
        </w:rPr>
        <w:t>的识别与筛选</w:t>
      </w:r>
    </w:p>
    <w:p w14:paraId="0958CF76">
      <w:pPr>
        <w:pStyle w:val="5"/>
      </w:pPr>
      <w:bookmarkStart w:id="128" w:name="_Toc326318536"/>
      <w:bookmarkStart w:id="129" w:name="_Toc391455060"/>
      <w:r>
        <w:t>2.</w:t>
      </w:r>
      <w:r>
        <w:rPr>
          <w:rFonts w:hint="eastAsia"/>
        </w:rPr>
        <w:t>3.1</w:t>
      </w:r>
      <w:r>
        <w:t>.1 环境空气评价因子的识别与筛选</w:t>
      </w:r>
    </w:p>
    <w:p w14:paraId="7EC47643">
      <w:pPr>
        <w:spacing w:line="360" w:lineRule="auto"/>
        <w:ind w:firstLine="480"/>
        <w:rPr>
          <w:color w:val="auto"/>
        </w:rPr>
      </w:pPr>
      <w:r>
        <w:rPr>
          <w:color w:val="auto"/>
        </w:rPr>
        <w:t>本项目大气污染源主要为</w:t>
      </w:r>
      <w:r>
        <w:rPr>
          <w:rFonts w:hint="eastAsia"/>
          <w:color w:val="auto"/>
          <w:lang w:val="en-US" w:eastAsia="zh-CN"/>
        </w:rPr>
        <w:t>污水处理站恶臭</w:t>
      </w:r>
      <w:r>
        <w:rPr>
          <w:color w:val="auto"/>
        </w:rPr>
        <w:t>。</w:t>
      </w:r>
    </w:p>
    <w:p w14:paraId="654ED355">
      <w:pPr>
        <w:spacing w:line="360" w:lineRule="auto"/>
        <w:ind w:firstLine="480"/>
        <w:rPr>
          <w:color w:val="auto"/>
        </w:rPr>
      </w:pPr>
      <w:r>
        <w:rPr>
          <w:color w:val="auto"/>
        </w:rPr>
        <w:t>环境空气现状评价因子选择：CO 、O</w:t>
      </w:r>
      <w:r>
        <w:rPr>
          <w:color w:val="auto"/>
          <w:vertAlign w:val="subscript"/>
        </w:rPr>
        <w:t>3</w:t>
      </w:r>
      <w:r>
        <w:rPr>
          <w:color w:val="auto"/>
        </w:rPr>
        <w:t xml:space="preserve"> 、PM</w:t>
      </w:r>
      <w:r>
        <w:rPr>
          <w:color w:val="auto"/>
          <w:vertAlign w:val="subscript"/>
        </w:rPr>
        <w:t xml:space="preserve">10 </w:t>
      </w:r>
      <w:r>
        <w:rPr>
          <w:color w:val="auto"/>
        </w:rPr>
        <w:t>、PM</w:t>
      </w:r>
      <w:r>
        <w:rPr>
          <w:color w:val="auto"/>
          <w:vertAlign w:val="subscript"/>
        </w:rPr>
        <w:t>2.5</w:t>
      </w:r>
      <w:r>
        <w:rPr>
          <w:color w:val="auto"/>
        </w:rPr>
        <w:t>、SO</w:t>
      </w:r>
      <w:r>
        <w:rPr>
          <w:color w:val="auto"/>
          <w:vertAlign w:val="subscript"/>
        </w:rPr>
        <w:t>2</w:t>
      </w:r>
      <w:r>
        <w:rPr>
          <w:color w:val="auto"/>
        </w:rPr>
        <w:t xml:space="preserve"> 、NO</w:t>
      </w:r>
      <w:r>
        <w:rPr>
          <w:color w:val="auto"/>
          <w:vertAlign w:val="subscript"/>
        </w:rPr>
        <w:t>2</w:t>
      </w:r>
      <w:r>
        <w:rPr>
          <w:color w:val="auto"/>
        </w:rPr>
        <w:t xml:space="preserve"> ；预测因子选择：NH</w:t>
      </w:r>
      <w:r>
        <w:rPr>
          <w:color w:val="auto"/>
          <w:vertAlign w:val="subscript"/>
        </w:rPr>
        <w:t>3</w:t>
      </w:r>
      <w:r>
        <w:rPr>
          <w:color w:val="auto"/>
        </w:rPr>
        <w:t>、</w:t>
      </w:r>
      <w:r>
        <w:rPr>
          <w:rFonts w:hint="eastAsia"/>
          <w:color w:val="auto"/>
          <w:lang w:val="en-US" w:eastAsia="zh-CN"/>
        </w:rPr>
        <w:t>H</w:t>
      </w:r>
      <w:r>
        <w:rPr>
          <w:rFonts w:hint="eastAsia"/>
          <w:color w:val="auto"/>
          <w:vertAlign w:val="subscript"/>
          <w:lang w:val="en-US" w:eastAsia="zh-CN"/>
        </w:rPr>
        <w:t>2</w:t>
      </w:r>
      <w:r>
        <w:rPr>
          <w:rFonts w:hint="eastAsia"/>
          <w:color w:val="auto"/>
          <w:lang w:val="en-US" w:eastAsia="zh-CN"/>
        </w:rPr>
        <w:t>S、PM</w:t>
      </w:r>
      <w:r>
        <w:rPr>
          <w:rFonts w:hint="eastAsia"/>
          <w:color w:val="auto"/>
          <w:vertAlign w:val="subscript"/>
          <w:lang w:val="en-US" w:eastAsia="zh-CN"/>
        </w:rPr>
        <w:t>10</w:t>
      </w:r>
      <w:r>
        <w:rPr>
          <w:rFonts w:hint="eastAsia"/>
          <w:color w:val="auto"/>
          <w:vertAlign w:val="baseline"/>
          <w:lang w:val="en-US" w:eastAsia="zh-CN"/>
        </w:rPr>
        <w:t>、非甲烷总烃</w:t>
      </w:r>
      <w:r>
        <w:rPr>
          <w:color w:val="auto"/>
        </w:rPr>
        <w:t>。</w:t>
      </w:r>
    </w:p>
    <w:p w14:paraId="462F18BD">
      <w:pPr>
        <w:pStyle w:val="5"/>
        <w:rPr>
          <w:color w:val="auto"/>
        </w:rPr>
      </w:pPr>
      <w:r>
        <w:rPr>
          <w:color w:val="auto"/>
        </w:rPr>
        <w:t>2.</w:t>
      </w:r>
      <w:r>
        <w:rPr>
          <w:rFonts w:hint="eastAsia"/>
          <w:color w:val="auto"/>
        </w:rPr>
        <w:t>3.1</w:t>
      </w:r>
      <w:r>
        <w:rPr>
          <w:color w:val="auto"/>
        </w:rPr>
        <w:t>.2 地表水环境评价因子的识别与筛选</w:t>
      </w:r>
    </w:p>
    <w:p w14:paraId="2BD26BE7">
      <w:pPr>
        <w:spacing w:line="360" w:lineRule="auto"/>
        <w:ind w:firstLine="480"/>
        <w:rPr>
          <w:color w:val="auto"/>
        </w:rPr>
      </w:pPr>
      <w:r>
        <w:rPr>
          <w:rFonts w:hint="eastAsia" w:ascii="Times New Roman" w:hAnsi="Times New Roman" w:eastAsia="宋体" w:cs="Times New Roman"/>
          <w:color w:val="auto"/>
          <w:lang w:eastAsia="zh-CN" w:bidi="ar"/>
        </w:rPr>
        <w:t>本项目地</w:t>
      </w:r>
      <w:r>
        <w:rPr>
          <w:rFonts w:hint="eastAsia" w:cs="Times New Roman"/>
          <w:color w:val="auto"/>
          <w:lang w:val="en-US" w:eastAsia="zh-CN" w:bidi="ar"/>
        </w:rPr>
        <w:t>表</w:t>
      </w:r>
      <w:r>
        <w:rPr>
          <w:rFonts w:hint="eastAsia" w:ascii="Times New Roman" w:hAnsi="Times New Roman" w:eastAsia="宋体" w:cs="Times New Roman"/>
          <w:color w:val="auto"/>
          <w:lang w:eastAsia="zh-CN" w:bidi="ar"/>
        </w:rPr>
        <w:t>水现状评价因子选择：</w:t>
      </w:r>
      <w:r>
        <w:rPr>
          <w:rFonts w:hint="eastAsia" w:ascii="Times New Roman" w:hAnsi="Times New Roman" w:eastAsia="宋体" w:cs="Times New Roman"/>
          <w:color w:val="auto"/>
          <w:sz w:val="24"/>
          <w:highlight w:val="none"/>
          <w:lang w:val="en-US" w:eastAsia="zh-CN"/>
        </w:rPr>
        <w:t>化学需氧量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氨氮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五日生化需氧量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总磷</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高锰酸盐指数</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pH</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挥发酚</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氰化物</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铜</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硫酸盐</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氯化物</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溶解氧，共计1</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项。</w:t>
      </w:r>
      <w:r>
        <w:rPr>
          <w:rFonts w:hint="eastAsia" w:ascii="Times New Roman" w:hAnsi="Times New Roman" w:eastAsia="宋体" w:cs="Times New Roman"/>
          <w:color w:val="auto"/>
          <w:lang w:eastAsia="zh-CN" w:bidi="ar"/>
        </w:rPr>
        <w:t>预测因子选择：COD、NH</w:t>
      </w:r>
      <w:r>
        <w:rPr>
          <w:rFonts w:hint="eastAsia" w:ascii="Times New Roman" w:hAnsi="Times New Roman" w:eastAsia="宋体" w:cs="Times New Roman"/>
          <w:color w:val="auto"/>
          <w:vertAlign w:val="subscript"/>
          <w:lang w:eastAsia="zh-CN" w:bidi="ar"/>
        </w:rPr>
        <w:t>3</w:t>
      </w:r>
      <w:r>
        <w:rPr>
          <w:rFonts w:hint="eastAsia" w:ascii="Times New Roman" w:hAnsi="Times New Roman" w:eastAsia="宋体" w:cs="Times New Roman"/>
          <w:color w:val="auto"/>
          <w:lang w:eastAsia="zh-CN" w:bidi="ar"/>
        </w:rPr>
        <w:t>-N。</w:t>
      </w:r>
    </w:p>
    <w:p w14:paraId="1EB1315A">
      <w:pPr>
        <w:pStyle w:val="5"/>
        <w:rPr>
          <w:rFonts w:ascii="Times New Roman" w:hAnsi="Times New Roman" w:eastAsia="Times New Roman" w:cs="Times New Roman"/>
          <w:color w:val="auto"/>
        </w:rPr>
      </w:pPr>
      <w:bookmarkStart w:id="130" w:name="_Toc534486411"/>
      <w:bookmarkStart w:id="131" w:name="_Toc176865855"/>
      <w:bookmarkStart w:id="132" w:name="_Toc199656890"/>
      <w:bookmarkStart w:id="133" w:name="_Toc454201496"/>
      <w:bookmarkStart w:id="134" w:name="_Toc280168309"/>
      <w:bookmarkStart w:id="135" w:name="_Toc454462667"/>
      <w:bookmarkStart w:id="136" w:name="_Toc170185526"/>
      <w:r>
        <w:rPr>
          <w:rFonts w:ascii="Times New Roman" w:hAnsi="Times New Roman" w:eastAsia="Times New Roman" w:cs="Times New Roman"/>
          <w:color w:val="auto"/>
        </w:rPr>
        <w:t>2.</w:t>
      </w:r>
      <w:r>
        <w:rPr>
          <w:rFonts w:hint="eastAsia" w:ascii="Times New Roman" w:hAnsi="Times New Roman" w:eastAsia="宋体" w:cs="Times New Roman"/>
          <w:color w:val="auto"/>
          <w:lang w:val="en-US" w:eastAsia="zh-CN"/>
        </w:rPr>
        <w:t>3.1</w:t>
      </w:r>
      <w:r>
        <w:rPr>
          <w:rFonts w:ascii="Times New Roman" w:hAnsi="Times New Roman" w:eastAsia="Times New Roman" w:cs="Times New Roman"/>
          <w:color w:val="auto"/>
        </w:rPr>
        <w:t>.</w:t>
      </w:r>
      <w:r>
        <w:rPr>
          <w:rFonts w:hint="eastAsia" w:ascii="Times New Roman" w:hAnsi="Times New Roman" w:eastAsia="Times New Roman" w:cs="Times New Roman"/>
          <w:color w:val="auto"/>
        </w:rPr>
        <w:t>3地下</w:t>
      </w:r>
      <w:r>
        <w:rPr>
          <w:rFonts w:ascii="Times New Roman" w:hAnsi="Times New Roman" w:eastAsia="Times New Roman" w:cs="Times New Roman"/>
          <w:color w:val="auto"/>
        </w:rPr>
        <w:t>水环境评价因子的识别与筛选</w:t>
      </w:r>
      <w:bookmarkEnd w:id="130"/>
      <w:bookmarkEnd w:id="131"/>
      <w:bookmarkEnd w:id="132"/>
      <w:bookmarkEnd w:id="133"/>
      <w:bookmarkEnd w:id="134"/>
      <w:bookmarkEnd w:id="135"/>
      <w:bookmarkEnd w:id="136"/>
    </w:p>
    <w:p w14:paraId="401B40D8">
      <w:pPr>
        <w:spacing w:line="360" w:lineRule="auto"/>
        <w:ind w:firstLine="480"/>
        <w:rPr>
          <w:rFonts w:hint="eastAsia" w:ascii="Times New Roman" w:hAnsi="Times New Roman" w:eastAsia="宋体" w:cs="Times New Roman"/>
          <w:color w:val="auto"/>
          <w:lang w:eastAsia="zh-CN" w:bidi="ar"/>
        </w:rPr>
      </w:pPr>
      <w:r>
        <w:rPr>
          <w:rFonts w:hint="eastAsia" w:ascii="Times New Roman" w:hAnsi="Times New Roman" w:eastAsia="宋体" w:cs="Times New Roman"/>
          <w:color w:val="auto"/>
          <w:lang w:eastAsia="zh-CN" w:bidi="ar"/>
        </w:rPr>
        <w:t>本项目地下水现状评价因子选择：</w:t>
      </w:r>
      <w:r>
        <w:rPr>
          <w:rFonts w:hint="default"/>
        </w:rPr>
        <w:t>pH值、氨氮、硝酸盐、亚硝酸盐、挥发</w:t>
      </w:r>
      <w:r>
        <w:rPr>
          <w:rFonts w:hint="default"/>
          <w:lang w:val="en-US" w:eastAsia="zh-CN"/>
        </w:rPr>
        <w:t>性酚类</w:t>
      </w:r>
      <w:r>
        <w:rPr>
          <w:rFonts w:hint="default"/>
        </w:rPr>
        <w:t>、氰化物、砷、汞、铬（六价）、总硬度、铅、氟</w:t>
      </w:r>
      <w:r>
        <w:rPr>
          <w:rFonts w:hint="default"/>
          <w:lang w:val="en-US" w:eastAsia="zh-CN"/>
        </w:rPr>
        <w:t>化物</w:t>
      </w:r>
      <w:r>
        <w:rPr>
          <w:rFonts w:hint="default"/>
        </w:rPr>
        <w:t>、镉、铁、锰、溶解性总固体、</w:t>
      </w:r>
      <w:r>
        <w:rPr>
          <w:rFonts w:hint="default"/>
          <w:lang w:eastAsia="zh-CN"/>
        </w:rPr>
        <w:t>耗氧量、</w:t>
      </w:r>
      <w:r>
        <w:rPr>
          <w:rFonts w:hint="default"/>
        </w:rPr>
        <w:t>硫酸盐、氯化物、总大肠菌群、细菌总数</w:t>
      </w:r>
      <w:r>
        <w:rPr>
          <w:rFonts w:hint="eastAsia"/>
          <w:lang w:eastAsia="zh-CN"/>
        </w:rPr>
        <w:t>、</w:t>
      </w:r>
      <w:r>
        <w:rPr>
          <w:rFonts w:hint="default"/>
        </w:rPr>
        <w:t>K</w:t>
      </w:r>
      <w:r>
        <w:rPr>
          <w:rFonts w:hint="eastAsia"/>
          <w:vertAlign w:val="superscript"/>
          <w:lang w:val="en-US" w:eastAsia="zh-CN"/>
        </w:rPr>
        <w:t>+</w:t>
      </w:r>
      <w:r>
        <w:rPr>
          <w:rFonts w:hint="default"/>
        </w:rPr>
        <w:t>、Na</w:t>
      </w:r>
      <w:r>
        <w:rPr>
          <w:rFonts w:hint="default"/>
          <w:vertAlign w:val="superscript"/>
        </w:rPr>
        <w:t>+</w:t>
      </w:r>
      <w:r>
        <w:rPr>
          <w:rFonts w:hint="default"/>
        </w:rPr>
        <w:t>、Ca</w:t>
      </w:r>
      <w:r>
        <w:rPr>
          <w:rFonts w:hint="default"/>
          <w:vertAlign w:val="superscript"/>
        </w:rPr>
        <w:t>2+</w:t>
      </w:r>
      <w:r>
        <w:rPr>
          <w:rFonts w:hint="default"/>
        </w:rPr>
        <w:t>、Mg</w:t>
      </w:r>
      <w:r>
        <w:rPr>
          <w:rFonts w:hint="default"/>
          <w:vertAlign w:val="superscript"/>
        </w:rPr>
        <w:t>2+</w:t>
      </w:r>
      <w:r>
        <w:rPr>
          <w:rFonts w:hint="default"/>
        </w:rPr>
        <w:t>、CO</w:t>
      </w:r>
      <w:r>
        <w:rPr>
          <w:rFonts w:hint="default"/>
          <w:vertAlign w:val="subscript"/>
        </w:rPr>
        <w:t>3</w:t>
      </w:r>
      <w:r>
        <w:rPr>
          <w:rFonts w:hint="default"/>
          <w:vertAlign w:val="superscript"/>
        </w:rPr>
        <w:t>2-</w:t>
      </w:r>
      <w:r>
        <w:rPr>
          <w:rFonts w:hint="default"/>
        </w:rPr>
        <w:t>、HCO</w:t>
      </w:r>
      <w:r>
        <w:rPr>
          <w:rFonts w:hint="default"/>
          <w:vertAlign w:val="subscript"/>
        </w:rPr>
        <w:t>3</w:t>
      </w:r>
      <w:r>
        <w:rPr>
          <w:rFonts w:hint="default"/>
          <w:vertAlign w:val="superscript"/>
        </w:rPr>
        <w:t>-</w:t>
      </w:r>
      <w:r>
        <w:rPr>
          <w:rFonts w:hint="default"/>
        </w:rPr>
        <w:t>、Cl</w:t>
      </w:r>
      <w:r>
        <w:rPr>
          <w:rFonts w:hint="default"/>
          <w:vertAlign w:val="superscript"/>
        </w:rPr>
        <w:t>-</w:t>
      </w:r>
      <w:r>
        <w:rPr>
          <w:rFonts w:hint="default"/>
        </w:rPr>
        <w:t>、SO</w:t>
      </w:r>
      <w:r>
        <w:rPr>
          <w:rFonts w:hint="default"/>
          <w:vertAlign w:val="subscript"/>
        </w:rPr>
        <w:t>4</w:t>
      </w:r>
      <w:r>
        <w:rPr>
          <w:rFonts w:hint="default"/>
          <w:vertAlign w:val="superscript"/>
        </w:rPr>
        <w:t>2-</w:t>
      </w:r>
      <w:r>
        <w:rPr>
          <w:rFonts w:hint="eastAsia" w:ascii="Times New Roman" w:hAnsi="Times New Roman" w:eastAsia="宋体" w:cs="Times New Roman"/>
          <w:color w:val="auto"/>
          <w:lang w:eastAsia="zh-CN" w:bidi="ar"/>
        </w:rPr>
        <w:t>共</w:t>
      </w:r>
      <w:r>
        <w:rPr>
          <w:rFonts w:hint="eastAsia" w:ascii="Times New Roman" w:hAnsi="Times New Roman" w:eastAsia="宋体" w:cs="Times New Roman"/>
          <w:color w:val="auto"/>
          <w:lang w:val="en-US" w:eastAsia="zh-CN" w:bidi="ar"/>
        </w:rPr>
        <w:t>29</w:t>
      </w:r>
      <w:r>
        <w:rPr>
          <w:rFonts w:hint="eastAsia" w:ascii="Times New Roman" w:hAnsi="Times New Roman" w:eastAsia="宋体" w:cs="Times New Roman"/>
          <w:color w:val="auto"/>
          <w:lang w:eastAsia="zh-CN" w:bidi="ar"/>
        </w:rPr>
        <w:t>项。预测因子选择：COD、NH</w:t>
      </w:r>
      <w:r>
        <w:rPr>
          <w:rFonts w:hint="eastAsia" w:ascii="Times New Roman" w:hAnsi="Times New Roman" w:eastAsia="宋体" w:cs="Times New Roman"/>
          <w:color w:val="auto"/>
          <w:vertAlign w:val="subscript"/>
          <w:lang w:eastAsia="zh-CN" w:bidi="ar"/>
        </w:rPr>
        <w:t>3</w:t>
      </w:r>
      <w:r>
        <w:rPr>
          <w:rFonts w:hint="eastAsia" w:ascii="Times New Roman" w:hAnsi="Times New Roman" w:eastAsia="宋体" w:cs="Times New Roman"/>
          <w:color w:val="auto"/>
          <w:lang w:eastAsia="zh-CN" w:bidi="ar"/>
        </w:rPr>
        <w:t>-N。</w:t>
      </w:r>
    </w:p>
    <w:p w14:paraId="73421FD5">
      <w:pPr>
        <w:pStyle w:val="5"/>
        <w:rPr>
          <w:color w:val="auto"/>
        </w:rPr>
      </w:pPr>
      <w:r>
        <w:rPr>
          <w:color w:val="auto"/>
        </w:rPr>
        <w:t>2.</w:t>
      </w:r>
      <w:r>
        <w:rPr>
          <w:rFonts w:hint="eastAsia"/>
          <w:color w:val="auto"/>
        </w:rPr>
        <w:t>3.1</w:t>
      </w:r>
      <w:r>
        <w:rPr>
          <w:color w:val="auto"/>
        </w:rPr>
        <w:t>.</w:t>
      </w:r>
      <w:r>
        <w:rPr>
          <w:rFonts w:hint="eastAsia" w:eastAsia="宋体"/>
          <w:color w:val="auto"/>
          <w:lang w:val="en-US" w:eastAsia="zh-CN"/>
        </w:rPr>
        <w:t>4</w:t>
      </w:r>
      <w:r>
        <w:rPr>
          <w:color w:val="auto"/>
        </w:rPr>
        <w:t xml:space="preserve"> 声环境评价因子的识别与筛选</w:t>
      </w:r>
    </w:p>
    <w:p w14:paraId="438F7407">
      <w:pPr>
        <w:spacing w:line="360" w:lineRule="auto"/>
        <w:ind w:firstLine="480"/>
        <w:rPr>
          <w:color w:val="auto"/>
        </w:rPr>
      </w:pPr>
      <w:r>
        <w:rPr>
          <w:color w:val="auto"/>
        </w:rPr>
        <w:t>本项目声环境评价主要为风机和水泵噪声，除采用消声、隔声等防治措施外， 在设计时尽量选用低噪声设备。这些设备运行时产生的声压级一般在</w:t>
      </w:r>
      <w:r>
        <w:rPr>
          <w:rFonts w:hint="eastAsia"/>
          <w:color w:val="auto"/>
          <w:lang w:val="en-US" w:eastAsia="zh-CN"/>
        </w:rPr>
        <w:t>70</w:t>
      </w:r>
      <w:r>
        <w:rPr>
          <w:color w:val="auto"/>
        </w:rPr>
        <w:t>~ 9</w:t>
      </w:r>
      <w:r>
        <w:rPr>
          <w:rFonts w:hint="eastAsia"/>
          <w:color w:val="auto"/>
          <w:lang w:val="en-US" w:eastAsia="zh-CN"/>
        </w:rPr>
        <w:t>0</w:t>
      </w:r>
      <w:r>
        <w:rPr>
          <w:color w:val="auto"/>
        </w:rPr>
        <w:t>dB(A)之间。因此，声环境影响评价现状调查因子和预测因子选择为连续等效A声级。</w:t>
      </w:r>
    </w:p>
    <w:p w14:paraId="4B5AEEF0">
      <w:pPr>
        <w:pStyle w:val="5"/>
        <w:rPr>
          <w:color w:val="auto"/>
        </w:rPr>
      </w:pPr>
      <w:r>
        <w:rPr>
          <w:color w:val="auto"/>
        </w:rPr>
        <w:t>2.</w:t>
      </w:r>
      <w:r>
        <w:rPr>
          <w:rFonts w:hint="eastAsia"/>
          <w:color w:val="auto"/>
        </w:rPr>
        <w:t>3.1</w:t>
      </w:r>
      <w:r>
        <w:rPr>
          <w:color w:val="auto"/>
        </w:rPr>
        <w:t>.</w:t>
      </w:r>
      <w:r>
        <w:rPr>
          <w:rFonts w:hint="eastAsia" w:eastAsia="宋体"/>
          <w:color w:val="auto"/>
          <w:lang w:val="en-US" w:eastAsia="zh-CN"/>
        </w:rPr>
        <w:t>5</w:t>
      </w:r>
      <w:r>
        <w:rPr>
          <w:color w:val="auto"/>
        </w:rPr>
        <w:t xml:space="preserve"> </w:t>
      </w:r>
      <w:r>
        <w:rPr>
          <w:rFonts w:hint="eastAsia" w:eastAsia="宋体"/>
          <w:color w:val="auto"/>
          <w:lang w:val="en-US" w:eastAsia="zh-CN"/>
        </w:rPr>
        <w:t>土壤环境</w:t>
      </w:r>
      <w:r>
        <w:rPr>
          <w:color w:val="auto"/>
        </w:rPr>
        <w:t>评价因子的识别与筛选</w:t>
      </w:r>
    </w:p>
    <w:p w14:paraId="64A1D5E5">
      <w:pPr>
        <w:spacing w:line="360" w:lineRule="auto"/>
        <w:ind w:firstLine="480"/>
        <w:rPr>
          <w:rFonts w:ascii="Times New Roman" w:hAnsi="Times New Roman" w:eastAsia="宋体" w:cs="Times New Roman"/>
          <w:color w:val="auto"/>
        </w:rPr>
      </w:pPr>
      <w:r>
        <w:rPr>
          <w:rFonts w:hint="eastAsia" w:ascii="Times New Roman" w:hAnsi="Times New Roman" w:eastAsia="宋体" w:cs="Times New Roman"/>
          <w:color w:val="auto"/>
          <w:lang w:eastAsia="zh-CN"/>
        </w:rPr>
        <w:t>本项目</w:t>
      </w:r>
      <w:r>
        <w:rPr>
          <w:rFonts w:hint="eastAsia" w:ascii="Times New Roman" w:hAnsi="Times New Roman" w:eastAsia="宋体" w:cs="Times New Roman"/>
          <w:color w:val="auto"/>
          <w:lang w:val="en-US" w:eastAsia="zh-CN"/>
        </w:rPr>
        <w:t>土壤环境</w:t>
      </w:r>
      <w:r>
        <w:rPr>
          <w:rFonts w:hint="eastAsia" w:ascii="Times New Roman" w:hAnsi="Times New Roman" w:eastAsia="宋体" w:cs="Times New Roman"/>
          <w:color w:val="auto"/>
          <w:lang w:eastAsia="zh-CN"/>
        </w:rPr>
        <w:t>现状评价因子选择：</w:t>
      </w:r>
      <w:r>
        <w:rPr>
          <w:rFonts w:ascii="Times New Roman" w:hAnsi="Times New Roman" w:eastAsia="宋体" w:cs="Times New Roman"/>
          <w:color w:val="auto"/>
        </w:rPr>
        <w:t>砷、镉、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r>
        <w:rPr>
          <w:rFonts w:hint="eastAsia" w:cs="Times New Roman"/>
          <w:color w:val="auto"/>
          <w:lang w:eastAsia="zh-CN"/>
        </w:rPr>
        <w:t>、</w:t>
      </w:r>
      <w:r>
        <w:rPr>
          <w:rFonts w:hint="eastAsia" w:cs="Times New Roman"/>
          <w:color w:val="auto"/>
          <w:lang w:val="en-US" w:eastAsia="zh-CN"/>
        </w:rPr>
        <w:t>pH</w:t>
      </w:r>
      <w:r>
        <w:rPr>
          <w:rFonts w:ascii="Times New Roman" w:hAnsi="Times New Roman" w:eastAsia="宋体" w:cs="Times New Roman"/>
          <w:color w:val="auto"/>
        </w:rPr>
        <w:t>共计4</w:t>
      </w:r>
      <w:r>
        <w:rPr>
          <w:rFonts w:hint="eastAsia" w:cs="Times New Roman"/>
          <w:color w:val="auto"/>
          <w:lang w:val="en-US" w:eastAsia="zh-CN"/>
        </w:rPr>
        <w:t>6</w:t>
      </w:r>
      <w:r>
        <w:rPr>
          <w:rFonts w:ascii="Times New Roman" w:hAnsi="Times New Roman" w:eastAsia="宋体" w:cs="Times New Roman"/>
          <w:color w:val="auto"/>
        </w:rPr>
        <w:t>项</w:t>
      </w:r>
      <w:r>
        <w:rPr>
          <w:rFonts w:hint="eastAsia" w:ascii="Times New Roman" w:hAnsi="Times New Roman" w:eastAsia="宋体" w:cs="Times New Roman"/>
          <w:color w:val="auto"/>
          <w:lang w:eastAsia="zh-CN"/>
        </w:rPr>
        <w:t>。</w:t>
      </w:r>
    </w:p>
    <w:p w14:paraId="728D7834">
      <w:pPr>
        <w:pStyle w:val="5"/>
        <w:rPr>
          <w:color w:val="auto"/>
        </w:rPr>
      </w:pPr>
      <w:r>
        <w:rPr>
          <w:rFonts w:hint="eastAsia" w:eastAsia="宋体"/>
          <w:color w:val="auto"/>
          <w:lang w:val="en-US" w:eastAsia="zh-CN"/>
        </w:rPr>
        <w:t>2.3.1.6</w:t>
      </w:r>
      <w:r>
        <w:rPr>
          <w:color w:val="auto"/>
        </w:rPr>
        <w:t>固体废物评价因子的识别与筛选</w:t>
      </w:r>
    </w:p>
    <w:p w14:paraId="73BEA162">
      <w:pPr>
        <w:spacing w:line="360" w:lineRule="auto"/>
        <w:ind w:firstLine="480" w:firstLineChars="200"/>
        <w:rPr>
          <w:color w:val="auto"/>
        </w:rPr>
      </w:pPr>
      <w:r>
        <w:rPr>
          <w:rFonts w:hint="eastAsia" w:cs="Times New Roman"/>
          <w:snapToGrid w:val="0"/>
          <w:color w:val="auto"/>
          <w:sz w:val="24"/>
          <w:szCs w:val="24"/>
          <w:lang w:val="en-US" w:eastAsia="zh-CN" w:bidi="ar-SA"/>
        </w:rPr>
        <w:t>本项目</w:t>
      </w:r>
      <w:r>
        <w:rPr>
          <w:rFonts w:ascii="Times New Roman" w:hAnsi="Times New Roman" w:eastAsia="宋体" w:cs="Times New Roman"/>
          <w:snapToGrid w:val="0"/>
          <w:color w:val="auto"/>
          <w:sz w:val="24"/>
          <w:szCs w:val="24"/>
          <w:lang w:val="en-US" w:eastAsia="zh-CN" w:bidi="ar-SA"/>
        </w:rPr>
        <w:t>产生固废主要为污水处理站污泥</w:t>
      </w:r>
      <w:r>
        <w:rPr>
          <w:rFonts w:hint="eastAsia" w:ascii="Times New Roman" w:hAnsi="Times New Roman" w:eastAsia="宋体" w:cs="Times New Roman"/>
          <w:snapToGrid w:val="0"/>
          <w:color w:val="auto"/>
          <w:sz w:val="24"/>
          <w:szCs w:val="24"/>
          <w:lang w:val="en-US" w:eastAsia="zh-CN" w:bidi="ar-SA"/>
        </w:rPr>
        <w:t>，污水处理站恶臭吸附过程中产生的废活性炭</w:t>
      </w:r>
      <w:r>
        <w:rPr>
          <w:rFonts w:ascii="Times New Roman" w:hAnsi="Times New Roman" w:eastAsia="宋体" w:cs="Times New Roman"/>
          <w:snapToGrid w:val="0"/>
          <w:color w:val="auto"/>
          <w:sz w:val="24"/>
          <w:szCs w:val="24"/>
          <w:lang w:val="en-US" w:eastAsia="zh-CN" w:bidi="ar-SA"/>
        </w:rPr>
        <w:t>。</w:t>
      </w:r>
      <w:r>
        <w:rPr>
          <w:color w:val="auto"/>
        </w:rPr>
        <w:t>本评价选择固体废物处理或处置率、固体废物处理或处置方式等指标进行环境影响分析。</w:t>
      </w:r>
    </w:p>
    <w:p w14:paraId="3A53AC7D">
      <w:pPr>
        <w:pStyle w:val="5"/>
        <w:rPr>
          <w:color w:val="auto"/>
        </w:rPr>
      </w:pPr>
      <w:r>
        <w:rPr>
          <w:color w:val="auto"/>
        </w:rPr>
        <w:t>2.</w:t>
      </w:r>
      <w:r>
        <w:rPr>
          <w:rFonts w:hint="eastAsia"/>
          <w:color w:val="auto"/>
        </w:rPr>
        <w:t>3.1</w:t>
      </w:r>
      <w:r>
        <w:rPr>
          <w:color w:val="auto"/>
        </w:rPr>
        <w:t>.</w:t>
      </w:r>
      <w:r>
        <w:rPr>
          <w:rFonts w:hint="eastAsia" w:eastAsia="宋体"/>
          <w:color w:val="auto"/>
          <w:lang w:val="en-US" w:eastAsia="zh-CN"/>
        </w:rPr>
        <w:t>6</w:t>
      </w:r>
      <w:r>
        <w:rPr>
          <w:color w:val="auto"/>
        </w:rPr>
        <w:t xml:space="preserve"> 评价因子筛选结果</w:t>
      </w:r>
    </w:p>
    <w:p w14:paraId="4FEE73B7">
      <w:pPr>
        <w:spacing w:line="360" w:lineRule="auto"/>
        <w:ind w:firstLine="480" w:firstLineChars="200"/>
        <w:rPr>
          <w:color w:val="auto"/>
        </w:rPr>
      </w:pPr>
      <w:r>
        <w:rPr>
          <w:color w:val="auto"/>
        </w:rPr>
        <w:t>根据环境影响识别结果和以上分析，本项目各专题、各环境要素的评价因子筛选结果见表 2.</w:t>
      </w:r>
      <w:r>
        <w:rPr>
          <w:rFonts w:hint="eastAsia"/>
          <w:color w:val="auto"/>
        </w:rPr>
        <w:t>3</w:t>
      </w:r>
      <w:r>
        <w:rPr>
          <w:color w:val="auto"/>
        </w:rPr>
        <w:t>-1。</w:t>
      </w:r>
    </w:p>
    <w:p w14:paraId="359D6D06">
      <w:pPr>
        <w:jc w:val="center"/>
        <w:rPr>
          <w:b/>
          <w:bCs/>
        </w:rPr>
      </w:pPr>
      <w:r>
        <w:rPr>
          <w:b/>
          <w:bCs/>
        </w:rPr>
        <w:t>表2.3-1  评价因子一览表</w:t>
      </w:r>
    </w:p>
    <w:tbl>
      <w:tblPr>
        <w:tblStyle w:val="5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5"/>
        <w:gridCol w:w="1364"/>
        <w:gridCol w:w="6338"/>
      </w:tblGrid>
      <w:tr w14:paraId="23D22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569" w:type="pct"/>
            <w:gridSpan w:val="2"/>
            <w:tcBorders>
              <w:tl2br w:val="nil"/>
              <w:tr2bl w:val="nil"/>
            </w:tcBorders>
            <w:vAlign w:val="center"/>
          </w:tcPr>
          <w:p w14:paraId="1AF12DE4">
            <w:pPr>
              <w:jc w:val="center"/>
              <w:rPr>
                <w:b/>
                <w:bCs/>
                <w:sz w:val="21"/>
                <w:szCs w:val="21"/>
              </w:rPr>
            </w:pPr>
            <w:r>
              <w:rPr>
                <w:b/>
                <w:bCs/>
                <w:sz w:val="21"/>
                <w:szCs w:val="21"/>
              </w:rPr>
              <w:t>项目</w:t>
            </w:r>
          </w:p>
        </w:tc>
        <w:tc>
          <w:tcPr>
            <w:tcW w:w="3430" w:type="pct"/>
            <w:tcBorders>
              <w:tl2br w:val="nil"/>
              <w:tr2bl w:val="nil"/>
            </w:tcBorders>
            <w:vAlign w:val="center"/>
          </w:tcPr>
          <w:p w14:paraId="38A344AD">
            <w:pPr>
              <w:jc w:val="center"/>
              <w:rPr>
                <w:b/>
                <w:bCs/>
                <w:sz w:val="21"/>
                <w:szCs w:val="21"/>
              </w:rPr>
            </w:pPr>
            <w:r>
              <w:rPr>
                <w:b/>
                <w:bCs/>
                <w:sz w:val="21"/>
                <w:szCs w:val="21"/>
              </w:rPr>
              <w:t>评价因子</w:t>
            </w:r>
          </w:p>
        </w:tc>
      </w:tr>
      <w:tr w14:paraId="56A7E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restart"/>
            <w:tcBorders>
              <w:tl2br w:val="nil"/>
              <w:tr2bl w:val="nil"/>
            </w:tcBorders>
            <w:vAlign w:val="center"/>
          </w:tcPr>
          <w:p w14:paraId="42395FDC">
            <w:pPr>
              <w:jc w:val="center"/>
              <w:rPr>
                <w:sz w:val="21"/>
                <w:szCs w:val="21"/>
              </w:rPr>
            </w:pPr>
            <w:r>
              <w:rPr>
                <w:sz w:val="21"/>
                <w:szCs w:val="21"/>
              </w:rPr>
              <w:t>环境空气</w:t>
            </w:r>
          </w:p>
        </w:tc>
        <w:tc>
          <w:tcPr>
            <w:tcW w:w="737" w:type="pct"/>
            <w:tcBorders>
              <w:tl2br w:val="nil"/>
              <w:tr2bl w:val="nil"/>
            </w:tcBorders>
            <w:vAlign w:val="center"/>
          </w:tcPr>
          <w:p w14:paraId="62D37F32">
            <w:pPr>
              <w:jc w:val="center"/>
              <w:rPr>
                <w:sz w:val="21"/>
                <w:szCs w:val="21"/>
              </w:rPr>
            </w:pPr>
            <w:r>
              <w:rPr>
                <w:sz w:val="21"/>
                <w:szCs w:val="21"/>
              </w:rPr>
              <w:t>现状评价</w:t>
            </w:r>
          </w:p>
        </w:tc>
        <w:tc>
          <w:tcPr>
            <w:tcW w:w="3430" w:type="pct"/>
            <w:tcBorders>
              <w:tl2br w:val="nil"/>
              <w:tr2bl w:val="nil"/>
            </w:tcBorders>
            <w:vAlign w:val="center"/>
          </w:tcPr>
          <w:p w14:paraId="76F8D6C0">
            <w:pPr>
              <w:jc w:val="center"/>
              <w:rPr>
                <w:sz w:val="21"/>
                <w:szCs w:val="21"/>
              </w:rPr>
            </w:pPr>
            <w:r>
              <w:rPr>
                <w:sz w:val="21"/>
                <w:szCs w:val="21"/>
              </w:rPr>
              <w:t>SO</w:t>
            </w:r>
            <w:r>
              <w:rPr>
                <w:sz w:val="21"/>
                <w:szCs w:val="21"/>
                <w:vertAlign w:val="subscript"/>
              </w:rPr>
              <w:t>2</w:t>
            </w:r>
            <w:r>
              <w:rPr>
                <w:sz w:val="21"/>
                <w:szCs w:val="21"/>
              </w:rPr>
              <w:t>、NO</w:t>
            </w:r>
            <w:r>
              <w:rPr>
                <w:sz w:val="21"/>
                <w:szCs w:val="21"/>
                <w:vertAlign w:val="subscript"/>
              </w:rPr>
              <w:t>2</w:t>
            </w:r>
            <w:r>
              <w:rPr>
                <w:sz w:val="21"/>
                <w:szCs w:val="21"/>
              </w:rPr>
              <w:t>、PM</w:t>
            </w:r>
            <w:r>
              <w:rPr>
                <w:sz w:val="21"/>
                <w:szCs w:val="21"/>
                <w:vertAlign w:val="subscript"/>
              </w:rPr>
              <w:t>10</w:t>
            </w:r>
            <w:r>
              <w:rPr>
                <w:sz w:val="21"/>
                <w:szCs w:val="21"/>
              </w:rPr>
              <w:t>、PM</w:t>
            </w:r>
            <w:r>
              <w:rPr>
                <w:rFonts w:hint="eastAsia"/>
                <w:sz w:val="21"/>
                <w:szCs w:val="21"/>
                <w:vertAlign w:val="subscript"/>
              </w:rPr>
              <w:t>2.5</w:t>
            </w:r>
            <w:r>
              <w:rPr>
                <w:sz w:val="21"/>
                <w:szCs w:val="21"/>
              </w:rPr>
              <w:t>、CO、O</w:t>
            </w:r>
            <w:r>
              <w:rPr>
                <w:sz w:val="21"/>
                <w:szCs w:val="21"/>
                <w:vertAlign w:val="subscript"/>
              </w:rPr>
              <w:t>3</w:t>
            </w:r>
          </w:p>
        </w:tc>
      </w:tr>
      <w:tr w14:paraId="6FE6C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continue"/>
            <w:tcBorders>
              <w:tl2br w:val="nil"/>
              <w:tr2bl w:val="nil"/>
            </w:tcBorders>
            <w:vAlign w:val="center"/>
          </w:tcPr>
          <w:p w14:paraId="275914DD">
            <w:pPr>
              <w:jc w:val="center"/>
              <w:rPr>
                <w:b/>
                <w:bCs/>
                <w:sz w:val="21"/>
                <w:szCs w:val="21"/>
              </w:rPr>
            </w:pPr>
          </w:p>
        </w:tc>
        <w:tc>
          <w:tcPr>
            <w:tcW w:w="737" w:type="pct"/>
            <w:tcBorders>
              <w:tl2br w:val="nil"/>
              <w:tr2bl w:val="nil"/>
            </w:tcBorders>
            <w:vAlign w:val="center"/>
          </w:tcPr>
          <w:p w14:paraId="52AA39EA">
            <w:pPr>
              <w:jc w:val="center"/>
              <w:rPr>
                <w:sz w:val="21"/>
                <w:szCs w:val="21"/>
              </w:rPr>
            </w:pPr>
            <w:r>
              <w:rPr>
                <w:sz w:val="21"/>
                <w:szCs w:val="21"/>
              </w:rPr>
              <w:t>预测评价</w:t>
            </w:r>
          </w:p>
        </w:tc>
        <w:tc>
          <w:tcPr>
            <w:tcW w:w="3430" w:type="pct"/>
            <w:tcBorders>
              <w:tl2br w:val="nil"/>
              <w:tr2bl w:val="nil"/>
            </w:tcBorders>
            <w:vAlign w:val="center"/>
          </w:tcPr>
          <w:p w14:paraId="23DA913A">
            <w:pPr>
              <w:jc w:val="center"/>
              <w:rPr>
                <w:rFonts w:hint="default"/>
                <w:lang w:val="en-US" w:eastAsia="zh-CN"/>
              </w:rPr>
            </w:pPr>
            <w:r>
              <w:rPr>
                <w:sz w:val="21"/>
                <w:szCs w:val="21"/>
              </w:rPr>
              <w:t>NH</w:t>
            </w:r>
            <w:r>
              <w:rPr>
                <w:sz w:val="21"/>
                <w:szCs w:val="21"/>
                <w:vertAlign w:val="subscript"/>
              </w:rPr>
              <w:t>3</w:t>
            </w:r>
            <w:r>
              <w:rPr>
                <w:sz w:val="21"/>
                <w:szCs w:val="21"/>
              </w:rPr>
              <w:t>、</w:t>
            </w:r>
            <w:r>
              <w:rPr>
                <w:rFonts w:hint="eastAsia"/>
                <w:sz w:val="21"/>
                <w:szCs w:val="21"/>
                <w:lang w:val="en-US" w:eastAsia="zh-CN"/>
              </w:rPr>
              <w:t>H</w:t>
            </w:r>
            <w:r>
              <w:rPr>
                <w:rFonts w:hint="eastAsia"/>
                <w:sz w:val="21"/>
                <w:szCs w:val="21"/>
                <w:vertAlign w:val="subscript"/>
                <w:lang w:val="en-US" w:eastAsia="zh-CN"/>
              </w:rPr>
              <w:t>2</w:t>
            </w:r>
            <w:r>
              <w:rPr>
                <w:rFonts w:hint="eastAsia"/>
                <w:sz w:val="21"/>
                <w:szCs w:val="21"/>
                <w:lang w:val="en-US" w:eastAsia="zh-CN"/>
              </w:rPr>
              <w:t>S、臭气浓度、颗粒物、非甲烷总烃</w:t>
            </w:r>
          </w:p>
        </w:tc>
      </w:tr>
      <w:tr w14:paraId="5B365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restart"/>
            <w:tcBorders>
              <w:tl2br w:val="nil"/>
              <w:tr2bl w:val="nil"/>
            </w:tcBorders>
            <w:vAlign w:val="center"/>
          </w:tcPr>
          <w:p w14:paraId="7942E205">
            <w:pPr>
              <w:jc w:val="center"/>
              <w:rPr>
                <w:sz w:val="21"/>
                <w:szCs w:val="21"/>
              </w:rPr>
            </w:pPr>
            <w:r>
              <w:rPr>
                <w:sz w:val="21"/>
                <w:szCs w:val="21"/>
              </w:rPr>
              <w:t>地表水环境</w:t>
            </w:r>
          </w:p>
        </w:tc>
        <w:tc>
          <w:tcPr>
            <w:tcW w:w="737" w:type="pct"/>
            <w:tcBorders>
              <w:tl2br w:val="nil"/>
              <w:tr2bl w:val="nil"/>
            </w:tcBorders>
            <w:vAlign w:val="center"/>
          </w:tcPr>
          <w:p w14:paraId="71701DFA">
            <w:pPr>
              <w:pStyle w:val="385"/>
              <w:jc w:val="center"/>
              <w:rPr>
                <w:sz w:val="21"/>
                <w:szCs w:val="21"/>
              </w:rPr>
            </w:pPr>
            <w:r>
              <w:rPr>
                <w:sz w:val="21"/>
                <w:szCs w:val="21"/>
              </w:rPr>
              <w:t>现状评价</w:t>
            </w:r>
          </w:p>
        </w:tc>
        <w:tc>
          <w:tcPr>
            <w:tcW w:w="3430" w:type="pct"/>
            <w:tcBorders>
              <w:tl2br w:val="nil"/>
              <w:tr2bl w:val="nil"/>
            </w:tcBorders>
            <w:vAlign w:val="center"/>
          </w:tcPr>
          <w:p w14:paraId="4F019EE9">
            <w:pPr>
              <w:pStyle w:val="385"/>
              <w:jc w:val="center"/>
              <w:rPr>
                <w:sz w:val="21"/>
                <w:szCs w:val="21"/>
              </w:rPr>
            </w:pPr>
            <w:r>
              <w:rPr>
                <w:rFonts w:hint="eastAsia"/>
                <w:sz w:val="21"/>
                <w:szCs w:val="21"/>
                <w:lang w:val="en-US" w:eastAsia="zh-CN"/>
              </w:rPr>
              <w:t>化学需氧量、氨氮、五日生化需氧量、总磷、高锰酸盐指数、pH、总氮、挥发酚、氰化物、铜、硫酸盐、氯化物、溶解氧</w:t>
            </w:r>
          </w:p>
        </w:tc>
      </w:tr>
      <w:tr w14:paraId="4556C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continue"/>
            <w:tcBorders>
              <w:tl2br w:val="nil"/>
              <w:tr2bl w:val="nil"/>
            </w:tcBorders>
            <w:vAlign w:val="center"/>
          </w:tcPr>
          <w:p w14:paraId="1BB5D99E">
            <w:pPr>
              <w:jc w:val="center"/>
              <w:rPr>
                <w:b/>
                <w:bCs/>
                <w:sz w:val="21"/>
                <w:szCs w:val="21"/>
              </w:rPr>
            </w:pPr>
          </w:p>
        </w:tc>
        <w:tc>
          <w:tcPr>
            <w:tcW w:w="737" w:type="pct"/>
            <w:tcBorders>
              <w:tl2br w:val="nil"/>
              <w:tr2bl w:val="nil"/>
            </w:tcBorders>
            <w:vAlign w:val="center"/>
          </w:tcPr>
          <w:p w14:paraId="7A1B3512">
            <w:pPr>
              <w:jc w:val="center"/>
              <w:rPr>
                <w:sz w:val="21"/>
                <w:szCs w:val="21"/>
              </w:rPr>
            </w:pPr>
            <w:r>
              <w:rPr>
                <w:sz w:val="21"/>
                <w:szCs w:val="21"/>
              </w:rPr>
              <w:t>预测评价</w:t>
            </w:r>
          </w:p>
        </w:tc>
        <w:tc>
          <w:tcPr>
            <w:tcW w:w="3430" w:type="pct"/>
            <w:tcBorders>
              <w:tl2br w:val="nil"/>
              <w:tr2bl w:val="nil"/>
            </w:tcBorders>
            <w:vAlign w:val="center"/>
          </w:tcPr>
          <w:p w14:paraId="141D9C94">
            <w:pPr>
              <w:pStyle w:val="385"/>
              <w:jc w:val="center"/>
              <w:rPr>
                <w:sz w:val="21"/>
                <w:szCs w:val="21"/>
              </w:rPr>
            </w:pPr>
            <w:r>
              <w:rPr>
                <w:sz w:val="21"/>
                <w:szCs w:val="21"/>
              </w:rPr>
              <w:t>COD</w:t>
            </w:r>
            <w:r>
              <w:rPr>
                <w:rFonts w:hint="eastAsia"/>
                <w:sz w:val="21"/>
                <w:szCs w:val="21"/>
                <w:lang w:val="en-US" w:eastAsia="zh-CN"/>
              </w:rPr>
              <w:t>、</w:t>
            </w:r>
            <w:r>
              <w:rPr>
                <w:sz w:val="21"/>
                <w:szCs w:val="21"/>
              </w:rPr>
              <w:t>氨氮</w:t>
            </w:r>
          </w:p>
        </w:tc>
      </w:tr>
      <w:tr w14:paraId="78BC5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restart"/>
            <w:tcBorders>
              <w:tl2br w:val="nil"/>
              <w:tr2bl w:val="nil"/>
            </w:tcBorders>
            <w:vAlign w:val="center"/>
          </w:tcPr>
          <w:p w14:paraId="641CC006">
            <w:pPr>
              <w:jc w:val="center"/>
              <w:rPr>
                <w:rFonts w:hint="default" w:eastAsia="宋体"/>
                <w:b/>
                <w:bCs/>
                <w:sz w:val="21"/>
                <w:szCs w:val="21"/>
                <w:lang w:val="en-US" w:eastAsia="zh-CN"/>
              </w:rPr>
            </w:pPr>
            <w:r>
              <w:rPr>
                <w:rFonts w:hint="eastAsia" w:ascii="Times New Roman" w:hAnsi="Times New Roman" w:eastAsia="宋体" w:cs="Times New Roman"/>
                <w:sz w:val="21"/>
                <w:szCs w:val="21"/>
                <w:lang w:val="en-US" w:eastAsia="zh-CN"/>
              </w:rPr>
              <w:t>地下水环境</w:t>
            </w:r>
          </w:p>
        </w:tc>
        <w:tc>
          <w:tcPr>
            <w:tcW w:w="737" w:type="pct"/>
            <w:tcBorders>
              <w:tl2br w:val="nil"/>
              <w:tr2bl w:val="nil"/>
            </w:tcBorders>
            <w:vAlign w:val="center"/>
          </w:tcPr>
          <w:p w14:paraId="2CC73637">
            <w:pPr>
              <w:jc w:val="center"/>
              <w:rPr>
                <w:sz w:val="21"/>
                <w:szCs w:val="21"/>
              </w:rPr>
            </w:pPr>
            <w:r>
              <w:rPr>
                <w:sz w:val="21"/>
                <w:szCs w:val="21"/>
              </w:rPr>
              <w:t>现状评价</w:t>
            </w:r>
          </w:p>
        </w:tc>
        <w:tc>
          <w:tcPr>
            <w:tcW w:w="3430" w:type="pct"/>
            <w:tcBorders>
              <w:tl2br w:val="nil"/>
              <w:tr2bl w:val="nil"/>
            </w:tcBorders>
            <w:vAlign w:val="center"/>
          </w:tcPr>
          <w:p w14:paraId="44C1644D">
            <w:pPr>
              <w:pStyle w:val="385"/>
              <w:jc w:val="center"/>
              <w:rPr>
                <w:sz w:val="21"/>
                <w:szCs w:val="21"/>
              </w:rPr>
            </w:pPr>
            <w:r>
              <w:rPr>
                <w:rFonts w:hint="default"/>
              </w:rPr>
              <w:t>pH值、氨氮、硝酸盐、亚硝酸盐、挥发</w:t>
            </w:r>
            <w:r>
              <w:rPr>
                <w:rFonts w:hint="default"/>
                <w:lang w:val="en-US" w:eastAsia="zh-CN"/>
              </w:rPr>
              <w:t>性酚类</w:t>
            </w:r>
            <w:r>
              <w:rPr>
                <w:rFonts w:hint="default"/>
              </w:rPr>
              <w:t>、氰化物、砷、汞、铬（六价）、总硬度、铅、氟</w:t>
            </w:r>
            <w:r>
              <w:rPr>
                <w:rFonts w:hint="default"/>
                <w:lang w:val="en-US" w:eastAsia="zh-CN"/>
              </w:rPr>
              <w:t>化物</w:t>
            </w:r>
            <w:r>
              <w:rPr>
                <w:rFonts w:hint="default"/>
              </w:rPr>
              <w:t>、镉、铁、锰、溶解性总固体、</w:t>
            </w:r>
            <w:r>
              <w:rPr>
                <w:rFonts w:hint="default"/>
                <w:lang w:eastAsia="zh-CN"/>
              </w:rPr>
              <w:t>耗氧量、</w:t>
            </w:r>
            <w:r>
              <w:rPr>
                <w:rFonts w:hint="default"/>
              </w:rPr>
              <w:t>硫酸盐、氯化物、总大肠菌群、细菌总数</w:t>
            </w:r>
            <w:r>
              <w:rPr>
                <w:rFonts w:hint="eastAsia"/>
                <w:lang w:eastAsia="zh-CN"/>
              </w:rPr>
              <w:t>、</w:t>
            </w:r>
            <w:r>
              <w:rPr>
                <w:rFonts w:hint="default"/>
              </w:rPr>
              <w:t>K</w:t>
            </w:r>
            <w:r>
              <w:rPr>
                <w:rFonts w:hint="eastAsia"/>
                <w:vertAlign w:val="superscript"/>
                <w:lang w:val="en-US" w:eastAsia="zh-CN"/>
              </w:rPr>
              <w:t>+</w:t>
            </w:r>
            <w:r>
              <w:rPr>
                <w:rFonts w:hint="default"/>
              </w:rPr>
              <w:t>、Na</w:t>
            </w:r>
            <w:r>
              <w:rPr>
                <w:rFonts w:hint="default"/>
                <w:vertAlign w:val="superscript"/>
              </w:rPr>
              <w:t>+</w:t>
            </w:r>
            <w:r>
              <w:rPr>
                <w:rFonts w:hint="default"/>
              </w:rPr>
              <w:t>、Ca</w:t>
            </w:r>
            <w:r>
              <w:rPr>
                <w:rFonts w:hint="default"/>
                <w:vertAlign w:val="superscript"/>
              </w:rPr>
              <w:t>2+</w:t>
            </w:r>
            <w:r>
              <w:rPr>
                <w:rFonts w:hint="default"/>
              </w:rPr>
              <w:t>、Mg</w:t>
            </w:r>
            <w:r>
              <w:rPr>
                <w:rFonts w:hint="default"/>
                <w:vertAlign w:val="superscript"/>
              </w:rPr>
              <w:t>2+</w:t>
            </w:r>
            <w:r>
              <w:rPr>
                <w:rFonts w:hint="default"/>
              </w:rPr>
              <w:t>、CO</w:t>
            </w:r>
            <w:r>
              <w:rPr>
                <w:rFonts w:hint="default"/>
                <w:vertAlign w:val="subscript"/>
              </w:rPr>
              <w:t>3</w:t>
            </w:r>
            <w:r>
              <w:rPr>
                <w:rFonts w:hint="default"/>
                <w:vertAlign w:val="superscript"/>
              </w:rPr>
              <w:t>2-</w:t>
            </w:r>
            <w:r>
              <w:rPr>
                <w:rFonts w:hint="default"/>
              </w:rPr>
              <w:t>、HCO</w:t>
            </w:r>
            <w:r>
              <w:rPr>
                <w:rFonts w:hint="default"/>
                <w:vertAlign w:val="subscript"/>
              </w:rPr>
              <w:t>3</w:t>
            </w:r>
            <w:r>
              <w:rPr>
                <w:rFonts w:hint="default"/>
                <w:vertAlign w:val="superscript"/>
              </w:rPr>
              <w:t>-</w:t>
            </w:r>
            <w:r>
              <w:rPr>
                <w:rFonts w:hint="default"/>
              </w:rPr>
              <w:t>、Cl</w:t>
            </w:r>
            <w:r>
              <w:rPr>
                <w:rFonts w:hint="default"/>
                <w:vertAlign w:val="superscript"/>
              </w:rPr>
              <w:t>-</w:t>
            </w:r>
            <w:r>
              <w:rPr>
                <w:rFonts w:hint="default"/>
              </w:rPr>
              <w:t>、SO</w:t>
            </w:r>
            <w:r>
              <w:rPr>
                <w:rFonts w:hint="default"/>
                <w:vertAlign w:val="subscript"/>
              </w:rPr>
              <w:t>4</w:t>
            </w:r>
            <w:r>
              <w:rPr>
                <w:rFonts w:hint="default"/>
                <w:vertAlign w:val="superscript"/>
              </w:rPr>
              <w:t>2-</w:t>
            </w:r>
          </w:p>
        </w:tc>
      </w:tr>
      <w:tr w14:paraId="4848A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continue"/>
            <w:tcBorders>
              <w:tl2br w:val="nil"/>
              <w:tr2bl w:val="nil"/>
            </w:tcBorders>
            <w:vAlign w:val="center"/>
          </w:tcPr>
          <w:p w14:paraId="47756803">
            <w:pPr>
              <w:jc w:val="center"/>
              <w:rPr>
                <w:b/>
                <w:bCs/>
                <w:sz w:val="21"/>
                <w:szCs w:val="21"/>
              </w:rPr>
            </w:pPr>
          </w:p>
        </w:tc>
        <w:tc>
          <w:tcPr>
            <w:tcW w:w="737" w:type="pct"/>
            <w:tcBorders>
              <w:tl2br w:val="nil"/>
              <w:tr2bl w:val="nil"/>
            </w:tcBorders>
            <w:vAlign w:val="center"/>
          </w:tcPr>
          <w:p w14:paraId="0C3117D6">
            <w:pPr>
              <w:jc w:val="center"/>
              <w:rPr>
                <w:sz w:val="21"/>
                <w:szCs w:val="21"/>
              </w:rPr>
            </w:pPr>
            <w:r>
              <w:rPr>
                <w:sz w:val="21"/>
                <w:szCs w:val="21"/>
              </w:rPr>
              <w:t>预测评价</w:t>
            </w:r>
          </w:p>
        </w:tc>
        <w:tc>
          <w:tcPr>
            <w:tcW w:w="3430" w:type="pct"/>
            <w:tcBorders>
              <w:tl2br w:val="nil"/>
              <w:tr2bl w:val="nil"/>
            </w:tcBorders>
            <w:vAlign w:val="center"/>
          </w:tcPr>
          <w:p w14:paraId="5326CFC6">
            <w:pPr>
              <w:pStyle w:val="385"/>
              <w:jc w:val="center"/>
              <w:rPr>
                <w:sz w:val="21"/>
                <w:szCs w:val="21"/>
              </w:rPr>
            </w:pPr>
            <w:r>
              <w:rPr>
                <w:rFonts w:hint="eastAsia" w:ascii="Times New Roman" w:hAnsi="Times New Roman" w:eastAsia="宋体" w:cs="Times New Roman"/>
                <w:color w:val="auto"/>
                <w:lang w:eastAsia="zh-CN" w:bidi="ar"/>
              </w:rPr>
              <w:t>COD、NH</w:t>
            </w:r>
            <w:r>
              <w:rPr>
                <w:rFonts w:hint="eastAsia" w:ascii="Times New Roman" w:hAnsi="Times New Roman" w:eastAsia="宋体" w:cs="Times New Roman"/>
                <w:color w:val="auto"/>
                <w:vertAlign w:val="subscript"/>
                <w:lang w:eastAsia="zh-CN" w:bidi="ar"/>
              </w:rPr>
              <w:t>3</w:t>
            </w:r>
            <w:r>
              <w:rPr>
                <w:rFonts w:hint="eastAsia" w:ascii="Times New Roman" w:hAnsi="Times New Roman" w:eastAsia="宋体" w:cs="Times New Roman"/>
                <w:color w:val="auto"/>
                <w:lang w:eastAsia="zh-CN" w:bidi="ar"/>
              </w:rPr>
              <w:t>-N</w:t>
            </w:r>
          </w:p>
        </w:tc>
      </w:tr>
      <w:tr w14:paraId="03181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restart"/>
            <w:tcBorders>
              <w:tl2br w:val="nil"/>
              <w:tr2bl w:val="nil"/>
            </w:tcBorders>
            <w:vAlign w:val="center"/>
          </w:tcPr>
          <w:p w14:paraId="64C4ABAB">
            <w:pPr>
              <w:jc w:val="center"/>
              <w:rPr>
                <w:sz w:val="21"/>
                <w:szCs w:val="21"/>
              </w:rPr>
            </w:pPr>
            <w:r>
              <w:rPr>
                <w:sz w:val="21"/>
                <w:szCs w:val="21"/>
              </w:rPr>
              <w:t>声环境</w:t>
            </w:r>
          </w:p>
        </w:tc>
        <w:tc>
          <w:tcPr>
            <w:tcW w:w="737" w:type="pct"/>
            <w:tcBorders>
              <w:tl2br w:val="nil"/>
              <w:tr2bl w:val="nil"/>
            </w:tcBorders>
            <w:vAlign w:val="center"/>
          </w:tcPr>
          <w:p w14:paraId="39ED50D8">
            <w:pPr>
              <w:jc w:val="center"/>
              <w:rPr>
                <w:sz w:val="21"/>
                <w:szCs w:val="21"/>
              </w:rPr>
            </w:pPr>
            <w:r>
              <w:rPr>
                <w:sz w:val="21"/>
                <w:szCs w:val="21"/>
              </w:rPr>
              <w:t>现状评价</w:t>
            </w:r>
          </w:p>
        </w:tc>
        <w:tc>
          <w:tcPr>
            <w:tcW w:w="3430" w:type="pct"/>
            <w:tcBorders>
              <w:tl2br w:val="nil"/>
              <w:tr2bl w:val="nil"/>
            </w:tcBorders>
            <w:vAlign w:val="center"/>
          </w:tcPr>
          <w:p w14:paraId="4862E895">
            <w:pPr>
              <w:jc w:val="center"/>
              <w:rPr>
                <w:sz w:val="21"/>
                <w:szCs w:val="21"/>
              </w:rPr>
            </w:pPr>
            <w:r>
              <w:rPr>
                <w:sz w:val="21"/>
                <w:szCs w:val="21"/>
              </w:rPr>
              <w:t>LeqdB（A）</w:t>
            </w:r>
          </w:p>
        </w:tc>
      </w:tr>
      <w:tr w14:paraId="45026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continue"/>
            <w:tcBorders>
              <w:tl2br w:val="nil"/>
              <w:tr2bl w:val="nil"/>
            </w:tcBorders>
            <w:vAlign w:val="center"/>
          </w:tcPr>
          <w:p w14:paraId="57351538">
            <w:pPr>
              <w:jc w:val="center"/>
              <w:rPr>
                <w:b/>
                <w:bCs/>
                <w:sz w:val="21"/>
                <w:szCs w:val="21"/>
              </w:rPr>
            </w:pPr>
          </w:p>
        </w:tc>
        <w:tc>
          <w:tcPr>
            <w:tcW w:w="737" w:type="pct"/>
            <w:tcBorders>
              <w:tl2br w:val="nil"/>
              <w:tr2bl w:val="nil"/>
            </w:tcBorders>
            <w:vAlign w:val="center"/>
          </w:tcPr>
          <w:p w14:paraId="489C912D">
            <w:pPr>
              <w:jc w:val="center"/>
              <w:rPr>
                <w:sz w:val="21"/>
                <w:szCs w:val="21"/>
              </w:rPr>
            </w:pPr>
            <w:r>
              <w:rPr>
                <w:sz w:val="21"/>
                <w:szCs w:val="21"/>
              </w:rPr>
              <w:t>预测评价</w:t>
            </w:r>
          </w:p>
        </w:tc>
        <w:tc>
          <w:tcPr>
            <w:tcW w:w="3430" w:type="pct"/>
            <w:tcBorders>
              <w:tl2br w:val="nil"/>
              <w:tr2bl w:val="nil"/>
            </w:tcBorders>
            <w:vAlign w:val="center"/>
          </w:tcPr>
          <w:p w14:paraId="1BB03414">
            <w:pPr>
              <w:jc w:val="center"/>
              <w:rPr>
                <w:sz w:val="21"/>
                <w:szCs w:val="21"/>
              </w:rPr>
            </w:pPr>
            <w:r>
              <w:rPr>
                <w:sz w:val="21"/>
                <w:szCs w:val="21"/>
              </w:rPr>
              <w:t>LeqdB（A）</w:t>
            </w:r>
          </w:p>
        </w:tc>
      </w:tr>
      <w:tr w14:paraId="02ED1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restart"/>
            <w:tcBorders>
              <w:tl2br w:val="nil"/>
              <w:tr2bl w:val="nil"/>
            </w:tcBorders>
            <w:vAlign w:val="center"/>
          </w:tcPr>
          <w:p w14:paraId="40C61616">
            <w:pPr>
              <w:jc w:val="center"/>
              <w:rPr>
                <w:sz w:val="21"/>
                <w:szCs w:val="21"/>
              </w:rPr>
            </w:pPr>
            <w:r>
              <w:rPr>
                <w:sz w:val="21"/>
                <w:szCs w:val="21"/>
              </w:rPr>
              <w:t>固体废物</w:t>
            </w:r>
          </w:p>
        </w:tc>
        <w:tc>
          <w:tcPr>
            <w:tcW w:w="737" w:type="pct"/>
            <w:tcBorders>
              <w:tl2br w:val="nil"/>
              <w:tr2bl w:val="nil"/>
            </w:tcBorders>
            <w:vAlign w:val="center"/>
          </w:tcPr>
          <w:p w14:paraId="61B7EDFE">
            <w:pPr>
              <w:jc w:val="center"/>
              <w:rPr>
                <w:sz w:val="21"/>
                <w:szCs w:val="21"/>
              </w:rPr>
            </w:pPr>
            <w:r>
              <w:rPr>
                <w:sz w:val="21"/>
                <w:szCs w:val="21"/>
              </w:rPr>
              <w:t>现状评价</w:t>
            </w:r>
          </w:p>
        </w:tc>
        <w:tc>
          <w:tcPr>
            <w:tcW w:w="3430" w:type="pct"/>
            <w:tcBorders>
              <w:tl2br w:val="nil"/>
              <w:tr2bl w:val="nil"/>
            </w:tcBorders>
            <w:vAlign w:val="center"/>
          </w:tcPr>
          <w:p w14:paraId="25BB5B3B">
            <w:pPr>
              <w:jc w:val="center"/>
              <w:rPr>
                <w:sz w:val="21"/>
                <w:szCs w:val="21"/>
              </w:rPr>
            </w:pPr>
            <w:r>
              <w:rPr>
                <w:w w:val="99"/>
                <w:sz w:val="21"/>
                <w:szCs w:val="21"/>
              </w:rPr>
              <w:t>/</w:t>
            </w:r>
          </w:p>
        </w:tc>
      </w:tr>
      <w:tr w14:paraId="41BB6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831" w:type="pct"/>
            <w:vMerge w:val="continue"/>
            <w:tcBorders>
              <w:tl2br w:val="nil"/>
              <w:tr2bl w:val="nil"/>
            </w:tcBorders>
            <w:vAlign w:val="center"/>
          </w:tcPr>
          <w:p w14:paraId="09BA304E">
            <w:pPr>
              <w:jc w:val="center"/>
              <w:rPr>
                <w:sz w:val="21"/>
                <w:szCs w:val="21"/>
              </w:rPr>
            </w:pPr>
          </w:p>
        </w:tc>
        <w:tc>
          <w:tcPr>
            <w:tcW w:w="737" w:type="pct"/>
            <w:tcBorders>
              <w:tl2br w:val="nil"/>
              <w:tr2bl w:val="nil"/>
            </w:tcBorders>
            <w:vAlign w:val="center"/>
          </w:tcPr>
          <w:p w14:paraId="07BC2B06">
            <w:pPr>
              <w:jc w:val="center"/>
              <w:rPr>
                <w:sz w:val="21"/>
                <w:szCs w:val="21"/>
              </w:rPr>
            </w:pPr>
            <w:r>
              <w:rPr>
                <w:sz w:val="21"/>
                <w:szCs w:val="21"/>
              </w:rPr>
              <w:t>预测评价</w:t>
            </w:r>
          </w:p>
        </w:tc>
        <w:tc>
          <w:tcPr>
            <w:tcW w:w="3430" w:type="pct"/>
            <w:tcBorders>
              <w:tl2br w:val="nil"/>
              <w:tr2bl w:val="nil"/>
            </w:tcBorders>
            <w:vAlign w:val="center"/>
          </w:tcPr>
          <w:p w14:paraId="73A9B482">
            <w:pPr>
              <w:pStyle w:val="385"/>
              <w:jc w:val="center"/>
              <w:rPr>
                <w:sz w:val="21"/>
                <w:szCs w:val="21"/>
              </w:rPr>
            </w:pPr>
            <w:r>
              <w:rPr>
                <w:sz w:val="21"/>
                <w:szCs w:val="21"/>
                <w:lang w:val="en-US" w:eastAsia="zh-CN"/>
              </w:rPr>
              <w:t>污水处理站污泥</w:t>
            </w:r>
            <w:r>
              <w:rPr>
                <w:rFonts w:hint="eastAsia"/>
                <w:sz w:val="21"/>
                <w:szCs w:val="21"/>
                <w:lang w:val="en-US" w:eastAsia="zh-CN"/>
              </w:rPr>
              <w:t>，污水处理站恶臭吸附过程中产生的废活性炭</w:t>
            </w:r>
          </w:p>
        </w:tc>
      </w:tr>
      <w:tr w14:paraId="50221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8" w:hRule="atLeast"/>
        </w:trPr>
        <w:tc>
          <w:tcPr>
            <w:tcW w:w="831" w:type="pct"/>
            <w:vMerge w:val="restart"/>
            <w:tcBorders>
              <w:tl2br w:val="nil"/>
              <w:tr2bl w:val="nil"/>
            </w:tcBorders>
            <w:vAlign w:val="center"/>
          </w:tcPr>
          <w:p w14:paraId="6DB016CD">
            <w:pPr>
              <w:jc w:val="center"/>
              <w:rPr>
                <w:sz w:val="21"/>
                <w:szCs w:val="21"/>
              </w:rPr>
            </w:pPr>
            <w:r>
              <w:rPr>
                <w:sz w:val="21"/>
                <w:szCs w:val="21"/>
              </w:rPr>
              <w:t>土壤</w:t>
            </w:r>
          </w:p>
        </w:tc>
        <w:tc>
          <w:tcPr>
            <w:tcW w:w="737" w:type="pct"/>
            <w:tcBorders>
              <w:tl2br w:val="nil"/>
              <w:tr2bl w:val="nil"/>
            </w:tcBorders>
            <w:vAlign w:val="center"/>
          </w:tcPr>
          <w:p w14:paraId="421536B7">
            <w:pPr>
              <w:jc w:val="center"/>
              <w:rPr>
                <w:sz w:val="21"/>
                <w:szCs w:val="21"/>
              </w:rPr>
            </w:pPr>
            <w:r>
              <w:rPr>
                <w:sz w:val="21"/>
                <w:szCs w:val="21"/>
              </w:rPr>
              <w:t>现状评价</w:t>
            </w:r>
          </w:p>
        </w:tc>
        <w:tc>
          <w:tcPr>
            <w:tcW w:w="3430" w:type="pct"/>
            <w:tcBorders>
              <w:tl2br w:val="nil"/>
              <w:tr2bl w:val="nil"/>
            </w:tcBorders>
            <w:vAlign w:val="center"/>
          </w:tcPr>
          <w:p w14:paraId="116709B7">
            <w:pPr>
              <w:jc w:val="center"/>
              <w:rPr>
                <w:rFonts w:hint="eastAsia" w:eastAsia="宋体"/>
                <w:sz w:val="21"/>
                <w:szCs w:val="21"/>
                <w:lang w:eastAsia="zh-CN"/>
              </w:rPr>
            </w:pPr>
            <w:r>
              <w:rPr>
                <w:sz w:val="21"/>
                <w:szCs w:val="21"/>
              </w:rPr>
              <w:t>砷、镉、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w:t>
            </w:r>
            <w:r>
              <w:rPr>
                <w:rFonts w:eastAsia="宋体"/>
                <w:sz w:val="21"/>
                <w:szCs w:val="21"/>
              </w:rPr>
              <w:t>萘</w:t>
            </w:r>
            <w:r>
              <w:rPr>
                <w:rFonts w:hint="eastAsia" w:eastAsia="宋体"/>
                <w:sz w:val="21"/>
                <w:szCs w:val="21"/>
                <w:lang w:eastAsia="zh-CN"/>
              </w:rPr>
              <w:t>、</w:t>
            </w:r>
            <w:r>
              <w:rPr>
                <w:rFonts w:hint="eastAsia" w:eastAsia="宋体"/>
                <w:sz w:val="21"/>
                <w:szCs w:val="21"/>
                <w:lang w:val="en-US" w:eastAsia="zh-CN"/>
              </w:rPr>
              <w:t>pH</w:t>
            </w:r>
            <w:r>
              <w:rPr>
                <w:rFonts w:eastAsia="宋体"/>
                <w:sz w:val="21"/>
                <w:szCs w:val="21"/>
              </w:rPr>
              <w:t>共计4</w:t>
            </w:r>
            <w:r>
              <w:rPr>
                <w:rFonts w:hint="eastAsia" w:eastAsia="宋体"/>
                <w:sz w:val="21"/>
                <w:szCs w:val="21"/>
                <w:lang w:val="en-US" w:eastAsia="zh-CN"/>
              </w:rPr>
              <w:t>6</w:t>
            </w:r>
            <w:r>
              <w:rPr>
                <w:rFonts w:eastAsia="宋体"/>
                <w:sz w:val="21"/>
                <w:szCs w:val="21"/>
              </w:rPr>
              <w:t>项</w:t>
            </w:r>
            <w:r>
              <w:rPr>
                <w:rFonts w:hint="eastAsia" w:eastAsia="宋体"/>
                <w:sz w:val="21"/>
                <w:szCs w:val="21"/>
                <w:lang w:eastAsia="zh-CN"/>
              </w:rPr>
              <w:t>。</w:t>
            </w:r>
          </w:p>
        </w:tc>
      </w:tr>
      <w:tr w14:paraId="465A8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831" w:type="pct"/>
            <w:vMerge w:val="continue"/>
            <w:tcBorders>
              <w:tl2br w:val="nil"/>
              <w:tr2bl w:val="nil"/>
            </w:tcBorders>
            <w:vAlign w:val="center"/>
          </w:tcPr>
          <w:p w14:paraId="6A9AD838">
            <w:pPr>
              <w:jc w:val="center"/>
              <w:rPr>
                <w:b/>
                <w:bCs/>
                <w:sz w:val="21"/>
                <w:szCs w:val="21"/>
              </w:rPr>
            </w:pPr>
          </w:p>
        </w:tc>
        <w:tc>
          <w:tcPr>
            <w:tcW w:w="737" w:type="pct"/>
            <w:tcBorders>
              <w:tl2br w:val="nil"/>
              <w:tr2bl w:val="nil"/>
            </w:tcBorders>
            <w:vAlign w:val="center"/>
          </w:tcPr>
          <w:p w14:paraId="3782F13D">
            <w:pPr>
              <w:pStyle w:val="489"/>
              <w:spacing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预测评价</w:t>
            </w:r>
          </w:p>
        </w:tc>
        <w:tc>
          <w:tcPr>
            <w:tcW w:w="3430" w:type="pct"/>
            <w:tcBorders>
              <w:tl2br w:val="nil"/>
              <w:tr2bl w:val="nil"/>
            </w:tcBorders>
            <w:vAlign w:val="center"/>
          </w:tcPr>
          <w:p w14:paraId="0D2236AB">
            <w:pPr>
              <w:pStyle w:val="489"/>
              <w:spacing w:line="240" w:lineRule="auto"/>
              <w:ind w:firstLine="0"/>
              <w:jc w:val="center"/>
              <w:rPr>
                <w:rFonts w:ascii="Times New Roman" w:hAnsi="Times New Roman" w:cs="Times New Roman"/>
                <w:color w:val="auto"/>
                <w:sz w:val="21"/>
                <w:szCs w:val="21"/>
              </w:rPr>
            </w:pPr>
            <w:r>
              <w:rPr>
                <w:color w:val="auto"/>
                <w:w w:val="99"/>
                <w:sz w:val="21"/>
                <w:szCs w:val="21"/>
              </w:rPr>
              <w:t>/</w:t>
            </w:r>
          </w:p>
        </w:tc>
      </w:tr>
      <w:tr w14:paraId="70069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831" w:type="pct"/>
            <w:tcBorders>
              <w:tl2br w:val="nil"/>
              <w:tr2bl w:val="nil"/>
            </w:tcBorders>
            <w:vAlign w:val="center"/>
          </w:tcPr>
          <w:p w14:paraId="38DD5D91">
            <w:pPr>
              <w:jc w:val="center"/>
              <w:rPr>
                <w:sz w:val="21"/>
                <w:szCs w:val="21"/>
              </w:rPr>
            </w:pPr>
            <w:r>
              <w:rPr>
                <w:sz w:val="21"/>
                <w:szCs w:val="21"/>
              </w:rPr>
              <w:t>风险</w:t>
            </w:r>
          </w:p>
        </w:tc>
        <w:tc>
          <w:tcPr>
            <w:tcW w:w="4168" w:type="pct"/>
            <w:gridSpan w:val="2"/>
            <w:tcBorders>
              <w:tl2br w:val="nil"/>
              <w:tr2bl w:val="nil"/>
            </w:tcBorders>
            <w:vAlign w:val="center"/>
          </w:tcPr>
          <w:p w14:paraId="6786BCD2">
            <w:pPr>
              <w:pStyle w:val="489"/>
              <w:spacing w:line="240" w:lineRule="auto"/>
              <w:ind w:firstLine="0"/>
              <w:jc w:val="center"/>
              <w:rPr>
                <w:rFonts w:ascii="Times New Roman" w:hAnsi="Times New Roman" w:cs="Times New Roman"/>
                <w:color w:val="auto"/>
                <w:sz w:val="21"/>
                <w:szCs w:val="21"/>
              </w:rPr>
            </w:pPr>
            <w:r>
              <w:rPr>
                <w:rFonts w:ascii="Times New Roman" w:hAnsi="Times New Roman" w:cs="Times New Roman"/>
                <w:color w:val="auto"/>
                <w:sz w:val="21"/>
                <w:szCs w:val="21"/>
              </w:rPr>
              <w:t>开展简单分析</w:t>
            </w:r>
          </w:p>
        </w:tc>
      </w:tr>
      <w:bookmarkEnd w:id="128"/>
      <w:bookmarkEnd w:id="129"/>
    </w:tbl>
    <w:p w14:paraId="408D16F9">
      <w:pPr>
        <w:pStyle w:val="4"/>
        <w:rPr>
          <w:szCs w:val="28"/>
        </w:rPr>
      </w:pPr>
      <w:r>
        <w:t>2.3.2评价标准</w:t>
      </w:r>
    </w:p>
    <w:p w14:paraId="664D1CDD">
      <w:pPr>
        <w:pStyle w:val="5"/>
      </w:pPr>
      <w:bookmarkStart w:id="137" w:name="_Toc326318534"/>
      <w:r>
        <w:t>2.2.3.1环境质量标准</w:t>
      </w:r>
    </w:p>
    <w:p w14:paraId="1FDC7D32">
      <w:pPr>
        <w:spacing w:line="360" w:lineRule="auto"/>
        <w:ind w:firstLine="480"/>
      </w:pPr>
      <w:r>
        <w:t>（1）环境空气</w:t>
      </w:r>
    </w:p>
    <w:p w14:paraId="37EB9B89">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该项目所在区域环境空气质量执行《环境空气质量标准》（GB3095</w:t>
      </w:r>
      <w:r>
        <w:rPr>
          <w:rFonts w:hint="eastAsia" w:ascii="Times New Roman" w:hAnsi="Times New Roman" w:eastAsia="宋体" w:cs="Times New Roman"/>
          <w:lang w:val="en-US" w:eastAsia="zh-CN"/>
        </w:rPr>
        <w:t>-2026</w:t>
      </w:r>
      <w:r>
        <w:rPr>
          <w:rFonts w:ascii="Times New Roman" w:hAnsi="Times New Roman" w:eastAsia="宋体" w:cs="Times New Roman"/>
        </w:rPr>
        <w:t>）中</w:t>
      </w:r>
      <w:r>
        <w:rPr>
          <w:rFonts w:hint="eastAsia" w:ascii="Times New Roman" w:hAnsi="Times New Roman" w:eastAsia="宋体" w:cs="Times New Roman"/>
          <w:lang w:val="en-US" w:eastAsia="zh-CN"/>
        </w:rPr>
        <w:t>过渡阶段浓度限值</w:t>
      </w:r>
      <w:r>
        <w:rPr>
          <w:rFonts w:ascii="Times New Roman" w:hAnsi="Times New Roman" w:eastAsia="宋体" w:cs="Times New Roman"/>
        </w:rPr>
        <w:t>二</w:t>
      </w:r>
      <w:r>
        <w:rPr>
          <w:rFonts w:hint="eastAsia" w:ascii="Times New Roman" w:hAnsi="Times New Roman" w:eastAsia="宋体" w:cs="Times New Roman"/>
          <w:lang w:val="en-US" w:eastAsia="zh-CN"/>
        </w:rPr>
        <w:t>级</w:t>
      </w:r>
      <w:r>
        <w:rPr>
          <w:rFonts w:ascii="Times New Roman" w:hAnsi="Times New Roman" w:eastAsia="宋体" w:cs="Times New Roman"/>
        </w:rPr>
        <w:t>标准，</w:t>
      </w:r>
      <w:r>
        <w:rPr>
          <w:rFonts w:hint="eastAsia" w:ascii="Times New Roman" w:hAnsi="Times New Roman" w:eastAsia="宋体" w:cs="Times New Roman"/>
          <w:lang w:val="en-US" w:eastAsia="zh-CN"/>
        </w:rPr>
        <w:t>特征污染物</w:t>
      </w:r>
      <w:r>
        <w:rPr>
          <w:rFonts w:ascii="Times New Roman" w:hAnsi="Times New Roman" w:eastAsia="宋体" w:cs="Times New Roman"/>
        </w:rPr>
        <w:t>NH</w:t>
      </w:r>
      <w:r>
        <w:rPr>
          <w:rFonts w:ascii="Times New Roman" w:hAnsi="Times New Roman" w:eastAsia="宋体" w:cs="Times New Roman"/>
          <w:vertAlign w:val="subscript"/>
        </w:rPr>
        <w:t>3</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H</w:t>
      </w:r>
      <w:r>
        <w:rPr>
          <w:rFonts w:hint="eastAsia" w:ascii="Times New Roman" w:hAnsi="Times New Roman" w:eastAsia="宋体" w:cs="Times New Roman"/>
          <w:vertAlign w:val="subscript"/>
          <w:lang w:val="en-US" w:eastAsia="zh-CN"/>
        </w:rPr>
        <w:t>2</w:t>
      </w:r>
      <w:r>
        <w:rPr>
          <w:rFonts w:hint="eastAsia" w:ascii="Times New Roman" w:hAnsi="Times New Roman" w:eastAsia="宋体" w:cs="Times New Roman"/>
          <w:lang w:val="en-US" w:eastAsia="zh-CN"/>
        </w:rPr>
        <w:t>S执行</w:t>
      </w:r>
      <w:r>
        <w:rPr>
          <w:rFonts w:ascii="Times New Roman" w:hAnsi="Times New Roman" w:eastAsia="宋体" w:cs="Times New Roman"/>
        </w:rPr>
        <w:t>《环境影响评价技术导则 大气环境》（HJ2.2-2018）附录D</w:t>
      </w:r>
      <w:r>
        <w:rPr>
          <w:rFonts w:hint="eastAsia" w:ascii="Times New Roman" w:hAnsi="Times New Roman" w:eastAsia="宋体" w:cs="Times New Roman"/>
          <w:lang w:val="en-US" w:eastAsia="zh-CN"/>
        </w:rPr>
        <w:t>中标准限值，NMHC</w:t>
      </w:r>
      <w:r>
        <w:rPr>
          <w:rFonts w:hint="eastAsia" w:ascii="Times New Roman" w:hAnsi="Times New Roman" w:eastAsia="宋体" w:cs="Times New Roman"/>
        </w:rPr>
        <w:t>参照</w:t>
      </w:r>
      <w:r>
        <w:rPr>
          <w:rFonts w:hint="eastAsia" w:cs="Times New Roman"/>
          <w:lang w:eastAsia="zh-CN"/>
        </w:rPr>
        <w:t>《环境空气质量 非甲烷总烃限值》（DB13/1577-2012）二级标准限值</w:t>
      </w:r>
      <w:r>
        <w:rPr>
          <w:rFonts w:hint="eastAsia" w:ascii="Times New Roman" w:hAnsi="Times New Roman" w:eastAsia="宋体" w:cs="Times New Roman"/>
          <w:lang w:eastAsia="zh-CN"/>
        </w:rPr>
        <w:t>，</w:t>
      </w:r>
      <w:r>
        <w:rPr>
          <w:rFonts w:ascii="Times New Roman" w:hAnsi="Times New Roman" w:eastAsia="宋体" w:cs="Times New Roman"/>
        </w:rPr>
        <w:t>具体标准值见表2.3-2。</w:t>
      </w:r>
    </w:p>
    <w:p w14:paraId="6FF54AB2">
      <w:pPr>
        <w:wordWrap w:val="0"/>
        <w:jc w:val="center"/>
      </w:pPr>
      <w:r>
        <w:rPr>
          <w:b/>
        </w:rPr>
        <w:t>表2.3-2  环境空气质量标准</w:t>
      </w:r>
    </w:p>
    <w:tbl>
      <w:tblPr>
        <w:tblStyle w:val="53"/>
        <w:tblW w:w="84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618"/>
        <w:gridCol w:w="1860"/>
        <w:gridCol w:w="1114"/>
        <w:gridCol w:w="889"/>
        <w:gridCol w:w="2343"/>
      </w:tblGrid>
      <w:tr w14:paraId="19BD0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675" w:type="dxa"/>
            <w:tcBorders>
              <w:tl2br w:val="nil"/>
              <w:tr2bl w:val="nil"/>
            </w:tcBorders>
            <w:vAlign w:val="center"/>
          </w:tcPr>
          <w:p w14:paraId="71041460">
            <w:pPr>
              <w:jc w:val="center"/>
              <w:rPr>
                <w:b/>
                <w:bCs/>
                <w:sz w:val="21"/>
                <w:szCs w:val="21"/>
              </w:rPr>
            </w:pPr>
            <w:r>
              <w:rPr>
                <w:b/>
                <w:bCs/>
                <w:sz w:val="21"/>
                <w:szCs w:val="21"/>
              </w:rPr>
              <w:t>序号</w:t>
            </w:r>
          </w:p>
        </w:tc>
        <w:tc>
          <w:tcPr>
            <w:tcW w:w="1618" w:type="dxa"/>
            <w:tcBorders>
              <w:tl2br w:val="nil"/>
              <w:tr2bl w:val="nil"/>
            </w:tcBorders>
            <w:vAlign w:val="center"/>
          </w:tcPr>
          <w:p w14:paraId="2BB57CCE">
            <w:pPr>
              <w:jc w:val="center"/>
              <w:rPr>
                <w:b/>
                <w:bCs/>
                <w:sz w:val="21"/>
                <w:szCs w:val="21"/>
              </w:rPr>
            </w:pPr>
            <w:r>
              <w:rPr>
                <w:b/>
                <w:bCs/>
                <w:sz w:val="21"/>
                <w:szCs w:val="21"/>
              </w:rPr>
              <w:t>污染物</w:t>
            </w:r>
          </w:p>
        </w:tc>
        <w:tc>
          <w:tcPr>
            <w:tcW w:w="1860" w:type="dxa"/>
            <w:tcBorders>
              <w:tl2br w:val="nil"/>
              <w:tr2bl w:val="nil"/>
            </w:tcBorders>
            <w:vAlign w:val="center"/>
          </w:tcPr>
          <w:p w14:paraId="1F61B704">
            <w:pPr>
              <w:jc w:val="center"/>
              <w:rPr>
                <w:b/>
                <w:bCs/>
                <w:sz w:val="21"/>
                <w:szCs w:val="21"/>
              </w:rPr>
            </w:pPr>
            <w:r>
              <w:rPr>
                <w:b/>
                <w:bCs/>
                <w:sz w:val="21"/>
                <w:szCs w:val="21"/>
              </w:rPr>
              <w:t>取值时间</w:t>
            </w:r>
          </w:p>
        </w:tc>
        <w:tc>
          <w:tcPr>
            <w:tcW w:w="1114" w:type="dxa"/>
            <w:tcBorders>
              <w:tl2br w:val="nil"/>
              <w:tr2bl w:val="nil"/>
            </w:tcBorders>
            <w:vAlign w:val="center"/>
          </w:tcPr>
          <w:p w14:paraId="5D65F36B">
            <w:pPr>
              <w:jc w:val="center"/>
              <w:rPr>
                <w:b/>
                <w:bCs/>
                <w:sz w:val="21"/>
                <w:szCs w:val="21"/>
              </w:rPr>
            </w:pPr>
            <w:r>
              <w:rPr>
                <w:b/>
                <w:bCs/>
                <w:sz w:val="21"/>
                <w:szCs w:val="21"/>
              </w:rPr>
              <w:t>浓度限值</w:t>
            </w:r>
          </w:p>
        </w:tc>
        <w:tc>
          <w:tcPr>
            <w:tcW w:w="889" w:type="dxa"/>
            <w:tcBorders>
              <w:tl2br w:val="nil"/>
              <w:tr2bl w:val="nil"/>
            </w:tcBorders>
            <w:vAlign w:val="center"/>
          </w:tcPr>
          <w:p w14:paraId="73226418">
            <w:pPr>
              <w:jc w:val="center"/>
            </w:pPr>
            <w:r>
              <w:rPr>
                <w:b/>
                <w:bCs/>
              </w:rPr>
              <w:t>单位</w:t>
            </w:r>
          </w:p>
        </w:tc>
        <w:tc>
          <w:tcPr>
            <w:tcW w:w="2343" w:type="dxa"/>
            <w:tcBorders>
              <w:tl2br w:val="nil"/>
              <w:tr2bl w:val="nil"/>
            </w:tcBorders>
            <w:vAlign w:val="center"/>
          </w:tcPr>
          <w:p w14:paraId="4942A0EA">
            <w:pPr>
              <w:jc w:val="center"/>
              <w:rPr>
                <w:b/>
                <w:bCs/>
                <w:sz w:val="21"/>
                <w:szCs w:val="21"/>
              </w:rPr>
            </w:pPr>
            <w:r>
              <w:rPr>
                <w:b/>
                <w:bCs/>
                <w:sz w:val="21"/>
                <w:szCs w:val="21"/>
              </w:rPr>
              <w:t>标准来源</w:t>
            </w:r>
          </w:p>
        </w:tc>
      </w:tr>
      <w:tr w14:paraId="0E165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59503BB9">
            <w:pPr>
              <w:jc w:val="center"/>
              <w:rPr>
                <w:sz w:val="21"/>
                <w:szCs w:val="21"/>
              </w:rPr>
            </w:pPr>
            <w:r>
              <w:rPr>
                <w:sz w:val="21"/>
                <w:szCs w:val="21"/>
              </w:rPr>
              <w:t>1</w:t>
            </w:r>
          </w:p>
        </w:tc>
        <w:tc>
          <w:tcPr>
            <w:tcW w:w="1618" w:type="dxa"/>
            <w:vMerge w:val="restart"/>
            <w:tcBorders>
              <w:tl2br w:val="nil"/>
              <w:tr2bl w:val="nil"/>
            </w:tcBorders>
            <w:vAlign w:val="center"/>
          </w:tcPr>
          <w:p w14:paraId="2EC48BB3">
            <w:pPr>
              <w:jc w:val="center"/>
              <w:rPr>
                <w:sz w:val="21"/>
                <w:szCs w:val="21"/>
              </w:rPr>
            </w:pPr>
            <w:r>
              <w:rPr>
                <w:sz w:val="21"/>
                <w:szCs w:val="21"/>
              </w:rPr>
              <w:t>SO</w:t>
            </w:r>
            <w:r>
              <w:rPr>
                <w:sz w:val="21"/>
                <w:szCs w:val="21"/>
                <w:vertAlign w:val="subscript"/>
              </w:rPr>
              <w:t>2</w:t>
            </w:r>
          </w:p>
        </w:tc>
        <w:tc>
          <w:tcPr>
            <w:tcW w:w="1860" w:type="dxa"/>
            <w:tcBorders>
              <w:tl2br w:val="nil"/>
              <w:tr2bl w:val="nil"/>
            </w:tcBorders>
            <w:vAlign w:val="center"/>
          </w:tcPr>
          <w:p w14:paraId="3D04BDEC">
            <w:pPr>
              <w:jc w:val="center"/>
              <w:rPr>
                <w:sz w:val="21"/>
                <w:szCs w:val="21"/>
              </w:rPr>
            </w:pPr>
            <w:r>
              <w:rPr>
                <w:sz w:val="21"/>
                <w:szCs w:val="21"/>
              </w:rPr>
              <w:t>1小时平均</w:t>
            </w:r>
          </w:p>
        </w:tc>
        <w:tc>
          <w:tcPr>
            <w:tcW w:w="1114" w:type="dxa"/>
            <w:tcBorders>
              <w:tl2br w:val="nil"/>
              <w:tr2bl w:val="nil"/>
            </w:tcBorders>
            <w:vAlign w:val="center"/>
          </w:tcPr>
          <w:p w14:paraId="242876BD">
            <w:pPr>
              <w:jc w:val="center"/>
              <w:rPr>
                <w:sz w:val="21"/>
                <w:szCs w:val="21"/>
              </w:rPr>
            </w:pPr>
            <w:r>
              <w:rPr>
                <w:sz w:val="21"/>
                <w:szCs w:val="21"/>
              </w:rPr>
              <w:t>500</w:t>
            </w:r>
          </w:p>
        </w:tc>
        <w:tc>
          <w:tcPr>
            <w:tcW w:w="889" w:type="dxa"/>
            <w:vMerge w:val="restart"/>
            <w:tcBorders>
              <w:tl2br w:val="nil"/>
              <w:tr2bl w:val="nil"/>
            </w:tcBorders>
            <w:vAlign w:val="center"/>
          </w:tcPr>
          <w:p w14:paraId="4FB46599">
            <w:pPr>
              <w:jc w:val="center"/>
              <w:rPr>
                <w:sz w:val="21"/>
                <w:szCs w:val="21"/>
              </w:rPr>
            </w:pPr>
            <w:r>
              <w:rPr>
                <w:sz w:val="21"/>
                <w:szCs w:val="21"/>
              </w:rPr>
              <w:t>μg/m</w:t>
            </w:r>
            <w:r>
              <w:rPr>
                <w:sz w:val="21"/>
                <w:szCs w:val="21"/>
                <w:vertAlign w:val="superscript"/>
              </w:rPr>
              <w:t>3</w:t>
            </w:r>
          </w:p>
        </w:tc>
        <w:tc>
          <w:tcPr>
            <w:tcW w:w="2343" w:type="dxa"/>
            <w:vMerge w:val="restart"/>
            <w:tcBorders>
              <w:tl2br w:val="nil"/>
              <w:tr2bl w:val="nil"/>
            </w:tcBorders>
            <w:vAlign w:val="center"/>
          </w:tcPr>
          <w:p w14:paraId="10D3083F">
            <w:pPr>
              <w:jc w:val="center"/>
              <w:rPr>
                <w:sz w:val="21"/>
                <w:szCs w:val="21"/>
              </w:rPr>
            </w:pPr>
            <w:r>
              <w:rPr>
                <w:sz w:val="21"/>
                <w:szCs w:val="21"/>
              </w:rPr>
              <w:t>《环境空气质量标准》</w:t>
            </w:r>
          </w:p>
          <w:p w14:paraId="0C7EB865">
            <w:pPr>
              <w:jc w:val="center"/>
              <w:rPr>
                <w:rFonts w:hint="eastAsia" w:eastAsia="宋体"/>
                <w:sz w:val="21"/>
                <w:szCs w:val="21"/>
                <w:lang w:eastAsia="zh-CN"/>
              </w:rPr>
            </w:pPr>
            <w:r>
              <w:rPr>
                <w:rFonts w:hint="eastAsia"/>
                <w:sz w:val="21"/>
                <w:szCs w:val="21"/>
                <w:lang w:eastAsia="zh-CN"/>
              </w:rPr>
              <w:t>（GB3095-2026）</w:t>
            </w:r>
          </w:p>
          <w:p w14:paraId="4E580733">
            <w:pPr>
              <w:jc w:val="center"/>
              <w:rPr>
                <w:sz w:val="21"/>
                <w:szCs w:val="21"/>
              </w:rPr>
            </w:pPr>
            <w:r>
              <w:rPr>
                <w:rFonts w:hint="eastAsia"/>
                <w:sz w:val="21"/>
                <w:szCs w:val="21"/>
                <w:lang w:val="en-US" w:eastAsia="zh-CN"/>
              </w:rPr>
              <w:t>过渡阶段浓度限值</w:t>
            </w:r>
            <w:r>
              <w:rPr>
                <w:sz w:val="21"/>
                <w:szCs w:val="21"/>
              </w:rPr>
              <w:t>二级标准</w:t>
            </w:r>
          </w:p>
        </w:tc>
      </w:tr>
      <w:tr w14:paraId="0218B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5A1CAB66">
            <w:pPr>
              <w:jc w:val="center"/>
              <w:rPr>
                <w:sz w:val="21"/>
                <w:szCs w:val="21"/>
              </w:rPr>
            </w:pPr>
          </w:p>
        </w:tc>
        <w:tc>
          <w:tcPr>
            <w:tcW w:w="1618" w:type="dxa"/>
            <w:vMerge w:val="continue"/>
            <w:tcBorders>
              <w:tl2br w:val="nil"/>
              <w:tr2bl w:val="nil"/>
            </w:tcBorders>
            <w:vAlign w:val="center"/>
          </w:tcPr>
          <w:p w14:paraId="3648C8BC">
            <w:pPr>
              <w:jc w:val="center"/>
              <w:rPr>
                <w:sz w:val="21"/>
                <w:szCs w:val="21"/>
              </w:rPr>
            </w:pPr>
          </w:p>
        </w:tc>
        <w:tc>
          <w:tcPr>
            <w:tcW w:w="1860" w:type="dxa"/>
            <w:tcBorders>
              <w:tl2br w:val="nil"/>
              <w:tr2bl w:val="nil"/>
            </w:tcBorders>
            <w:vAlign w:val="center"/>
          </w:tcPr>
          <w:p w14:paraId="39CC98BA">
            <w:pPr>
              <w:jc w:val="center"/>
              <w:rPr>
                <w:sz w:val="21"/>
                <w:szCs w:val="21"/>
              </w:rPr>
            </w:pPr>
            <w:r>
              <w:rPr>
                <w:rFonts w:hint="eastAsia"/>
                <w:sz w:val="21"/>
                <w:szCs w:val="21"/>
                <w:lang w:val="en-US" w:eastAsia="zh-CN"/>
              </w:rPr>
              <w:t>日</w:t>
            </w:r>
            <w:r>
              <w:rPr>
                <w:sz w:val="21"/>
                <w:szCs w:val="21"/>
              </w:rPr>
              <w:t>平均</w:t>
            </w:r>
          </w:p>
        </w:tc>
        <w:tc>
          <w:tcPr>
            <w:tcW w:w="1114" w:type="dxa"/>
            <w:tcBorders>
              <w:tl2br w:val="nil"/>
              <w:tr2bl w:val="nil"/>
            </w:tcBorders>
            <w:vAlign w:val="center"/>
          </w:tcPr>
          <w:p w14:paraId="61E1EB4D">
            <w:pPr>
              <w:jc w:val="center"/>
              <w:rPr>
                <w:sz w:val="21"/>
                <w:szCs w:val="21"/>
              </w:rPr>
            </w:pPr>
            <w:r>
              <w:rPr>
                <w:sz w:val="21"/>
                <w:szCs w:val="21"/>
              </w:rPr>
              <w:t>150</w:t>
            </w:r>
          </w:p>
        </w:tc>
        <w:tc>
          <w:tcPr>
            <w:tcW w:w="889" w:type="dxa"/>
            <w:vMerge w:val="continue"/>
            <w:tcBorders>
              <w:tl2br w:val="nil"/>
              <w:tr2bl w:val="nil"/>
            </w:tcBorders>
            <w:vAlign w:val="center"/>
          </w:tcPr>
          <w:p w14:paraId="5463AF7A">
            <w:pPr>
              <w:jc w:val="center"/>
              <w:rPr>
                <w:sz w:val="21"/>
                <w:szCs w:val="21"/>
              </w:rPr>
            </w:pPr>
          </w:p>
        </w:tc>
        <w:tc>
          <w:tcPr>
            <w:tcW w:w="2343" w:type="dxa"/>
            <w:vMerge w:val="continue"/>
            <w:tcBorders>
              <w:tl2br w:val="nil"/>
              <w:tr2bl w:val="nil"/>
            </w:tcBorders>
            <w:vAlign w:val="center"/>
          </w:tcPr>
          <w:p w14:paraId="36ACA79C">
            <w:pPr>
              <w:jc w:val="center"/>
              <w:rPr>
                <w:sz w:val="21"/>
                <w:szCs w:val="21"/>
              </w:rPr>
            </w:pPr>
          </w:p>
        </w:tc>
      </w:tr>
      <w:tr w14:paraId="6AA4A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005322A9">
            <w:pPr>
              <w:jc w:val="center"/>
              <w:rPr>
                <w:sz w:val="21"/>
                <w:szCs w:val="21"/>
              </w:rPr>
            </w:pPr>
          </w:p>
        </w:tc>
        <w:tc>
          <w:tcPr>
            <w:tcW w:w="1618" w:type="dxa"/>
            <w:vMerge w:val="continue"/>
            <w:tcBorders>
              <w:tl2br w:val="nil"/>
              <w:tr2bl w:val="nil"/>
            </w:tcBorders>
            <w:vAlign w:val="center"/>
          </w:tcPr>
          <w:p w14:paraId="1BD933E3">
            <w:pPr>
              <w:jc w:val="center"/>
              <w:rPr>
                <w:sz w:val="21"/>
                <w:szCs w:val="21"/>
              </w:rPr>
            </w:pPr>
          </w:p>
        </w:tc>
        <w:tc>
          <w:tcPr>
            <w:tcW w:w="1860" w:type="dxa"/>
            <w:tcBorders>
              <w:tl2br w:val="nil"/>
              <w:tr2bl w:val="nil"/>
            </w:tcBorders>
            <w:vAlign w:val="center"/>
          </w:tcPr>
          <w:p w14:paraId="3E41B6C9">
            <w:pPr>
              <w:jc w:val="center"/>
              <w:rPr>
                <w:sz w:val="21"/>
                <w:szCs w:val="21"/>
              </w:rPr>
            </w:pPr>
            <w:r>
              <w:rPr>
                <w:sz w:val="21"/>
                <w:szCs w:val="21"/>
              </w:rPr>
              <w:t>年平均</w:t>
            </w:r>
          </w:p>
        </w:tc>
        <w:tc>
          <w:tcPr>
            <w:tcW w:w="1114" w:type="dxa"/>
            <w:tcBorders>
              <w:tl2br w:val="nil"/>
              <w:tr2bl w:val="nil"/>
            </w:tcBorders>
            <w:vAlign w:val="center"/>
          </w:tcPr>
          <w:p w14:paraId="322A60C0">
            <w:pPr>
              <w:jc w:val="center"/>
              <w:rPr>
                <w:sz w:val="21"/>
                <w:szCs w:val="21"/>
              </w:rPr>
            </w:pPr>
            <w:r>
              <w:rPr>
                <w:sz w:val="21"/>
                <w:szCs w:val="21"/>
              </w:rPr>
              <w:t>60</w:t>
            </w:r>
          </w:p>
        </w:tc>
        <w:tc>
          <w:tcPr>
            <w:tcW w:w="889" w:type="dxa"/>
            <w:vMerge w:val="continue"/>
            <w:tcBorders>
              <w:tl2br w:val="nil"/>
              <w:tr2bl w:val="nil"/>
            </w:tcBorders>
            <w:vAlign w:val="center"/>
          </w:tcPr>
          <w:p w14:paraId="6C086674">
            <w:pPr>
              <w:jc w:val="center"/>
              <w:rPr>
                <w:sz w:val="21"/>
                <w:szCs w:val="21"/>
              </w:rPr>
            </w:pPr>
          </w:p>
        </w:tc>
        <w:tc>
          <w:tcPr>
            <w:tcW w:w="2343" w:type="dxa"/>
            <w:vMerge w:val="continue"/>
            <w:tcBorders>
              <w:tl2br w:val="nil"/>
              <w:tr2bl w:val="nil"/>
            </w:tcBorders>
            <w:vAlign w:val="center"/>
          </w:tcPr>
          <w:p w14:paraId="68C0F080">
            <w:pPr>
              <w:jc w:val="center"/>
              <w:rPr>
                <w:sz w:val="21"/>
                <w:szCs w:val="21"/>
              </w:rPr>
            </w:pPr>
          </w:p>
        </w:tc>
      </w:tr>
      <w:tr w14:paraId="1002F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08F2A4BC">
            <w:pPr>
              <w:jc w:val="center"/>
              <w:rPr>
                <w:sz w:val="21"/>
                <w:szCs w:val="21"/>
              </w:rPr>
            </w:pPr>
            <w:r>
              <w:rPr>
                <w:sz w:val="21"/>
                <w:szCs w:val="21"/>
              </w:rPr>
              <w:t>2</w:t>
            </w:r>
          </w:p>
        </w:tc>
        <w:tc>
          <w:tcPr>
            <w:tcW w:w="1618" w:type="dxa"/>
            <w:vMerge w:val="restart"/>
            <w:tcBorders>
              <w:tl2br w:val="nil"/>
              <w:tr2bl w:val="nil"/>
            </w:tcBorders>
            <w:vAlign w:val="center"/>
          </w:tcPr>
          <w:p w14:paraId="09F3F761">
            <w:pPr>
              <w:jc w:val="center"/>
              <w:rPr>
                <w:sz w:val="21"/>
                <w:szCs w:val="21"/>
              </w:rPr>
            </w:pPr>
            <w:r>
              <w:rPr>
                <w:sz w:val="21"/>
                <w:szCs w:val="21"/>
              </w:rPr>
              <w:t>NO</w:t>
            </w:r>
            <w:r>
              <w:rPr>
                <w:sz w:val="21"/>
                <w:szCs w:val="21"/>
                <w:vertAlign w:val="subscript"/>
              </w:rPr>
              <w:t>2</w:t>
            </w:r>
          </w:p>
        </w:tc>
        <w:tc>
          <w:tcPr>
            <w:tcW w:w="1860" w:type="dxa"/>
            <w:tcBorders>
              <w:tl2br w:val="nil"/>
              <w:tr2bl w:val="nil"/>
            </w:tcBorders>
            <w:vAlign w:val="center"/>
          </w:tcPr>
          <w:p w14:paraId="24B92BDD">
            <w:pPr>
              <w:jc w:val="center"/>
              <w:rPr>
                <w:sz w:val="21"/>
                <w:szCs w:val="21"/>
              </w:rPr>
            </w:pPr>
            <w:r>
              <w:rPr>
                <w:sz w:val="21"/>
                <w:szCs w:val="21"/>
              </w:rPr>
              <w:t>1小时平均</w:t>
            </w:r>
          </w:p>
        </w:tc>
        <w:tc>
          <w:tcPr>
            <w:tcW w:w="1114" w:type="dxa"/>
            <w:tcBorders>
              <w:tl2br w:val="nil"/>
              <w:tr2bl w:val="nil"/>
            </w:tcBorders>
            <w:vAlign w:val="center"/>
          </w:tcPr>
          <w:p w14:paraId="482754F7">
            <w:pPr>
              <w:jc w:val="center"/>
              <w:rPr>
                <w:sz w:val="21"/>
                <w:szCs w:val="21"/>
              </w:rPr>
            </w:pPr>
            <w:r>
              <w:rPr>
                <w:sz w:val="21"/>
                <w:szCs w:val="21"/>
              </w:rPr>
              <w:t>200</w:t>
            </w:r>
          </w:p>
        </w:tc>
        <w:tc>
          <w:tcPr>
            <w:tcW w:w="889" w:type="dxa"/>
            <w:vMerge w:val="continue"/>
            <w:tcBorders>
              <w:tl2br w:val="nil"/>
              <w:tr2bl w:val="nil"/>
            </w:tcBorders>
            <w:vAlign w:val="center"/>
          </w:tcPr>
          <w:p w14:paraId="0147BD75">
            <w:pPr>
              <w:jc w:val="center"/>
              <w:rPr>
                <w:sz w:val="21"/>
                <w:szCs w:val="21"/>
              </w:rPr>
            </w:pPr>
          </w:p>
        </w:tc>
        <w:tc>
          <w:tcPr>
            <w:tcW w:w="2343" w:type="dxa"/>
            <w:vMerge w:val="continue"/>
            <w:tcBorders>
              <w:tl2br w:val="nil"/>
              <w:tr2bl w:val="nil"/>
            </w:tcBorders>
            <w:vAlign w:val="center"/>
          </w:tcPr>
          <w:p w14:paraId="76440ED0">
            <w:pPr>
              <w:jc w:val="center"/>
              <w:rPr>
                <w:sz w:val="21"/>
                <w:szCs w:val="21"/>
              </w:rPr>
            </w:pPr>
          </w:p>
        </w:tc>
      </w:tr>
      <w:tr w14:paraId="04041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36111C16">
            <w:pPr>
              <w:jc w:val="center"/>
              <w:rPr>
                <w:sz w:val="21"/>
                <w:szCs w:val="21"/>
              </w:rPr>
            </w:pPr>
          </w:p>
        </w:tc>
        <w:tc>
          <w:tcPr>
            <w:tcW w:w="1618" w:type="dxa"/>
            <w:vMerge w:val="continue"/>
            <w:tcBorders>
              <w:tl2br w:val="nil"/>
              <w:tr2bl w:val="nil"/>
            </w:tcBorders>
            <w:vAlign w:val="center"/>
          </w:tcPr>
          <w:p w14:paraId="34BA6AAC">
            <w:pPr>
              <w:jc w:val="center"/>
              <w:rPr>
                <w:sz w:val="21"/>
                <w:szCs w:val="21"/>
              </w:rPr>
            </w:pPr>
          </w:p>
        </w:tc>
        <w:tc>
          <w:tcPr>
            <w:tcW w:w="1860" w:type="dxa"/>
            <w:tcBorders>
              <w:tl2br w:val="nil"/>
              <w:tr2bl w:val="nil"/>
            </w:tcBorders>
            <w:vAlign w:val="center"/>
          </w:tcPr>
          <w:p w14:paraId="3D5D0C49">
            <w:pPr>
              <w:jc w:val="center"/>
              <w:rPr>
                <w:rFonts w:hint="eastAsia" w:eastAsia="宋体"/>
                <w:sz w:val="21"/>
                <w:szCs w:val="21"/>
                <w:lang w:eastAsia="zh-CN"/>
              </w:rPr>
            </w:pPr>
            <w:r>
              <w:rPr>
                <w:rFonts w:hint="eastAsia"/>
                <w:sz w:val="21"/>
                <w:szCs w:val="21"/>
                <w:lang w:eastAsia="zh-CN"/>
              </w:rPr>
              <w:t>日平均</w:t>
            </w:r>
          </w:p>
        </w:tc>
        <w:tc>
          <w:tcPr>
            <w:tcW w:w="1114" w:type="dxa"/>
            <w:tcBorders>
              <w:tl2br w:val="nil"/>
              <w:tr2bl w:val="nil"/>
            </w:tcBorders>
            <w:vAlign w:val="center"/>
          </w:tcPr>
          <w:p w14:paraId="7431F257">
            <w:pPr>
              <w:jc w:val="center"/>
              <w:rPr>
                <w:sz w:val="21"/>
                <w:szCs w:val="21"/>
              </w:rPr>
            </w:pPr>
            <w:r>
              <w:rPr>
                <w:sz w:val="21"/>
                <w:szCs w:val="21"/>
              </w:rPr>
              <w:t>80</w:t>
            </w:r>
          </w:p>
        </w:tc>
        <w:tc>
          <w:tcPr>
            <w:tcW w:w="889" w:type="dxa"/>
            <w:vMerge w:val="continue"/>
            <w:tcBorders>
              <w:tl2br w:val="nil"/>
              <w:tr2bl w:val="nil"/>
            </w:tcBorders>
            <w:vAlign w:val="center"/>
          </w:tcPr>
          <w:p w14:paraId="6F3BFAF6">
            <w:pPr>
              <w:jc w:val="center"/>
              <w:rPr>
                <w:sz w:val="21"/>
                <w:szCs w:val="21"/>
              </w:rPr>
            </w:pPr>
          </w:p>
        </w:tc>
        <w:tc>
          <w:tcPr>
            <w:tcW w:w="2343" w:type="dxa"/>
            <w:vMerge w:val="continue"/>
            <w:tcBorders>
              <w:tl2br w:val="nil"/>
              <w:tr2bl w:val="nil"/>
            </w:tcBorders>
            <w:vAlign w:val="center"/>
          </w:tcPr>
          <w:p w14:paraId="77957D5E">
            <w:pPr>
              <w:jc w:val="center"/>
              <w:rPr>
                <w:sz w:val="21"/>
                <w:szCs w:val="21"/>
              </w:rPr>
            </w:pPr>
          </w:p>
        </w:tc>
      </w:tr>
      <w:tr w14:paraId="387DD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009411F8">
            <w:pPr>
              <w:jc w:val="center"/>
              <w:rPr>
                <w:sz w:val="21"/>
                <w:szCs w:val="21"/>
              </w:rPr>
            </w:pPr>
          </w:p>
        </w:tc>
        <w:tc>
          <w:tcPr>
            <w:tcW w:w="1618" w:type="dxa"/>
            <w:vMerge w:val="continue"/>
            <w:tcBorders>
              <w:tl2br w:val="nil"/>
              <w:tr2bl w:val="nil"/>
            </w:tcBorders>
            <w:vAlign w:val="center"/>
          </w:tcPr>
          <w:p w14:paraId="68E42021">
            <w:pPr>
              <w:jc w:val="center"/>
              <w:rPr>
                <w:sz w:val="21"/>
                <w:szCs w:val="21"/>
              </w:rPr>
            </w:pPr>
          </w:p>
        </w:tc>
        <w:tc>
          <w:tcPr>
            <w:tcW w:w="1860" w:type="dxa"/>
            <w:tcBorders>
              <w:tl2br w:val="nil"/>
              <w:tr2bl w:val="nil"/>
            </w:tcBorders>
            <w:vAlign w:val="center"/>
          </w:tcPr>
          <w:p w14:paraId="23D391FA">
            <w:pPr>
              <w:jc w:val="center"/>
              <w:rPr>
                <w:sz w:val="21"/>
                <w:szCs w:val="21"/>
              </w:rPr>
            </w:pPr>
            <w:r>
              <w:rPr>
                <w:sz w:val="21"/>
                <w:szCs w:val="21"/>
              </w:rPr>
              <w:t>年平均</w:t>
            </w:r>
          </w:p>
        </w:tc>
        <w:tc>
          <w:tcPr>
            <w:tcW w:w="1114" w:type="dxa"/>
            <w:tcBorders>
              <w:tl2br w:val="nil"/>
              <w:tr2bl w:val="nil"/>
            </w:tcBorders>
            <w:vAlign w:val="center"/>
          </w:tcPr>
          <w:p w14:paraId="07D02539">
            <w:pPr>
              <w:jc w:val="center"/>
              <w:rPr>
                <w:sz w:val="21"/>
                <w:szCs w:val="21"/>
              </w:rPr>
            </w:pPr>
            <w:r>
              <w:rPr>
                <w:sz w:val="21"/>
                <w:szCs w:val="21"/>
              </w:rPr>
              <w:t>40</w:t>
            </w:r>
          </w:p>
        </w:tc>
        <w:tc>
          <w:tcPr>
            <w:tcW w:w="889" w:type="dxa"/>
            <w:vMerge w:val="continue"/>
            <w:tcBorders>
              <w:tl2br w:val="nil"/>
              <w:tr2bl w:val="nil"/>
            </w:tcBorders>
            <w:vAlign w:val="center"/>
          </w:tcPr>
          <w:p w14:paraId="79A95710">
            <w:pPr>
              <w:jc w:val="center"/>
              <w:rPr>
                <w:sz w:val="21"/>
                <w:szCs w:val="21"/>
              </w:rPr>
            </w:pPr>
          </w:p>
        </w:tc>
        <w:tc>
          <w:tcPr>
            <w:tcW w:w="2343" w:type="dxa"/>
            <w:vMerge w:val="continue"/>
            <w:tcBorders>
              <w:tl2br w:val="nil"/>
              <w:tr2bl w:val="nil"/>
            </w:tcBorders>
            <w:vAlign w:val="center"/>
          </w:tcPr>
          <w:p w14:paraId="4A27E7C8">
            <w:pPr>
              <w:jc w:val="center"/>
              <w:rPr>
                <w:sz w:val="21"/>
                <w:szCs w:val="21"/>
              </w:rPr>
            </w:pPr>
          </w:p>
        </w:tc>
      </w:tr>
      <w:tr w14:paraId="548A6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28A51954">
            <w:pPr>
              <w:jc w:val="center"/>
              <w:rPr>
                <w:sz w:val="21"/>
                <w:szCs w:val="21"/>
              </w:rPr>
            </w:pPr>
            <w:r>
              <w:rPr>
                <w:sz w:val="21"/>
                <w:szCs w:val="21"/>
              </w:rPr>
              <w:t>3</w:t>
            </w:r>
          </w:p>
        </w:tc>
        <w:tc>
          <w:tcPr>
            <w:tcW w:w="1618" w:type="dxa"/>
            <w:vMerge w:val="restart"/>
            <w:tcBorders>
              <w:tl2br w:val="nil"/>
              <w:tr2bl w:val="nil"/>
            </w:tcBorders>
            <w:vAlign w:val="center"/>
          </w:tcPr>
          <w:p w14:paraId="3E3712C7">
            <w:pPr>
              <w:jc w:val="center"/>
              <w:rPr>
                <w:sz w:val="21"/>
                <w:szCs w:val="21"/>
              </w:rPr>
            </w:pPr>
            <w:r>
              <w:rPr>
                <w:sz w:val="21"/>
                <w:szCs w:val="21"/>
              </w:rPr>
              <w:t>颗粒物（粒径小于等于10μm）</w:t>
            </w:r>
          </w:p>
        </w:tc>
        <w:tc>
          <w:tcPr>
            <w:tcW w:w="1860" w:type="dxa"/>
            <w:tcBorders>
              <w:tl2br w:val="nil"/>
              <w:tr2bl w:val="nil"/>
            </w:tcBorders>
            <w:vAlign w:val="center"/>
          </w:tcPr>
          <w:p w14:paraId="73E842B0">
            <w:pPr>
              <w:jc w:val="center"/>
              <w:rPr>
                <w:rFonts w:hint="eastAsia" w:eastAsia="宋体"/>
                <w:sz w:val="21"/>
                <w:szCs w:val="21"/>
                <w:lang w:eastAsia="zh-CN"/>
              </w:rPr>
            </w:pPr>
            <w:r>
              <w:rPr>
                <w:rFonts w:hint="eastAsia"/>
                <w:sz w:val="21"/>
                <w:szCs w:val="21"/>
                <w:lang w:eastAsia="zh-CN"/>
              </w:rPr>
              <w:t>日平均</w:t>
            </w:r>
          </w:p>
        </w:tc>
        <w:tc>
          <w:tcPr>
            <w:tcW w:w="1114" w:type="dxa"/>
            <w:tcBorders>
              <w:tl2br w:val="nil"/>
              <w:tr2bl w:val="nil"/>
            </w:tcBorders>
            <w:vAlign w:val="center"/>
          </w:tcPr>
          <w:p w14:paraId="76D28786">
            <w:pPr>
              <w:jc w:val="center"/>
              <w:rPr>
                <w:sz w:val="21"/>
                <w:szCs w:val="21"/>
              </w:rPr>
            </w:pPr>
            <w:r>
              <w:rPr>
                <w:sz w:val="21"/>
                <w:szCs w:val="21"/>
              </w:rPr>
              <w:t>1</w:t>
            </w:r>
            <w:r>
              <w:rPr>
                <w:rFonts w:hint="eastAsia"/>
                <w:sz w:val="21"/>
                <w:szCs w:val="21"/>
                <w:lang w:val="en-US" w:eastAsia="zh-CN"/>
              </w:rPr>
              <w:t>2</w:t>
            </w:r>
            <w:r>
              <w:rPr>
                <w:sz w:val="21"/>
                <w:szCs w:val="21"/>
              </w:rPr>
              <w:t>0</w:t>
            </w:r>
          </w:p>
        </w:tc>
        <w:tc>
          <w:tcPr>
            <w:tcW w:w="889" w:type="dxa"/>
            <w:vMerge w:val="continue"/>
            <w:tcBorders>
              <w:tl2br w:val="nil"/>
              <w:tr2bl w:val="nil"/>
            </w:tcBorders>
            <w:vAlign w:val="center"/>
          </w:tcPr>
          <w:p w14:paraId="1244A982">
            <w:pPr>
              <w:jc w:val="center"/>
              <w:rPr>
                <w:sz w:val="21"/>
                <w:szCs w:val="21"/>
              </w:rPr>
            </w:pPr>
          </w:p>
        </w:tc>
        <w:tc>
          <w:tcPr>
            <w:tcW w:w="2343" w:type="dxa"/>
            <w:vMerge w:val="continue"/>
            <w:tcBorders>
              <w:tl2br w:val="nil"/>
              <w:tr2bl w:val="nil"/>
            </w:tcBorders>
            <w:vAlign w:val="center"/>
          </w:tcPr>
          <w:p w14:paraId="047E37A5">
            <w:pPr>
              <w:jc w:val="center"/>
              <w:rPr>
                <w:sz w:val="21"/>
                <w:szCs w:val="21"/>
              </w:rPr>
            </w:pPr>
          </w:p>
        </w:tc>
      </w:tr>
      <w:tr w14:paraId="55523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2696DB5E">
            <w:pPr>
              <w:jc w:val="center"/>
              <w:rPr>
                <w:sz w:val="21"/>
                <w:szCs w:val="21"/>
              </w:rPr>
            </w:pPr>
          </w:p>
        </w:tc>
        <w:tc>
          <w:tcPr>
            <w:tcW w:w="1618" w:type="dxa"/>
            <w:vMerge w:val="continue"/>
            <w:tcBorders>
              <w:tl2br w:val="nil"/>
              <w:tr2bl w:val="nil"/>
            </w:tcBorders>
            <w:vAlign w:val="center"/>
          </w:tcPr>
          <w:p w14:paraId="581E05C0">
            <w:pPr>
              <w:jc w:val="center"/>
              <w:rPr>
                <w:sz w:val="21"/>
                <w:szCs w:val="21"/>
              </w:rPr>
            </w:pPr>
          </w:p>
        </w:tc>
        <w:tc>
          <w:tcPr>
            <w:tcW w:w="1860" w:type="dxa"/>
            <w:tcBorders>
              <w:tl2br w:val="nil"/>
              <w:tr2bl w:val="nil"/>
            </w:tcBorders>
            <w:vAlign w:val="center"/>
          </w:tcPr>
          <w:p w14:paraId="0B43AF60">
            <w:pPr>
              <w:jc w:val="center"/>
              <w:rPr>
                <w:sz w:val="21"/>
                <w:szCs w:val="21"/>
              </w:rPr>
            </w:pPr>
            <w:r>
              <w:rPr>
                <w:sz w:val="21"/>
                <w:szCs w:val="21"/>
              </w:rPr>
              <w:t>年平均</w:t>
            </w:r>
          </w:p>
        </w:tc>
        <w:tc>
          <w:tcPr>
            <w:tcW w:w="1114" w:type="dxa"/>
            <w:tcBorders>
              <w:tl2br w:val="nil"/>
              <w:tr2bl w:val="nil"/>
            </w:tcBorders>
            <w:vAlign w:val="center"/>
          </w:tcPr>
          <w:p w14:paraId="5EF39A6A">
            <w:pPr>
              <w:jc w:val="center"/>
              <w:rPr>
                <w:sz w:val="21"/>
                <w:szCs w:val="21"/>
              </w:rPr>
            </w:pPr>
            <w:r>
              <w:rPr>
                <w:rFonts w:hint="eastAsia"/>
                <w:sz w:val="21"/>
                <w:szCs w:val="21"/>
                <w:lang w:val="en-US" w:eastAsia="zh-CN"/>
              </w:rPr>
              <w:t>6</w:t>
            </w:r>
            <w:r>
              <w:rPr>
                <w:sz w:val="21"/>
                <w:szCs w:val="21"/>
              </w:rPr>
              <w:t>0</w:t>
            </w:r>
          </w:p>
        </w:tc>
        <w:tc>
          <w:tcPr>
            <w:tcW w:w="889" w:type="dxa"/>
            <w:vMerge w:val="continue"/>
            <w:tcBorders>
              <w:tl2br w:val="nil"/>
              <w:tr2bl w:val="nil"/>
            </w:tcBorders>
            <w:vAlign w:val="center"/>
          </w:tcPr>
          <w:p w14:paraId="662E9C06">
            <w:pPr>
              <w:jc w:val="center"/>
              <w:rPr>
                <w:sz w:val="21"/>
                <w:szCs w:val="21"/>
              </w:rPr>
            </w:pPr>
          </w:p>
        </w:tc>
        <w:tc>
          <w:tcPr>
            <w:tcW w:w="2343" w:type="dxa"/>
            <w:vMerge w:val="continue"/>
            <w:tcBorders>
              <w:tl2br w:val="nil"/>
              <w:tr2bl w:val="nil"/>
            </w:tcBorders>
            <w:vAlign w:val="center"/>
          </w:tcPr>
          <w:p w14:paraId="32EB3BDA">
            <w:pPr>
              <w:jc w:val="center"/>
              <w:rPr>
                <w:sz w:val="21"/>
                <w:szCs w:val="21"/>
              </w:rPr>
            </w:pPr>
          </w:p>
        </w:tc>
      </w:tr>
      <w:tr w14:paraId="53941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345A9D43">
            <w:pPr>
              <w:jc w:val="center"/>
              <w:rPr>
                <w:sz w:val="21"/>
                <w:szCs w:val="21"/>
              </w:rPr>
            </w:pPr>
            <w:r>
              <w:rPr>
                <w:sz w:val="21"/>
                <w:szCs w:val="21"/>
              </w:rPr>
              <w:t>4</w:t>
            </w:r>
          </w:p>
        </w:tc>
        <w:tc>
          <w:tcPr>
            <w:tcW w:w="1618" w:type="dxa"/>
            <w:vMerge w:val="restart"/>
            <w:tcBorders>
              <w:tl2br w:val="nil"/>
              <w:tr2bl w:val="nil"/>
            </w:tcBorders>
            <w:vAlign w:val="center"/>
          </w:tcPr>
          <w:p w14:paraId="48193A89">
            <w:pPr>
              <w:jc w:val="center"/>
              <w:rPr>
                <w:sz w:val="21"/>
                <w:szCs w:val="21"/>
              </w:rPr>
            </w:pPr>
            <w:r>
              <w:rPr>
                <w:sz w:val="21"/>
                <w:szCs w:val="21"/>
              </w:rPr>
              <w:t>颗粒物（粒径小于等于2.5μm）</w:t>
            </w:r>
          </w:p>
        </w:tc>
        <w:tc>
          <w:tcPr>
            <w:tcW w:w="1860" w:type="dxa"/>
            <w:tcBorders>
              <w:tl2br w:val="nil"/>
              <w:tr2bl w:val="nil"/>
            </w:tcBorders>
            <w:vAlign w:val="center"/>
          </w:tcPr>
          <w:p w14:paraId="283ACEE5">
            <w:pPr>
              <w:jc w:val="center"/>
              <w:rPr>
                <w:rFonts w:hint="eastAsia" w:eastAsia="宋体"/>
                <w:sz w:val="21"/>
                <w:szCs w:val="21"/>
                <w:lang w:eastAsia="zh-CN"/>
              </w:rPr>
            </w:pPr>
            <w:r>
              <w:rPr>
                <w:rFonts w:hint="eastAsia"/>
                <w:sz w:val="21"/>
                <w:szCs w:val="21"/>
                <w:lang w:eastAsia="zh-CN"/>
              </w:rPr>
              <w:t>日平均</w:t>
            </w:r>
          </w:p>
        </w:tc>
        <w:tc>
          <w:tcPr>
            <w:tcW w:w="1114" w:type="dxa"/>
            <w:tcBorders>
              <w:tl2br w:val="nil"/>
              <w:tr2bl w:val="nil"/>
            </w:tcBorders>
            <w:vAlign w:val="center"/>
          </w:tcPr>
          <w:p w14:paraId="5CAE6EE7">
            <w:pPr>
              <w:jc w:val="center"/>
              <w:rPr>
                <w:rFonts w:hint="default" w:eastAsia="宋体"/>
                <w:sz w:val="21"/>
                <w:szCs w:val="21"/>
                <w:lang w:val="en-US" w:eastAsia="zh-CN"/>
              </w:rPr>
            </w:pPr>
            <w:r>
              <w:rPr>
                <w:rFonts w:hint="eastAsia"/>
                <w:sz w:val="21"/>
                <w:szCs w:val="21"/>
                <w:lang w:val="en-US" w:eastAsia="zh-CN"/>
              </w:rPr>
              <w:t>60</w:t>
            </w:r>
          </w:p>
        </w:tc>
        <w:tc>
          <w:tcPr>
            <w:tcW w:w="889" w:type="dxa"/>
            <w:vMerge w:val="continue"/>
            <w:tcBorders>
              <w:tl2br w:val="nil"/>
              <w:tr2bl w:val="nil"/>
            </w:tcBorders>
            <w:vAlign w:val="center"/>
          </w:tcPr>
          <w:p w14:paraId="117E77EA">
            <w:pPr>
              <w:jc w:val="center"/>
              <w:rPr>
                <w:sz w:val="21"/>
                <w:szCs w:val="21"/>
              </w:rPr>
            </w:pPr>
          </w:p>
        </w:tc>
        <w:tc>
          <w:tcPr>
            <w:tcW w:w="2343" w:type="dxa"/>
            <w:vMerge w:val="continue"/>
            <w:tcBorders>
              <w:tl2br w:val="nil"/>
              <w:tr2bl w:val="nil"/>
            </w:tcBorders>
            <w:vAlign w:val="center"/>
          </w:tcPr>
          <w:p w14:paraId="3EAFE939">
            <w:pPr>
              <w:jc w:val="center"/>
              <w:rPr>
                <w:sz w:val="21"/>
                <w:szCs w:val="21"/>
              </w:rPr>
            </w:pPr>
          </w:p>
        </w:tc>
      </w:tr>
      <w:tr w14:paraId="6F61A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6E247DEA">
            <w:pPr>
              <w:jc w:val="center"/>
              <w:rPr>
                <w:sz w:val="21"/>
                <w:szCs w:val="21"/>
              </w:rPr>
            </w:pPr>
          </w:p>
        </w:tc>
        <w:tc>
          <w:tcPr>
            <w:tcW w:w="1618" w:type="dxa"/>
            <w:vMerge w:val="continue"/>
            <w:tcBorders>
              <w:tl2br w:val="nil"/>
              <w:tr2bl w:val="nil"/>
            </w:tcBorders>
            <w:vAlign w:val="center"/>
          </w:tcPr>
          <w:p w14:paraId="5E499554">
            <w:pPr>
              <w:jc w:val="center"/>
              <w:rPr>
                <w:sz w:val="21"/>
                <w:szCs w:val="21"/>
              </w:rPr>
            </w:pPr>
          </w:p>
        </w:tc>
        <w:tc>
          <w:tcPr>
            <w:tcW w:w="1860" w:type="dxa"/>
            <w:tcBorders>
              <w:tl2br w:val="nil"/>
              <w:tr2bl w:val="nil"/>
            </w:tcBorders>
            <w:vAlign w:val="center"/>
          </w:tcPr>
          <w:p w14:paraId="096B1CEC">
            <w:pPr>
              <w:jc w:val="center"/>
              <w:rPr>
                <w:sz w:val="21"/>
                <w:szCs w:val="21"/>
              </w:rPr>
            </w:pPr>
            <w:r>
              <w:rPr>
                <w:sz w:val="21"/>
                <w:szCs w:val="21"/>
              </w:rPr>
              <w:t>年平均</w:t>
            </w:r>
          </w:p>
        </w:tc>
        <w:tc>
          <w:tcPr>
            <w:tcW w:w="1114" w:type="dxa"/>
            <w:tcBorders>
              <w:tl2br w:val="nil"/>
              <w:tr2bl w:val="nil"/>
            </w:tcBorders>
            <w:vAlign w:val="center"/>
          </w:tcPr>
          <w:p w14:paraId="54A6F975">
            <w:pPr>
              <w:jc w:val="center"/>
              <w:rPr>
                <w:rFonts w:hint="eastAsia" w:eastAsia="宋体"/>
                <w:sz w:val="21"/>
                <w:szCs w:val="21"/>
                <w:lang w:eastAsia="zh-CN"/>
              </w:rPr>
            </w:pPr>
            <w:r>
              <w:rPr>
                <w:sz w:val="21"/>
                <w:szCs w:val="21"/>
              </w:rPr>
              <w:t>3</w:t>
            </w:r>
            <w:r>
              <w:rPr>
                <w:rFonts w:hint="eastAsia"/>
                <w:sz w:val="21"/>
                <w:szCs w:val="21"/>
                <w:lang w:val="en-US" w:eastAsia="zh-CN"/>
              </w:rPr>
              <w:t>0</w:t>
            </w:r>
          </w:p>
        </w:tc>
        <w:tc>
          <w:tcPr>
            <w:tcW w:w="889" w:type="dxa"/>
            <w:vMerge w:val="continue"/>
            <w:tcBorders>
              <w:tl2br w:val="nil"/>
              <w:tr2bl w:val="nil"/>
            </w:tcBorders>
            <w:vAlign w:val="center"/>
          </w:tcPr>
          <w:p w14:paraId="50A3BBCF">
            <w:pPr>
              <w:jc w:val="center"/>
              <w:rPr>
                <w:sz w:val="21"/>
                <w:szCs w:val="21"/>
              </w:rPr>
            </w:pPr>
          </w:p>
        </w:tc>
        <w:tc>
          <w:tcPr>
            <w:tcW w:w="2343" w:type="dxa"/>
            <w:vMerge w:val="continue"/>
            <w:tcBorders>
              <w:tl2br w:val="nil"/>
              <w:tr2bl w:val="nil"/>
            </w:tcBorders>
            <w:vAlign w:val="center"/>
          </w:tcPr>
          <w:p w14:paraId="251539DE">
            <w:pPr>
              <w:jc w:val="center"/>
              <w:rPr>
                <w:sz w:val="21"/>
                <w:szCs w:val="21"/>
              </w:rPr>
            </w:pPr>
          </w:p>
        </w:tc>
      </w:tr>
      <w:tr w14:paraId="40949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7E7AAF93">
            <w:pPr>
              <w:jc w:val="center"/>
              <w:rPr>
                <w:sz w:val="21"/>
                <w:szCs w:val="21"/>
              </w:rPr>
            </w:pPr>
            <w:r>
              <w:rPr>
                <w:sz w:val="21"/>
                <w:szCs w:val="21"/>
              </w:rPr>
              <w:t>5</w:t>
            </w:r>
          </w:p>
        </w:tc>
        <w:tc>
          <w:tcPr>
            <w:tcW w:w="1618" w:type="dxa"/>
            <w:vMerge w:val="restart"/>
            <w:tcBorders>
              <w:tl2br w:val="nil"/>
              <w:tr2bl w:val="nil"/>
            </w:tcBorders>
            <w:vAlign w:val="center"/>
          </w:tcPr>
          <w:p w14:paraId="4EC2DB59">
            <w:pPr>
              <w:jc w:val="center"/>
              <w:rPr>
                <w:sz w:val="21"/>
                <w:szCs w:val="21"/>
              </w:rPr>
            </w:pPr>
            <w:r>
              <w:rPr>
                <w:sz w:val="21"/>
                <w:szCs w:val="21"/>
              </w:rPr>
              <w:t>CO</w:t>
            </w:r>
          </w:p>
        </w:tc>
        <w:tc>
          <w:tcPr>
            <w:tcW w:w="1860" w:type="dxa"/>
            <w:tcBorders>
              <w:tl2br w:val="nil"/>
              <w:tr2bl w:val="nil"/>
            </w:tcBorders>
            <w:vAlign w:val="center"/>
          </w:tcPr>
          <w:p w14:paraId="44362485">
            <w:pPr>
              <w:jc w:val="center"/>
              <w:rPr>
                <w:sz w:val="21"/>
                <w:szCs w:val="21"/>
              </w:rPr>
            </w:pPr>
            <w:r>
              <w:rPr>
                <w:sz w:val="21"/>
                <w:szCs w:val="21"/>
              </w:rPr>
              <w:t>1小时平均</w:t>
            </w:r>
          </w:p>
        </w:tc>
        <w:tc>
          <w:tcPr>
            <w:tcW w:w="1114" w:type="dxa"/>
            <w:tcBorders>
              <w:tl2br w:val="nil"/>
              <w:tr2bl w:val="nil"/>
            </w:tcBorders>
            <w:vAlign w:val="center"/>
          </w:tcPr>
          <w:p w14:paraId="047FD869">
            <w:pPr>
              <w:jc w:val="center"/>
              <w:rPr>
                <w:sz w:val="21"/>
                <w:szCs w:val="21"/>
              </w:rPr>
            </w:pPr>
            <w:r>
              <w:rPr>
                <w:sz w:val="21"/>
                <w:szCs w:val="21"/>
              </w:rPr>
              <w:t>10</w:t>
            </w:r>
          </w:p>
        </w:tc>
        <w:tc>
          <w:tcPr>
            <w:tcW w:w="889" w:type="dxa"/>
            <w:vMerge w:val="restart"/>
            <w:tcBorders>
              <w:tl2br w:val="nil"/>
              <w:tr2bl w:val="nil"/>
            </w:tcBorders>
            <w:vAlign w:val="center"/>
          </w:tcPr>
          <w:p w14:paraId="67C5D3C1">
            <w:pPr>
              <w:jc w:val="center"/>
              <w:rPr>
                <w:sz w:val="21"/>
                <w:szCs w:val="21"/>
              </w:rPr>
            </w:pPr>
            <w:r>
              <w:rPr>
                <w:sz w:val="21"/>
                <w:szCs w:val="21"/>
              </w:rPr>
              <w:t>mg/m</w:t>
            </w:r>
            <w:r>
              <w:rPr>
                <w:sz w:val="21"/>
                <w:szCs w:val="21"/>
                <w:vertAlign w:val="superscript"/>
              </w:rPr>
              <w:t>3</w:t>
            </w:r>
          </w:p>
        </w:tc>
        <w:tc>
          <w:tcPr>
            <w:tcW w:w="2343" w:type="dxa"/>
            <w:vMerge w:val="continue"/>
            <w:tcBorders>
              <w:tl2br w:val="nil"/>
              <w:tr2bl w:val="nil"/>
            </w:tcBorders>
            <w:vAlign w:val="center"/>
          </w:tcPr>
          <w:p w14:paraId="21AF3032">
            <w:pPr>
              <w:jc w:val="center"/>
              <w:rPr>
                <w:sz w:val="21"/>
                <w:szCs w:val="21"/>
              </w:rPr>
            </w:pPr>
          </w:p>
        </w:tc>
      </w:tr>
      <w:tr w14:paraId="6440C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66AA294C">
            <w:pPr>
              <w:jc w:val="center"/>
              <w:rPr>
                <w:sz w:val="21"/>
                <w:szCs w:val="21"/>
              </w:rPr>
            </w:pPr>
          </w:p>
        </w:tc>
        <w:tc>
          <w:tcPr>
            <w:tcW w:w="1618" w:type="dxa"/>
            <w:vMerge w:val="continue"/>
            <w:tcBorders>
              <w:tl2br w:val="nil"/>
              <w:tr2bl w:val="nil"/>
            </w:tcBorders>
            <w:vAlign w:val="center"/>
          </w:tcPr>
          <w:p w14:paraId="3B4EDF0E">
            <w:pPr>
              <w:jc w:val="center"/>
              <w:rPr>
                <w:sz w:val="21"/>
                <w:szCs w:val="21"/>
              </w:rPr>
            </w:pPr>
          </w:p>
        </w:tc>
        <w:tc>
          <w:tcPr>
            <w:tcW w:w="1860" w:type="dxa"/>
            <w:tcBorders>
              <w:tl2br w:val="nil"/>
              <w:tr2bl w:val="nil"/>
            </w:tcBorders>
            <w:vAlign w:val="center"/>
          </w:tcPr>
          <w:p w14:paraId="7CB78FF9">
            <w:pPr>
              <w:jc w:val="center"/>
              <w:rPr>
                <w:rFonts w:hint="eastAsia" w:eastAsia="宋体"/>
                <w:sz w:val="21"/>
                <w:szCs w:val="21"/>
                <w:lang w:eastAsia="zh-CN"/>
              </w:rPr>
            </w:pPr>
            <w:r>
              <w:rPr>
                <w:rFonts w:hint="eastAsia"/>
                <w:sz w:val="21"/>
                <w:szCs w:val="21"/>
                <w:lang w:eastAsia="zh-CN"/>
              </w:rPr>
              <w:t>日平均</w:t>
            </w:r>
          </w:p>
        </w:tc>
        <w:tc>
          <w:tcPr>
            <w:tcW w:w="1114" w:type="dxa"/>
            <w:tcBorders>
              <w:tl2br w:val="nil"/>
              <w:tr2bl w:val="nil"/>
            </w:tcBorders>
            <w:vAlign w:val="center"/>
          </w:tcPr>
          <w:p w14:paraId="4479F111">
            <w:pPr>
              <w:jc w:val="center"/>
              <w:rPr>
                <w:sz w:val="21"/>
                <w:szCs w:val="21"/>
              </w:rPr>
            </w:pPr>
            <w:r>
              <w:rPr>
                <w:sz w:val="21"/>
                <w:szCs w:val="21"/>
              </w:rPr>
              <w:t>4</w:t>
            </w:r>
          </w:p>
        </w:tc>
        <w:tc>
          <w:tcPr>
            <w:tcW w:w="889" w:type="dxa"/>
            <w:vMerge w:val="continue"/>
            <w:tcBorders>
              <w:tl2br w:val="nil"/>
              <w:tr2bl w:val="nil"/>
            </w:tcBorders>
            <w:vAlign w:val="center"/>
          </w:tcPr>
          <w:p w14:paraId="3093C23C">
            <w:pPr>
              <w:jc w:val="center"/>
              <w:rPr>
                <w:sz w:val="21"/>
                <w:szCs w:val="21"/>
              </w:rPr>
            </w:pPr>
          </w:p>
        </w:tc>
        <w:tc>
          <w:tcPr>
            <w:tcW w:w="2343" w:type="dxa"/>
            <w:vMerge w:val="continue"/>
            <w:tcBorders>
              <w:tl2br w:val="nil"/>
              <w:tr2bl w:val="nil"/>
            </w:tcBorders>
            <w:vAlign w:val="center"/>
          </w:tcPr>
          <w:p w14:paraId="21F53DF6">
            <w:pPr>
              <w:jc w:val="center"/>
              <w:rPr>
                <w:sz w:val="21"/>
                <w:szCs w:val="21"/>
              </w:rPr>
            </w:pPr>
          </w:p>
        </w:tc>
      </w:tr>
      <w:tr w14:paraId="15010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restart"/>
            <w:tcBorders>
              <w:tl2br w:val="nil"/>
              <w:tr2bl w:val="nil"/>
            </w:tcBorders>
            <w:vAlign w:val="center"/>
          </w:tcPr>
          <w:p w14:paraId="61CE5958">
            <w:pPr>
              <w:jc w:val="center"/>
              <w:rPr>
                <w:sz w:val="21"/>
                <w:szCs w:val="21"/>
              </w:rPr>
            </w:pPr>
            <w:r>
              <w:rPr>
                <w:sz w:val="21"/>
                <w:szCs w:val="21"/>
              </w:rPr>
              <w:t>6</w:t>
            </w:r>
          </w:p>
        </w:tc>
        <w:tc>
          <w:tcPr>
            <w:tcW w:w="1618" w:type="dxa"/>
            <w:vMerge w:val="restart"/>
            <w:tcBorders>
              <w:tl2br w:val="nil"/>
              <w:tr2bl w:val="nil"/>
            </w:tcBorders>
            <w:vAlign w:val="center"/>
          </w:tcPr>
          <w:p w14:paraId="0DCC107E">
            <w:pPr>
              <w:jc w:val="center"/>
              <w:rPr>
                <w:sz w:val="21"/>
                <w:szCs w:val="21"/>
              </w:rPr>
            </w:pPr>
            <w:r>
              <w:rPr>
                <w:sz w:val="21"/>
                <w:szCs w:val="21"/>
              </w:rPr>
              <w:t>O</w:t>
            </w:r>
            <w:r>
              <w:rPr>
                <w:sz w:val="21"/>
                <w:szCs w:val="21"/>
                <w:vertAlign w:val="subscript"/>
              </w:rPr>
              <w:t>3</w:t>
            </w:r>
          </w:p>
        </w:tc>
        <w:tc>
          <w:tcPr>
            <w:tcW w:w="1860" w:type="dxa"/>
            <w:tcBorders>
              <w:tl2br w:val="nil"/>
              <w:tr2bl w:val="nil"/>
            </w:tcBorders>
            <w:vAlign w:val="center"/>
          </w:tcPr>
          <w:p w14:paraId="09407F70">
            <w:pPr>
              <w:jc w:val="center"/>
              <w:rPr>
                <w:sz w:val="21"/>
                <w:szCs w:val="21"/>
              </w:rPr>
            </w:pPr>
            <w:r>
              <w:rPr>
                <w:sz w:val="21"/>
                <w:szCs w:val="21"/>
              </w:rPr>
              <w:t>1小时平均</w:t>
            </w:r>
          </w:p>
        </w:tc>
        <w:tc>
          <w:tcPr>
            <w:tcW w:w="1114" w:type="dxa"/>
            <w:tcBorders>
              <w:tl2br w:val="nil"/>
              <w:tr2bl w:val="nil"/>
            </w:tcBorders>
            <w:vAlign w:val="center"/>
          </w:tcPr>
          <w:p w14:paraId="7DB623F2">
            <w:pPr>
              <w:jc w:val="center"/>
              <w:rPr>
                <w:sz w:val="21"/>
                <w:szCs w:val="21"/>
              </w:rPr>
            </w:pPr>
            <w:r>
              <w:rPr>
                <w:sz w:val="21"/>
                <w:szCs w:val="21"/>
              </w:rPr>
              <w:t>200</w:t>
            </w:r>
          </w:p>
        </w:tc>
        <w:tc>
          <w:tcPr>
            <w:tcW w:w="889" w:type="dxa"/>
            <w:vMerge w:val="restart"/>
            <w:tcBorders>
              <w:tl2br w:val="nil"/>
              <w:tr2bl w:val="nil"/>
            </w:tcBorders>
            <w:vAlign w:val="center"/>
          </w:tcPr>
          <w:p w14:paraId="389A344D">
            <w:pPr>
              <w:jc w:val="center"/>
              <w:rPr>
                <w:sz w:val="21"/>
                <w:szCs w:val="21"/>
              </w:rPr>
            </w:pPr>
            <w:r>
              <w:rPr>
                <w:sz w:val="21"/>
                <w:szCs w:val="21"/>
              </w:rPr>
              <w:t>μg/m</w:t>
            </w:r>
            <w:r>
              <w:rPr>
                <w:sz w:val="21"/>
                <w:szCs w:val="21"/>
                <w:vertAlign w:val="superscript"/>
              </w:rPr>
              <w:t>3</w:t>
            </w:r>
          </w:p>
        </w:tc>
        <w:tc>
          <w:tcPr>
            <w:tcW w:w="2343" w:type="dxa"/>
            <w:vMerge w:val="continue"/>
            <w:tcBorders>
              <w:tl2br w:val="nil"/>
              <w:tr2bl w:val="nil"/>
            </w:tcBorders>
            <w:vAlign w:val="center"/>
          </w:tcPr>
          <w:p w14:paraId="6E9ABBC4">
            <w:pPr>
              <w:jc w:val="center"/>
              <w:rPr>
                <w:sz w:val="21"/>
                <w:szCs w:val="21"/>
              </w:rPr>
            </w:pPr>
          </w:p>
        </w:tc>
      </w:tr>
      <w:tr w14:paraId="4AA5F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vMerge w:val="continue"/>
            <w:tcBorders>
              <w:tl2br w:val="nil"/>
              <w:tr2bl w:val="nil"/>
            </w:tcBorders>
            <w:vAlign w:val="center"/>
          </w:tcPr>
          <w:p w14:paraId="0AF7D94F">
            <w:pPr>
              <w:jc w:val="center"/>
              <w:rPr>
                <w:sz w:val="21"/>
                <w:szCs w:val="21"/>
              </w:rPr>
            </w:pPr>
          </w:p>
        </w:tc>
        <w:tc>
          <w:tcPr>
            <w:tcW w:w="1618" w:type="dxa"/>
            <w:vMerge w:val="continue"/>
            <w:tcBorders>
              <w:tl2br w:val="nil"/>
              <w:tr2bl w:val="nil"/>
            </w:tcBorders>
            <w:vAlign w:val="center"/>
          </w:tcPr>
          <w:p w14:paraId="31A1289A">
            <w:pPr>
              <w:jc w:val="center"/>
              <w:rPr>
                <w:sz w:val="21"/>
                <w:szCs w:val="21"/>
              </w:rPr>
            </w:pPr>
          </w:p>
        </w:tc>
        <w:tc>
          <w:tcPr>
            <w:tcW w:w="1860" w:type="dxa"/>
            <w:tcBorders>
              <w:tl2br w:val="nil"/>
              <w:tr2bl w:val="nil"/>
            </w:tcBorders>
            <w:vAlign w:val="center"/>
          </w:tcPr>
          <w:p w14:paraId="44E04FAD">
            <w:pPr>
              <w:jc w:val="center"/>
              <w:rPr>
                <w:sz w:val="21"/>
                <w:szCs w:val="21"/>
              </w:rPr>
            </w:pPr>
            <w:r>
              <w:rPr>
                <w:sz w:val="21"/>
                <w:szCs w:val="21"/>
              </w:rPr>
              <w:t>日最大8小时平均</w:t>
            </w:r>
          </w:p>
        </w:tc>
        <w:tc>
          <w:tcPr>
            <w:tcW w:w="1114" w:type="dxa"/>
            <w:tcBorders>
              <w:tl2br w:val="nil"/>
              <w:tr2bl w:val="nil"/>
            </w:tcBorders>
            <w:vAlign w:val="center"/>
          </w:tcPr>
          <w:p w14:paraId="4697070D">
            <w:pPr>
              <w:jc w:val="center"/>
              <w:rPr>
                <w:sz w:val="21"/>
                <w:szCs w:val="21"/>
              </w:rPr>
            </w:pPr>
            <w:r>
              <w:rPr>
                <w:sz w:val="21"/>
                <w:szCs w:val="21"/>
              </w:rPr>
              <w:t>160</w:t>
            </w:r>
          </w:p>
        </w:tc>
        <w:tc>
          <w:tcPr>
            <w:tcW w:w="889" w:type="dxa"/>
            <w:vMerge w:val="continue"/>
            <w:tcBorders>
              <w:tl2br w:val="nil"/>
              <w:tr2bl w:val="nil"/>
            </w:tcBorders>
            <w:vAlign w:val="center"/>
          </w:tcPr>
          <w:p w14:paraId="02F0C5CE">
            <w:pPr>
              <w:jc w:val="center"/>
              <w:rPr>
                <w:sz w:val="21"/>
                <w:szCs w:val="21"/>
              </w:rPr>
            </w:pPr>
          </w:p>
        </w:tc>
        <w:tc>
          <w:tcPr>
            <w:tcW w:w="2343" w:type="dxa"/>
            <w:vMerge w:val="continue"/>
            <w:tcBorders>
              <w:tl2br w:val="nil"/>
              <w:tr2bl w:val="nil"/>
            </w:tcBorders>
            <w:vAlign w:val="center"/>
          </w:tcPr>
          <w:p w14:paraId="58BC243E">
            <w:pPr>
              <w:jc w:val="center"/>
              <w:rPr>
                <w:sz w:val="21"/>
                <w:szCs w:val="21"/>
              </w:rPr>
            </w:pPr>
          </w:p>
        </w:tc>
      </w:tr>
      <w:tr w14:paraId="7FD73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l2br w:val="nil"/>
              <w:tr2bl w:val="nil"/>
            </w:tcBorders>
            <w:vAlign w:val="center"/>
          </w:tcPr>
          <w:p w14:paraId="49DA2359">
            <w:pPr>
              <w:jc w:val="center"/>
              <w:rPr>
                <w:rFonts w:hint="eastAsia" w:eastAsia="宋体"/>
                <w:sz w:val="21"/>
                <w:szCs w:val="21"/>
                <w:lang w:eastAsia="zh-CN"/>
              </w:rPr>
            </w:pPr>
            <w:r>
              <w:rPr>
                <w:rFonts w:hint="eastAsia"/>
                <w:sz w:val="21"/>
                <w:szCs w:val="21"/>
                <w:lang w:val="en-US" w:eastAsia="zh-CN"/>
              </w:rPr>
              <w:t>7</w:t>
            </w:r>
          </w:p>
        </w:tc>
        <w:tc>
          <w:tcPr>
            <w:tcW w:w="1618" w:type="dxa"/>
            <w:tcBorders>
              <w:tl2br w:val="nil"/>
              <w:tr2bl w:val="nil"/>
            </w:tcBorders>
            <w:vAlign w:val="center"/>
          </w:tcPr>
          <w:p w14:paraId="08E6271B">
            <w:pPr>
              <w:jc w:val="center"/>
              <w:rPr>
                <w:sz w:val="21"/>
                <w:szCs w:val="21"/>
              </w:rPr>
            </w:pPr>
            <w:r>
              <w:rPr>
                <w:sz w:val="21"/>
                <w:szCs w:val="21"/>
              </w:rPr>
              <w:t>NH</w:t>
            </w:r>
            <w:r>
              <w:rPr>
                <w:sz w:val="21"/>
                <w:szCs w:val="21"/>
                <w:vertAlign w:val="subscript"/>
              </w:rPr>
              <w:t>3</w:t>
            </w:r>
          </w:p>
        </w:tc>
        <w:tc>
          <w:tcPr>
            <w:tcW w:w="1860" w:type="dxa"/>
            <w:tcBorders>
              <w:tl2br w:val="nil"/>
              <w:tr2bl w:val="nil"/>
            </w:tcBorders>
            <w:vAlign w:val="center"/>
          </w:tcPr>
          <w:p w14:paraId="04D816FA">
            <w:pPr>
              <w:jc w:val="center"/>
              <w:rPr>
                <w:sz w:val="21"/>
                <w:szCs w:val="21"/>
              </w:rPr>
            </w:pPr>
            <w:r>
              <w:rPr>
                <w:sz w:val="21"/>
                <w:szCs w:val="21"/>
              </w:rPr>
              <w:t>1小时平均</w:t>
            </w:r>
          </w:p>
        </w:tc>
        <w:tc>
          <w:tcPr>
            <w:tcW w:w="1114" w:type="dxa"/>
            <w:tcBorders>
              <w:tl2br w:val="nil"/>
              <w:tr2bl w:val="nil"/>
            </w:tcBorders>
            <w:vAlign w:val="center"/>
          </w:tcPr>
          <w:p w14:paraId="7BF1EDD8">
            <w:pPr>
              <w:jc w:val="center"/>
              <w:rPr>
                <w:sz w:val="21"/>
                <w:szCs w:val="21"/>
              </w:rPr>
            </w:pPr>
            <w:r>
              <w:rPr>
                <w:sz w:val="21"/>
                <w:szCs w:val="21"/>
              </w:rPr>
              <w:t>200</w:t>
            </w:r>
          </w:p>
        </w:tc>
        <w:tc>
          <w:tcPr>
            <w:tcW w:w="889" w:type="dxa"/>
            <w:vMerge w:val="continue"/>
            <w:tcBorders>
              <w:tl2br w:val="nil"/>
              <w:tr2bl w:val="nil"/>
            </w:tcBorders>
            <w:vAlign w:val="center"/>
          </w:tcPr>
          <w:p w14:paraId="23580EB8">
            <w:pPr>
              <w:jc w:val="center"/>
              <w:rPr>
                <w:sz w:val="21"/>
                <w:szCs w:val="21"/>
              </w:rPr>
            </w:pPr>
          </w:p>
        </w:tc>
        <w:tc>
          <w:tcPr>
            <w:tcW w:w="2343" w:type="dxa"/>
            <w:vMerge w:val="restart"/>
            <w:tcBorders>
              <w:tl2br w:val="nil"/>
              <w:tr2bl w:val="nil"/>
            </w:tcBorders>
            <w:vAlign w:val="center"/>
          </w:tcPr>
          <w:p w14:paraId="0604C06C">
            <w:pPr>
              <w:jc w:val="center"/>
              <w:rPr>
                <w:sz w:val="21"/>
                <w:szCs w:val="21"/>
              </w:rPr>
            </w:pPr>
            <w:r>
              <w:rPr>
                <w:sz w:val="21"/>
                <w:szCs w:val="21"/>
              </w:rPr>
              <w:t>《环境影响评价技术导则 大气环境》</w:t>
            </w:r>
          </w:p>
          <w:p w14:paraId="179D84FB">
            <w:pPr>
              <w:jc w:val="center"/>
              <w:rPr>
                <w:sz w:val="21"/>
                <w:szCs w:val="21"/>
                <w:lang w:eastAsia="en-US"/>
              </w:rPr>
            </w:pPr>
            <w:r>
              <w:rPr>
                <w:sz w:val="21"/>
                <w:szCs w:val="21"/>
              </w:rPr>
              <w:t>（HJ2.2-2018）附录D</w:t>
            </w:r>
          </w:p>
        </w:tc>
      </w:tr>
      <w:tr w14:paraId="63547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l2br w:val="nil"/>
              <w:tr2bl w:val="nil"/>
            </w:tcBorders>
            <w:vAlign w:val="center"/>
          </w:tcPr>
          <w:p w14:paraId="156216F6">
            <w:pPr>
              <w:jc w:val="center"/>
              <w:rPr>
                <w:rFonts w:hint="default" w:eastAsia="宋体"/>
                <w:sz w:val="21"/>
                <w:szCs w:val="21"/>
                <w:lang w:val="en-US" w:eastAsia="zh-CN"/>
              </w:rPr>
            </w:pPr>
            <w:r>
              <w:rPr>
                <w:rFonts w:hint="eastAsia"/>
                <w:sz w:val="21"/>
                <w:szCs w:val="21"/>
                <w:lang w:val="en-US" w:eastAsia="zh-CN"/>
              </w:rPr>
              <w:t>8</w:t>
            </w:r>
          </w:p>
        </w:tc>
        <w:tc>
          <w:tcPr>
            <w:tcW w:w="1618" w:type="dxa"/>
            <w:tcBorders>
              <w:tl2br w:val="nil"/>
              <w:tr2bl w:val="nil"/>
            </w:tcBorders>
            <w:vAlign w:val="center"/>
          </w:tcPr>
          <w:p w14:paraId="16B95754">
            <w:pPr>
              <w:jc w:val="center"/>
              <w:rPr>
                <w:rFonts w:hint="default" w:eastAsia="宋体"/>
                <w:sz w:val="21"/>
                <w:szCs w:val="21"/>
                <w:lang w:val="en-US" w:eastAsia="zh-CN"/>
              </w:rPr>
            </w:pPr>
            <w:r>
              <w:rPr>
                <w:rFonts w:hint="eastAsia"/>
                <w:sz w:val="21"/>
                <w:szCs w:val="21"/>
                <w:lang w:val="en-US" w:eastAsia="zh-CN"/>
              </w:rPr>
              <w:t>H</w:t>
            </w:r>
            <w:r>
              <w:rPr>
                <w:rFonts w:hint="eastAsia"/>
                <w:sz w:val="21"/>
                <w:szCs w:val="21"/>
                <w:vertAlign w:val="subscript"/>
                <w:lang w:val="en-US" w:eastAsia="zh-CN"/>
              </w:rPr>
              <w:t>2</w:t>
            </w:r>
            <w:r>
              <w:rPr>
                <w:rFonts w:hint="eastAsia"/>
                <w:sz w:val="21"/>
                <w:szCs w:val="21"/>
                <w:lang w:val="en-US" w:eastAsia="zh-CN"/>
              </w:rPr>
              <w:t>S</w:t>
            </w:r>
          </w:p>
        </w:tc>
        <w:tc>
          <w:tcPr>
            <w:tcW w:w="1860" w:type="dxa"/>
            <w:tcBorders>
              <w:tl2br w:val="nil"/>
              <w:tr2bl w:val="nil"/>
            </w:tcBorders>
            <w:vAlign w:val="center"/>
          </w:tcPr>
          <w:p w14:paraId="0C9373D5">
            <w:pPr>
              <w:jc w:val="center"/>
              <w:rPr>
                <w:sz w:val="21"/>
                <w:szCs w:val="21"/>
              </w:rPr>
            </w:pPr>
            <w:r>
              <w:rPr>
                <w:sz w:val="21"/>
                <w:szCs w:val="21"/>
              </w:rPr>
              <w:t>1小时平均</w:t>
            </w:r>
          </w:p>
        </w:tc>
        <w:tc>
          <w:tcPr>
            <w:tcW w:w="1114" w:type="dxa"/>
            <w:tcBorders>
              <w:tl2br w:val="nil"/>
              <w:tr2bl w:val="nil"/>
            </w:tcBorders>
            <w:vAlign w:val="center"/>
          </w:tcPr>
          <w:p w14:paraId="680FC472">
            <w:pPr>
              <w:jc w:val="center"/>
              <w:rPr>
                <w:sz w:val="21"/>
                <w:szCs w:val="21"/>
              </w:rPr>
            </w:pPr>
            <w:r>
              <w:rPr>
                <w:rFonts w:hint="eastAsia"/>
                <w:sz w:val="21"/>
                <w:szCs w:val="21"/>
                <w:lang w:val="en-US" w:eastAsia="zh-CN"/>
              </w:rPr>
              <w:t>1</w:t>
            </w:r>
            <w:r>
              <w:rPr>
                <w:sz w:val="21"/>
                <w:szCs w:val="21"/>
              </w:rPr>
              <w:t>0</w:t>
            </w:r>
          </w:p>
        </w:tc>
        <w:tc>
          <w:tcPr>
            <w:tcW w:w="889" w:type="dxa"/>
            <w:vMerge w:val="continue"/>
            <w:tcBorders>
              <w:tl2br w:val="nil"/>
              <w:tr2bl w:val="nil"/>
            </w:tcBorders>
            <w:vAlign w:val="center"/>
          </w:tcPr>
          <w:p w14:paraId="68018746">
            <w:pPr>
              <w:jc w:val="center"/>
              <w:rPr>
                <w:sz w:val="21"/>
                <w:szCs w:val="21"/>
              </w:rPr>
            </w:pPr>
          </w:p>
        </w:tc>
        <w:tc>
          <w:tcPr>
            <w:tcW w:w="2343" w:type="dxa"/>
            <w:vMerge w:val="continue"/>
            <w:tcBorders>
              <w:tl2br w:val="nil"/>
              <w:tr2bl w:val="nil"/>
            </w:tcBorders>
            <w:vAlign w:val="center"/>
          </w:tcPr>
          <w:p w14:paraId="0203212B">
            <w:pPr>
              <w:jc w:val="center"/>
              <w:rPr>
                <w:sz w:val="21"/>
                <w:szCs w:val="21"/>
              </w:rPr>
            </w:pPr>
          </w:p>
        </w:tc>
      </w:tr>
      <w:tr w14:paraId="24819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l2br w:val="nil"/>
              <w:tr2bl w:val="nil"/>
            </w:tcBorders>
            <w:vAlign w:val="center"/>
          </w:tcPr>
          <w:p w14:paraId="0EA15BF5">
            <w:pPr>
              <w:jc w:val="center"/>
              <w:rPr>
                <w:rFonts w:hint="default"/>
                <w:sz w:val="21"/>
                <w:szCs w:val="21"/>
                <w:lang w:val="en-US" w:eastAsia="zh-CN"/>
              </w:rPr>
            </w:pPr>
            <w:r>
              <w:rPr>
                <w:rFonts w:hint="eastAsia"/>
                <w:sz w:val="21"/>
                <w:szCs w:val="21"/>
                <w:lang w:val="en-US" w:eastAsia="zh-CN"/>
              </w:rPr>
              <w:t>9</w:t>
            </w:r>
          </w:p>
        </w:tc>
        <w:tc>
          <w:tcPr>
            <w:tcW w:w="1618" w:type="dxa"/>
            <w:tcBorders>
              <w:tl2br w:val="nil"/>
              <w:tr2bl w:val="nil"/>
            </w:tcBorders>
            <w:vAlign w:val="center"/>
          </w:tcPr>
          <w:p w14:paraId="22694833">
            <w:pPr>
              <w:jc w:val="center"/>
              <w:rPr>
                <w:rFonts w:hint="default"/>
                <w:sz w:val="21"/>
                <w:szCs w:val="21"/>
                <w:lang w:val="en-US" w:eastAsia="zh-CN"/>
              </w:rPr>
            </w:pPr>
            <w:r>
              <w:rPr>
                <w:rFonts w:hint="eastAsia"/>
                <w:sz w:val="21"/>
                <w:szCs w:val="21"/>
                <w:lang w:val="en-US" w:eastAsia="zh-CN"/>
              </w:rPr>
              <w:t>NMHC</w:t>
            </w:r>
          </w:p>
        </w:tc>
        <w:tc>
          <w:tcPr>
            <w:tcW w:w="1860" w:type="dxa"/>
            <w:tcBorders>
              <w:tl2br w:val="nil"/>
              <w:tr2bl w:val="nil"/>
            </w:tcBorders>
            <w:vAlign w:val="center"/>
          </w:tcPr>
          <w:p w14:paraId="5AD46707">
            <w:pPr>
              <w:jc w:val="center"/>
              <w:rPr>
                <w:sz w:val="21"/>
                <w:szCs w:val="21"/>
              </w:rPr>
            </w:pPr>
            <w:r>
              <w:rPr>
                <w:sz w:val="21"/>
                <w:szCs w:val="21"/>
              </w:rPr>
              <w:t>1小时平均</w:t>
            </w:r>
          </w:p>
        </w:tc>
        <w:tc>
          <w:tcPr>
            <w:tcW w:w="1114" w:type="dxa"/>
            <w:tcBorders>
              <w:tl2br w:val="nil"/>
              <w:tr2bl w:val="nil"/>
            </w:tcBorders>
            <w:vAlign w:val="center"/>
          </w:tcPr>
          <w:p w14:paraId="65FF14C7">
            <w:pPr>
              <w:jc w:val="center"/>
              <w:rPr>
                <w:rFonts w:hint="eastAsia" w:ascii="Times New Roman" w:hAnsi="Times New Roman" w:eastAsia="宋体" w:cs="Times New Roman"/>
                <w:sz w:val="21"/>
                <w:szCs w:val="21"/>
                <w:lang w:val="en-US" w:eastAsia="zh-CN"/>
              </w:rPr>
            </w:pPr>
            <w:r>
              <w:rPr>
                <w:rFonts w:ascii="Times New Roman" w:hAnsi="Times New Roman" w:eastAsia="宋体" w:cs="Times New Roman"/>
                <w:sz w:val="21"/>
                <w:szCs w:val="21"/>
              </w:rPr>
              <w:t>2000.0</w:t>
            </w:r>
          </w:p>
        </w:tc>
        <w:tc>
          <w:tcPr>
            <w:tcW w:w="889" w:type="dxa"/>
            <w:tcBorders>
              <w:tl2br w:val="nil"/>
              <w:tr2bl w:val="nil"/>
            </w:tcBorders>
            <w:vAlign w:val="center"/>
          </w:tcPr>
          <w:p w14:paraId="29C09125">
            <w:pPr>
              <w:jc w:val="center"/>
              <w:rPr>
                <w:rFonts w:ascii="Times New Roman" w:hAnsi="Times New Roman" w:eastAsia="宋体" w:cs="Times New Roman"/>
                <w:sz w:val="21"/>
                <w:szCs w:val="21"/>
              </w:rPr>
            </w:pPr>
            <w:r>
              <w:rPr>
                <w:rFonts w:ascii="Times New Roman" w:hAnsi="Times New Roman" w:eastAsia="宋体" w:cs="Times New Roman"/>
                <w:sz w:val="21"/>
                <w:szCs w:val="21"/>
              </w:rPr>
              <w:t>μg/m</w:t>
            </w:r>
            <w:r>
              <w:rPr>
                <w:rFonts w:ascii="Times New Roman" w:hAnsi="Times New Roman" w:eastAsia="宋体" w:cs="Times New Roman"/>
                <w:sz w:val="21"/>
                <w:szCs w:val="21"/>
                <w:vertAlign w:val="superscript"/>
              </w:rPr>
              <w:t>3</w:t>
            </w:r>
          </w:p>
        </w:tc>
        <w:tc>
          <w:tcPr>
            <w:tcW w:w="2343" w:type="dxa"/>
            <w:tcBorders>
              <w:tl2br w:val="nil"/>
              <w:tr2bl w:val="nil"/>
            </w:tcBorders>
            <w:vAlign w:val="center"/>
          </w:tcPr>
          <w:p w14:paraId="315AA4D3">
            <w:pPr>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参照</w:t>
            </w:r>
            <w:r>
              <w:rPr>
                <w:rFonts w:hint="eastAsia" w:cs="Times New Roman"/>
                <w:sz w:val="21"/>
                <w:szCs w:val="21"/>
                <w:lang w:eastAsia="zh-CN"/>
              </w:rPr>
              <w:t>《环境空气质量 非甲烷总烃限值》（DB13/1577-2012）二级标准限值</w:t>
            </w:r>
          </w:p>
        </w:tc>
      </w:tr>
      <w:tr w14:paraId="4A9C7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5" w:type="dxa"/>
            <w:tcBorders>
              <w:tl2br w:val="nil"/>
              <w:tr2bl w:val="nil"/>
            </w:tcBorders>
            <w:vAlign w:val="center"/>
          </w:tcPr>
          <w:p w14:paraId="6579B38D">
            <w:pPr>
              <w:jc w:val="center"/>
              <w:rPr>
                <w:rFonts w:hint="default"/>
                <w:sz w:val="21"/>
                <w:szCs w:val="21"/>
                <w:lang w:val="en-US" w:eastAsia="zh-CN"/>
              </w:rPr>
            </w:pPr>
            <w:r>
              <w:rPr>
                <w:rFonts w:hint="eastAsia"/>
                <w:sz w:val="21"/>
                <w:szCs w:val="21"/>
                <w:lang w:val="en-US" w:eastAsia="zh-CN"/>
              </w:rPr>
              <w:t>10</w:t>
            </w:r>
          </w:p>
        </w:tc>
        <w:tc>
          <w:tcPr>
            <w:tcW w:w="1618" w:type="dxa"/>
            <w:tcBorders>
              <w:tl2br w:val="nil"/>
              <w:tr2bl w:val="nil"/>
            </w:tcBorders>
            <w:vAlign w:val="center"/>
          </w:tcPr>
          <w:p w14:paraId="3203EDF2">
            <w:pPr>
              <w:jc w:val="center"/>
              <w:rPr>
                <w:rFonts w:hint="default"/>
                <w:sz w:val="21"/>
                <w:szCs w:val="21"/>
                <w:lang w:val="en-US" w:eastAsia="zh-CN"/>
              </w:rPr>
            </w:pPr>
            <w:r>
              <w:rPr>
                <w:rFonts w:hint="eastAsia"/>
                <w:sz w:val="21"/>
                <w:szCs w:val="21"/>
                <w:lang w:val="en-US" w:eastAsia="zh-CN"/>
              </w:rPr>
              <w:t>TSP</w:t>
            </w:r>
          </w:p>
        </w:tc>
        <w:tc>
          <w:tcPr>
            <w:tcW w:w="1860" w:type="dxa"/>
            <w:tcBorders>
              <w:tl2br w:val="nil"/>
              <w:tr2bl w:val="nil"/>
            </w:tcBorders>
            <w:vAlign w:val="center"/>
          </w:tcPr>
          <w:p w14:paraId="4D590B51">
            <w:pPr>
              <w:jc w:val="center"/>
              <w:rPr>
                <w:rFonts w:hint="default" w:eastAsia="宋体"/>
                <w:sz w:val="21"/>
                <w:szCs w:val="21"/>
                <w:lang w:val="en-US" w:eastAsia="zh-CN"/>
              </w:rPr>
            </w:pPr>
            <w:r>
              <w:rPr>
                <w:rFonts w:hint="eastAsia"/>
                <w:sz w:val="21"/>
                <w:szCs w:val="21"/>
                <w:lang w:val="en-US" w:eastAsia="zh-CN"/>
              </w:rPr>
              <w:t>日平均</w:t>
            </w:r>
          </w:p>
        </w:tc>
        <w:tc>
          <w:tcPr>
            <w:tcW w:w="1114" w:type="dxa"/>
            <w:tcBorders>
              <w:tl2br w:val="nil"/>
              <w:tr2bl w:val="nil"/>
            </w:tcBorders>
            <w:vAlign w:val="center"/>
          </w:tcPr>
          <w:p w14:paraId="4487C059">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300</w:t>
            </w:r>
          </w:p>
        </w:tc>
        <w:tc>
          <w:tcPr>
            <w:tcW w:w="889" w:type="dxa"/>
            <w:tcBorders>
              <w:tl2br w:val="nil"/>
              <w:tr2bl w:val="nil"/>
            </w:tcBorders>
            <w:vAlign w:val="center"/>
          </w:tcPr>
          <w:p w14:paraId="32B3CABB">
            <w:pPr>
              <w:jc w:val="center"/>
              <w:rPr>
                <w:rFonts w:ascii="Times New Roman" w:hAnsi="Times New Roman" w:eastAsia="宋体" w:cs="Times New Roman"/>
                <w:sz w:val="21"/>
                <w:szCs w:val="21"/>
              </w:rPr>
            </w:pPr>
            <w:r>
              <w:rPr>
                <w:rFonts w:ascii="Times New Roman" w:hAnsi="Times New Roman" w:eastAsia="宋体" w:cs="Times New Roman"/>
                <w:sz w:val="21"/>
                <w:szCs w:val="21"/>
              </w:rPr>
              <w:t>μg/m</w:t>
            </w:r>
            <w:r>
              <w:rPr>
                <w:rFonts w:ascii="Times New Roman" w:hAnsi="Times New Roman" w:eastAsia="宋体" w:cs="Times New Roman"/>
                <w:sz w:val="21"/>
                <w:szCs w:val="21"/>
                <w:vertAlign w:val="superscript"/>
              </w:rPr>
              <w:t>3</w:t>
            </w:r>
          </w:p>
        </w:tc>
        <w:tc>
          <w:tcPr>
            <w:tcW w:w="2343" w:type="dxa"/>
            <w:tcBorders>
              <w:tl2br w:val="nil"/>
              <w:tr2bl w:val="nil"/>
            </w:tcBorders>
            <w:vAlign w:val="center"/>
          </w:tcPr>
          <w:p w14:paraId="59E61479">
            <w:pPr>
              <w:jc w:val="center"/>
              <w:rPr>
                <w:sz w:val="21"/>
                <w:szCs w:val="21"/>
              </w:rPr>
            </w:pPr>
            <w:r>
              <w:rPr>
                <w:sz w:val="21"/>
                <w:szCs w:val="21"/>
              </w:rPr>
              <w:t>《环境空气质量标准》</w:t>
            </w:r>
          </w:p>
          <w:p w14:paraId="016D6E2A">
            <w:pPr>
              <w:jc w:val="center"/>
              <w:rPr>
                <w:rFonts w:hint="eastAsia" w:eastAsia="宋体"/>
                <w:sz w:val="21"/>
                <w:szCs w:val="21"/>
                <w:lang w:eastAsia="zh-CN"/>
              </w:rPr>
            </w:pPr>
            <w:r>
              <w:rPr>
                <w:rFonts w:hint="eastAsia"/>
                <w:sz w:val="21"/>
                <w:szCs w:val="21"/>
                <w:lang w:eastAsia="zh-CN"/>
              </w:rPr>
              <w:t>（GB3095-2026）</w:t>
            </w:r>
          </w:p>
          <w:p w14:paraId="07E96AD6">
            <w:pPr>
              <w:jc w:val="center"/>
              <w:rPr>
                <w:rFonts w:hint="eastAsia" w:ascii="Times New Roman" w:hAnsi="Times New Roman" w:eastAsia="宋体" w:cs="Times New Roman"/>
                <w:sz w:val="21"/>
                <w:szCs w:val="21"/>
              </w:rPr>
            </w:pPr>
            <w:r>
              <w:rPr>
                <w:sz w:val="21"/>
                <w:szCs w:val="21"/>
              </w:rPr>
              <w:t>二级</w:t>
            </w:r>
            <w:r>
              <w:rPr>
                <w:rFonts w:hint="eastAsia"/>
                <w:sz w:val="21"/>
                <w:szCs w:val="21"/>
                <w:lang w:val="en-US" w:eastAsia="zh-CN"/>
              </w:rPr>
              <w:t>浓度限值</w:t>
            </w:r>
            <w:r>
              <w:rPr>
                <w:sz w:val="21"/>
                <w:szCs w:val="21"/>
              </w:rPr>
              <w:t>标准</w:t>
            </w:r>
          </w:p>
        </w:tc>
      </w:tr>
    </w:tbl>
    <w:p w14:paraId="59D97CBC">
      <w:pPr>
        <w:spacing w:line="360" w:lineRule="auto"/>
        <w:ind w:firstLine="480" w:firstLineChars="200"/>
      </w:pPr>
      <w:r>
        <w:t>（2）地表水</w:t>
      </w:r>
    </w:p>
    <w:p w14:paraId="64894D98">
      <w:pPr>
        <w:spacing w:line="360" w:lineRule="auto"/>
        <w:ind w:firstLine="540"/>
      </w:pPr>
      <w:r>
        <w:t>地表水执行国家《地表水环境质量标准》（GB3838-2002）中的</w:t>
      </w:r>
      <w:r>
        <w:rPr>
          <w:bCs/>
        </w:rPr>
        <w:fldChar w:fldCharType="begin"/>
      </w:r>
      <w:r>
        <w:rPr>
          <w:bCs/>
        </w:rPr>
        <w:instrText xml:space="preserve"> = 3 \* ROMAN \* MERGEFORMAT </w:instrText>
      </w:r>
      <w:r>
        <w:rPr>
          <w:bCs/>
        </w:rPr>
        <w:fldChar w:fldCharType="separate"/>
      </w:r>
      <w:r>
        <w:rPr>
          <w:bCs/>
        </w:rPr>
        <w:t>III</w:t>
      </w:r>
      <w:r>
        <w:rPr>
          <w:bCs/>
        </w:rPr>
        <w:fldChar w:fldCharType="end"/>
      </w:r>
      <w:r>
        <w:t>类标准。</w:t>
      </w:r>
    </w:p>
    <w:p w14:paraId="66833086">
      <w:pPr>
        <w:spacing w:line="360" w:lineRule="auto"/>
        <w:jc w:val="center"/>
        <w:rPr>
          <w:b/>
        </w:rPr>
      </w:pPr>
    </w:p>
    <w:p w14:paraId="2F7FA7F6">
      <w:pPr>
        <w:spacing w:line="360" w:lineRule="auto"/>
        <w:jc w:val="center"/>
        <w:rPr>
          <w:b/>
        </w:rPr>
      </w:pPr>
    </w:p>
    <w:p w14:paraId="45F0BA85">
      <w:pPr>
        <w:spacing w:line="360" w:lineRule="auto"/>
        <w:jc w:val="center"/>
        <w:rPr>
          <w:b/>
        </w:rPr>
      </w:pPr>
      <w:r>
        <w:rPr>
          <w:b/>
        </w:rPr>
        <w:t>表2.3-3  《地表水环境质量标准》（GB3838-2002）（单位：mg/L  pH除外）</w:t>
      </w:r>
    </w:p>
    <w:tbl>
      <w:tblPr>
        <w:tblStyle w:val="53"/>
        <w:tblW w:w="86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9"/>
        <w:gridCol w:w="2085"/>
        <w:gridCol w:w="1485"/>
        <w:gridCol w:w="879"/>
        <w:gridCol w:w="1935"/>
        <w:gridCol w:w="1626"/>
      </w:tblGrid>
      <w:tr w14:paraId="38BFC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9" w:type="dxa"/>
            <w:tcBorders>
              <w:tl2br w:val="nil"/>
              <w:tr2bl w:val="nil"/>
            </w:tcBorders>
            <w:vAlign w:val="center"/>
          </w:tcPr>
          <w:p w14:paraId="52096EAC">
            <w:pPr>
              <w:pStyle w:val="464"/>
              <w:rPr>
                <w:b/>
                <w:sz w:val="21"/>
                <w:szCs w:val="21"/>
              </w:rPr>
            </w:pPr>
            <w:r>
              <w:rPr>
                <w:b/>
                <w:sz w:val="21"/>
                <w:szCs w:val="21"/>
              </w:rPr>
              <w:t>序号</w:t>
            </w:r>
          </w:p>
        </w:tc>
        <w:tc>
          <w:tcPr>
            <w:tcW w:w="2085" w:type="dxa"/>
            <w:tcBorders>
              <w:tl2br w:val="nil"/>
              <w:tr2bl w:val="nil"/>
            </w:tcBorders>
            <w:vAlign w:val="center"/>
          </w:tcPr>
          <w:p w14:paraId="76795898">
            <w:pPr>
              <w:pStyle w:val="464"/>
              <w:rPr>
                <w:b/>
                <w:sz w:val="21"/>
                <w:szCs w:val="21"/>
              </w:rPr>
            </w:pPr>
            <w:r>
              <w:rPr>
                <w:b/>
                <w:sz w:val="21"/>
                <w:szCs w:val="21"/>
              </w:rPr>
              <w:t>监测项目</w:t>
            </w:r>
          </w:p>
        </w:tc>
        <w:tc>
          <w:tcPr>
            <w:tcW w:w="1485" w:type="dxa"/>
            <w:tcBorders>
              <w:tl2br w:val="nil"/>
              <w:tr2bl w:val="nil"/>
            </w:tcBorders>
            <w:vAlign w:val="center"/>
          </w:tcPr>
          <w:p w14:paraId="6D12B9DC">
            <w:pPr>
              <w:jc w:val="center"/>
              <w:rPr>
                <w:b/>
                <w:sz w:val="21"/>
                <w:szCs w:val="21"/>
              </w:rPr>
            </w:pPr>
            <w:r>
              <w:rPr>
                <w:b/>
                <w:sz w:val="21"/>
                <w:szCs w:val="21"/>
              </w:rPr>
              <w:t>标准</w:t>
            </w:r>
            <w:r>
              <w:rPr>
                <w:b/>
                <w:sz w:val="21"/>
                <w:szCs w:val="21"/>
              </w:rPr>
              <w:fldChar w:fldCharType="begin"/>
            </w:r>
            <w:r>
              <w:rPr>
                <w:b/>
                <w:sz w:val="21"/>
                <w:szCs w:val="21"/>
              </w:rPr>
              <w:instrText xml:space="preserve"> = 3 \* ROMAN \* MERGEFORMAT </w:instrText>
            </w:r>
            <w:r>
              <w:rPr>
                <w:b/>
                <w:sz w:val="21"/>
                <w:szCs w:val="21"/>
              </w:rPr>
              <w:fldChar w:fldCharType="separate"/>
            </w:r>
            <w:r>
              <w:rPr>
                <w:b/>
                <w:sz w:val="21"/>
                <w:szCs w:val="21"/>
              </w:rPr>
              <w:t>III</w:t>
            </w:r>
            <w:r>
              <w:rPr>
                <w:b/>
                <w:sz w:val="21"/>
                <w:szCs w:val="21"/>
              </w:rPr>
              <w:fldChar w:fldCharType="end"/>
            </w:r>
            <w:r>
              <w:rPr>
                <w:b/>
                <w:sz w:val="21"/>
                <w:szCs w:val="21"/>
              </w:rPr>
              <w:t>类</w:t>
            </w:r>
          </w:p>
        </w:tc>
        <w:tc>
          <w:tcPr>
            <w:tcW w:w="879" w:type="dxa"/>
            <w:tcBorders>
              <w:tl2br w:val="nil"/>
              <w:tr2bl w:val="nil"/>
            </w:tcBorders>
            <w:vAlign w:val="center"/>
          </w:tcPr>
          <w:p w14:paraId="7A348CBE">
            <w:pPr>
              <w:jc w:val="center"/>
              <w:rPr>
                <w:b/>
                <w:sz w:val="21"/>
                <w:szCs w:val="21"/>
              </w:rPr>
            </w:pPr>
            <w:r>
              <w:rPr>
                <w:b/>
                <w:sz w:val="21"/>
                <w:szCs w:val="21"/>
              </w:rPr>
              <w:t>序号</w:t>
            </w:r>
          </w:p>
        </w:tc>
        <w:tc>
          <w:tcPr>
            <w:tcW w:w="1935" w:type="dxa"/>
            <w:tcBorders>
              <w:tl2br w:val="nil"/>
              <w:tr2bl w:val="nil"/>
            </w:tcBorders>
            <w:vAlign w:val="center"/>
          </w:tcPr>
          <w:p w14:paraId="5A880062">
            <w:pPr>
              <w:pStyle w:val="464"/>
              <w:rPr>
                <w:b/>
                <w:sz w:val="21"/>
                <w:szCs w:val="21"/>
              </w:rPr>
            </w:pPr>
            <w:r>
              <w:rPr>
                <w:b/>
                <w:sz w:val="21"/>
                <w:szCs w:val="21"/>
              </w:rPr>
              <w:t>监测项目</w:t>
            </w:r>
          </w:p>
        </w:tc>
        <w:tc>
          <w:tcPr>
            <w:tcW w:w="1626" w:type="dxa"/>
            <w:tcBorders>
              <w:tl2br w:val="nil"/>
              <w:tr2bl w:val="nil"/>
            </w:tcBorders>
            <w:vAlign w:val="center"/>
          </w:tcPr>
          <w:p w14:paraId="3CCFDA9B">
            <w:pPr>
              <w:jc w:val="center"/>
              <w:rPr>
                <w:b/>
                <w:sz w:val="21"/>
                <w:szCs w:val="21"/>
              </w:rPr>
            </w:pPr>
            <w:r>
              <w:rPr>
                <w:b/>
                <w:sz w:val="21"/>
                <w:szCs w:val="21"/>
              </w:rPr>
              <w:t>标准</w:t>
            </w:r>
            <w:r>
              <w:rPr>
                <w:b/>
                <w:sz w:val="21"/>
                <w:szCs w:val="21"/>
              </w:rPr>
              <w:fldChar w:fldCharType="begin"/>
            </w:r>
            <w:r>
              <w:rPr>
                <w:b/>
                <w:sz w:val="21"/>
                <w:szCs w:val="21"/>
              </w:rPr>
              <w:instrText xml:space="preserve"> = 3 \* ROMAN \* MERGEFORMAT </w:instrText>
            </w:r>
            <w:r>
              <w:rPr>
                <w:b/>
                <w:sz w:val="21"/>
                <w:szCs w:val="21"/>
              </w:rPr>
              <w:fldChar w:fldCharType="separate"/>
            </w:r>
            <w:r>
              <w:rPr>
                <w:b/>
                <w:sz w:val="21"/>
                <w:szCs w:val="21"/>
              </w:rPr>
              <w:t>III</w:t>
            </w:r>
            <w:r>
              <w:rPr>
                <w:b/>
                <w:sz w:val="21"/>
                <w:szCs w:val="21"/>
              </w:rPr>
              <w:fldChar w:fldCharType="end"/>
            </w:r>
            <w:r>
              <w:rPr>
                <w:b/>
                <w:sz w:val="21"/>
                <w:szCs w:val="21"/>
              </w:rPr>
              <w:t>类</w:t>
            </w:r>
          </w:p>
        </w:tc>
      </w:tr>
      <w:tr w14:paraId="10207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9" w:type="dxa"/>
            <w:tcBorders>
              <w:tl2br w:val="nil"/>
              <w:tr2bl w:val="nil"/>
            </w:tcBorders>
            <w:vAlign w:val="center"/>
          </w:tcPr>
          <w:p w14:paraId="61D473C2">
            <w:pPr>
              <w:jc w:val="center"/>
              <w:rPr>
                <w:sz w:val="21"/>
                <w:szCs w:val="21"/>
              </w:rPr>
            </w:pPr>
            <w:r>
              <w:rPr>
                <w:sz w:val="21"/>
                <w:szCs w:val="21"/>
              </w:rPr>
              <w:t>1</w:t>
            </w:r>
          </w:p>
        </w:tc>
        <w:tc>
          <w:tcPr>
            <w:tcW w:w="2085" w:type="dxa"/>
            <w:tcBorders>
              <w:tl2br w:val="nil"/>
              <w:tr2bl w:val="nil"/>
            </w:tcBorders>
            <w:vAlign w:val="center"/>
          </w:tcPr>
          <w:p w14:paraId="6FDA6694">
            <w:pPr>
              <w:jc w:val="center"/>
              <w:rPr>
                <w:sz w:val="21"/>
                <w:szCs w:val="21"/>
              </w:rPr>
            </w:pPr>
            <w:r>
              <w:rPr>
                <w:sz w:val="21"/>
                <w:szCs w:val="21"/>
              </w:rPr>
              <w:t>pH[无量纲]</w:t>
            </w:r>
          </w:p>
        </w:tc>
        <w:tc>
          <w:tcPr>
            <w:tcW w:w="1485" w:type="dxa"/>
            <w:tcBorders>
              <w:tl2br w:val="nil"/>
              <w:tr2bl w:val="nil"/>
            </w:tcBorders>
            <w:vAlign w:val="center"/>
          </w:tcPr>
          <w:p w14:paraId="00A3EB85">
            <w:pPr>
              <w:jc w:val="center"/>
              <w:rPr>
                <w:sz w:val="21"/>
                <w:szCs w:val="21"/>
              </w:rPr>
            </w:pPr>
            <w:r>
              <w:rPr>
                <w:sz w:val="21"/>
                <w:szCs w:val="21"/>
              </w:rPr>
              <w:t>6-9</w:t>
            </w:r>
          </w:p>
        </w:tc>
        <w:tc>
          <w:tcPr>
            <w:tcW w:w="879" w:type="dxa"/>
            <w:tcBorders>
              <w:tl2br w:val="nil"/>
              <w:tr2bl w:val="nil"/>
            </w:tcBorders>
            <w:shd w:val="clear" w:color="auto" w:fill="auto"/>
            <w:vAlign w:val="center"/>
          </w:tcPr>
          <w:p w14:paraId="5BA7C961">
            <w:pPr>
              <w:jc w:val="center"/>
              <w:rPr>
                <w:rFonts w:hint="default" w:ascii="Times New Roman" w:hAnsi="Times New Roman" w:eastAsia="宋体" w:cs="Times New Roman"/>
                <w:sz w:val="21"/>
                <w:szCs w:val="21"/>
                <w:lang w:val="en-US" w:eastAsia="zh-CN" w:bidi="ar-SA"/>
              </w:rPr>
            </w:pPr>
            <w:r>
              <w:rPr>
                <w:rFonts w:hint="eastAsia"/>
                <w:sz w:val="21"/>
                <w:szCs w:val="21"/>
                <w:lang w:val="en-US" w:eastAsia="zh-CN"/>
              </w:rPr>
              <w:t>7</w:t>
            </w:r>
          </w:p>
        </w:tc>
        <w:tc>
          <w:tcPr>
            <w:tcW w:w="1935" w:type="dxa"/>
            <w:tcBorders>
              <w:tl2br w:val="nil"/>
              <w:tr2bl w:val="nil"/>
            </w:tcBorders>
            <w:shd w:val="clear" w:color="auto" w:fill="auto"/>
            <w:vAlign w:val="center"/>
          </w:tcPr>
          <w:p w14:paraId="0E6D7046">
            <w:pPr>
              <w:jc w:val="center"/>
              <w:rPr>
                <w:rFonts w:ascii="Times New Roman" w:hAnsi="Times New Roman" w:eastAsia="宋体" w:cs="Times New Roman"/>
                <w:sz w:val="21"/>
                <w:szCs w:val="21"/>
                <w:lang w:val="en-US" w:eastAsia="zh-CN" w:bidi="ar-SA"/>
              </w:rPr>
            </w:pPr>
            <w:r>
              <w:rPr>
                <w:rFonts w:hint="eastAsia"/>
                <w:sz w:val="21"/>
                <w:szCs w:val="21"/>
                <w:lang w:val="en-US" w:eastAsia="zh-CN"/>
              </w:rPr>
              <w:t>高锰酸盐指数</w:t>
            </w:r>
          </w:p>
        </w:tc>
        <w:tc>
          <w:tcPr>
            <w:tcW w:w="1626" w:type="dxa"/>
            <w:tcBorders>
              <w:tl2br w:val="nil"/>
              <w:tr2bl w:val="nil"/>
            </w:tcBorders>
            <w:shd w:val="clear" w:color="auto" w:fill="auto"/>
            <w:vAlign w:val="center"/>
          </w:tcPr>
          <w:p w14:paraId="3FB2AFE9">
            <w:pPr>
              <w:jc w:val="center"/>
              <w:rPr>
                <w:rFonts w:hint="eastAsia" w:ascii="Times New Roman" w:hAnsi="Times New Roman" w:eastAsia="宋体" w:cs="Times New Roman"/>
                <w:sz w:val="21"/>
                <w:szCs w:val="21"/>
                <w:lang w:val="en-US" w:eastAsia="zh-CN" w:bidi="ar-SA"/>
              </w:rPr>
            </w:pPr>
            <w:r>
              <w:rPr>
                <w:sz w:val="21"/>
                <w:szCs w:val="21"/>
              </w:rPr>
              <w:t>≤</w:t>
            </w:r>
            <w:r>
              <w:rPr>
                <w:rFonts w:hint="eastAsia"/>
                <w:sz w:val="21"/>
                <w:szCs w:val="21"/>
                <w:lang w:val="en-US" w:eastAsia="zh-CN"/>
              </w:rPr>
              <w:t>6</w:t>
            </w:r>
          </w:p>
        </w:tc>
      </w:tr>
      <w:tr w14:paraId="2D769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5" w:hRule="atLeast"/>
          <w:jc w:val="center"/>
        </w:trPr>
        <w:tc>
          <w:tcPr>
            <w:tcW w:w="629" w:type="dxa"/>
            <w:tcBorders>
              <w:tl2br w:val="nil"/>
              <w:tr2bl w:val="nil"/>
            </w:tcBorders>
            <w:vAlign w:val="center"/>
          </w:tcPr>
          <w:p w14:paraId="3EAE8AD6">
            <w:pPr>
              <w:jc w:val="center"/>
              <w:rPr>
                <w:sz w:val="21"/>
                <w:szCs w:val="21"/>
              </w:rPr>
            </w:pPr>
            <w:r>
              <w:rPr>
                <w:sz w:val="21"/>
                <w:szCs w:val="21"/>
              </w:rPr>
              <w:t>2</w:t>
            </w:r>
          </w:p>
        </w:tc>
        <w:tc>
          <w:tcPr>
            <w:tcW w:w="2085" w:type="dxa"/>
            <w:tcBorders>
              <w:tl2br w:val="nil"/>
              <w:tr2bl w:val="nil"/>
            </w:tcBorders>
            <w:vAlign w:val="center"/>
          </w:tcPr>
          <w:p w14:paraId="03FCFE8B">
            <w:pPr>
              <w:jc w:val="center"/>
              <w:rPr>
                <w:sz w:val="21"/>
                <w:szCs w:val="21"/>
              </w:rPr>
            </w:pPr>
            <w:r>
              <w:rPr>
                <w:sz w:val="21"/>
                <w:szCs w:val="21"/>
              </w:rPr>
              <w:t>化学需氧量</w:t>
            </w:r>
          </w:p>
        </w:tc>
        <w:tc>
          <w:tcPr>
            <w:tcW w:w="1485" w:type="dxa"/>
            <w:tcBorders>
              <w:tl2br w:val="nil"/>
              <w:tr2bl w:val="nil"/>
            </w:tcBorders>
            <w:vAlign w:val="center"/>
          </w:tcPr>
          <w:p w14:paraId="68EB6019">
            <w:pPr>
              <w:jc w:val="center"/>
              <w:rPr>
                <w:sz w:val="21"/>
                <w:szCs w:val="21"/>
              </w:rPr>
            </w:pPr>
            <w:r>
              <w:rPr>
                <w:sz w:val="21"/>
                <w:szCs w:val="21"/>
              </w:rPr>
              <w:t>≤</w:t>
            </w:r>
            <w:r>
              <w:rPr>
                <w:rFonts w:hint="eastAsia"/>
                <w:sz w:val="21"/>
                <w:szCs w:val="21"/>
              </w:rPr>
              <w:t>2</w:t>
            </w:r>
            <w:r>
              <w:rPr>
                <w:sz w:val="21"/>
                <w:szCs w:val="21"/>
              </w:rPr>
              <w:t>0</w:t>
            </w:r>
          </w:p>
        </w:tc>
        <w:tc>
          <w:tcPr>
            <w:tcW w:w="879" w:type="dxa"/>
            <w:tcBorders>
              <w:tl2br w:val="nil"/>
              <w:tr2bl w:val="nil"/>
            </w:tcBorders>
            <w:shd w:val="clear" w:color="auto" w:fill="auto"/>
            <w:vAlign w:val="center"/>
          </w:tcPr>
          <w:p w14:paraId="7ACF672F">
            <w:pPr>
              <w:jc w:val="center"/>
              <w:rPr>
                <w:rFonts w:hint="default" w:ascii="Times New Roman" w:hAnsi="Times New Roman" w:eastAsia="宋体" w:cs="Times New Roman"/>
                <w:sz w:val="21"/>
                <w:szCs w:val="21"/>
                <w:lang w:val="en-US" w:eastAsia="zh-CN" w:bidi="ar-SA"/>
              </w:rPr>
            </w:pPr>
            <w:r>
              <w:rPr>
                <w:rFonts w:hint="eastAsia"/>
                <w:sz w:val="21"/>
                <w:szCs w:val="21"/>
                <w:lang w:val="en-US" w:eastAsia="zh-CN"/>
              </w:rPr>
              <w:t>8</w:t>
            </w:r>
          </w:p>
        </w:tc>
        <w:tc>
          <w:tcPr>
            <w:tcW w:w="1935" w:type="dxa"/>
            <w:tcBorders>
              <w:tl2br w:val="nil"/>
              <w:tr2bl w:val="nil"/>
            </w:tcBorders>
            <w:shd w:val="clear" w:color="auto" w:fill="auto"/>
            <w:vAlign w:val="center"/>
          </w:tcPr>
          <w:p w14:paraId="46526BF0">
            <w:pPr>
              <w:jc w:val="center"/>
              <w:rPr>
                <w:rFonts w:ascii="Times New Roman" w:hAnsi="Times New Roman" w:eastAsia="宋体" w:cs="Times New Roman"/>
                <w:sz w:val="21"/>
                <w:szCs w:val="21"/>
                <w:lang w:val="en-US" w:eastAsia="zh-CN" w:bidi="ar-SA"/>
              </w:rPr>
            </w:pPr>
            <w:r>
              <w:rPr>
                <w:rFonts w:hint="eastAsia"/>
                <w:sz w:val="21"/>
                <w:szCs w:val="21"/>
                <w:lang w:val="en-US" w:eastAsia="zh-CN"/>
              </w:rPr>
              <w:t>挥发酚</w:t>
            </w:r>
          </w:p>
        </w:tc>
        <w:tc>
          <w:tcPr>
            <w:tcW w:w="1626" w:type="dxa"/>
            <w:tcBorders>
              <w:tl2br w:val="nil"/>
              <w:tr2bl w:val="nil"/>
            </w:tcBorders>
            <w:shd w:val="clear" w:color="auto" w:fill="auto"/>
            <w:vAlign w:val="center"/>
          </w:tcPr>
          <w:p w14:paraId="1BE85375">
            <w:pPr>
              <w:jc w:val="center"/>
              <w:rPr>
                <w:rFonts w:hint="default" w:ascii="Times New Roman" w:hAnsi="Times New Roman" w:eastAsia="宋体" w:cs="Times New Roman"/>
                <w:sz w:val="21"/>
                <w:szCs w:val="21"/>
                <w:lang w:val="en-US" w:eastAsia="zh-CN" w:bidi="ar-SA"/>
              </w:rPr>
            </w:pPr>
            <w:r>
              <w:rPr>
                <w:sz w:val="21"/>
                <w:szCs w:val="21"/>
              </w:rPr>
              <w:t>≤</w:t>
            </w:r>
            <w:r>
              <w:rPr>
                <w:rFonts w:hint="eastAsia"/>
                <w:sz w:val="21"/>
                <w:szCs w:val="21"/>
                <w:lang w:val="en-US" w:eastAsia="zh-CN"/>
              </w:rPr>
              <w:t>0.005</w:t>
            </w:r>
          </w:p>
        </w:tc>
      </w:tr>
      <w:tr w14:paraId="26DDC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9" w:type="dxa"/>
            <w:tcBorders>
              <w:tl2br w:val="nil"/>
              <w:tr2bl w:val="nil"/>
            </w:tcBorders>
            <w:vAlign w:val="center"/>
          </w:tcPr>
          <w:p w14:paraId="157DBE10">
            <w:pPr>
              <w:jc w:val="center"/>
              <w:rPr>
                <w:sz w:val="21"/>
                <w:szCs w:val="21"/>
              </w:rPr>
            </w:pPr>
            <w:r>
              <w:rPr>
                <w:sz w:val="21"/>
                <w:szCs w:val="21"/>
              </w:rPr>
              <w:t>3</w:t>
            </w:r>
          </w:p>
        </w:tc>
        <w:tc>
          <w:tcPr>
            <w:tcW w:w="2085" w:type="dxa"/>
            <w:tcBorders>
              <w:tl2br w:val="nil"/>
              <w:tr2bl w:val="nil"/>
            </w:tcBorders>
            <w:vAlign w:val="center"/>
          </w:tcPr>
          <w:p w14:paraId="26BE8720">
            <w:pPr>
              <w:jc w:val="center"/>
              <w:rPr>
                <w:sz w:val="21"/>
                <w:szCs w:val="21"/>
              </w:rPr>
            </w:pPr>
            <w:r>
              <w:rPr>
                <w:sz w:val="21"/>
                <w:szCs w:val="21"/>
              </w:rPr>
              <w:t>五日生化需氧量</w:t>
            </w:r>
          </w:p>
        </w:tc>
        <w:tc>
          <w:tcPr>
            <w:tcW w:w="1485" w:type="dxa"/>
            <w:tcBorders>
              <w:tl2br w:val="nil"/>
              <w:tr2bl w:val="nil"/>
            </w:tcBorders>
            <w:vAlign w:val="center"/>
          </w:tcPr>
          <w:p w14:paraId="3B72FAD7">
            <w:pPr>
              <w:jc w:val="center"/>
              <w:rPr>
                <w:sz w:val="21"/>
                <w:szCs w:val="21"/>
              </w:rPr>
            </w:pPr>
            <w:r>
              <w:rPr>
                <w:sz w:val="21"/>
                <w:szCs w:val="21"/>
              </w:rPr>
              <w:t>≤</w:t>
            </w:r>
            <w:r>
              <w:rPr>
                <w:rFonts w:hint="eastAsia"/>
                <w:sz w:val="21"/>
                <w:szCs w:val="21"/>
              </w:rPr>
              <w:t>4</w:t>
            </w:r>
          </w:p>
        </w:tc>
        <w:tc>
          <w:tcPr>
            <w:tcW w:w="879" w:type="dxa"/>
            <w:tcBorders>
              <w:tl2br w:val="nil"/>
              <w:tr2bl w:val="nil"/>
            </w:tcBorders>
            <w:shd w:val="clear" w:color="auto" w:fill="auto"/>
            <w:vAlign w:val="center"/>
          </w:tcPr>
          <w:p w14:paraId="54BC44E8">
            <w:pPr>
              <w:jc w:val="center"/>
              <w:rPr>
                <w:rFonts w:hint="default" w:ascii="Times New Roman" w:hAnsi="Times New Roman" w:eastAsia="宋体" w:cs="Times New Roman"/>
                <w:sz w:val="21"/>
                <w:szCs w:val="21"/>
                <w:lang w:val="en-US" w:eastAsia="zh-CN" w:bidi="ar-SA"/>
              </w:rPr>
            </w:pPr>
            <w:r>
              <w:rPr>
                <w:rFonts w:hint="eastAsia"/>
                <w:sz w:val="21"/>
                <w:szCs w:val="21"/>
                <w:lang w:val="en-US" w:eastAsia="zh-CN"/>
              </w:rPr>
              <w:t>9</w:t>
            </w:r>
          </w:p>
        </w:tc>
        <w:tc>
          <w:tcPr>
            <w:tcW w:w="1935" w:type="dxa"/>
            <w:tcBorders>
              <w:tl2br w:val="nil"/>
              <w:tr2bl w:val="nil"/>
            </w:tcBorders>
            <w:shd w:val="clear" w:color="auto" w:fill="auto"/>
            <w:vAlign w:val="center"/>
          </w:tcPr>
          <w:p w14:paraId="65F7405B">
            <w:pPr>
              <w:jc w:val="center"/>
              <w:rPr>
                <w:rFonts w:ascii="Times New Roman" w:hAnsi="Times New Roman" w:eastAsia="宋体" w:cs="Times New Roman"/>
                <w:sz w:val="21"/>
                <w:szCs w:val="21"/>
                <w:lang w:val="en-US" w:eastAsia="zh-CN" w:bidi="ar-SA"/>
              </w:rPr>
            </w:pPr>
            <w:r>
              <w:rPr>
                <w:rFonts w:hint="eastAsia"/>
                <w:sz w:val="21"/>
                <w:szCs w:val="21"/>
                <w:lang w:val="en-US" w:eastAsia="zh-CN"/>
              </w:rPr>
              <w:t>氰化物</w:t>
            </w:r>
          </w:p>
        </w:tc>
        <w:tc>
          <w:tcPr>
            <w:tcW w:w="1626" w:type="dxa"/>
            <w:tcBorders>
              <w:tl2br w:val="nil"/>
              <w:tr2bl w:val="nil"/>
            </w:tcBorders>
            <w:shd w:val="clear" w:color="auto" w:fill="auto"/>
            <w:vAlign w:val="center"/>
          </w:tcPr>
          <w:p w14:paraId="29B8A8BE">
            <w:pPr>
              <w:jc w:val="center"/>
              <w:rPr>
                <w:rFonts w:hint="default" w:ascii="Times New Roman" w:hAnsi="Times New Roman" w:eastAsia="宋体" w:cs="Times New Roman"/>
                <w:sz w:val="21"/>
                <w:szCs w:val="21"/>
                <w:lang w:val="en-US" w:eastAsia="zh-CN" w:bidi="ar-SA"/>
              </w:rPr>
            </w:pPr>
            <w:r>
              <w:rPr>
                <w:sz w:val="21"/>
                <w:szCs w:val="21"/>
              </w:rPr>
              <w:t>≤</w:t>
            </w:r>
            <w:r>
              <w:rPr>
                <w:rFonts w:hint="eastAsia"/>
                <w:sz w:val="21"/>
                <w:szCs w:val="21"/>
                <w:lang w:val="en-US" w:eastAsia="zh-CN"/>
              </w:rPr>
              <w:t>0.2</w:t>
            </w:r>
          </w:p>
        </w:tc>
      </w:tr>
      <w:tr w14:paraId="4623F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9" w:type="dxa"/>
            <w:tcBorders>
              <w:tl2br w:val="nil"/>
              <w:tr2bl w:val="nil"/>
            </w:tcBorders>
            <w:shd w:val="clear" w:color="auto" w:fill="auto"/>
            <w:vAlign w:val="center"/>
          </w:tcPr>
          <w:p w14:paraId="475A2AC2">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4</w:t>
            </w:r>
          </w:p>
        </w:tc>
        <w:tc>
          <w:tcPr>
            <w:tcW w:w="2085" w:type="dxa"/>
            <w:tcBorders>
              <w:tl2br w:val="nil"/>
              <w:tr2bl w:val="nil"/>
            </w:tcBorders>
            <w:shd w:val="clear" w:color="auto" w:fill="auto"/>
            <w:vAlign w:val="center"/>
          </w:tcPr>
          <w:p w14:paraId="20CE709E">
            <w:pPr>
              <w:jc w:val="center"/>
              <w:rPr>
                <w:rFonts w:ascii="Times New Roman" w:hAnsi="Times New Roman" w:eastAsia="宋体" w:cs="Times New Roman"/>
                <w:sz w:val="21"/>
                <w:szCs w:val="21"/>
                <w:lang w:val="en-US" w:eastAsia="zh-CN" w:bidi="ar-SA"/>
              </w:rPr>
            </w:pPr>
            <w:r>
              <w:rPr>
                <w:sz w:val="21"/>
                <w:szCs w:val="21"/>
              </w:rPr>
              <w:t>氨氮（以N计）</w:t>
            </w:r>
          </w:p>
        </w:tc>
        <w:tc>
          <w:tcPr>
            <w:tcW w:w="1485" w:type="dxa"/>
            <w:tcBorders>
              <w:tl2br w:val="nil"/>
              <w:tr2bl w:val="nil"/>
            </w:tcBorders>
            <w:shd w:val="clear" w:color="auto" w:fill="auto"/>
            <w:vAlign w:val="center"/>
          </w:tcPr>
          <w:p w14:paraId="30853A67">
            <w:pPr>
              <w:jc w:val="center"/>
              <w:rPr>
                <w:rFonts w:ascii="Times New Roman" w:hAnsi="Times New Roman" w:eastAsia="宋体" w:cs="Times New Roman"/>
                <w:sz w:val="21"/>
                <w:szCs w:val="21"/>
                <w:lang w:val="en-US" w:eastAsia="zh-CN" w:bidi="ar-SA"/>
              </w:rPr>
            </w:pPr>
            <w:r>
              <w:rPr>
                <w:sz w:val="21"/>
                <w:szCs w:val="21"/>
              </w:rPr>
              <w:t>≤1.</w:t>
            </w:r>
            <w:r>
              <w:rPr>
                <w:rFonts w:hint="eastAsia"/>
                <w:sz w:val="21"/>
                <w:szCs w:val="21"/>
              </w:rPr>
              <w:t>0</w:t>
            </w:r>
          </w:p>
        </w:tc>
        <w:tc>
          <w:tcPr>
            <w:tcW w:w="879" w:type="dxa"/>
            <w:tcBorders>
              <w:tl2br w:val="nil"/>
              <w:tr2bl w:val="nil"/>
            </w:tcBorders>
            <w:shd w:val="clear" w:color="auto" w:fill="auto"/>
            <w:vAlign w:val="center"/>
          </w:tcPr>
          <w:p w14:paraId="18E3DB98">
            <w:pPr>
              <w:jc w:val="center"/>
              <w:rPr>
                <w:rFonts w:hint="default" w:ascii="Times New Roman" w:hAnsi="Times New Roman" w:eastAsia="宋体" w:cs="Times New Roman"/>
                <w:sz w:val="21"/>
                <w:szCs w:val="21"/>
                <w:lang w:val="en-US" w:eastAsia="zh-CN" w:bidi="ar-SA"/>
              </w:rPr>
            </w:pPr>
            <w:r>
              <w:rPr>
                <w:rFonts w:hint="eastAsia"/>
                <w:sz w:val="21"/>
                <w:szCs w:val="21"/>
                <w:lang w:val="en-US" w:eastAsia="zh-CN"/>
              </w:rPr>
              <w:t>10</w:t>
            </w:r>
          </w:p>
        </w:tc>
        <w:tc>
          <w:tcPr>
            <w:tcW w:w="1935" w:type="dxa"/>
            <w:tcBorders>
              <w:tl2br w:val="nil"/>
              <w:tr2bl w:val="nil"/>
            </w:tcBorders>
            <w:shd w:val="clear" w:color="auto" w:fill="auto"/>
            <w:vAlign w:val="center"/>
          </w:tcPr>
          <w:p w14:paraId="2C33FCDD">
            <w:pPr>
              <w:jc w:val="center"/>
              <w:rPr>
                <w:rFonts w:ascii="Times New Roman" w:hAnsi="Times New Roman" w:eastAsia="宋体" w:cs="Times New Roman"/>
                <w:sz w:val="21"/>
                <w:szCs w:val="21"/>
                <w:lang w:val="en-US" w:eastAsia="zh-CN" w:bidi="ar-SA"/>
              </w:rPr>
            </w:pPr>
            <w:r>
              <w:rPr>
                <w:rFonts w:hint="eastAsia"/>
                <w:sz w:val="21"/>
                <w:szCs w:val="21"/>
                <w:lang w:val="en-US" w:eastAsia="zh-CN"/>
              </w:rPr>
              <w:t>铜</w:t>
            </w:r>
          </w:p>
        </w:tc>
        <w:tc>
          <w:tcPr>
            <w:tcW w:w="1626" w:type="dxa"/>
            <w:tcBorders>
              <w:tl2br w:val="nil"/>
              <w:tr2bl w:val="nil"/>
            </w:tcBorders>
            <w:shd w:val="clear" w:color="auto" w:fill="auto"/>
            <w:vAlign w:val="center"/>
          </w:tcPr>
          <w:p w14:paraId="3E66AE39">
            <w:pPr>
              <w:jc w:val="center"/>
              <w:rPr>
                <w:rFonts w:hint="default" w:ascii="Times New Roman" w:hAnsi="Times New Roman" w:eastAsia="宋体" w:cs="Times New Roman"/>
                <w:sz w:val="21"/>
                <w:szCs w:val="21"/>
                <w:lang w:val="en-US" w:eastAsia="zh-CN" w:bidi="ar-SA"/>
              </w:rPr>
            </w:pPr>
            <w:r>
              <w:rPr>
                <w:sz w:val="21"/>
                <w:szCs w:val="21"/>
              </w:rPr>
              <w:t>≤</w:t>
            </w:r>
            <w:r>
              <w:rPr>
                <w:rFonts w:hint="eastAsia"/>
                <w:sz w:val="21"/>
                <w:szCs w:val="21"/>
                <w:lang w:val="en-US" w:eastAsia="zh-CN"/>
              </w:rPr>
              <w:t>1.0</w:t>
            </w:r>
          </w:p>
        </w:tc>
      </w:tr>
      <w:tr w14:paraId="704B9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9" w:type="dxa"/>
            <w:tcBorders>
              <w:tl2br w:val="nil"/>
              <w:tr2bl w:val="nil"/>
            </w:tcBorders>
            <w:shd w:val="clear" w:color="auto" w:fill="auto"/>
            <w:vAlign w:val="center"/>
          </w:tcPr>
          <w:p w14:paraId="67080693">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5</w:t>
            </w:r>
          </w:p>
        </w:tc>
        <w:tc>
          <w:tcPr>
            <w:tcW w:w="2085" w:type="dxa"/>
            <w:tcBorders>
              <w:tl2br w:val="nil"/>
              <w:tr2bl w:val="nil"/>
            </w:tcBorders>
            <w:shd w:val="clear" w:color="auto" w:fill="auto"/>
            <w:vAlign w:val="center"/>
          </w:tcPr>
          <w:p w14:paraId="3387105F">
            <w:pPr>
              <w:jc w:val="center"/>
              <w:rPr>
                <w:rFonts w:ascii="Times New Roman" w:hAnsi="Times New Roman" w:eastAsia="宋体" w:cs="Times New Roman"/>
                <w:sz w:val="21"/>
                <w:szCs w:val="21"/>
                <w:lang w:val="en-US" w:eastAsia="zh-CN" w:bidi="ar-SA"/>
              </w:rPr>
            </w:pPr>
            <w:r>
              <w:rPr>
                <w:sz w:val="21"/>
                <w:szCs w:val="21"/>
              </w:rPr>
              <w:t>总磷（以P计）</w:t>
            </w:r>
          </w:p>
        </w:tc>
        <w:tc>
          <w:tcPr>
            <w:tcW w:w="1485" w:type="dxa"/>
            <w:tcBorders>
              <w:tl2br w:val="nil"/>
              <w:tr2bl w:val="nil"/>
            </w:tcBorders>
            <w:shd w:val="clear" w:color="auto" w:fill="auto"/>
            <w:vAlign w:val="center"/>
          </w:tcPr>
          <w:p w14:paraId="314D7608">
            <w:pPr>
              <w:jc w:val="center"/>
              <w:rPr>
                <w:rFonts w:ascii="Times New Roman" w:hAnsi="Times New Roman" w:eastAsia="宋体" w:cs="Times New Roman"/>
                <w:sz w:val="21"/>
                <w:szCs w:val="21"/>
                <w:lang w:val="en-US" w:eastAsia="zh-CN" w:bidi="ar-SA"/>
              </w:rPr>
            </w:pPr>
            <w:r>
              <w:rPr>
                <w:sz w:val="21"/>
                <w:szCs w:val="21"/>
              </w:rPr>
              <w:t>≤0.</w:t>
            </w:r>
            <w:r>
              <w:rPr>
                <w:rFonts w:hint="eastAsia"/>
                <w:sz w:val="21"/>
                <w:szCs w:val="21"/>
              </w:rPr>
              <w:t>2</w:t>
            </w:r>
          </w:p>
        </w:tc>
        <w:tc>
          <w:tcPr>
            <w:tcW w:w="879" w:type="dxa"/>
            <w:tcBorders>
              <w:tl2br w:val="nil"/>
              <w:tr2bl w:val="nil"/>
            </w:tcBorders>
            <w:shd w:val="clear" w:color="auto" w:fill="auto"/>
            <w:vAlign w:val="center"/>
          </w:tcPr>
          <w:p w14:paraId="553EE87A">
            <w:pPr>
              <w:jc w:val="center"/>
              <w:rPr>
                <w:rFonts w:hint="default" w:ascii="Times New Roman" w:hAnsi="Times New Roman" w:eastAsia="宋体" w:cs="Times New Roman"/>
                <w:sz w:val="21"/>
                <w:szCs w:val="21"/>
                <w:lang w:val="en-US" w:eastAsia="zh-CN" w:bidi="ar-SA"/>
              </w:rPr>
            </w:pPr>
            <w:r>
              <w:rPr>
                <w:rFonts w:hint="eastAsia"/>
                <w:sz w:val="21"/>
                <w:szCs w:val="21"/>
                <w:lang w:val="en-US" w:eastAsia="zh-CN"/>
              </w:rPr>
              <w:t>11</w:t>
            </w:r>
          </w:p>
        </w:tc>
        <w:tc>
          <w:tcPr>
            <w:tcW w:w="1935" w:type="dxa"/>
            <w:tcBorders>
              <w:tl2br w:val="nil"/>
              <w:tr2bl w:val="nil"/>
            </w:tcBorders>
            <w:shd w:val="clear" w:color="auto" w:fill="auto"/>
            <w:vAlign w:val="center"/>
          </w:tcPr>
          <w:p w14:paraId="640D2D86">
            <w:pPr>
              <w:jc w:val="center"/>
              <w:rPr>
                <w:rFonts w:ascii="Times New Roman" w:hAnsi="Times New Roman" w:eastAsia="宋体" w:cs="Times New Roman"/>
                <w:sz w:val="21"/>
                <w:szCs w:val="21"/>
                <w:lang w:val="en-US" w:eastAsia="zh-CN" w:bidi="ar-SA"/>
              </w:rPr>
            </w:pPr>
            <w:r>
              <w:rPr>
                <w:rFonts w:hint="eastAsia"/>
                <w:sz w:val="21"/>
                <w:szCs w:val="21"/>
                <w:lang w:val="en-US" w:eastAsia="zh-CN"/>
              </w:rPr>
              <w:t>溶解氧</w:t>
            </w:r>
          </w:p>
        </w:tc>
        <w:tc>
          <w:tcPr>
            <w:tcW w:w="1626" w:type="dxa"/>
            <w:tcBorders>
              <w:tl2br w:val="nil"/>
              <w:tr2bl w:val="nil"/>
            </w:tcBorders>
            <w:shd w:val="clear" w:color="auto" w:fill="auto"/>
            <w:vAlign w:val="center"/>
          </w:tcPr>
          <w:p w14:paraId="1921AA1E">
            <w:pPr>
              <w:jc w:val="center"/>
              <w:rPr>
                <w:rFonts w:hint="default" w:ascii="宋体" w:hAnsi="宋体" w:eastAsia="宋体" w:cs="宋体"/>
                <w:sz w:val="21"/>
                <w:szCs w:val="21"/>
                <w:lang w:val="en-US" w:eastAsia="zh-CN" w:bidi="ar-SA"/>
              </w:rPr>
            </w:pPr>
            <w:r>
              <w:rPr>
                <w:rFonts w:hint="default"/>
                <w:sz w:val="21"/>
                <w:szCs w:val="21"/>
                <w:lang w:val="en-US" w:eastAsia="zh-CN"/>
              </w:rPr>
              <w:t>≥</w:t>
            </w:r>
            <w:r>
              <w:rPr>
                <w:rFonts w:hint="eastAsia"/>
                <w:sz w:val="21"/>
                <w:szCs w:val="21"/>
                <w:lang w:val="en-US" w:eastAsia="zh-CN"/>
              </w:rPr>
              <w:t>5</w:t>
            </w:r>
          </w:p>
        </w:tc>
      </w:tr>
      <w:tr w14:paraId="09245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9" w:type="dxa"/>
            <w:tcBorders>
              <w:tl2br w:val="nil"/>
              <w:tr2bl w:val="nil"/>
            </w:tcBorders>
            <w:shd w:val="clear" w:color="auto" w:fill="auto"/>
            <w:vAlign w:val="center"/>
          </w:tcPr>
          <w:p w14:paraId="657CFB1C">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6</w:t>
            </w:r>
          </w:p>
        </w:tc>
        <w:tc>
          <w:tcPr>
            <w:tcW w:w="2085" w:type="dxa"/>
            <w:tcBorders>
              <w:tl2br w:val="nil"/>
              <w:tr2bl w:val="nil"/>
            </w:tcBorders>
            <w:shd w:val="clear" w:color="auto" w:fill="auto"/>
            <w:vAlign w:val="center"/>
          </w:tcPr>
          <w:p w14:paraId="7A6319C3">
            <w:pPr>
              <w:jc w:val="center"/>
              <w:rPr>
                <w:rFonts w:ascii="Times New Roman" w:hAnsi="Times New Roman" w:eastAsia="宋体" w:cs="Times New Roman"/>
                <w:sz w:val="21"/>
                <w:szCs w:val="21"/>
                <w:lang w:val="en-US" w:eastAsia="zh-CN" w:bidi="ar-SA"/>
              </w:rPr>
            </w:pPr>
            <w:r>
              <w:rPr>
                <w:sz w:val="21"/>
                <w:szCs w:val="21"/>
              </w:rPr>
              <w:t>总氮（以N计）</w:t>
            </w:r>
          </w:p>
        </w:tc>
        <w:tc>
          <w:tcPr>
            <w:tcW w:w="1485" w:type="dxa"/>
            <w:tcBorders>
              <w:tl2br w:val="nil"/>
              <w:tr2bl w:val="nil"/>
            </w:tcBorders>
            <w:shd w:val="clear" w:color="auto" w:fill="auto"/>
            <w:vAlign w:val="center"/>
          </w:tcPr>
          <w:p w14:paraId="0CFF22AA">
            <w:pPr>
              <w:jc w:val="center"/>
              <w:rPr>
                <w:rFonts w:ascii="Times New Roman" w:hAnsi="Times New Roman" w:eastAsia="宋体" w:cs="Times New Roman"/>
                <w:sz w:val="21"/>
                <w:szCs w:val="21"/>
                <w:lang w:val="en-US" w:eastAsia="zh-CN" w:bidi="ar-SA"/>
              </w:rPr>
            </w:pPr>
            <w:r>
              <w:rPr>
                <w:sz w:val="21"/>
                <w:szCs w:val="21"/>
              </w:rPr>
              <w:t>≤1.</w:t>
            </w:r>
            <w:r>
              <w:rPr>
                <w:rFonts w:hint="eastAsia"/>
                <w:sz w:val="21"/>
                <w:szCs w:val="21"/>
              </w:rPr>
              <w:t>0</w:t>
            </w:r>
          </w:p>
        </w:tc>
        <w:tc>
          <w:tcPr>
            <w:tcW w:w="879" w:type="dxa"/>
            <w:tcBorders>
              <w:tl2br w:val="nil"/>
              <w:tr2bl w:val="nil"/>
            </w:tcBorders>
            <w:vAlign w:val="center"/>
          </w:tcPr>
          <w:p w14:paraId="2A20D890">
            <w:pPr>
              <w:jc w:val="center"/>
              <w:rPr>
                <w:rFonts w:hint="default"/>
                <w:sz w:val="21"/>
                <w:szCs w:val="21"/>
                <w:lang w:val="en-US" w:eastAsia="zh-CN"/>
              </w:rPr>
            </w:pPr>
          </w:p>
        </w:tc>
        <w:tc>
          <w:tcPr>
            <w:tcW w:w="1935" w:type="dxa"/>
            <w:tcBorders>
              <w:tl2br w:val="nil"/>
              <w:tr2bl w:val="nil"/>
            </w:tcBorders>
            <w:vAlign w:val="center"/>
          </w:tcPr>
          <w:p w14:paraId="626AD715">
            <w:pPr>
              <w:jc w:val="center"/>
              <w:rPr>
                <w:sz w:val="21"/>
                <w:szCs w:val="21"/>
              </w:rPr>
            </w:pPr>
          </w:p>
        </w:tc>
        <w:tc>
          <w:tcPr>
            <w:tcW w:w="1626" w:type="dxa"/>
            <w:tcBorders>
              <w:tl2br w:val="nil"/>
              <w:tr2bl w:val="nil"/>
            </w:tcBorders>
            <w:shd w:val="clear" w:color="auto" w:fill="auto"/>
            <w:vAlign w:val="center"/>
          </w:tcPr>
          <w:p w14:paraId="1068A76C">
            <w:pPr>
              <w:jc w:val="center"/>
              <w:rPr>
                <w:rFonts w:ascii="Times New Roman" w:hAnsi="Times New Roman" w:eastAsia="宋体" w:cs="Times New Roman"/>
                <w:sz w:val="21"/>
                <w:szCs w:val="21"/>
                <w:lang w:val="en-US" w:eastAsia="zh-CN" w:bidi="ar-SA"/>
              </w:rPr>
            </w:pPr>
          </w:p>
        </w:tc>
      </w:tr>
    </w:tbl>
    <w:p w14:paraId="4A764FB9">
      <w:pPr>
        <w:spacing w:line="360" w:lineRule="auto"/>
        <w:ind w:firstLine="480"/>
      </w:pPr>
      <w:r>
        <w:t>（3）声环境</w:t>
      </w:r>
    </w:p>
    <w:p w14:paraId="3439C1C8">
      <w:pPr>
        <w:spacing w:line="360" w:lineRule="auto"/>
        <w:ind w:firstLine="480"/>
        <w:rPr>
          <w:b/>
        </w:rPr>
      </w:pPr>
      <w:r>
        <w:rPr>
          <w:rFonts w:hint="eastAsia"/>
          <w:lang w:eastAsia="zh-CN"/>
        </w:rPr>
        <w:t>本项目</w:t>
      </w:r>
      <w:r>
        <w:t>所在区域声环境执行《声环境质量标准》（GB3096-2008）中</w:t>
      </w:r>
      <w:r>
        <w:rPr>
          <w:rFonts w:hint="eastAsia"/>
          <w:lang w:eastAsia="zh-CN"/>
        </w:rPr>
        <w:t>3类</w:t>
      </w:r>
      <w:r>
        <w:t>区标准，详见表2.3-4。</w:t>
      </w:r>
    </w:p>
    <w:p w14:paraId="37A69351">
      <w:pPr>
        <w:jc w:val="center"/>
        <w:rPr>
          <w:b/>
        </w:rPr>
      </w:pPr>
      <w:r>
        <w:rPr>
          <w:b/>
        </w:rPr>
        <w:t>表2.3-4  环境噪声限值</w:t>
      </w:r>
    </w:p>
    <w:tbl>
      <w:tblPr>
        <w:tblStyle w:val="53"/>
        <w:tblW w:w="87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5"/>
        <w:gridCol w:w="1403"/>
        <w:gridCol w:w="1355"/>
        <w:gridCol w:w="3844"/>
      </w:tblGrid>
      <w:tr w14:paraId="26895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2125" w:type="dxa"/>
            <w:vMerge w:val="restart"/>
            <w:tcBorders>
              <w:tl2br w:val="nil"/>
              <w:tr2bl w:val="nil"/>
            </w:tcBorders>
            <w:vAlign w:val="center"/>
          </w:tcPr>
          <w:p w14:paraId="5693E1ED">
            <w:pPr>
              <w:spacing w:line="400" w:lineRule="exact"/>
              <w:jc w:val="center"/>
              <w:rPr>
                <w:b/>
                <w:bCs/>
                <w:sz w:val="21"/>
                <w:szCs w:val="21"/>
              </w:rPr>
            </w:pPr>
            <w:r>
              <w:rPr>
                <w:b/>
                <w:bCs/>
                <w:sz w:val="21"/>
                <w:szCs w:val="21"/>
              </w:rPr>
              <w:t>声环境功能区类别</w:t>
            </w:r>
          </w:p>
        </w:tc>
        <w:tc>
          <w:tcPr>
            <w:tcW w:w="2758" w:type="dxa"/>
            <w:gridSpan w:val="2"/>
            <w:tcBorders>
              <w:tl2br w:val="nil"/>
              <w:tr2bl w:val="nil"/>
            </w:tcBorders>
            <w:vAlign w:val="center"/>
          </w:tcPr>
          <w:p w14:paraId="51F0F3B3">
            <w:pPr>
              <w:spacing w:line="400" w:lineRule="exact"/>
              <w:jc w:val="center"/>
              <w:rPr>
                <w:b/>
                <w:bCs/>
                <w:sz w:val="21"/>
                <w:szCs w:val="21"/>
              </w:rPr>
            </w:pPr>
            <w:r>
              <w:rPr>
                <w:b/>
                <w:bCs/>
                <w:sz w:val="21"/>
                <w:szCs w:val="21"/>
              </w:rPr>
              <w:t>标准值dB(A)</w:t>
            </w:r>
          </w:p>
        </w:tc>
        <w:tc>
          <w:tcPr>
            <w:tcW w:w="3844" w:type="dxa"/>
            <w:vMerge w:val="restart"/>
            <w:tcBorders>
              <w:tl2br w:val="nil"/>
              <w:tr2bl w:val="nil"/>
            </w:tcBorders>
            <w:vAlign w:val="center"/>
          </w:tcPr>
          <w:p w14:paraId="75AD840B">
            <w:pPr>
              <w:wordWrap w:val="0"/>
              <w:spacing w:line="400" w:lineRule="exact"/>
              <w:jc w:val="center"/>
              <w:rPr>
                <w:b/>
                <w:bCs/>
                <w:sz w:val="21"/>
                <w:szCs w:val="21"/>
              </w:rPr>
            </w:pPr>
            <w:r>
              <w:rPr>
                <w:b/>
                <w:bCs/>
                <w:sz w:val="21"/>
                <w:szCs w:val="21"/>
              </w:rPr>
              <w:t>标准来源</w:t>
            </w:r>
          </w:p>
        </w:tc>
      </w:tr>
      <w:tr w14:paraId="54508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3" w:hRule="atLeast"/>
          <w:jc w:val="center"/>
        </w:trPr>
        <w:tc>
          <w:tcPr>
            <w:tcW w:w="2125" w:type="dxa"/>
            <w:vMerge w:val="continue"/>
            <w:tcBorders>
              <w:tl2br w:val="nil"/>
              <w:tr2bl w:val="nil"/>
            </w:tcBorders>
            <w:vAlign w:val="center"/>
          </w:tcPr>
          <w:p w14:paraId="58599275"/>
        </w:tc>
        <w:tc>
          <w:tcPr>
            <w:tcW w:w="1403" w:type="dxa"/>
            <w:tcBorders>
              <w:tl2br w:val="nil"/>
              <w:tr2bl w:val="nil"/>
            </w:tcBorders>
            <w:vAlign w:val="center"/>
          </w:tcPr>
          <w:p w14:paraId="6A928690">
            <w:pPr>
              <w:spacing w:line="400" w:lineRule="exact"/>
              <w:jc w:val="center"/>
              <w:rPr>
                <w:b/>
                <w:bCs/>
                <w:sz w:val="21"/>
                <w:szCs w:val="21"/>
              </w:rPr>
            </w:pPr>
            <w:r>
              <w:rPr>
                <w:b/>
                <w:bCs/>
                <w:sz w:val="21"/>
                <w:szCs w:val="21"/>
              </w:rPr>
              <w:t>昼间</w:t>
            </w:r>
          </w:p>
        </w:tc>
        <w:tc>
          <w:tcPr>
            <w:tcW w:w="1355" w:type="dxa"/>
            <w:tcBorders>
              <w:tl2br w:val="nil"/>
              <w:tr2bl w:val="nil"/>
            </w:tcBorders>
            <w:vAlign w:val="center"/>
          </w:tcPr>
          <w:p w14:paraId="10CAD380">
            <w:pPr>
              <w:spacing w:line="400" w:lineRule="exact"/>
              <w:jc w:val="center"/>
              <w:rPr>
                <w:b/>
                <w:bCs/>
                <w:sz w:val="21"/>
                <w:szCs w:val="21"/>
              </w:rPr>
            </w:pPr>
            <w:r>
              <w:rPr>
                <w:b/>
                <w:bCs/>
                <w:sz w:val="21"/>
                <w:szCs w:val="21"/>
              </w:rPr>
              <w:t>夜间</w:t>
            </w:r>
          </w:p>
        </w:tc>
        <w:tc>
          <w:tcPr>
            <w:tcW w:w="3844" w:type="dxa"/>
            <w:vMerge w:val="continue"/>
            <w:tcBorders>
              <w:tl2br w:val="nil"/>
              <w:tr2bl w:val="nil"/>
            </w:tcBorders>
            <w:vAlign w:val="center"/>
          </w:tcPr>
          <w:p w14:paraId="7AFD4D33"/>
        </w:tc>
      </w:tr>
      <w:tr w14:paraId="67ABE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25" w:type="dxa"/>
            <w:tcBorders>
              <w:tl2br w:val="nil"/>
              <w:tr2bl w:val="nil"/>
            </w:tcBorders>
            <w:vAlign w:val="center"/>
          </w:tcPr>
          <w:p w14:paraId="4C4FFD81">
            <w:pPr>
              <w:spacing w:line="400" w:lineRule="exact"/>
              <w:jc w:val="center"/>
              <w:rPr>
                <w:rFonts w:hint="eastAsia" w:eastAsia="宋体"/>
                <w:sz w:val="21"/>
                <w:szCs w:val="21"/>
                <w:lang w:eastAsia="zh-CN"/>
              </w:rPr>
            </w:pPr>
            <w:r>
              <w:rPr>
                <w:rFonts w:hint="eastAsia"/>
                <w:sz w:val="21"/>
                <w:szCs w:val="21"/>
                <w:lang w:eastAsia="zh-CN"/>
              </w:rPr>
              <w:t>3类</w:t>
            </w:r>
          </w:p>
        </w:tc>
        <w:tc>
          <w:tcPr>
            <w:tcW w:w="1403" w:type="dxa"/>
            <w:tcBorders>
              <w:tl2br w:val="nil"/>
              <w:tr2bl w:val="nil"/>
            </w:tcBorders>
            <w:vAlign w:val="center"/>
          </w:tcPr>
          <w:p w14:paraId="58496973">
            <w:pPr>
              <w:spacing w:line="400" w:lineRule="exact"/>
              <w:jc w:val="center"/>
              <w:rPr>
                <w:rFonts w:hint="default" w:eastAsia="宋体"/>
                <w:sz w:val="21"/>
                <w:szCs w:val="21"/>
                <w:lang w:val="en-US" w:eastAsia="zh-CN"/>
              </w:rPr>
            </w:pPr>
            <w:r>
              <w:rPr>
                <w:rFonts w:hint="eastAsia"/>
                <w:sz w:val="21"/>
                <w:szCs w:val="21"/>
                <w:lang w:val="en-US" w:eastAsia="zh-CN"/>
              </w:rPr>
              <w:t>65</w:t>
            </w:r>
          </w:p>
        </w:tc>
        <w:tc>
          <w:tcPr>
            <w:tcW w:w="1355" w:type="dxa"/>
            <w:tcBorders>
              <w:tl2br w:val="nil"/>
              <w:tr2bl w:val="nil"/>
            </w:tcBorders>
            <w:vAlign w:val="center"/>
          </w:tcPr>
          <w:p w14:paraId="1FC93A64">
            <w:pPr>
              <w:spacing w:line="400" w:lineRule="exact"/>
              <w:jc w:val="center"/>
              <w:rPr>
                <w:rFonts w:hint="default" w:eastAsia="宋体"/>
                <w:sz w:val="21"/>
                <w:szCs w:val="21"/>
                <w:lang w:val="en-US" w:eastAsia="zh-CN"/>
              </w:rPr>
            </w:pPr>
            <w:r>
              <w:rPr>
                <w:rFonts w:hint="eastAsia"/>
                <w:sz w:val="21"/>
                <w:szCs w:val="21"/>
                <w:lang w:val="en-US" w:eastAsia="zh-CN"/>
              </w:rPr>
              <w:t>55</w:t>
            </w:r>
          </w:p>
        </w:tc>
        <w:tc>
          <w:tcPr>
            <w:tcW w:w="3844" w:type="dxa"/>
            <w:tcBorders>
              <w:tl2br w:val="nil"/>
              <w:tr2bl w:val="nil"/>
            </w:tcBorders>
            <w:vAlign w:val="center"/>
          </w:tcPr>
          <w:p w14:paraId="654BEC34">
            <w:pPr>
              <w:spacing w:line="400" w:lineRule="exact"/>
              <w:jc w:val="center"/>
              <w:rPr>
                <w:sz w:val="21"/>
                <w:szCs w:val="21"/>
              </w:rPr>
            </w:pPr>
            <w:r>
              <w:rPr>
                <w:sz w:val="21"/>
                <w:szCs w:val="21"/>
              </w:rPr>
              <w:t>《声环境质量标准》（GB3096-2008）</w:t>
            </w:r>
          </w:p>
        </w:tc>
      </w:tr>
    </w:tbl>
    <w:p w14:paraId="237F3351">
      <w:pPr>
        <w:numPr>
          <w:ilvl w:val="0"/>
          <w:numId w:val="3"/>
        </w:numPr>
        <w:spacing w:line="360" w:lineRule="auto"/>
        <w:ind w:firstLine="480" w:firstLineChars="200"/>
      </w:pPr>
      <w:bookmarkStart w:id="138" w:name="_Toc391455058"/>
      <w:bookmarkStart w:id="139" w:name="_Toc29715"/>
      <w:bookmarkStart w:id="140" w:name="_Toc18060"/>
      <w:bookmarkStart w:id="141" w:name="_Toc11163"/>
      <w:bookmarkStart w:id="142" w:name="_Toc14859"/>
      <w:bookmarkStart w:id="143" w:name="_Toc19419"/>
      <w:r>
        <w:t>土壤环境</w:t>
      </w:r>
    </w:p>
    <w:p w14:paraId="701EEFA8">
      <w:pPr>
        <w:spacing w:line="360" w:lineRule="auto"/>
        <w:ind w:firstLine="480" w:firstLineChars="200"/>
      </w:pPr>
      <w:r>
        <w:t>《土壤环境质量 建设用地土壤污染风险管控标准（试行）》（GB 36600-2018）中第二类建设用地风险筛选值限值。</w:t>
      </w:r>
    </w:p>
    <w:p w14:paraId="4C685225">
      <w:pPr>
        <w:ind w:firstLine="602" w:firstLineChars="250"/>
        <w:jc w:val="center"/>
        <w:rPr>
          <w:b/>
          <w:bCs/>
        </w:rPr>
      </w:pPr>
      <w:r>
        <w:rPr>
          <w:b/>
          <w:bCs/>
        </w:rPr>
        <w:t>表 2.3-5 《土壤环境质量 建设用地土壤污染风险管控标准（试行）》（GB36600-2018）</w:t>
      </w:r>
      <w:r>
        <w:rPr>
          <w:rFonts w:hint="eastAsia"/>
          <w:b/>
          <w:bCs/>
          <w:lang w:val="en-US" w:eastAsia="zh-CN"/>
        </w:rPr>
        <w:t xml:space="preserve">     </w:t>
      </w:r>
      <w:r>
        <w:rPr>
          <w:rFonts w:hint="default" w:ascii="Times New Roman" w:hAnsi="Times New Roman" w:cs="Times New Roman"/>
          <w:b/>
          <w:color w:val="auto"/>
        </w:rPr>
        <w:t>单位：mg/kg</w:t>
      </w:r>
    </w:p>
    <w:tbl>
      <w:tblPr>
        <w:tblStyle w:val="5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8"/>
        <w:gridCol w:w="2179"/>
        <w:gridCol w:w="1975"/>
        <w:gridCol w:w="2443"/>
        <w:gridCol w:w="1737"/>
      </w:tblGrid>
      <w:tr w14:paraId="061D0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trPr>
        <w:tc>
          <w:tcPr>
            <w:tcW w:w="388" w:type="pct"/>
            <w:vMerge w:val="restart"/>
            <w:tcBorders>
              <w:tl2br w:val="nil"/>
              <w:tr2bl w:val="nil"/>
            </w:tcBorders>
            <w:vAlign w:val="center"/>
          </w:tcPr>
          <w:p w14:paraId="79E69A32">
            <w:pPr>
              <w:pStyle w:val="385"/>
              <w:jc w:val="center"/>
              <w:rPr>
                <w:b/>
                <w:bCs/>
                <w:sz w:val="21"/>
                <w:szCs w:val="21"/>
              </w:rPr>
            </w:pPr>
            <w:r>
              <w:rPr>
                <w:b/>
                <w:bCs/>
                <w:sz w:val="21"/>
                <w:szCs w:val="21"/>
              </w:rPr>
              <w:t>序号</w:t>
            </w:r>
          </w:p>
        </w:tc>
        <w:tc>
          <w:tcPr>
            <w:tcW w:w="1207" w:type="pct"/>
            <w:vMerge w:val="restart"/>
            <w:tcBorders>
              <w:tl2br w:val="nil"/>
              <w:tr2bl w:val="nil"/>
            </w:tcBorders>
            <w:vAlign w:val="center"/>
          </w:tcPr>
          <w:p w14:paraId="58573F79">
            <w:pPr>
              <w:pStyle w:val="385"/>
              <w:jc w:val="center"/>
              <w:rPr>
                <w:b/>
                <w:bCs/>
                <w:sz w:val="21"/>
                <w:szCs w:val="21"/>
              </w:rPr>
            </w:pPr>
            <w:r>
              <w:rPr>
                <w:b/>
                <w:bCs/>
                <w:sz w:val="21"/>
                <w:szCs w:val="21"/>
              </w:rPr>
              <w:t>污染物项目</w:t>
            </w:r>
          </w:p>
        </w:tc>
        <w:tc>
          <w:tcPr>
            <w:tcW w:w="1094" w:type="pct"/>
            <w:vMerge w:val="restart"/>
            <w:tcBorders>
              <w:tl2br w:val="nil"/>
              <w:tr2bl w:val="nil"/>
            </w:tcBorders>
            <w:vAlign w:val="center"/>
          </w:tcPr>
          <w:p w14:paraId="23F41ABF">
            <w:pPr>
              <w:pStyle w:val="385"/>
              <w:jc w:val="center"/>
              <w:rPr>
                <w:b/>
                <w:bCs/>
                <w:sz w:val="21"/>
                <w:szCs w:val="21"/>
              </w:rPr>
            </w:pPr>
            <w:r>
              <w:rPr>
                <w:b/>
                <w:bCs/>
                <w:sz w:val="21"/>
                <w:szCs w:val="21"/>
              </w:rPr>
              <w:t>CAS 编号</w:t>
            </w:r>
          </w:p>
        </w:tc>
        <w:tc>
          <w:tcPr>
            <w:tcW w:w="1352" w:type="pct"/>
            <w:tcBorders>
              <w:tl2br w:val="nil"/>
              <w:tr2bl w:val="nil"/>
            </w:tcBorders>
            <w:vAlign w:val="center"/>
          </w:tcPr>
          <w:p w14:paraId="5B7B4856">
            <w:pPr>
              <w:pStyle w:val="385"/>
              <w:jc w:val="center"/>
              <w:rPr>
                <w:b/>
                <w:bCs/>
                <w:sz w:val="21"/>
                <w:szCs w:val="21"/>
              </w:rPr>
            </w:pPr>
            <w:r>
              <w:rPr>
                <w:b/>
                <w:bCs/>
                <w:sz w:val="21"/>
                <w:szCs w:val="21"/>
              </w:rPr>
              <w:t>筛选值</w:t>
            </w:r>
          </w:p>
        </w:tc>
        <w:tc>
          <w:tcPr>
            <w:tcW w:w="957" w:type="pct"/>
            <w:vMerge w:val="restart"/>
            <w:tcBorders>
              <w:tl2br w:val="nil"/>
              <w:tr2bl w:val="nil"/>
            </w:tcBorders>
            <w:vAlign w:val="center"/>
          </w:tcPr>
          <w:p w14:paraId="4DA24FC7">
            <w:pPr>
              <w:pStyle w:val="385"/>
              <w:jc w:val="center"/>
              <w:rPr>
                <w:b/>
                <w:bCs/>
                <w:sz w:val="21"/>
                <w:szCs w:val="21"/>
              </w:rPr>
            </w:pPr>
            <w:r>
              <w:rPr>
                <w:b/>
                <w:bCs/>
                <w:sz w:val="21"/>
                <w:szCs w:val="21"/>
              </w:rPr>
              <w:t>标准来源</w:t>
            </w:r>
          </w:p>
        </w:tc>
      </w:tr>
      <w:tr w14:paraId="4AE88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trPr>
        <w:tc>
          <w:tcPr>
            <w:tcW w:w="388" w:type="pct"/>
            <w:vMerge w:val="continue"/>
            <w:tcBorders>
              <w:tl2br w:val="nil"/>
              <w:tr2bl w:val="nil"/>
            </w:tcBorders>
            <w:vAlign w:val="center"/>
          </w:tcPr>
          <w:p w14:paraId="64F51784">
            <w:pPr>
              <w:pStyle w:val="385"/>
              <w:jc w:val="center"/>
              <w:rPr>
                <w:sz w:val="21"/>
                <w:szCs w:val="21"/>
              </w:rPr>
            </w:pPr>
          </w:p>
        </w:tc>
        <w:tc>
          <w:tcPr>
            <w:tcW w:w="1207" w:type="pct"/>
            <w:vMerge w:val="continue"/>
            <w:tcBorders>
              <w:tl2br w:val="nil"/>
              <w:tr2bl w:val="nil"/>
            </w:tcBorders>
            <w:vAlign w:val="center"/>
          </w:tcPr>
          <w:p w14:paraId="5867DA3F">
            <w:pPr>
              <w:pStyle w:val="385"/>
              <w:jc w:val="center"/>
              <w:rPr>
                <w:sz w:val="21"/>
                <w:szCs w:val="21"/>
              </w:rPr>
            </w:pPr>
          </w:p>
        </w:tc>
        <w:tc>
          <w:tcPr>
            <w:tcW w:w="1094" w:type="pct"/>
            <w:vMerge w:val="continue"/>
            <w:tcBorders>
              <w:tl2br w:val="nil"/>
              <w:tr2bl w:val="nil"/>
            </w:tcBorders>
            <w:vAlign w:val="center"/>
          </w:tcPr>
          <w:p w14:paraId="7051303B">
            <w:pPr>
              <w:pStyle w:val="385"/>
              <w:jc w:val="center"/>
              <w:rPr>
                <w:sz w:val="21"/>
                <w:szCs w:val="21"/>
              </w:rPr>
            </w:pPr>
          </w:p>
        </w:tc>
        <w:tc>
          <w:tcPr>
            <w:tcW w:w="1352" w:type="pct"/>
            <w:tcBorders>
              <w:tl2br w:val="nil"/>
              <w:tr2bl w:val="nil"/>
            </w:tcBorders>
            <w:vAlign w:val="center"/>
          </w:tcPr>
          <w:p w14:paraId="2EA03B98">
            <w:pPr>
              <w:pStyle w:val="385"/>
              <w:jc w:val="center"/>
              <w:rPr>
                <w:sz w:val="21"/>
                <w:szCs w:val="21"/>
              </w:rPr>
            </w:pPr>
            <w:r>
              <w:rPr>
                <w:b/>
                <w:bCs/>
                <w:sz w:val="21"/>
                <w:szCs w:val="21"/>
              </w:rPr>
              <w:t>第二类用地</w:t>
            </w:r>
          </w:p>
        </w:tc>
        <w:tc>
          <w:tcPr>
            <w:tcW w:w="957" w:type="pct"/>
            <w:vMerge w:val="continue"/>
            <w:tcBorders>
              <w:tl2br w:val="nil"/>
              <w:tr2bl w:val="nil"/>
            </w:tcBorders>
            <w:vAlign w:val="center"/>
          </w:tcPr>
          <w:p w14:paraId="02E140BC">
            <w:pPr>
              <w:pStyle w:val="385"/>
              <w:jc w:val="center"/>
              <w:rPr>
                <w:sz w:val="21"/>
                <w:szCs w:val="21"/>
              </w:rPr>
            </w:pPr>
          </w:p>
        </w:tc>
      </w:tr>
      <w:tr w14:paraId="310A7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trPr>
        <w:tc>
          <w:tcPr>
            <w:tcW w:w="4042" w:type="pct"/>
            <w:gridSpan w:val="4"/>
            <w:tcBorders>
              <w:tl2br w:val="nil"/>
              <w:tr2bl w:val="nil"/>
            </w:tcBorders>
            <w:vAlign w:val="center"/>
          </w:tcPr>
          <w:p w14:paraId="0C6B0322">
            <w:pPr>
              <w:jc w:val="center"/>
              <w:rPr>
                <w:sz w:val="21"/>
                <w:szCs w:val="21"/>
              </w:rPr>
            </w:pPr>
            <w:r>
              <w:rPr>
                <w:sz w:val="21"/>
                <w:szCs w:val="21"/>
              </w:rPr>
              <w:t>重金属和无机物</w:t>
            </w:r>
          </w:p>
        </w:tc>
        <w:tc>
          <w:tcPr>
            <w:tcW w:w="957" w:type="pct"/>
            <w:vMerge w:val="restart"/>
            <w:tcBorders>
              <w:tl2br w:val="nil"/>
              <w:tr2bl w:val="nil"/>
            </w:tcBorders>
            <w:vAlign w:val="center"/>
          </w:tcPr>
          <w:p w14:paraId="0F500EAE">
            <w:pPr>
              <w:pStyle w:val="385"/>
              <w:jc w:val="center"/>
              <w:rPr>
                <w:sz w:val="21"/>
                <w:szCs w:val="21"/>
              </w:rPr>
            </w:pPr>
            <w:r>
              <w:rPr>
                <w:spacing w:val="-3"/>
                <w:sz w:val="21"/>
                <w:szCs w:val="21"/>
              </w:rPr>
              <w:t>土壤环境质量建设用地土壤污染风险管控</w:t>
            </w:r>
            <w:r>
              <w:rPr>
                <w:sz w:val="21"/>
                <w:szCs w:val="21"/>
              </w:rPr>
              <w:t>标准（试行）</w:t>
            </w:r>
          </w:p>
          <w:p w14:paraId="418C815D">
            <w:pPr>
              <w:pStyle w:val="385"/>
              <w:jc w:val="center"/>
              <w:rPr>
                <w:sz w:val="21"/>
                <w:szCs w:val="21"/>
              </w:rPr>
            </w:pPr>
            <w:r>
              <w:rPr>
                <w:sz w:val="21"/>
                <w:szCs w:val="21"/>
              </w:rPr>
              <w:t>（GB36600-2018）</w:t>
            </w:r>
          </w:p>
        </w:tc>
      </w:tr>
      <w:tr w14:paraId="7C4E9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9" w:hRule="atLeast"/>
        </w:trPr>
        <w:tc>
          <w:tcPr>
            <w:tcW w:w="388" w:type="pct"/>
            <w:tcBorders>
              <w:tl2br w:val="nil"/>
              <w:tr2bl w:val="nil"/>
            </w:tcBorders>
            <w:vAlign w:val="center"/>
          </w:tcPr>
          <w:p w14:paraId="77DD5F54">
            <w:pPr>
              <w:pStyle w:val="385"/>
              <w:jc w:val="center"/>
              <w:rPr>
                <w:sz w:val="21"/>
                <w:szCs w:val="21"/>
              </w:rPr>
            </w:pPr>
            <w:r>
              <w:rPr>
                <w:w w:val="99"/>
                <w:sz w:val="21"/>
                <w:szCs w:val="21"/>
              </w:rPr>
              <w:t>1</w:t>
            </w:r>
          </w:p>
        </w:tc>
        <w:tc>
          <w:tcPr>
            <w:tcW w:w="1207" w:type="pct"/>
            <w:tcBorders>
              <w:tl2br w:val="nil"/>
              <w:tr2bl w:val="nil"/>
            </w:tcBorders>
            <w:vAlign w:val="center"/>
          </w:tcPr>
          <w:p w14:paraId="4024AE52">
            <w:pPr>
              <w:pStyle w:val="385"/>
              <w:jc w:val="center"/>
              <w:rPr>
                <w:sz w:val="21"/>
                <w:szCs w:val="21"/>
              </w:rPr>
            </w:pPr>
            <w:r>
              <w:rPr>
                <w:w w:val="99"/>
                <w:sz w:val="21"/>
                <w:szCs w:val="21"/>
              </w:rPr>
              <w:t>砷</w:t>
            </w:r>
          </w:p>
        </w:tc>
        <w:tc>
          <w:tcPr>
            <w:tcW w:w="1094" w:type="pct"/>
            <w:tcBorders>
              <w:tl2br w:val="nil"/>
              <w:tr2bl w:val="nil"/>
            </w:tcBorders>
            <w:vAlign w:val="center"/>
          </w:tcPr>
          <w:p w14:paraId="49517310">
            <w:pPr>
              <w:pStyle w:val="385"/>
              <w:jc w:val="center"/>
              <w:rPr>
                <w:sz w:val="21"/>
                <w:szCs w:val="21"/>
              </w:rPr>
            </w:pPr>
            <w:r>
              <w:rPr>
                <w:sz w:val="21"/>
                <w:szCs w:val="21"/>
              </w:rPr>
              <w:t>7440-38-2</w:t>
            </w:r>
          </w:p>
        </w:tc>
        <w:tc>
          <w:tcPr>
            <w:tcW w:w="1352" w:type="pct"/>
            <w:tcBorders>
              <w:tl2br w:val="nil"/>
              <w:tr2bl w:val="nil"/>
            </w:tcBorders>
            <w:vAlign w:val="center"/>
          </w:tcPr>
          <w:p w14:paraId="59164A00">
            <w:pPr>
              <w:pStyle w:val="385"/>
              <w:jc w:val="center"/>
              <w:rPr>
                <w:sz w:val="21"/>
                <w:szCs w:val="21"/>
              </w:rPr>
            </w:pPr>
            <w:r>
              <w:rPr>
                <w:sz w:val="21"/>
                <w:szCs w:val="21"/>
              </w:rPr>
              <w:t>60</w:t>
            </w:r>
          </w:p>
        </w:tc>
        <w:tc>
          <w:tcPr>
            <w:tcW w:w="957" w:type="pct"/>
            <w:vMerge w:val="continue"/>
            <w:tcBorders>
              <w:tl2br w:val="nil"/>
              <w:tr2bl w:val="nil"/>
            </w:tcBorders>
            <w:vAlign w:val="center"/>
          </w:tcPr>
          <w:p w14:paraId="2D59C349">
            <w:pPr>
              <w:pStyle w:val="385"/>
              <w:jc w:val="center"/>
              <w:rPr>
                <w:sz w:val="21"/>
                <w:szCs w:val="21"/>
              </w:rPr>
            </w:pPr>
          </w:p>
        </w:tc>
      </w:tr>
      <w:tr w14:paraId="1DD31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05FDDB81">
            <w:pPr>
              <w:pStyle w:val="385"/>
              <w:jc w:val="center"/>
              <w:rPr>
                <w:sz w:val="21"/>
                <w:szCs w:val="21"/>
              </w:rPr>
            </w:pPr>
            <w:r>
              <w:rPr>
                <w:w w:val="99"/>
                <w:sz w:val="21"/>
                <w:szCs w:val="21"/>
              </w:rPr>
              <w:t>2</w:t>
            </w:r>
          </w:p>
        </w:tc>
        <w:tc>
          <w:tcPr>
            <w:tcW w:w="1207" w:type="pct"/>
            <w:tcBorders>
              <w:tl2br w:val="nil"/>
              <w:tr2bl w:val="nil"/>
            </w:tcBorders>
            <w:vAlign w:val="center"/>
          </w:tcPr>
          <w:p w14:paraId="0A6AD2C5">
            <w:pPr>
              <w:pStyle w:val="385"/>
              <w:jc w:val="center"/>
              <w:rPr>
                <w:sz w:val="21"/>
                <w:szCs w:val="21"/>
              </w:rPr>
            </w:pPr>
            <w:r>
              <w:rPr>
                <w:w w:val="99"/>
                <w:sz w:val="21"/>
                <w:szCs w:val="21"/>
              </w:rPr>
              <w:t>镉</w:t>
            </w:r>
          </w:p>
        </w:tc>
        <w:tc>
          <w:tcPr>
            <w:tcW w:w="1094" w:type="pct"/>
            <w:tcBorders>
              <w:tl2br w:val="nil"/>
              <w:tr2bl w:val="nil"/>
            </w:tcBorders>
            <w:vAlign w:val="center"/>
          </w:tcPr>
          <w:p w14:paraId="6CBCE0CD">
            <w:pPr>
              <w:pStyle w:val="385"/>
              <w:jc w:val="center"/>
              <w:rPr>
                <w:sz w:val="21"/>
                <w:szCs w:val="21"/>
              </w:rPr>
            </w:pPr>
            <w:r>
              <w:rPr>
                <w:sz w:val="21"/>
                <w:szCs w:val="21"/>
              </w:rPr>
              <w:t>7440-43-9</w:t>
            </w:r>
          </w:p>
        </w:tc>
        <w:tc>
          <w:tcPr>
            <w:tcW w:w="1352" w:type="pct"/>
            <w:tcBorders>
              <w:tl2br w:val="nil"/>
              <w:tr2bl w:val="nil"/>
            </w:tcBorders>
            <w:vAlign w:val="center"/>
          </w:tcPr>
          <w:p w14:paraId="26DE2504">
            <w:pPr>
              <w:pStyle w:val="385"/>
              <w:jc w:val="center"/>
              <w:rPr>
                <w:sz w:val="21"/>
                <w:szCs w:val="21"/>
              </w:rPr>
            </w:pPr>
            <w:r>
              <w:rPr>
                <w:sz w:val="21"/>
                <w:szCs w:val="21"/>
              </w:rPr>
              <w:t>65</w:t>
            </w:r>
          </w:p>
        </w:tc>
        <w:tc>
          <w:tcPr>
            <w:tcW w:w="957" w:type="pct"/>
            <w:vMerge w:val="continue"/>
            <w:tcBorders>
              <w:tl2br w:val="nil"/>
              <w:tr2bl w:val="nil"/>
            </w:tcBorders>
            <w:vAlign w:val="center"/>
          </w:tcPr>
          <w:p w14:paraId="72F19345">
            <w:pPr>
              <w:jc w:val="center"/>
              <w:rPr>
                <w:sz w:val="21"/>
                <w:szCs w:val="21"/>
              </w:rPr>
            </w:pPr>
          </w:p>
        </w:tc>
      </w:tr>
      <w:tr w14:paraId="33E48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2C408FAC">
            <w:pPr>
              <w:pStyle w:val="385"/>
              <w:jc w:val="center"/>
              <w:rPr>
                <w:sz w:val="21"/>
                <w:szCs w:val="21"/>
              </w:rPr>
            </w:pPr>
            <w:r>
              <w:rPr>
                <w:w w:val="99"/>
                <w:sz w:val="21"/>
                <w:szCs w:val="21"/>
              </w:rPr>
              <w:t>3</w:t>
            </w:r>
          </w:p>
        </w:tc>
        <w:tc>
          <w:tcPr>
            <w:tcW w:w="1207" w:type="pct"/>
            <w:tcBorders>
              <w:tl2br w:val="nil"/>
              <w:tr2bl w:val="nil"/>
            </w:tcBorders>
            <w:vAlign w:val="center"/>
          </w:tcPr>
          <w:p w14:paraId="0BC1739C">
            <w:pPr>
              <w:pStyle w:val="385"/>
              <w:jc w:val="center"/>
              <w:rPr>
                <w:sz w:val="21"/>
                <w:szCs w:val="21"/>
              </w:rPr>
            </w:pPr>
            <w:r>
              <w:rPr>
                <w:sz w:val="21"/>
                <w:szCs w:val="21"/>
              </w:rPr>
              <w:t>铬（六价）</w:t>
            </w:r>
          </w:p>
        </w:tc>
        <w:tc>
          <w:tcPr>
            <w:tcW w:w="1094" w:type="pct"/>
            <w:tcBorders>
              <w:tl2br w:val="nil"/>
              <w:tr2bl w:val="nil"/>
            </w:tcBorders>
            <w:vAlign w:val="center"/>
          </w:tcPr>
          <w:p w14:paraId="4DD285EA">
            <w:pPr>
              <w:pStyle w:val="385"/>
              <w:jc w:val="center"/>
              <w:rPr>
                <w:sz w:val="21"/>
                <w:szCs w:val="21"/>
              </w:rPr>
            </w:pPr>
            <w:r>
              <w:rPr>
                <w:sz w:val="21"/>
                <w:szCs w:val="21"/>
              </w:rPr>
              <w:t>18540-29-9</w:t>
            </w:r>
          </w:p>
        </w:tc>
        <w:tc>
          <w:tcPr>
            <w:tcW w:w="1352" w:type="pct"/>
            <w:tcBorders>
              <w:tl2br w:val="nil"/>
              <w:tr2bl w:val="nil"/>
            </w:tcBorders>
            <w:vAlign w:val="center"/>
          </w:tcPr>
          <w:p w14:paraId="58FB3099">
            <w:pPr>
              <w:pStyle w:val="385"/>
              <w:jc w:val="center"/>
              <w:rPr>
                <w:sz w:val="21"/>
                <w:szCs w:val="21"/>
              </w:rPr>
            </w:pPr>
            <w:r>
              <w:rPr>
                <w:sz w:val="21"/>
                <w:szCs w:val="21"/>
              </w:rPr>
              <w:t>5.7</w:t>
            </w:r>
          </w:p>
        </w:tc>
        <w:tc>
          <w:tcPr>
            <w:tcW w:w="957" w:type="pct"/>
            <w:vMerge w:val="continue"/>
            <w:tcBorders>
              <w:tl2br w:val="nil"/>
              <w:tr2bl w:val="nil"/>
            </w:tcBorders>
            <w:vAlign w:val="center"/>
          </w:tcPr>
          <w:p w14:paraId="25EBBBAE">
            <w:pPr>
              <w:jc w:val="center"/>
              <w:rPr>
                <w:sz w:val="21"/>
                <w:szCs w:val="21"/>
              </w:rPr>
            </w:pPr>
          </w:p>
        </w:tc>
      </w:tr>
      <w:tr w14:paraId="2AD08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trPr>
        <w:tc>
          <w:tcPr>
            <w:tcW w:w="388" w:type="pct"/>
            <w:tcBorders>
              <w:tl2br w:val="nil"/>
              <w:tr2bl w:val="nil"/>
            </w:tcBorders>
            <w:vAlign w:val="center"/>
          </w:tcPr>
          <w:p w14:paraId="06B57CAD">
            <w:pPr>
              <w:pStyle w:val="385"/>
              <w:jc w:val="center"/>
              <w:rPr>
                <w:sz w:val="21"/>
                <w:szCs w:val="21"/>
              </w:rPr>
            </w:pPr>
            <w:r>
              <w:rPr>
                <w:w w:val="99"/>
                <w:sz w:val="21"/>
                <w:szCs w:val="21"/>
              </w:rPr>
              <w:t>4</w:t>
            </w:r>
          </w:p>
        </w:tc>
        <w:tc>
          <w:tcPr>
            <w:tcW w:w="1207" w:type="pct"/>
            <w:tcBorders>
              <w:tl2br w:val="nil"/>
              <w:tr2bl w:val="nil"/>
            </w:tcBorders>
            <w:vAlign w:val="center"/>
          </w:tcPr>
          <w:p w14:paraId="1A8560BA">
            <w:pPr>
              <w:pStyle w:val="385"/>
              <w:jc w:val="center"/>
              <w:rPr>
                <w:sz w:val="21"/>
                <w:szCs w:val="21"/>
              </w:rPr>
            </w:pPr>
            <w:r>
              <w:rPr>
                <w:w w:val="99"/>
                <w:sz w:val="21"/>
                <w:szCs w:val="21"/>
              </w:rPr>
              <w:t>铜</w:t>
            </w:r>
          </w:p>
        </w:tc>
        <w:tc>
          <w:tcPr>
            <w:tcW w:w="1094" w:type="pct"/>
            <w:tcBorders>
              <w:tl2br w:val="nil"/>
              <w:tr2bl w:val="nil"/>
            </w:tcBorders>
            <w:vAlign w:val="center"/>
          </w:tcPr>
          <w:p w14:paraId="6B2F4D0E">
            <w:pPr>
              <w:pStyle w:val="385"/>
              <w:jc w:val="center"/>
              <w:rPr>
                <w:sz w:val="21"/>
                <w:szCs w:val="21"/>
              </w:rPr>
            </w:pPr>
            <w:r>
              <w:rPr>
                <w:sz w:val="21"/>
                <w:szCs w:val="21"/>
              </w:rPr>
              <w:t>7440-50-8</w:t>
            </w:r>
          </w:p>
        </w:tc>
        <w:tc>
          <w:tcPr>
            <w:tcW w:w="1352" w:type="pct"/>
            <w:tcBorders>
              <w:tl2br w:val="nil"/>
              <w:tr2bl w:val="nil"/>
            </w:tcBorders>
            <w:vAlign w:val="center"/>
          </w:tcPr>
          <w:p w14:paraId="730D041E">
            <w:pPr>
              <w:pStyle w:val="385"/>
              <w:jc w:val="center"/>
              <w:rPr>
                <w:sz w:val="21"/>
                <w:szCs w:val="21"/>
              </w:rPr>
            </w:pPr>
            <w:r>
              <w:rPr>
                <w:sz w:val="21"/>
                <w:szCs w:val="21"/>
              </w:rPr>
              <w:t>18000</w:t>
            </w:r>
          </w:p>
        </w:tc>
        <w:tc>
          <w:tcPr>
            <w:tcW w:w="957" w:type="pct"/>
            <w:vMerge w:val="continue"/>
            <w:tcBorders>
              <w:tl2br w:val="nil"/>
              <w:tr2bl w:val="nil"/>
            </w:tcBorders>
            <w:vAlign w:val="center"/>
          </w:tcPr>
          <w:p w14:paraId="5100320F">
            <w:pPr>
              <w:jc w:val="center"/>
              <w:rPr>
                <w:sz w:val="21"/>
                <w:szCs w:val="21"/>
              </w:rPr>
            </w:pPr>
          </w:p>
        </w:tc>
      </w:tr>
      <w:tr w14:paraId="54C75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6F8514B2">
            <w:pPr>
              <w:pStyle w:val="385"/>
              <w:jc w:val="center"/>
              <w:rPr>
                <w:sz w:val="21"/>
                <w:szCs w:val="21"/>
              </w:rPr>
            </w:pPr>
            <w:r>
              <w:rPr>
                <w:w w:val="99"/>
                <w:sz w:val="21"/>
                <w:szCs w:val="21"/>
              </w:rPr>
              <w:t>5</w:t>
            </w:r>
          </w:p>
        </w:tc>
        <w:tc>
          <w:tcPr>
            <w:tcW w:w="1207" w:type="pct"/>
            <w:tcBorders>
              <w:tl2br w:val="nil"/>
              <w:tr2bl w:val="nil"/>
            </w:tcBorders>
            <w:vAlign w:val="center"/>
          </w:tcPr>
          <w:p w14:paraId="2F426C4C">
            <w:pPr>
              <w:pStyle w:val="385"/>
              <w:jc w:val="center"/>
              <w:rPr>
                <w:sz w:val="21"/>
                <w:szCs w:val="21"/>
              </w:rPr>
            </w:pPr>
            <w:r>
              <w:rPr>
                <w:w w:val="99"/>
                <w:sz w:val="21"/>
                <w:szCs w:val="21"/>
              </w:rPr>
              <w:t>铅</w:t>
            </w:r>
          </w:p>
        </w:tc>
        <w:tc>
          <w:tcPr>
            <w:tcW w:w="1094" w:type="pct"/>
            <w:tcBorders>
              <w:tl2br w:val="nil"/>
              <w:tr2bl w:val="nil"/>
            </w:tcBorders>
            <w:vAlign w:val="center"/>
          </w:tcPr>
          <w:p w14:paraId="1881E143">
            <w:pPr>
              <w:pStyle w:val="385"/>
              <w:jc w:val="center"/>
              <w:rPr>
                <w:sz w:val="21"/>
                <w:szCs w:val="21"/>
              </w:rPr>
            </w:pPr>
            <w:r>
              <w:rPr>
                <w:sz w:val="21"/>
                <w:szCs w:val="21"/>
              </w:rPr>
              <w:t>7439-92-1</w:t>
            </w:r>
          </w:p>
        </w:tc>
        <w:tc>
          <w:tcPr>
            <w:tcW w:w="1352" w:type="pct"/>
            <w:tcBorders>
              <w:tl2br w:val="nil"/>
              <w:tr2bl w:val="nil"/>
            </w:tcBorders>
            <w:vAlign w:val="center"/>
          </w:tcPr>
          <w:p w14:paraId="4AD0666C">
            <w:pPr>
              <w:pStyle w:val="385"/>
              <w:jc w:val="center"/>
              <w:rPr>
                <w:sz w:val="21"/>
                <w:szCs w:val="21"/>
              </w:rPr>
            </w:pPr>
            <w:r>
              <w:rPr>
                <w:sz w:val="21"/>
                <w:szCs w:val="21"/>
              </w:rPr>
              <w:t>800</w:t>
            </w:r>
          </w:p>
        </w:tc>
        <w:tc>
          <w:tcPr>
            <w:tcW w:w="957" w:type="pct"/>
            <w:vMerge w:val="continue"/>
            <w:tcBorders>
              <w:tl2br w:val="nil"/>
              <w:tr2bl w:val="nil"/>
            </w:tcBorders>
            <w:vAlign w:val="center"/>
          </w:tcPr>
          <w:p w14:paraId="6296C305">
            <w:pPr>
              <w:jc w:val="center"/>
              <w:rPr>
                <w:sz w:val="21"/>
                <w:szCs w:val="21"/>
              </w:rPr>
            </w:pPr>
          </w:p>
        </w:tc>
      </w:tr>
      <w:tr w14:paraId="1E3AC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trPr>
        <w:tc>
          <w:tcPr>
            <w:tcW w:w="388" w:type="pct"/>
            <w:tcBorders>
              <w:tl2br w:val="nil"/>
              <w:tr2bl w:val="nil"/>
            </w:tcBorders>
            <w:vAlign w:val="center"/>
          </w:tcPr>
          <w:p w14:paraId="16F845B0">
            <w:pPr>
              <w:pStyle w:val="385"/>
              <w:jc w:val="center"/>
              <w:rPr>
                <w:sz w:val="21"/>
                <w:szCs w:val="21"/>
              </w:rPr>
            </w:pPr>
            <w:r>
              <w:rPr>
                <w:w w:val="99"/>
                <w:sz w:val="21"/>
                <w:szCs w:val="21"/>
              </w:rPr>
              <w:t>6</w:t>
            </w:r>
          </w:p>
        </w:tc>
        <w:tc>
          <w:tcPr>
            <w:tcW w:w="1207" w:type="pct"/>
            <w:tcBorders>
              <w:tl2br w:val="nil"/>
              <w:tr2bl w:val="nil"/>
            </w:tcBorders>
            <w:vAlign w:val="center"/>
          </w:tcPr>
          <w:p w14:paraId="6401F98E">
            <w:pPr>
              <w:pStyle w:val="385"/>
              <w:jc w:val="center"/>
              <w:rPr>
                <w:sz w:val="21"/>
                <w:szCs w:val="21"/>
              </w:rPr>
            </w:pPr>
            <w:r>
              <w:rPr>
                <w:w w:val="99"/>
                <w:sz w:val="21"/>
                <w:szCs w:val="21"/>
              </w:rPr>
              <w:t>汞</w:t>
            </w:r>
          </w:p>
        </w:tc>
        <w:tc>
          <w:tcPr>
            <w:tcW w:w="1094" w:type="pct"/>
            <w:tcBorders>
              <w:tl2br w:val="nil"/>
              <w:tr2bl w:val="nil"/>
            </w:tcBorders>
            <w:vAlign w:val="center"/>
          </w:tcPr>
          <w:p w14:paraId="57A7B72E">
            <w:pPr>
              <w:pStyle w:val="385"/>
              <w:jc w:val="center"/>
              <w:rPr>
                <w:sz w:val="21"/>
                <w:szCs w:val="21"/>
              </w:rPr>
            </w:pPr>
            <w:r>
              <w:rPr>
                <w:sz w:val="21"/>
                <w:szCs w:val="21"/>
              </w:rPr>
              <w:t>7439-97-6</w:t>
            </w:r>
          </w:p>
        </w:tc>
        <w:tc>
          <w:tcPr>
            <w:tcW w:w="1352" w:type="pct"/>
            <w:tcBorders>
              <w:tl2br w:val="nil"/>
              <w:tr2bl w:val="nil"/>
            </w:tcBorders>
            <w:vAlign w:val="center"/>
          </w:tcPr>
          <w:p w14:paraId="3ECE4DC9">
            <w:pPr>
              <w:pStyle w:val="385"/>
              <w:jc w:val="center"/>
              <w:rPr>
                <w:sz w:val="21"/>
                <w:szCs w:val="21"/>
              </w:rPr>
            </w:pPr>
            <w:r>
              <w:rPr>
                <w:sz w:val="21"/>
                <w:szCs w:val="21"/>
              </w:rPr>
              <w:t>38</w:t>
            </w:r>
          </w:p>
        </w:tc>
        <w:tc>
          <w:tcPr>
            <w:tcW w:w="957" w:type="pct"/>
            <w:vMerge w:val="continue"/>
            <w:tcBorders>
              <w:tl2br w:val="nil"/>
              <w:tr2bl w:val="nil"/>
            </w:tcBorders>
            <w:vAlign w:val="center"/>
          </w:tcPr>
          <w:p w14:paraId="15820F44">
            <w:pPr>
              <w:jc w:val="center"/>
              <w:rPr>
                <w:sz w:val="21"/>
                <w:szCs w:val="21"/>
              </w:rPr>
            </w:pPr>
          </w:p>
        </w:tc>
      </w:tr>
      <w:tr w14:paraId="4F86C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trPr>
        <w:tc>
          <w:tcPr>
            <w:tcW w:w="388" w:type="pct"/>
            <w:tcBorders>
              <w:tl2br w:val="nil"/>
              <w:tr2bl w:val="nil"/>
            </w:tcBorders>
            <w:vAlign w:val="center"/>
          </w:tcPr>
          <w:p w14:paraId="55E954D2">
            <w:pPr>
              <w:pStyle w:val="385"/>
              <w:jc w:val="center"/>
              <w:rPr>
                <w:sz w:val="21"/>
                <w:szCs w:val="21"/>
              </w:rPr>
            </w:pPr>
            <w:r>
              <w:rPr>
                <w:w w:val="99"/>
                <w:sz w:val="21"/>
                <w:szCs w:val="21"/>
              </w:rPr>
              <w:t>7</w:t>
            </w:r>
          </w:p>
        </w:tc>
        <w:tc>
          <w:tcPr>
            <w:tcW w:w="1207" w:type="pct"/>
            <w:tcBorders>
              <w:tl2br w:val="nil"/>
              <w:tr2bl w:val="nil"/>
            </w:tcBorders>
            <w:vAlign w:val="center"/>
          </w:tcPr>
          <w:p w14:paraId="09F731F7">
            <w:pPr>
              <w:pStyle w:val="385"/>
              <w:jc w:val="center"/>
              <w:rPr>
                <w:sz w:val="21"/>
                <w:szCs w:val="21"/>
              </w:rPr>
            </w:pPr>
            <w:r>
              <w:rPr>
                <w:w w:val="99"/>
                <w:sz w:val="21"/>
                <w:szCs w:val="21"/>
              </w:rPr>
              <w:t>镍</w:t>
            </w:r>
          </w:p>
        </w:tc>
        <w:tc>
          <w:tcPr>
            <w:tcW w:w="1094" w:type="pct"/>
            <w:tcBorders>
              <w:tl2br w:val="nil"/>
              <w:tr2bl w:val="nil"/>
            </w:tcBorders>
            <w:vAlign w:val="center"/>
          </w:tcPr>
          <w:p w14:paraId="3EDBFB4B">
            <w:pPr>
              <w:pStyle w:val="385"/>
              <w:jc w:val="center"/>
              <w:rPr>
                <w:sz w:val="21"/>
                <w:szCs w:val="21"/>
              </w:rPr>
            </w:pPr>
            <w:r>
              <w:rPr>
                <w:sz w:val="21"/>
                <w:szCs w:val="21"/>
              </w:rPr>
              <w:t>7440-02-0</w:t>
            </w:r>
          </w:p>
        </w:tc>
        <w:tc>
          <w:tcPr>
            <w:tcW w:w="1352" w:type="pct"/>
            <w:tcBorders>
              <w:tl2br w:val="nil"/>
              <w:tr2bl w:val="nil"/>
            </w:tcBorders>
            <w:vAlign w:val="center"/>
          </w:tcPr>
          <w:p w14:paraId="73BE7B1A">
            <w:pPr>
              <w:pStyle w:val="385"/>
              <w:jc w:val="center"/>
              <w:rPr>
                <w:sz w:val="21"/>
                <w:szCs w:val="21"/>
              </w:rPr>
            </w:pPr>
            <w:r>
              <w:rPr>
                <w:sz w:val="21"/>
                <w:szCs w:val="21"/>
              </w:rPr>
              <w:t>900</w:t>
            </w:r>
          </w:p>
        </w:tc>
        <w:tc>
          <w:tcPr>
            <w:tcW w:w="957" w:type="pct"/>
            <w:vMerge w:val="continue"/>
            <w:tcBorders>
              <w:tl2br w:val="nil"/>
              <w:tr2bl w:val="nil"/>
            </w:tcBorders>
            <w:vAlign w:val="center"/>
          </w:tcPr>
          <w:p w14:paraId="5CB361EE">
            <w:pPr>
              <w:jc w:val="center"/>
              <w:rPr>
                <w:sz w:val="21"/>
                <w:szCs w:val="21"/>
              </w:rPr>
            </w:pPr>
          </w:p>
        </w:tc>
      </w:tr>
      <w:tr w14:paraId="7094A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4042" w:type="pct"/>
            <w:gridSpan w:val="4"/>
            <w:tcBorders>
              <w:tl2br w:val="nil"/>
              <w:tr2bl w:val="nil"/>
            </w:tcBorders>
            <w:vAlign w:val="center"/>
          </w:tcPr>
          <w:p w14:paraId="75CA9D7B">
            <w:pPr>
              <w:pStyle w:val="385"/>
              <w:jc w:val="center"/>
              <w:rPr>
                <w:sz w:val="21"/>
                <w:szCs w:val="21"/>
              </w:rPr>
            </w:pPr>
            <w:r>
              <w:rPr>
                <w:sz w:val="21"/>
                <w:szCs w:val="21"/>
              </w:rPr>
              <w:t>挥发性有机物</w:t>
            </w:r>
          </w:p>
        </w:tc>
        <w:tc>
          <w:tcPr>
            <w:tcW w:w="957" w:type="pct"/>
            <w:vMerge w:val="continue"/>
            <w:tcBorders>
              <w:tl2br w:val="nil"/>
              <w:tr2bl w:val="nil"/>
            </w:tcBorders>
            <w:vAlign w:val="center"/>
          </w:tcPr>
          <w:p w14:paraId="1865C13C">
            <w:pPr>
              <w:jc w:val="center"/>
              <w:rPr>
                <w:sz w:val="21"/>
                <w:szCs w:val="21"/>
              </w:rPr>
            </w:pPr>
          </w:p>
        </w:tc>
      </w:tr>
      <w:tr w14:paraId="5D5D9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59D55494">
            <w:pPr>
              <w:pStyle w:val="385"/>
              <w:jc w:val="center"/>
              <w:rPr>
                <w:sz w:val="21"/>
                <w:szCs w:val="21"/>
              </w:rPr>
            </w:pPr>
            <w:r>
              <w:rPr>
                <w:w w:val="99"/>
                <w:sz w:val="21"/>
                <w:szCs w:val="21"/>
              </w:rPr>
              <w:t>8</w:t>
            </w:r>
          </w:p>
        </w:tc>
        <w:tc>
          <w:tcPr>
            <w:tcW w:w="1207" w:type="pct"/>
            <w:tcBorders>
              <w:tl2br w:val="nil"/>
              <w:tr2bl w:val="nil"/>
            </w:tcBorders>
            <w:vAlign w:val="center"/>
          </w:tcPr>
          <w:p w14:paraId="36E09F68">
            <w:pPr>
              <w:pStyle w:val="385"/>
              <w:jc w:val="center"/>
              <w:rPr>
                <w:sz w:val="21"/>
                <w:szCs w:val="21"/>
              </w:rPr>
            </w:pPr>
            <w:r>
              <w:rPr>
                <w:sz w:val="21"/>
                <w:szCs w:val="21"/>
              </w:rPr>
              <w:t>四氯化碳</w:t>
            </w:r>
          </w:p>
        </w:tc>
        <w:tc>
          <w:tcPr>
            <w:tcW w:w="1094" w:type="pct"/>
            <w:tcBorders>
              <w:tl2br w:val="nil"/>
              <w:tr2bl w:val="nil"/>
            </w:tcBorders>
            <w:vAlign w:val="center"/>
          </w:tcPr>
          <w:p w14:paraId="484BF90F">
            <w:pPr>
              <w:pStyle w:val="385"/>
              <w:jc w:val="center"/>
              <w:rPr>
                <w:sz w:val="21"/>
                <w:szCs w:val="21"/>
              </w:rPr>
            </w:pPr>
            <w:r>
              <w:rPr>
                <w:sz w:val="21"/>
                <w:szCs w:val="21"/>
              </w:rPr>
              <w:t>56-23-5</w:t>
            </w:r>
          </w:p>
        </w:tc>
        <w:tc>
          <w:tcPr>
            <w:tcW w:w="1352" w:type="pct"/>
            <w:tcBorders>
              <w:tl2br w:val="nil"/>
              <w:tr2bl w:val="nil"/>
            </w:tcBorders>
            <w:vAlign w:val="center"/>
          </w:tcPr>
          <w:p w14:paraId="1D28B69A">
            <w:pPr>
              <w:pStyle w:val="385"/>
              <w:jc w:val="center"/>
              <w:rPr>
                <w:sz w:val="21"/>
                <w:szCs w:val="21"/>
              </w:rPr>
            </w:pPr>
            <w:r>
              <w:rPr>
                <w:sz w:val="21"/>
                <w:szCs w:val="21"/>
              </w:rPr>
              <w:t>2.8</w:t>
            </w:r>
          </w:p>
        </w:tc>
        <w:tc>
          <w:tcPr>
            <w:tcW w:w="957" w:type="pct"/>
            <w:vMerge w:val="continue"/>
            <w:tcBorders>
              <w:tl2br w:val="nil"/>
              <w:tr2bl w:val="nil"/>
            </w:tcBorders>
            <w:vAlign w:val="center"/>
          </w:tcPr>
          <w:p w14:paraId="5E6B1603">
            <w:pPr>
              <w:jc w:val="center"/>
              <w:rPr>
                <w:sz w:val="21"/>
                <w:szCs w:val="21"/>
              </w:rPr>
            </w:pPr>
          </w:p>
        </w:tc>
      </w:tr>
      <w:tr w14:paraId="17504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6D5999EE">
            <w:pPr>
              <w:pStyle w:val="385"/>
              <w:jc w:val="center"/>
              <w:rPr>
                <w:sz w:val="21"/>
                <w:szCs w:val="21"/>
              </w:rPr>
            </w:pPr>
            <w:r>
              <w:rPr>
                <w:w w:val="99"/>
                <w:sz w:val="21"/>
                <w:szCs w:val="21"/>
              </w:rPr>
              <w:t>9</w:t>
            </w:r>
          </w:p>
        </w:tc>
        <w:tc>
          <w:tcPr>
            <w:tcW w:w="1207" w:type="pct"/>
            <w:tcBorders>
              <w:tl2br w:val="nil"/>
              <w:tr2bl w:val="nil"/>
            </w:tcBorders>
            <w:vAlign w:val="center"/>
          </w:tcPr>
          <w:p w14:paraId="36440D7A">
            <w:pPr>
              <w:pStyle w:val="385"/>
              <w:jc w:val="center"/>
              <w:rPr>
                <w:sz w:val="21"/>
                <w:szCs w:val="21"/>
              </w:rPr>
            </w:pPr>
            <w:r>
              <w:rPr>
                <w:sz w:val="21"/>
                <w:szCs w:val="21"/>
              </w:rPr>
              <w:t>氯仿</w:t>
            </w:r>
          </w:p>
        </w:tc>
        <w:tc>
          <w:tcPr>
            <w:tcW w:w="1094" w:type="pct"/>
            <w:tcBorders>
              <w:tl2br w:val="nil"/>
              <w:tr2bl w:val="nil"/>
            </w:tcBorders>
            <w:vAlign w:val="center"/>
          </w:tcPr>
          <w:p w14:paraId="365B51DC">
            <w:pPr>
              <w:pStyle w:val="385"/>
              <w:jc w:val="center"/>
              <w:rPr>
                <w:sz w:val="21"/>
                <w:szCs w:val="21"/>
              </w:rPr>
            </w:pPr>
            <w:r>
              <w:rPr>
                <w:sz w:val="21"/>
                <w:szCs w:val="21"/>
              </w:rPr>
              <w:t>67-66-3</w:t>
            </w:r>
          </w:p>
        </w:tc>
        <w:tc>
          <w:tcPr>
            <w:tcW w:w="1352" w:type="pct"/>
            <w:tcBorders>
              <w:tl2br w:val="nil"/>
              <w:tr2bl w:val="nil"/>
            </w:tcBorders>
            <w:vAlign w:val="center"/>
          </w:tcPr>
          <w:p w14:paraId="070A3E32">
            <w:pPr>
              <w:pStyle w:val="385"/>
              <w:jc w:val="center"/>
              <w:rPr>
                <w:sz w:val="21"/>
                <w:szCs w:val="21"/>
              </w:rPr>
            </w:pPr>
            <w:r>
              <w:rPr>
                <w:sz w:val="21"/>
                <w:szCs w:val="21"/>
              </w:rPr>
              <w:t>0.9</w:t>
            </w:r>
          </w:p>
        </w:tc>
        <w:tc>
          <w:tcPr>
            <w:tcW w:w="957" w:type="pct"/>
            <w:vMerge w:val="continue"/>
            <w:tcBorders>
              <w:tl2br w:val="nil"/>
              <w:tr2bl w:val="nil"/>
            </w:tcBorders>
            <w:vAlign w:val="center"/>
          </w:tcPr>
          <w:p w14:paraId="3C6F7ADA">
            <w:pPr>
              <w:jc w:val="center"/>
              <w:rPr>
                <w:sz w:val="21"/>
                <w:szCs w:val="21"/>
              </w:rPr>
            </w:pPr>
          </w:p>
        </w:tc>
      </w:tr>
      <w:tr w14:paraId="618F3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3C323AD7">
            <w:pPr>
              <w:pStyle w:val="385"/>
              <w:jc w:val="center"/>
              <w:rPr>
                <w:sz w:val="21"/>
                <w:szCs w:val="21"/>
              </w:rPr>
            </w:pPr>
            <w:r>
              <w:rPr>
                <w:sz w:val="21"/>
                <w:szCs w:val="21"/>
              </w:rPr>
              <w:t>10</w:t>
            </w:r>
          </w:p>
        </w:tc>
        <w:tc>
          <w:tcPr>
            <w:tcW w:w="1207" w:type="pct"/>
            <w:tcBorders>
              <w:tl2br w:val="nil"/>
              <w:tr2bl w:val="nil"/>
            </w:tcBorders>
            <w:vAlign w:val="center"/>
          </w:tcPr>
          <w:p w14:paraId="41FB1EF0">
            <w:pPr>
              <w:pStyle w:val="385"/>
              <w:jc w:val="center"/>
              <w:rPr>
                <w:sz w:val="21"/>
                <w:szCs w:val="21"/>
              </w:rPr>
            </w:pPr>
            <w:r>
              <w:rPr>
                <w:sz w:val="21"/>
                <w:szCs w:val="21"/>
              </w:rPr>
              <w:t>氯化钾</w:t>
            </w:r>
          </w:p>
        </w:tc>
        <w:tc>
          <w:tcPr>
            <w:tcW w:w="1094" w:type="pct"/>
            <w:tcBorders>
              <w:tl2br w:val="nil"/>
              <w:tr2bl w:val="nil"/>
            </w:tcBorders>
            <w:vAlign w:val="center"/>
          </w:tcPr>
          <w:p w14:paraId="6C985CE5">
            <w:pPr>
              <w:pStyle w:val="385"/>
              <w:jc w:val="center"/>
              <w:rPr>
                <w:sz w:val="21"/>
                <w:szCs w:val="21"/>
              </w:rPr>
            </w:pPr>
            <w:r>
              <w:rPr>
                <w:sz w:val="21"/>
                <w:szCs w:val="21"/>
              </w:rPr>
              <w:t>74-87-3</w:t>
            </w:r>
          </w:p>
        </w:tc>
        <w:tc>
          <w:tcPr>
            <w:tcW w:w="1352" w:type="pct"/>
            <w:tcBorders>
              <w:tl2br w:val="nil"/>
              <w:tr2bl w:val="nil"/>
            </w:tcBorders>
            <w:vAlign w:val="center"/>
          </w:tcPr>
          <w:p w14:paraId="7AD5E988">
            <w:pPr>
              <w:pStyle w:val="385"/>
              <w:jc w:val="center"/>
              <w:rPr>
                <w:sz w:val="21"/>
                <w:szCs w:val="21"/>
              </w:rPr>
            </w:pPr>
            <w:r>
              <w:rPr>
                <w:sz w:val="21"/>
                <w:szCs w:val="21"/>
              </w:rPr>
              <w:t>37</w:t>
            </w:r>
          </w:p>
        </w:tc>
        <w:tc>
          <w:tcPr>
            <w:tcW w:w="957" w:type="pct"/>
            <w:vMerge w:val="continue"/>
            <w:tcBorders>
              <w:tl2br w:val="nil"/>
              <w:tr2bl w:val="nil"/>
            </w:tcBorders>
            <w:vAlign w:val="center"/>
          </w:tcPr>
          <w:p w14:paraId="7F9549C6">
            <w:pPr>
              <w:jc w:val="center"/>
              <w:rPr>
                <w:sz w:val="21"/>
                <w:szCs w:val="21"/>
              </w:rPr>
            </w:pPr>
          </w:p>
        </w:tc>
      </w:tr>
      <w:tr w14:paraId="0C689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trPr>
        <w:tc>
          <w:tcPr>
            <w:tcW w:w="388" w:type="pct"/>
            <w:tcBorders>
              <w:tl2br w:val="nil"/>
              <w:tr2bl w:val="nil"/>
            </w:tcBorders>
            <w:vAlign w:val="center"/>
          </w:tcPr>
          <w:p w14:paraId="23FB38E7">
            <w:pPr>
              <w:pStyle w:val="385"/>
              <w:jc w:val="center"/>
              <w:rPr>
                <w:sz w:val="21"/>
                <w:szCs w:val="21"/>
              </w:rPr>
            </w:pPr>
            <w:r>
              <w:rPr>
                <w:sz w:val="21"/>
                <w:szCs w:val="21"/>
              </w:rPr>
              <w:t>11</w:t>
            </w:r>
          </w:p>
        </w:tc>
        <w:tc>
          <w:tcPr>
            <w:tcW w:w="1207" w:type="pct"/>
            <w:tcBorders>
              <w:tl2br w:val="nil"/>
              <w:tr2bl w:val="nil"/>
            </w:tcBorders>
            <w:vAlign w:val="center"/>
          </w:tcPr>
          <w:p w14:paraId="12868CC1">
            <w:pPr>
              <w:pStyle w:val="385"/>
              <w:jc w:val="center"/>
              <w:rPr>
                <w:sz w:val="21"/>
                <w:szCs w:val="21"/>
              </w:rPr>
            </w:pPr>
            <w:r>
              <w:rPr>
                <w:sz w:val="21"/>
                <w:szCs w:val="21"/>
              </w:rPr>
              <w:t>1,1-二氯乙烷</w:t>
            </w:r>
          </w:p>
        </w:tc>
        <w:tc>
          <w:tcPr>
            <w:tcW w:w="1094" w:type="pct"/>
            <w:tcBorders>
              <w:tl2br w:val="nil"/>
              <w:tr2bl w:val="nil"/>
            </w:tcBorders>
            <w:vAlign w:val="center"/>
          </w:tcPr>
          <w:p w14:paraId="1D8D5C5E">
            <w:pPr>
              <w:pStyle w:val="385"/>
              <w:jc w:val="center"/>
              <w:rPr>
                <w:sz w:val="21"/>
                <w:szCs w:val="21"/>
              </w:rPr>
            </w:pPr>
            <w:r>
              <w:rPr>
                <w:sz w:val="21"/>
                <w:szCs w:val="21"/>
              </w:rPr>
              <w:t>75-34-3</w:t>
            </w:r>
          </w:p>
        </w:tc>
        <w:tc>
          <w:tcPr>
            <w:tcW w:w="1352" w:type="pct"/>
            <w:tcBorders>
              <w:tl2br w:val="nil"/>
              <w:tr2bl w:val="nil"/>
            </w:tcBorders>
            <w:vAlign w:val="center"/>
          </w:tcPr>
          <w:p w14:paraId="280FC5C6">
            <w:pPr>
              <w:pStyle w:val="385"/>
              <w:jc w:val="center"/>
              <w:rPr>
                <w:sz w:val="21"/>
                <w:szCs w:val="21"/>
              </w:rPr>
            </w:pPr>
            <w:r>
              <w:rPr>
                <w:w w:val="99"/>
                <w:sz w:val="21"/>
                <w:szCs w:val="21"/>
              </w:rPr>
              <w:t>9</w:t>
            </w:r>
          </w:p>
        </w:tc>
        <w:tc>
          <w:tcPr>
            <w:tcW w:w="957" w:type="pct"/>
            <w:vMerge w:val="continue"/>
            <w:tcBorders>
              <w:tl2br w:val="nil"/>
              <w:tr2bl w:val="nil"/>
            </w:tcBorders>
            <w:vAlign w:val="center"/>
          </w:tcPr>
          <w:p w14:paraId="777DF936">
            <w:pPr>
              <w:jc w:val="center"/>
              <w:rPr>
                <w:sz w:val="21"/>
                <w:szCs w:val="21"/>
              </w:rPr>
            </w:pPr>
          </w:p>
        </w:tc>
      </w:tr>
      <w:tr w14:paraId="7D388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745775C5">
            <w:pPr>
              <w:pStyle w:val="385"/>
              <w:jc w:val="center"/>
              <w:rPr>
                <w:sz w:val="21"/>
                <w:szCs w:val="21"/>
              </w:rPr>
            </w:pPr>
            <w:r>
              <w:rPr>
                <w:sz w:val="21"/>
                <w:szCs w:val="21"/>
              </w:rPr>
              <w:t>12</w:t>
            </w:r>
          </w:p>
        </w:tc>
        <w:tc>
          <w:tcPr>
            <w:tcW w:w="1207" w:type="pct"/>
            <w:tcBorders>
              <w:tl2br w:val="nil"/>
              <w:tr2bl w:val="nil"/>
            </w:tcBorders>
            <w:vAlign w:val="center"/>
          </w:tcPr>
          <w:p w14:paraId="5F5910E5">
            <w:pPr>
              <w:pStyle w:val="385"/>
              <w:jc w:val="center"/>
              <w:rPr>
                <w:sz w:val="21"/>
                <w:szCs w:val="21"/>
              </w:rPr>
            </w:pPr>
            <w:r>
              <w:rPr>
                <w:sz w:val="21"/>
                <w:szCs w:val="21"/>
              </w:rPr>
              <w:t>1,2-二氯乙烷</w:t>
            </w:r>
          </w:p>
        </w:tc>
        <w:tc>
          <w:tcPr>
            <w:tcW w:w="1094" w:type="pct"/>
            <w:tcBorders>
              <w:tl2br w:val="nil"/>
              <w:tr2bl w:val="nil"/>
            </w:tcBorders>
            <w:vAlign w:val="center"/>
          </w:tcPr>
          <w:p w14:paraId="53DC9AC5">
            <w:pPr>
              <w:pStyle w:val="385"/>
              <w:jc w:val="center"/>
              <w:rPr>
                <w:sz w:val="21"/>
                <w:szCs w:val="21"/>
              </w:rPr>
            </w:pPr>
            <w:r>
              <w:rPr>
                <w:sz w:val="21"/>
                <w:szCs w:val="21"/>
              </w:rPr>
              <w:t>107-06-2</w:t>
            </w:r>
          </w:p>
        </w:tc>
        <w:tc>
          <w:tcPr>
            <w:tcW w:w="1352" w:type="pct"/>
            <w:tcBorders>
              <w:tl2br w:val="nil"/>
              <w:tr2bl w:val="nil"/>
            </w:tcBorders>
            <w:vAlign w:val="center"/>
          </w:tcPr>
          <w:p w14:paraId="550F377D">
            <w:pPr>
              <w:pStyle w:val="385"/>
              <w:jc w:val="center"/>
              <w:rPr>
                <w:sz w:val="21"/>
                <w:szCs w:val="21"/>
              </w:rPr>
            </w:pPr>
            <w:r>
              <w:rPr>
                <w:w w:val="99"/>
                <w:sz w:val="21"/>
                <w:szCs w:val="21"/>
              </w:rPr>
              <w:t>5</w:t>
            </w:r>
          </w:p>
        </w:tc>
        <w:tc>
          <w:tcPr>
            <w:tcW w:w="957" w:type="pct"/>
            <w:vMerge w:val="continue"/>
            <w:tcBorders>
              <w:tl2br w:val="nil"/>
              <w:tr2bl w:val="nil"/>
            </w:tcBorders>
            <w:vAlign w:val="center"/>
          </w:tcPr>
          <w:p w14:paraId="5C12FD02">
            <w:pPr>
              <w:jc w:val="center"/>
              <w:rPr>
                <w:sz w:val="21"/>
                <w:szCs w:val="21"/>
              </w:rPr>
            </w:pPr>
          </w:p>
        </w:tc>
      </w:tr>
      <w:tr w14:paraId="0DAB8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253E6AB4">
            <w:pPr>
              <w:pStyle w:val="385"/>
              <w:jc w:val="center"/>
              <w:rPr>
                <w:sz w:val="21"/>
                <w:szCs w:val="21"/>
              </w:rPr>
            </w:pPr>
            <w:r>
              <w:rPr>
                <w:sz w:val="21"/>
                <w:szCs w:val="21"/>
              </w:rPr>
              <w:t>13</w:t>
            </w:r>
          </w:p>
        </w:tc>
        <w:tc>
          <w:tcPr>
            <w:tcW w:w="1207" w:type="pct"/>
            <w:tcBorders>
              <w:tl2br w:val="nil"/>
              <w:tr2bl w:val="nil"/>
            </w:tcBorders>
            <w:vAlign w:val="center"/>
          </w:tcPr>
          <w:p w14:paraId="1A31B817">
            <w:pPr>
              <w:pStyle w:val="385"/>
              <w:jc w:val="center"/>
              <w:rPr>
                <w:sz w:val="21"/>
                <w:szCs w:val="21"/>
              </w:rPr>
            </w:pPr>
            <w:r>
              <w:rPr>
                <w:sz w:val="21"/>
                <w:szCs w:val="21"/>
              </w:rPr>
              <w:t>1,1-二氯乙烯</w:t>
            </w:r>
          </w:p>
        </w:tc>
        <w:tc>
          <w:tcPr>
            <w:tcW w:w="1094" w:type="pct"/>
            <w:tcBorders>
              <w:tl2br w:val="nil"/>
              <w:tr2bl w:val="nil"/>
            </w:tcBorders>
            <w:vAlign w:val="center"/>
          </w:tcPr>
          <w:p w14:paraId="52FF3DC8">
            <w:pPr>
              <w:pStyle w:val="385"/>
              <w:jc w:val="center"/>
              <w:rPr>
                <w:sz w:val="21"/>
                <w:szCs w:val="21"/>
              </w:rPr>
            </w:pPr>
            <w:r>
              <w:rPr>
                <w:sz w:val="21"/>
                <w:szCs w:val="21"/>
              </w:rPr>
              <w:t>75-35-4</w:t>
            </w:r>
          </w:p>
        </w:tc>
        <w:tc>
          <w:tcPr>
            <w:tcW w:w="1352" w:type="pct"/>
            <w:tcBorders>
              <w:tl2br w:val="nil"/>
              <w:tr2bl w:val="nil"/>
            </w:tcBorders>
            <w:vAlign w:val="center"/>
          </w:tcPr>
          <w:p w14:paraId="257F96E8">
            <w:pPr>
              <w:pStyle w:val="385"/>
              <w:jc w:val="center"/>
              <w:rPr>
                <w:sz w:val="21"/>
                <w:szCs w:val="21"/>
              </w:rPr>
            </w:pPr>
            <w:r>
              <w:rPr>
                <w:sz w:val="21"/>
                <w:szCs w:val="21"/>
              </w:rPr>
              <w:t>66</w:t>
            </w:r>
          </w:p>
        </w:tc>
        <w:tc>
          <w:tcPr>
            <w:tcW w:w="957" w:type="pct"/>
            <w:vMerge w:val="continue"/>
            <w:tcBorders>
              <w:tl2br w:val="nil"/>
              <w:tr2bl w:val="nil"/>
            </w:tcBorders>
            <w:vAlign w:val="center"/>
          </w:tcPr>
          <w:p w14:paraId="4B2108E8">
            <w:pPr>
              <w:jc w:val="center"/>
              <w:rPr>
                <w:sz w:val="21"/>
                <w:szCs w:val="21"/>
              </w:rPr>
            </w:pPr>
          </w:p>
        </w:tc>
      </w:tr>
      <w:tr w14:paraId="393C7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116E92E2">
            <w:pPr>
              <w:pStyle w:val="385"/>
              <w:jc w:val="center"/>
              <w:rPr>
                <w:sz w:val="21"/>
                <w:szCs w:val="21"/>
              </w:rPr>
            </w:pPr>
            <w:r>
              <w:rPr>
                <w:sz w:val="21"/>
                <w:szCs w:val="21"/>
              </w:rPr>
              <w:t>14</w:t>
            </w:r>
          </w:p>
        </w:tc>
        <w:tc>
          <w:tcPr>
            <w:tcW w:w="1207" w:type="pct"/>
            <w:tcBorders>
              <w:tl2br w:val="nil"/>
              <w:tr2bl w:val="nil"/>
            </w:tcBorders>
            <w:vAlign w:val="center"/>
          </w:tcPr>
          <w:p w14:paraId="7FD1065B">
            <w:pPr>
              <w:pStyle w:val="385"/>
              <w:jc w:val="center"/>
              <w:rPr>
                <w:sz w:val="21"/>
                <w:szCs w:val="21"/>
              </w:rPr>
            </w:pPr>
            <w:r>
              <w:rPr>
                <w:sz w:val="21"/>
                <w:szCs w:val="21"/>
              </w:rPr>
              <w:t>顺-1,2-二氯乙烯</w:t>
            </w:r>
          </w:p>
        </w:tc>
        <w:tc>
          <w:tcPr>
            <w:tcW w:w="1094" w:type="pct"/>
            <w:tcBorders>
              <w:tl2br w:val="nil"/>
              <w:tr2bl w:val="nil"/>
            </w:tcBorders>
            <w:vAlign w:val="center"/>
          </w:tcPr>
          <w:p w14:paraId="0E6EAFBC">
            <w:pPr>
              <w:pStyle w:val="385"/>
              <w:jc w:val="center"/>
              <w:rPr>
                <w:sz w:val="21"/>
                <w:szCs w:val="21"/>
              </w:rPr>
            </w:pPr>
            <w:r>
              <w:rPr>
                <w:sz w:val="21"/>
                <w:szCs w:val="21"/>
              </w:rPr>
              <w:t>156-59-2</w:t>
            </w:r>
          </w:p>
        </w:tc>
        <w:tc>
          <w:tcPr>
            <w:tcW w:w="1352" w:type="pct"/>
            <w:tcBorders>
              <w:tl2br w:val="nil"/>
              <w:tr2bl w:val="nil"/>
            </w:tcBorders>
            <w:vAlign w:val="center"/>
          </w:tcPr>
          <w:p w14:paraId="4E1609E4">
            <w:pPr>
              <w:pStyle w:val="385"/>
              <w:jc w:val="center"/>
              <w:rPr>
                <w:sz w:val="21"/>
                <w:szCs w:val="21"/>
              </w:rPr>
            </w:pPr>
            <w:r>
              <w:rPr>
                <w:sz w:val="21"/>
                <w:szCs w:val="21"/>
              </w:rPr>
              <w:t>596</w:t>
            </w:r>
          </w:p>
        </w:tc>
        <w:tc>
          <w:tcPr>
            <w:tcW w:w="957" w:type="pct"/>
            <w:vMerge w:val="continue"/>
            <w:tcBorders>
              <w:tl2br w:val="nil"/>
              <w:tr2bl w:val="nil"/>
            </w:tcBorders>
            <w:vAlign w:val="center"/>
          </w:tcPr>
          <w:p w14:paraId="38D2D61F">
            <w:pPr>
              <w:jc w:val="center"/>
              <w:rPr>
                <w:sz w:val="21"/>
                <w:szCs w:val="21"/>
              </w:rPr>
            </w:pPr>
          </w:p>
        </w:tc>
      </w:tr>
      <w:tr w14:paraId="114FB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3B9B3C40">
            <w:pPr>
              <w:pStyle w:val="385"/>
              <w:jc w:val="center"/>
              <w:rPr>
                <w:sz w:val="21"/>
                <w:szCs w:val="21"/>
              </w:rPr>
            </w:pPr>
            <w:r>
              <w:rPr>
                <w:sz w:val="21"/>
                <w:szCs w:val="21"/>
              </w:rPr>
              <w:t>15</w:t>
            </w:r>
          </w:p>
        </w:tc>
        <w:tc>
          <w:tcPr>
            <w:tcW w:w="1207" w:type="pct"/>
            <w:tcBorders>
              <w:tl2br w:val="nil"/>
              <w:tr2bl w:val="nil"/>
            </w:tcBorders>
            <w:vAlign w:val="center"/>
          </w:tcPr>
          <w:p w14:paraId="04DB67B6">
            <w:pPr>
              <w:pStyle w:val="385"/>
              <w:jc w:val="center"/>
              <w:rPr>
                <w:sz w:val="21"/>
                <w:szCs w:val="21"/>
              </w:rPr>
            </w:pPr>
            <w:r>
              <w:rPr>
                <w:sz w:val="21"/>
                <w:szCs w:val="21"/>
              </w:rPr>
              <w:t>反-1,2-二氯乙烯</w:t>
            </w:r>
          </w:p>
        </w:tc>
        <w:tc>
          <w:tcPr>
            <w:tcW w:w="1094" w:type="pct"/>
            <w:tcBorders>
              <w:tl2br w:val="nil"/>
              <w:tr2bl w:val="nil"/>
            </w:tcBorders>
            <w:vAlign w:val="center"/>
          </w:tcPr>
          <w:p w14:paraId="63CF7497">
            <w:pPr>
              <w:pStyle w:val="385"/>
              <w:jc w:val="center"/>
              <w:rPr>
                <w:sz w:val="21"/>
                <w:szCs w:val="21"/>
              </w:rPr>
            </w:pPr>
            <w:r>
              <w:rPr>
                <w:sz w:val="21"/>
                <w:szCs w:val="21"/>
              </w:rPr>
              <w:t>156-60-5</w:t>
            </w:r>
          </w:p>
        </w:tc>
        <w:tc>
          <w:tcPr>
            <w:tcW w:w="1352" w:type="pct"/>
            <w:tcBorders>
              <w:tl2br w:val="nil"/>
              <w:tr2bl w:val="nil"/>
            </w:tcBorders>
            <w:vAlign w:val="center"/>
          </w:tcPr>
          <w:p w14:paraId="4AD09E5E">
            <w:pPr>
              <w:pStyle w:val="385"/>
              <w:jc w:val="center"/>
              <w:rPr>
                <w:sz w:val="21"/>
                <w:szCs w:val="21"/>
              </w:rPr>
            </w:pPr>
            <w:r>
              <w:rPr>
                <w:sz w:val="21"/>
                <w:szCs w:val="21"/>
              </w:rPr>
              <w:t>54</w:t>
            </w:r>
          </w:p>
        </w:tc>
        <w:tc>
          <w:tcPr>
            <w:tcW w:w="957" w:type="pct"/>
            <w:vMerge w:val="continue"/>
            <w:tcBorders>
              <w:tl2br w:val="nil"/>
              <w:tr2bl w:val="nil"/>
            </w:tcBorders>
            <w:vAlign w:val="center"/>
          </w:tcPr>
          <w:p w14:paraId="5AD92D4A">
            <w:pPr>
              <w:jc w:val="center"/>
              <w:rPr>
                <w:sz w:val="21"/>
                <w:szCs w:val="21"/>
              </w:rPr>
            </w:pPr>
          </w:p>
        </w:tc>
      </w:tr>
      <w:tr w14:paraId="166FD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trPr>
        <w:tc>
          <w:tcPr>
            <w:tcW w:w="388" w:type="pct"/>
            <w:tcBorders>
              <w:tl2br w:val="nil"/>
              <w:tr2bl w:val="nil"/>
            </w:tcBorders>
            <w:vAlign w:val="center"/>
          </w:tcPr>
          <w:p w14:paraId="30159723">
            <w:pPr>
              <w:pStyle w:val="385"/>
              <w:jc w:val="center"/>
              <w:rPr>
                <w:sz w:val="21"/>
                <w:szCs w:val="21"/>
              </w:rPr>
            </w:pPr>
            <w:r>
              <w:rPr>
                <w:sz w:val="21"/>
                <w:szCs w:val="21"/>
              </w:rPr>
              <w:t>16</w:t>
            </w:r>
          </w:p>
        </w:tc>
        <w:tc>
          <w:tcPr>
            <w:tcW w:w="1207" w:type="pct"/>
            <w:tcBorders>
              <w:tl2br w:val="nil"/>
              <w:tr2bl w:val="nil"/>
            </w:tcBorders>
            <w:vAlign w:val="center"/>
          </w:tcPr>
          <w:p w14:paraId="0865644A">
            <w:pPr>
              <w:pStyle w:val="385"/>
              <w:jc w:val="center"/>
              <w:rPr>
                <w:sz w:val="21"/>
                <w:szCs w:val="21"/>
              </w:rPr>
            </w:pPr>
            <w:r>
              <w:rPr>
                <w:sz w:val="21"/>
                <w:szCs w:val="21"/>
              </w:rPr>
              <w:t>二氯甲烷</w:t>
            </w:r>
          </w:p>
        </w:tc>
        <w:tc>
          <w:tcPr>
            <w:tcW w:w="1094" w:type="pct"/>
            <w:tcBorders>
              <w:tl2br w:val="nil"/>
              <w:tr2bl w:val="nil"/>
            </w:tcBorders>
            <w:vAlign w:val="center"/>
          </w:tcPr>
          <w:p w14:paraId="7AA8A239">
            <w:pPr>
              <w:pStyle w:val="385"/>
              <w:jc w:val="center"/>
              <w:rPr>
                <w:sz w:val="21"/>
                <w:szCs w:val="21"/>
              </w:rPr>
            </w:pPr>
            <w:r>
              <w:rPr>
                <w:sz w:val="21"/>
                <w:szCs w:val="21"/>
              </w:rPr>
              <w:t>75-09-2</w:t>
            </w:r>
          </w:p>
        </w:tc>
        <w:tc>
          <w:tcPr>
            <w:tcW w:w="1352" w:type="pct"/>
            <w:tcBorders>
              <w:tl2br w:val="nil"/>
              <w:tr2bl w:val="nil"/>
            </w:tcBorders>
            <w:vAlign w:val="center"/>
          </w:tcPr>
          <w:p w14:paraId="729D37C3">
            <w:pPr>
              <w:pStyle w:val="385"/>
              <w:jc w:val="center"/>
              <w:rPr>
                <w:sz w:val="21"/>
                <w:szCs w:val="21"/>
              </w:rPr>
            </w:pPr>
            <w:r>
              <w:rPr>
                <w:sz w:val="21"/>
                <w:szCs w:val="21"/>
              </w:rPr>
              <w:t>616</w:t>
            </w:r>
          </w:p>
        </w:tc>
        <w:tc>
          <w:tcPr>
            <w:tcW w:w="957" w:type="pct"/>
            <w:vMerge w:val="continue"/>
            <w:tcBorders>
              <w:tl2br w:val="nil"/>
              <w:tr2bl w:val="nil"/>
            </w:tcBorders>
            <w:vAlign w:val="center"/>
          </w:tcPr>
          <w:p w14:paraId="7B377CB1">
            <w:pPr>
              <w:jc w:val="center"/>
              <w:rPr>
                <w:sz w:val="21"/>
                <w:szCs w:val="21"/>
              </w:rPr>
            </w:pPr>
          </w:p>
        </w:tc>
      </w:tr>
      <w:tr w14:paraId="0234A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trPr>
        <w:tc>
          <w:tcPr>
            <w:tcW w:w="388" w:type="pct"/>
            <w:tcBorders>
              <w:tl2br w:val="nil"/>
              <w:tr2bl w:val="nil"/>
            </w:tcBorders>
            <w:vAlign w:val="center"/>
          </w:tcPr>
          <w:p w14:paraId="1E391E42">
            <w:pPr>
              <w:pStyle w:val="385"/>
              <w:jc w:val="center"/>
              <w:rPr>
                <w:sz w:val="21"/>
                <w:szCs w:val="21"/>
              </w:rPr>
            </w:pPr>
            <w:r>
              <w:rPr>
                <w:sz w:val="21"/>
                <w:szCs w:val="21"/>
              </w:rPr>
              <w:t>17</w:t>
            </w:r>
          </w:p>
        </w:tc>
        <w:tc>
          <w:tcPr>
            <w:tcW w:w="1207" w:type="pct"/>
            <w:tcBorders>
              <w:tl2br w:val="nil"/>
              <w:tr2bl w:val="nil"/>
            </w:tcBorders>
            <w:vAlign w:val="center"/>
          </w:tcPr>
          <w:p w14:paraId="4F93875C">
            <w:pPr>
              <w:pStyle w:val="385"/>
              <w:jc w:val="center"/>
              <w:rPr>
                <w:sz w:val="21"/>
                <w:szCs w:val="21"/>
              </w:rPr>
            </w:pPr>
            <w:r>
              <w:rPr>
                <w:sz w:val="21"/>
                <w:szCs w:val="21"/>
              </w:rPr>
              <w:t>1,2 二氯丙烷</w:t>
            </w:r>
          </w:p>
        </w:tc>
        <w:tc>
          <w:tcPr>
            <w:tcW w:w="1094" w:type="pct"/>
            <w:tcBorders>
              <w:tl2br w:val="nil"/>
              <w:tr2bl w:val="nil"/>
            </w:tcBorders>
            <w:vAlign w:val="center"/>
          </w:tcPr>
          <w:p w14:paraId="5477DCF7">
            <w:pPr>
              <w:pStyle w:val="385"/>
              <w:jc w:val="center"/>
              <w:rPr>
                <w:sz w:val="21"/>
                <w:szCs w:val="21"/>
              </w:rPr>
            </w:pPr>
            <w:r>
              <w:rPr>
                <w:sz w:val="21"/>
                <w:szCs w:val="21"/>
              </w:rPr>
              <w:t>78-87-5</w:t>
            </w:r>
          </w:p>
        </w:tc>
        <w:tc>
          <w:tcPr>
            <w:tcW w:w="1352" w:type="pct"/>
            <w:tcBorders>
              <w:tl2br w:val="nil"/>
              <w:tr2bl w:val="nil"/>
            </w:tcBorders>
            <w:vAlign w:val="center"/>
          </w:tcPr>
          <w:p w14:paraId="5EA9CBD4">
            <w:pPr>
              <w:pStyle w:val="385"/>
              <w:jc w:val="center"/>
              <w:rPr>
                <w:sz w:val="21"/>
                <w:szCs w:val="21"/>
              </w:rPr>
            </w:pPr>
            <w:r>
              <w:rPr>
                <w:w w:val="99"/>
                <w:sz w:val="21"/>
                <w:szCs w:val="21"/>
              </w:rPr>
              <w:t>5</w:t>
            </w:r>
          </w:p>
        </w:tc>
        <w:tc>
          <w:tcPr>
            <w:tcW w:w="957" w:type="pct"/>
            <w:vMerge w:val="continue"/>
            <w:tcBorders>
              <w:tl2br w:val="nil"/>
              <w:tr2bl w:val="nil"/>
            </w:tcBorders>
            <w:vAlign w:val="center"/>
          </w:tcPr>
          <w:p w14:paraId="29A083DB">
            <w:pPr>
              <w:jc w:val="center"/>
              <w:rPr>
                <w:sz w:val="21"/>
                <w:szCs w:val="21"/>
              </w:rPr>
            </w:pPr>
          </w:p>
        </w:tc>
      </w:tr>
      <w:tr w14:paraId="1C287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54C57CF1">
            <w:pPr>
              <w:pStyle w:val="385"/>
              <w:jc w:val="center"/>
              <w:rPr>
                <w:sz w:val="21"/>
                <w:szCs w:val="21"/>
              </w:rPr>
            </w:pPr>
            <w:r>
              <w:rPr>
                <w:sz w:val="21"/>
                <w:szCs w:val="21"/>
              </w:rPr>
              <w:t>18</w:t>
            </w:r>
          </w:p>
        </w:tc>
        <w:tc>
          <w:tcPr>
            <w:tcW w:w="1207" w:type="pct"/>
            <w:tcBorders>
              <w:tl2br w:val="nil"/>
              <w:tr2bl w:val="nil"/>
            </w:tcBorders>
            <w:vAlign w:val="center"/>
          </w:tcPr>
          <w:p w14:paraId="239B648C">
            <w:pPr>
              <w:pStyle w:val="385"/>
              <w:jc w:val="center"/>
              <w:rPr>
                <w:sz w:val="21"/>
                <w:szCs w:val="21"/>
              </w:rPr>
            </w:pPr>
            <w:r>
              <w:rPr>
                <w:sz w:val="21"/>
                <w:szCs w:val="21"/>
              </w:rPr>
              <w:t>1,1,1,2-四氯乙烷</w:t>
            </w:r>
          </w:p>
        </w:tc>
        <w:tc>
          <w:tcPr>
            <w:tcW w:w="1094" w:type="pct"/>
            <w:tcBorders>
              <w:tl2br w:val="nil"/>
              <w:tr2bl w:val="nil"/>
            </w:tcBorders>
            <w:vAlign w:val="center"/>
          </w:tcPr>
          <w:p w14:paraId="7186BD43">
            <w:pPr>
              <w:pStyle w:val="385"/>
              <w:jc w:val="center"/>
              <w:rPr>
                <w:sz w:val="21"/>
                <w:szCs w:val="21"/>
              </w:rPr>
            </w:pPr>
            <w:r>
              <w:rPr>
                <w:sz w:val="21"/>
                <w:szCs w:val="21"/>
              </w:rPr>
              <w:t>630-20-6</w:t>
            </w:r>
          </w:p>
        </w:tc>
        <w:tc>
          <w:tcPr>
            <w:tcW w:w="1352" w:type="pct"/>
            <w:tcBorders>
              <w:tl2br w:val="nil"/>
              <w:tr2bl w:val="nil"/>
            </w:tcBorders>
            <w:vAlign w:val="center"/>
          </w:tcPr>
          <w:p w14:paraId="2CE3CEB8">
            <w:pPr>
              <w:pStyle w:val="385"/>
              <w:jc w:val="center"/>
              <w:rPr>
                <w:sz w:val="21"/>
                <w:szCs w:val="21"/>
              </w:rPr>
            </w:pPr>
            <w:r>
              <w:rPr>
                <w:sz w:val="21"/>
                <w:szCs w:val="21"/>
              </w:rPr>
              <w:t>10</w:t>
            </w:r>
          </w:p>
        </w:tc>
        <w:tc>
          <w:tcPr>
            <w:tcW w:w="957" w:type="pct"/>
            <w:vMerge w:val="continue"/>
            <w:tcBorders>
              <w:tl2br w:val="nil"/>
              <w:tr2bl w:val="nil"/>
            </w:tcBorders>
            <w:vAlign w:val="center"/>
          </w:tcPr>
          <w:p w14:paraId="2B75EE6F">
            <w:pPr>
              <w:jc w:val="center"/>
              <w:rPr>
                <w:sz w:val="21"/>
                <w:szCs w:val="21"/>
              </w:rPr>
            </w:pPr>
          </w:p>
        </w:tc>
      </w:tr>
      <w:tr w14:paraId="13CB7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3E8DE967">
            <w:pPr>
              <w:pStyle w:val="385"/>
              <w:jc w:val="center"/>
              <w:rPr>
                <w:sz w:val="21"/>
                <w:szCs w:val="21"/>
              </w:rPr>
            </w:pPr>
            <w:r>
              <w:rPr>
                <w:sz w:val="21"/>
                <w:szCs w:val="21"/>
              </w:rPr>
              <w:t>19</w:t>
            </w:r>
          </w:p>
        </w:tc>
        <w:tc>
          <w:tcPr>
            <w:tcW w:w="1207" w:type="pct"/>
            <w:tcBorders>
              <w:tl2br w:val="nil"/>
              <w:tr2bl w:val="nil"/>
            </w:tcBorders>
            <w:vAlign w:val="center"/>
          </w:tcPr>
          <w:p w14:paraId="08117049">
            <w:pPr>
              <w:pStyle w:val="385"/>
              <w:jc w:val="center"/>
              <w:rPr>
                <w:sz w:val="21"/>
                <w:szCs w:val="21"/>
              </w:rPr>
            </w:pPr>
            <w:r>
              <w:rPr>
                <w:w w:val="95"/>
                <w:sz w:val="21"/>
                <w:szCs w:val="21"/>
              </w:rPr>
              <w:t>1,1,2,2-四氯乙烷</w:t>
            </w:r>
          </w:p>
        </w:tc>
        <w:tc>
          <w:tcPr>
            <w:tcW w:w="1094" w:type="pct"/>
            <w:tcBorders>
              <w:tl2br w:val="nil"/>
              <w:tr2bl w:val="nil"/>
            </w:tcBorders>
            <w:vAlign w:val="center"/>
          </w:tcPr>
          <w:p w14:paraId="094DAD83">
            <w:pPr>
              <w:pStyle w:val="385"/>
              <w:jc w:val="center"/>
              <w:rPr>
                <w:sz w:val="21"/>
                <w:szCs w:val="21"/>
              </w:rPr>
            </w:pPr>
            <w:r>
              <w:rPr>
                <w:sz w:val="21"/>
                <w:szCs w:val="21"/>
              </w:rPr>
              <w:t>79-34-5</w:t>
            </w:r>
          </w:p>
        </w:tc>
        <w:tc>
          <w:tcPr>
            <w:tcW w:w="1352" w:type="pct"/>
            <w:tcBorders>
              <w:tl2br w:val="nil"/>
              <w:tr2bl w:val="nil"/>
            </w:tcBorders>
            <w:vAlign w:val="center"/>
          </w:tcPr>
          <w:p w14:paraId="32679C20">
            <w:pPr>
              <w:pStyle w:val="385"/>
              <w:jc w:val="center"/>
              <w:rPr>
                <w:sz w:val="21"/>
                <w:szCs w:val="21"/>
              </w:rPr>
            </w:pPr>
            <w:r>
              <w:rPr>
                <w:sz w:val="21"/>
                <w:szCs w:val="21"/>
              </w:rPr>
              <w:t>6.8</w:t>
            </w:r>
          </w:p>
        </w:tc>
        <w:tc>
          <w:tcPr>
            <w:tcW w:w="957" w:type="pct"/>
            <w:vMerge w:val="continue"/>
            <w:tcBorders>
              <w:tl2br w:val="nil"/>
              <w:tr2bl w:val="nil"/>
            </w:tcBorders>
            <w:vAlign w:val="center"/>
          </w:tcPr>
          <w:p w14:paraId="7F066609">
            <w:pPr>
              <w:jc w:val="center"/>
              <w:rPr>
                <w:sz w:val="21"/>
                <w:szCs w:val="21"/>
              </w:rPr>
            </w:pPr>
          </w:p>
        </w:tc>
      </w:tr>
      <w:tr w14:paraId="6D937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2E1B733B">
            <w:pPr>
              <w:pStyle w:val="385"/>
              <w:jc w:val="center"/>
              <w:rPr>
                <w:sz w:val="21"/>
                <w:szCs w:val="21"/>
              </w:rPr>
            </w:pPr>
            <w:r>
              <w:rPr>
                <w:sz w:val="21"/>
                <w:szCs w:val="21"/>
              </w:rPr>
              <w:t>20</w:t>
            </w:r>
          </w:p>
        </w:tc>
        <w:tc>
          <w:tcPr>
            <w:tcW w:w="1207" w:type="pct"/>
            <w:tcBorders>
              <w:tl2br w:val="nil"/>
              <w:tr2bl w:val="nil"/>
            </w:tcBorders>
            <w:vAlign w:val="center"/>
          </w:tcPr>
          <w:p w14:paraId="6D2A172A">
            <w:pPr>
              <w:pStyle w:val="385"/>
              <w:jc w:val="center"/>
              <w:rPr>
                <w:sz w:val="21"/>
                <w:szCs w:val="21"/>
              </w:rPr>
            </w:pPr>
            <w:r>
              <w:rPr>
                <w:sz w:val="21"/>
                <w:szCs w:val="21"/>
              </w:rPr>
              <w:t>四氯乙烯</w:t>
            </w:r>
          </w:p>
        </w:tc>
        <w:tc>
          <w:tcPr>
            <w:tcW w:w="1094" w:type="pct"/>
            <w:tcBorders>
              <w:tl2br w:val="nil"/>
              <w:tr2bl w:val="nil"/>
            </w:tcBorders>
            <w:vAlign w:val="center"/>
          </w:tcPr>
          <w:p w14:paraId="75274972">
            <w:pPr>
              <w:pStyle w:val="385"/>
              <w:jc w:val="center"/>
              <w:rPr>
                <w:sz w:val="21"/>
                <w:szCs w:val="21"/>
              </w:rPr>
            </w:pPr>
            <w:r>
              <w:rPr>
                <w:sz w:val="21"/>
                <w:szCs w:val="21"/>
              </w:rPr>
              <w:t>127-18-4</w:t>
            </w:r>
          </w:p>
        </w:tc>
        <w:tc>
          <w:tcPr>
            <w:tcW w:w="1352" w:type="pct"/>
            <w:tcBorders>
              <w:tl2br w:val="nil"/>
              <w:tr2bl w:val="nil"/>
            </w:tcBorders>
            <w:vAlign w:val="center"/>
          </w:tcPr>
          <w:p w14:paraId="1A0B48C1">
            <w:pPr>
              <w:pStyle w:val="385"/>
              <w:jc w:val="center"/>
              <w:rPr>
                <w:sz w:val="21"/>
                <w:szCs w:val="21"/>
              </w:rPr>
            </w:pPr>
            <w:r>
              <w:rPr>
                <w:sz w:val="21"/>
                <w:szCs w:val="21"/>
              </w:rPr>
              <w:t>53</w:t>
            </w:r>
          </w:p>
        </w:tc>
        <w:tc>
          <w:tcPr>
            <w:tcW w:w="957" w:type="pct"/>
            <w:vMerge w:val="continue"/>
            <w:tcBorders>
              <w:tl2br w:val="nil"/>
              <w:tr2bl w:val="nil"/>
            </w:tcBorders>
            <w:vAlign w:val="center"/>
          </w:tcPr>
          <w:p w14:paraId="03DF4900">
            <w:pPr>
              <w:jc w:val="center"/>
              <w:rPr>
                <w:sz w:val="21"/>
                <w:szCs w:val="21"/>
              </w:rPr>
            </w:pPr>
          </w:p>
        </w:tc>
      </w:tr>
      <w:tr w14:paraId="4ADF5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25E03F6A">
            <w:pPr>
              <w:pStyle w:val="385"/>
              <w:jc w:val="center"/>
              <w:rPr>
                <w:sz w:val="21"/>
                <w:szCs w:val="21"/>
              </w:rPr>
            </w:pPr>
            <w:r>
              <w:rPr>
                <w:sz w:val="21"/>
                <w:szCs w:val="21"/>
              </w:rPr>
              <w:t>21</w:t>
            </w:r>
          </w:p>
        </w:tc>
        <w:tc>
          <w:tcPr>
            <w:tcW w:w="1207" w:type="pct"/>
            <w:tcBorders>
              <w:tl2br w:val="nil"/>
              <w:tr2bl w:val="nil"/>
            </w:tcBorders>
            <w:vAlign w:val="center"/>
          </w:tcPr>
          <w:p w14:paraId="5C81AF83">
            <w:pPr>
              <w:pStyle w:val="385"/>
              <w:jc w:val="center"/>
              <w:rPr>
                <w:sz w:val="21"/>
                <w:szCs w:val="21"/>
              </w:rPr>
            </w:pPr>
            <w:r>
              <w:rPr>
                <w:sz w:val="21"/>
                <w:szCs w:val="21"/>
              </w:rPr>
              <w:t>1,1,1-三氯乙烷</w:t>
            </w:r>
          </w:p>
        </w:tc>
        <w:tc>
          <w:tcPr>
            <w:tcW w:w="1094" w:type="pct"/>
            <w:tcBorders>
              <w:tl2br w:val="nil"/>
              <w:tr2bl w:val="nil"/>
            </w:tcBorders>
            <w:vAlign w:val="center"/>
          </w:tcPr>
          <w:p w14:paraId="3C0F1DD5">
            <w:pPr>
              <w:pStyle w:val="385"/>
              <w:jc w:val="center"/>
              <w:rPr>
                <w:sz w:val="21"/>
                <w:szCs w:val="21"/>
              </w:rPr>
            </w:pPr>
            <w:r>
              <w:rPr>
                <w:sz w:val="21"/>
                <w:szCs w:val="21"/>
              </w:rPr>
              <w:t>71-55-6</w:t>
            </w:r>
          </w:p>
        </w:tc>
        <w:tc>
          <w:tcPr>
            <w:tcW w:w="1352" w:type="pct"/>
            <w:tcBorders>
              <w:tl2br w:val="nil"/>
              <w:tr2bl w:val="nil"/>
            </w:tcBorders>
            <w:vAlign w:val="center"/>
          </w:tcPr>
          <w:p w14:paraId="63A96412">
            <w:pPr>
              <w:pStyle w:val="385"/>
              <w:jc w:val="center"/>
              <w:rPr>
                <w:sz w:val="21"/>
                <w:szCs w:val="21"/>
              </w:rPr>
            </w:pPr>
            <w:r>
              <w:rPr>
                <w:sz w:val="21"/>
                <w:szCs w:val="21"/>
              </w:rPr>
              <w:t>840</w:t>
            </w:r>
          </w:p>
        </w:tc>
        <w:tc>
          <w:tcPr>
            <w:tcW w:w="957" w:type="pct"/>
            <w:vMerge w:val="continue"/>
            <w:tcBorders>
              <w:tl2br w:val="nil"/>
              <w:tr2bl w:val="nil"/>
            </w:tcBorders>
            <w:vAlign w:val="center"/>
          </w:tcPr>
          <w:p w14:paraId="36346DC5">
            <w:pPr>
              <w:jc w:val="center"/>
              <w:rPr>
                <w:sz w:val="21"/>
                <w:szCs w:val="21"/>
              </w:rPr>
            </w:pPr>
          </w:p>
        </w:tc>
      </w:tr>
      <w:tr w14:paraId="1A6F4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364F5A34">
            <w:pPr>
              <w:pStyle w:val="385"/>
              <w:jc w:val="center"/>
              <w:rPr>
                <w:sz w:val="21"/>
                <w:szCs w:val="21"/>
              </w:rPr>
            </w:pPr>
            <w:r>
              <w:rPr>
                <w:sz w:val="21"/>
                <w:szCs w:val="21"/>
              </w:rPr>
              <w:t>22</w:t>
            </w:r>
          </w:p>
        </w:tc>
        <w:tc>
          <w:tcPr>
            <w:tcW w:w="1207" w:type="pct"/>
            <w:tcBorders>
              <w:tl2br w:val="nil"/>
              <w:tr2bl w:val="nil"/>
            </w:tcBorders>
            <w:vAlign w:val="center"/>
          </w:tcPr>
          <w:p w14:paraId="6E93DBFD">
            <w:pPr>
              <w:pStyle w:val="385"/>
              <w:jc w:val="center"/>
              <w:rPr>
                <w:sz w:val="21"/>
                <w:szCs w:val="21"/>
              </w:rPr>
            </w:pPr>
            <w:r>
              <w:rPr>
                <w:sz w:val="21"/>
                <w:szCs w:val="21"/>
              </w:rPr>
              <w:t>1,1,2-三氯乙烷</w:t>
            </w:r>
          </w:p>
        </w:tc>
        <w:tc>
          <w:tcPr>
            <w:tcW w:w="1094" w:type="pct"/>
            <w:tcBorders>
              <w:tl2br w:val="nil"/>
              <w:tr2bl w:val="nil"/>
            </w:tcBorders>
            <w:vAlign w:val="center"/>
          </w:tcPr>
          <w:p w14:paraId="42C9E4FF">
            <w:pPr>
              <w:pStyle w:val="385"/>
              <w:jc w:val="center"/>
              <w:rPr>
                <w:sz w:val="21"/>
                <w:szCs w:val="21"/>
              </w:rPr>
            </w:pPr>
            <w:r>
              <w:rPr>
                <w:sz w:val="21"/>
                <w:szCs w:val="21"/>
              </w:rPr>
              <w:t>79-00-5</w:t>
            </w:r>
          </w:p>
        </w:tc>
        <w:tc>
          <w:tcPr>
            <w:tcW w:w="1352" w:type="pct"/>
            <w:tcBorders>
              <w:tl2br w:val="nil"/>
              <w:tr2bl w:val="nil"/>
            </w:tcBorders>
            <w:vAlign w:val="center"/>
          </w:tcPr>
          <w:p w14:paraId="427EF900">
            <w:pPr>
              <w:pStyle w:val="385"/>
              <w:jc w:val="center"/>
              <w:rPr>
                <w:sz w:val="21"/>
                <w:szCs w:val="21"/>
              </w:rPr>
            </w:pPr>
            <w:r>
              <w:rPr>
                <w:sz w:val="21"/>
                <w:szCs w:val="21"/>
              </w:rPr>
              <w:t>2.8</w:t>
            </w:r>
          </w:p>
        </w:tc>
        <w:tc>
          <w:tcPr>
            <w:tcW w:w="957" w:type="pct"/>
            <w:vMerge w:val="continue"/>
            <w:tcBorders>
              <w:tl2br w:val="nil"/>
              <w:tr2bl w:val="nil"/>
            </w:tcBorders>
            <w:vAlign w:val="center"/>
          </w:tcPr>
          <w:p w14:paraId="1E44EF59">
            <w:pPr>
              <w:jc w:val="center"/>
              <w:rPr>
                <w:sz w:val="21"/>
                <w:szCs w:val="21"/>
              </w:rPr>
            </w:pPr>
          </w:p>
        </w:tc>
      </w:tr>
      <w:tr w14:paraId="57AB5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6869679E">
            <w:pPr>
              <w:pStyle w:val="385"/>
              <w:jc w:val="center"/>
              <w:rPr>
                <w:sz w:val="21"/>
                <w:szCs w:val="21"/>
              </w:rPr>
            </w:pPr>
            <w:r>
              <w:rPr>
                <w:sz w:val="21"/>
                <w:szCs w:val="21"/>
              </w:rPr>
              <w:t>23</w:t>
            </w:r>
          </w:p>
        </w:tc>
        <w:tc>
          <w:tcPr>
            <w:tcW w:w="1207" w:type="pct"/>
            <w:tcBorders>
              <w:tl2br w:val="nil"/>
              <w:tr2bl w:val="nil"/>
            </w:tcBorders>
            <w:vAlign w:val="center"/>
          </w:tcPr>
          <w:p w14:paraId="22AAC466">
            <w:pPr>
              <w:pStyle w:val="385"/>
              <w:jc w:val="center"/>
              <w:rPr>
                <w:sz w:val="21"/>
                <w:szCs w:val="21"/>
              </w:rPr>
            </w:pPr>
            <w:r>
              <w:rPr>
                <w:sz w:val="21"/>
                <w:szCs w:val="21"/>
              </w:rPr>
              <w:t>三氯乙烯</w:t>
            </w:r>
          </w:p>
        </w:tc>
        <w:tc>
          <w:tcPr>
            <w:tcW w:w="1094" w:type="pct"/>
            <w:tcBorders>
              <w:tl2br w:val="nil"/>
              <w:tr2bl w:val="nil"/>
            </w:tcBorders>
            <w:vAlign w:val="center"/>
          </w:tcPr>
          <w:p w14:paraId="5D50D6A0">
            <w:pPr>
              <w:pStyle w:val="385"/>
              <w:jc w:val="center"/>
              <w:rPr>
                <w:sz w:val="21"/>
                <w:szCs w:val="21"/>
              </w:rPr>
            </w:pPr>
            <w:r>
              <w:rPr>
                <w:sz w:val="21"/>
                <w:szCs w:val="21"/>
              </w:rPr>
              <w:t>79-01-6</w:t>
            </w:r>
          </w:p>
        </w:tc>
        <w:tc>
          <w:tcPr>
            <w:tcW w:w="1352" w:type="pct"/>
            <w:tcBorders>
              <w:tl2br w:val="nil"/>
              <w:tr2bl w:val="nil"/>
            </w:tcBorders>
            <w:vAlign w:val="center"/>
          </w:tcPr>
          <w:p w14:paraId="5284D226">
            <w:pPr>
              <w:pStyle w:val="385"/>
              <w:jc w:val="center"/>
              <w:rPr>
                <w:sz w:val="21"/>
                <w:szCs w:val="21"/>
              </w:rPr>
            </w:pPr>
            <w:r>
              <w:rPr>
                <w:sz w:val="21"/>
                <w:szCs w:val="21"/>
              </w:rPr>
              <w:t>2.8</w:t>
            </w:r>
          </w:p>
        </w:tc>
        <w:tc>
          <w:tcPr>
            <w:tcW w:w="957" w:type="pct"/>
            <w:vMerge w:val="continue"/>
            <w:tcBorders>
              <w:tl2br w:val="nil"/>
              <w:tr2bl w:val="nil"/>
            </w:tcBorders>
            <w:vAlign w:val="center"/>
          </w:tcPr>
          <w:p w14:paraId="6920E70D">
            <w:pPr>
              <w:jc w:val="center"/>
              <w:rPr>
                <w:sz w:val="21"/>
                <w:szCs w:val="21"/>
              </w:rPr>
            </w:pPr>
          </w:p>
        </w:tc>
      </w:tr>
      <w:tr w14:paraId="413D2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3236AEEA">
            <w:pPr>
              <w:pStyle w:val="385"/>
              <w:jc w:val="center"/>
              <w:rPr>
                <w:sz w:val="21"/>
                <w:szCs w:val="21"/>
              </w:rPr>
            </w:pPr>
            <w:r>
              <w:rPr>
                <w:sz w:val="21"/>
                <w:szCs w:val="21"/>
              </w:rPr>
              <w:t>24</w:t>
            </w:r>
          </w:p>
        </w:tc>
        <w:tc>
          <w:tcPr>
            <w:tcW w:w="1207" w:type="pct"/>
            <w:tcBorders>
              <w:tl2br w:val="nil"/>
              <w:tr2bl w:val="nil"/>
            </w:tcBorders>
            <w:vAlign w:val="center"/>
          </w:tcPr>
          <w:p w14:paraId="53C4BAE3">
            <w:pPr>
              <w:pStyle w:val="385"/>
              <w:jc w:val="center"/>
              <w:rPr>
                <w:sz w:val="21"/>
                <w:szCs w:val="21"/>
              </w:rPr>
            </w:pPr>
            <w:r>
              <w:rPr>
                <w:sz w:val="21"/>
                <w:szCs w:val="21"/>
              </w:rPr>
              <w:t>1,2,3-三氯丙烷</w:t>
            </w:r>
          </w:p>
        </w:tc>
        <w:tc>
          <w:tcPr>
            <w:tcW w:w="1094" w:type="pct"/>
            <w:tcBorders>
              <w:tl2br w:val="nil"/>
              <w:tr2bl w:val="nil"/>
            </w:tcBorders>
            <w:vAlign w:val="center"/>
          </w:tcPr>
          <w:p w14:paraId="657FA807">
            <w:pPr>
              <w:pStyle w:val="385"/>
              <w:jc w:val="center"/>
              <w:rPr>
                <w:sz w:val="21"/>
                <w:szCs w:val="21"/>
              </w:rPr>
            </w:pPr>
            <w:r>
              <w:rPr>
                <w:sz w:val="21"/>
                <w:szCs w:val="21"/>
              </w:rPr>
              <w:t>96-18-4</w:t>
            </w:r>
          </w:p>
        </w:tc>
        <w:tc>
          <w:tcPr>
            <w:tcW w:w="1352" w:type="pct"/>
            <w:tcBorders>
              <w:tl2br w:val="nil"/>
              <w:tr2bl w:val="nil"/>
            </w:tcBorders>
            <w:vAlign w:val="center"/>
          </w:tcPr>
          <w:p w14:paraId="4E2ED77F">
            <w:pPr>
              <w:pStyle w:val="385"/>
              <w:jc w:val="center"/>
              <w:rPr>
                <w:sz w:val="21"/>
                <w:szCs w:val="21"/>
              </w:rPr>
            </w:pPr>
            <w:r>
              <w:rPr>
                <w:sz w:val="21"/>
                <w:szCs w:val="21"/>
              </w:rPr>
              <w:t>0.5</w:t>
            </w:r>
          </w:p>
        </w:tc>
        <w:tc>
          <w:tcPr>
            <w:tcW w:w="957" w:type="pct"/>
            <w:vMerge w:val="continue"/>
            <w:tcBorders>
              <w:tl2br w:val="nil"/>
              <w:tr2bl w:val="nil"/>
            </w:tcBorders>
            <w:vAlign w:val="center"/>
          </w:tcPr>
          <w:p w14:paraId="4BE1C4FC">
            <w:pPr>
              <w:jc w:val="center"/>
              <w:rPr>
                <w:sz w:val="21"/>
                <w:szCs w:val="21"/>
              </w:rPr>
            </w:pPr>
          </w:p>
        </w:tc>
      </w:tr>
      <w:tr w14:paraId="6B636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0C6DB589">
            <w:pPr>
              <w:pStyle w:val="385"/>
              <w:jc w:val="center"/>
              <w:rPr>
                <w:sz w:val="21"/>
                <w:szCs w:val="21"/>
              </w:rPr>
            </w:pPr>
            <w:r>
              <w:rPr>
                <w:sz w:val="21"/>
                <w:szCs w:val="21"/>
              </w:rPr>
              <w:t>25</w:t>
            </w:r>
          </w:p>
        </w:tc>
        <w:tc>
          <w:tcPr>
            <w:tcW w:w="1207" w:type="pct"/>
            <w:tcBorders>
              <w:tl2br w:val="nil"/>
              <w:tr2bl w:val="nil"/>
            </w:tcBorders>
            <w:vAlign w:val="center"/>
          </w:tcPr>
          <w:p w14:paraId="1C36A460">
            <w:pPr>
              <w:pStyle w:val="385"/>
              <w:jc w:val="center"/>
              <w:rPr>
                <w:sz w:val="21"/>
                <w:szCs w:val="21"/>
              </w:rPr>
            </w:pPr>
            <w:r>
              <w:rPr>
                <w:sz w:val="21"/>
                <w:szCs w:val="21"/>
              </w:rPr>
              <w:t>氯乙烯</w:t>
            </w:r>
          </w:p>
        </w:tc>
        <w:tc>
          <w:tcPr>
            <w:tcW w:w="1094" w:type="pct"/>
            <w:tcBorders>
              <w:tl2br w:val="nil"/>
              <w:tr2bl w:val="nil"/>
            </w:tcBorders>
            <w:vAlign w:val="center"/>
          </w:tcPr>
          <w:p w14:paraId="71B01EA1">
            <w:pPr>
              <w:pStyle w:val="385"/>
              <w:jc w:val="center"/>
              <w:rPr>
                <w:sz w:val="21"/>
                <w:szCs w:val="21"/>
              </w:rPr>
            </w:pPr>
            <w:r>
              <w:rPr>
                <w:sz w:val="21"/>
                <w:szCs w:val="21"/>
              </w:rPr>
              <w:t>75-01-4</w:t>
            </w:r>
          </w:p>
        </w:tc>
        <w:tc>
          <w:tcPr>
            <w:tcW w:w="1352" w:type="pct"/>
            <w:tcBorders>
              <w:tl2br w:val="nil"/>
              <w:tr2bl w:val="nil"/>
            </w:tcBorders>
            <w:vAlign w:val="center"/>
          </w:tcPr>
          <w:p w14:paraId="59F7B049">
            <w:pPr>
              <w:pStyle w:val="385"/>
              <w:jc w:val="center"/>
              <w:rPr>
                <w:sz w:val="21"/>
                <w:szCs w:val="21"/>
              </w:rPr>
            </w:pPr>
            <w:r>
              <w:rPr>
                <w:sz w:val="21"/>
                <w:szCs w:val="21"/>
              </w:rPr>
              <w:t>0.43</w:t>
            </w:r>
          </w:p>
        </w:tc>
        <w:tc>
          <w:tcPr>
            <w:tcW w:w="957" w:type="pct"/>
            <w:vMerge w:val="continue"/>
            <w:tcBorders>
              <w:tl2br w:val="nil"/>
              <w:tr2bl w:val="nil"/>
            </w:tcBorders>
            <w:vAlign w:val="center"/>
          </w:tcPr>
          <w:p w14:paraId="0B2D0CE5">
            <w:pPr>
              <w:jc w:val="center"/>
              <w:rPr>
                <w:sz w:val="21"/>
                <w:szCs w:val="21"/>
              </w:rPr>
            </w:pPr>
          </w:p>
        </w:tc>
      </w:tr>
      <w:tr w14:paraId="74503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3316D1D1">
            <w:pPr>
              <w:pStyle w:val="385"/>
              <w:jc w:val="center"/>
              <w:rPr>
                <w:sz w:val="21"/>
                <w:szCs w:val="21"/>
              </w:rPr>
            </w:pPr>
            <w:r>
              <w:rPr>
                <w:sz w:val="21"/>
                <w:szCs w:val="21"/>
              </w:rPr>
              <w:t>26</w:t>
            </w:r>
          </w:p>
        </w:tc>
        <w:tc>
          <w:tcPr>
            <w:tcW w:w="1207" w:type="pct"/>
            <w:tcBorders>
              <w:tl2br w:val="nil"/>
              <w:tr2bl w:val="nil"/>
            </w:tcBorders>
            <w:vAlign w:val="center"/>
          </w:tcPr>
          <w:p w14:paraId="4440BC9F">
            <w:pPr>
              <w:pStyle w:val="385"/>
              <w:jc w:val="center"/>
              <w:rPr>
                <w:sz w:val="21"/>
                <w:szCs w:val="21"/>
              </w:rPr>
            </w:pPr>
            <w:r>
              <w:rPr>
                <w:w w:val="99"/>
                <w:sz w:val="21"/>
                <w:szCs w:val="21"/>
              </w:rPr>
              <w:t>苯</w:t>
            </w:r>
          </w:p>
        </w:tc>
        <w:tc>
          <w:tcPr>
            <w:tcW w:w="1094" w:type="pct"/>
            <w:tcBorders>
              <w:tl2br w:val="nil"/>
              <w:tr2bl w:val="nil"/>
            </w:tcBorders>
            <w:vAlign w:val="center"/>
          </w:tcPr>
          <w:p w14:paraId="15D118AC">
            <w:pPr>
              <w:pStyle w:val="385"/>
              <w:jc w:val="center"/>
              <w:rPr>
                <w:sz w:val="21"/>
                <w:szCs w:val="21"/>
              </w:rPr>
            </w:pPr>
            <w:r>
              <w:rPr>
                <w:sz w:val="21"/>
                <w:szCs w:val="21"/>
              </w:rPr>
              <w:t>71-43-2</w:t>
            </w:r>
          </w:p>
        </w:tc>
        <w:tc>
          <w:tcPr>
            <w:tcW w:w="1352" w:type="pct"/>
            <w:tcBorders>
              <w:tl2br w:val="nil"/>
              <w:tr2bl w:val="nil"/>
            </w:tcBorders>
            <w:vAlign w:val="center"/>
          </w:tcPr>
          <w:p w14:paraId="02BFB9E8">
            <w:pPr>
              <w:pStyle w:val="385"/>
              <w:jc w:val="center"/>
              <w:rPr>
                <w:sz w:val="21"/>
                <w:szCs w:val="21"/>
              </w:rPr>
            </w:pPr>
            <w:r>
              <w:rPr>
                <w:w w:val="99"/>
                <w:sz w:val="21"/>
                <w:szCs w:val="21"/>
              </w:rPr>
              <w:t>4</w:t>
            </w:r>
          </w:p>
        </w:tc>
        <w:tc>
          <w:tcPr>
            <w:tcW w:w="957" w:type="pct"/>
            <w:vMerge w:val="continue"/>
            <w:tcBorders>
              <w:tl2br w:val="nil"/>
              <w:tr2bl w:val="nil"/>
            </w:tcBorders>
            <w:vAlign w:val="center"/>
          </w:tcPr>
          <w:p w14:paraId="7B3BD013">
            <w:pPr>
              <w:jc w:val="center"/>
              <w:rPr>
                <w:sz w:val="21"/>
                <w:szCs w:val="21"/>
              </w:rPr>
            </w:pPr>
          </w:p>
        </w:tc>
      </w:tr>
      <w:tr w14:paraId="3B1D5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605E76A4">
            <w:pPr>
              <w:pStyle w:val="385"/>
              <w:jc w:val="center"/>
              <w:rPr>
                <w:sz w:val="21"/>
                <w:szCs w:val="21"/>
              </w:rPr>
            </w:pPr>
            <w:r>
              <w:rPr>
                <w:sz w:val="21"/>
                <w:szCs w:val="21"/>
              </w:rPr>
              <w:t>27</w:t>
            </w:r>
          </w:p>
        </w:tc>
        <w:tc>
          <w:tcPr>
            <w:tcW w:w="1207" w:type="pct"/>
            <w:tcBorders>
              <w:tl2br w:val="nil"/>
              <w:tr2bl w:val="nil"/>
            </w:tcBorders>
            <w:vAlign w:val="center"/>
          </w:tcPr>
          <w:p w14:paraId="7CACA61E">
            <w:pPr>
              <w:pStyle w:val="385"/>
              <w:jc w:val="center"/>
              <w:rPr>
                <w:sz w:val="21"/>
                <w:szCs w:val="21"/>
              </w:rPr>
            </w:pPr>
            <w:r>
              <w:rPr>
                <w:sz w:val="21"/>
                <w:szCs w:val="21"/>
              </w:rPr>
              <w:t>氯苯</w:t>
            </w:r>
          </w:p>
        </w:tc>
        <w:tc>
          <w:tcPr>
            <w:tcW w:w="1094" w:type="pct"/>
            <w:tcBorders>
              <w:tl2br w:val="nil"/>
              <w:tr2bl w:val="nil"/>
            </w:tcBorders>
            <w:vAlign w:val="center"/>
          </w:tcPr>
          <w:p w14:paraId="212063CF">
            <w:pPr>
              <w:pStyle w:val="385"/>
              <w:jc w:val="center"/>
              <w:rPr>
                <w:sz w:val="21"/>
                <w:szCs w:val="21"/>
              </w:rPr>
            </w:pPr>
            <w:r>
              <w:rPr>
                <w:sz w:val="21"/>
                <w:szCs w:val="21"/>
              </w:rPr>
              <w:t>108-90-7</w:t>
            </w:r>
          </w:p>
        </w:tc>
        <w:tc>
          <w:tcPr>
            <w:tcW w:w="1352" w:type="pct"/>
            <w:tcBorders>
              <w:tl2br w:val="nil"/>
              <w:tr2bl w:val="nil"/>
            </w:tcBorders>
            <w:vAlign w:val="center"/>
          </w:tcPr>
          <w:p w14:paraId="060F2AA8">
            <w:pPr>
              <w:pStyle w:val="385"/>
              <w:jc w:val="center"/>
              <w:rPr>
                <w:sz w:val="21"/>
                <w:szCs w:val="21"/>
              </w:rPr>
            </w:pPr>
            <w:r>
              <w:rPr>
                <w:sz w:val="21"/>
                <w:szCs w:val="21"/>
              </w:rPr>
              <w:t>270</w:t>
            </w:r>
          </w:p>
        </w:tc>
        <w:tc>
          <w:tcPr>
            <w:tcW w:w="957" w:type="pct"/>
            <w:vMerge w:val="continue"/>
            <w:tcBorders>
              <w:tl2br w:val="nil"/>
              <w:tr2bl w:val="nil"/>
            </w:tcBorders>
            <w:vAlign w:val="center"/>
          </w:tcPr>
          <w:p w14:paraId="1AE2C4A7">
            <w:pPr>
              <w:jc w:val="center"/>
              <w:rPr>
                <w:sz w:val="21"/>
                <w:szCs w:val="21"/>
              </w:rPr>
            </w:pPr>
          </w:p>
        </w:tc>
      </w:tr>
      <w:tr w14:paraId="479DB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46F08E6E">
            <w:pPr>
              <w:pStyle w:val="385"/>
              <w:jc w:val="center"/>
              <w:rPr>
                <w:sz w:val="21"/>
                <w:szCs w:val="21"/>
              </w:rPr>
            </w:pPr>
            <w:r>
              <w:rPr>
                <w:sz w:val="21"/>
                <w:szCs w:val="21"/>
              </w:rPr>
              <w:t>28</w:t>
            </w:r>
          </w:p>
        </w:tc>
        <w:tc>
          <w:tcPr>
            <w:tcW w:w="1207" w:type="pct"/>
            <w:tcBorders>
              <w:tl2br w:val="nil"/>
              <w:tr2bl w:val="nil"/>
            </w:tcBorders>
            <w:vAlign w:val="center"/>
          </w:tcPr>
          <w:p w14:paraId="5BB7DF00">
            <w:pPr>
              <w:pStyle w:val="385"/>
              <w:jc w:val="center"/>
              <w:rPr>
                <w:sz w:val="21"/>
                <w:szCs w:val="21"/>
              </w:rPr>
            </w:pPr>
            <w:r>
              <w:rPr>
                <w:sz w:val="21"/>
                <w:szCs w:val="21"/>
              </w:rPr>
              <w:t>1,2-二氯苯</w:t>
            </w:r>
          </w:p>
        </w:tc>
        <w:tc>
          <w:tcPr>
            <w:tcW w:w="1094" w:type="pct"/>
            <w:tcBorders>
              <w:tl2br w:val="nil"/>
              <w:tr2bl w:val="nil"/>
            </w:tcBorders>
            <w:vAlign w:val="center"/>
          </w:tcPr>
          <w:p w14:paraId="48BDA7A3">
            <w:pPr>
              <w:pStyle w:val="385"/>
              <w:jc w:val="center"/>
              <w:rPr>
                <w:sz w:val="21"/>
                <w:szCs w:val="21"/>
              </w:rPr>
            </w:pPr>
            <w:r>
              <w:rPr>
                <w:sz w:val="21"/>
                <w:szCs w:val="21"/>
              </w:rPr>
              <w:t>95-50-1</w:t>
            </w:r>
          </w:p>
        </w:tc>
        <w:tc>
          <w:tcPr>
            <w:tcW w:w="1352" w:type="pct"/>
            <w:tcBorders>
              <w:tl2br w:val="nil"/>
              <w:tr2bl w:val="nil"/>
            </w:tcBorders>
            <w:vAlign w:val="center"/>
          </w:tcPr>
          <w:p w14:paraId="0105B2A7">
            <w:pPr>
              <w:pStyle w:val="385"/>
              <w:jc w:val="center"/>
              <w:rPr>
                <w:sz w:val="21"/>
                <w:szCs w:val="21"/>
              </w:rPr>
            </w:pPr>
            <w:r>
              <w:rPr>
                <w:sz w:val="21"/>
                <w:szCs w:val="21"/>
              </w:rPr>
              <w:t>560</w:t>
            </w:r>
          </w:p>
        </w:tc>
        <w:tc>
          <w:tcPr>
            <w:tcW w:w="957" w:type="pct"/>
            <w:vMerge w:val="continue"/>
            <w:tcBorders>
              <w:tl2br w:val="nil"/>
              <w:tr2bl w:val="nil"/>
            </w:tcBorders>
            <w:vAlign w:val="center"/>
          </w:tcPr>
          <w:p w14:paraId="0CE94E20">
            <w:pPr>
              <w:jc w:val="center"/>
              <w:rPr>
                <w:sz w:val="21"/>
                <w:szCs w:val="21"/>
              </w:rPr>
            </w:pPr>
          </w:p>
        </w:tc>
      </w:tr>
      <w:tr w14:paraId="5E47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48CC1120">
            <w:pPr>
              <w:pStyle w:val="385"/>
              <w:jc w:val="center"/>
              <w:rPr>
                <w:sz w:val="21"/>
                <w:szCs w:val="21"/>
              </w:rPr>
            </w:pPr>
            <w:r>
              <w:rPr>
                <w:sz w:val="21"/>
                <w:szCs w:val="21"/>
              </w:rPr>
              <w:t>29</w:t>
            </w:r>
          </w:p>
        </w:tc>
        <w:tc>
          <w:tcPr>
            <w:tcW w:w="1207" w:type="pct"/>
            <w:tcBorders>
              <w:tl2br w:val="nil"/>
              <w:tr2bl w:val="nil"/>
            </w:tcBorders>
            <w:vAlign w:val="center"/>
          </w:tcPr>
          <w:p w14:paraId="24BEA8C0">
            <w:pPr>
              <w:pStyle w:val="385"/>
              <w:jc w:val="center"/>
              <w:rPr>
                <w:sz w:val="21"/>
                <w:szCs w:val="21"/>
              </w:rPr>
            </w:pPr>
            <w:r>
              <w:rPr>
                <w:sz w:val="21"/>
                <w:szCs w:val="21"/>
              </w:rPr>
              <w:t>1,4-二氯苯</w:t>
            </w:r>
          </w:p>
        </w:tc>
        <w:tc>
          <w:tcPr>
            <w:tcW w:w="1094" w:type="pct"/>
            <w:tcBorders>
              <w:tl2br w:val="nil"/>
              <w:tr2bl w:val="nil"/>
            </w:tcBorders>
            <w:vAlign w:val="center"/>
          </w:tcPr>
          <w:p w14:paraId="17822B17">
            <w:pPr>
              <w:pStyle w:val="385"/>
              <w:jc w:val="center"/>
              <w:rPr>
                <w:sz w:val="21"/>
                <w:szCs w:val="21"/>
              </w:rPr>
            </w:pPr>
            <w:r>
              <w:rPr>
                <w:sz w:val="21"/>
                <w:szCs w:val="21"/>
              </w:rPr>
              <w:t>106-46-7</w:t>
            </w:r>
          </w:p>
        </w:tc>
        <w:tc>
          <w:tcPr>
            <w:tcW w:w="1352" w:type="pct"/>
            <w:tcBorders>
              <w:tl2br w:val="nil"/>
              <w:tr2bl w:val="nil"/>
            </w:tcBorders>
            <w:vAlign w:val="center"/>
          </w:tcPr>
          <w:p w14:paraId="115748AA">
            <w:pPr>
              <w:pStyle w:val="385"/>
              <w:jc w:val="center"/>
              <w:rPr>
                <w:sz w:val="21"/>
                <w:szCs w:val="21"/>
              </w:rPr>
            </w:pPr>
            <w:r>
              <w:rPr>
                <w:sz w:val="21"/>
                <w:szCs w:val="21"/>
              </w:rPr>
              <w:t>20</w:t>
            </w:r>
          </w:p>
        </w:tc>
        <w:tc>
          <w:tcPr>
            <w:tcW w:w="957" w:type="pct"/>
            <w:vMerge w:val="continue"/>
            <w:tcBorders>
              <w:tl2br w:val="nil"/>
              <w:tr2bl w:val="nil"/>
            </w:tcBorders>
            <w:vAlign w:val="center"/>
          </w:tcPr>
          <w:p w14:paraId="6B3DAA95">
            <w:pPr>
              <w:jc w:val="center"/>
              <w:rPr>
                <w:sz w:val="21"/>
                <w:szCs w:val="21"/>
              </w:rPr>
            </w:pPr>
          </w:p>
        </w:tc>
      </w:tr>
      <w:tr w14:paraId="42BA0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146CE688">
            <w:pPr>
              <w:pStyle w:val="385"/>
              <w:jc w:val="center"/>
              <w:rPr>
                <w:sz w:val="21"/>
                <w:szCs w:val="21"/>
              </w:rPr>
            </w:pPr>
            <w:r>
              <w:rPr>
                <w:sz w:val="21"/>
                <w:szCs w:val="21"/>
              </w:rPr>
              <w:t>30</w:t>
            </w:r>
          </w:p>
        </w:tc>
        <w:tc>
          <w:tcPr>
            <w:tcW w:w="1207" w:type="pct"/>
            <w:tcBorders>
              <w:tl2br w:val="nil"/>
              <w:tr2bl w:val="nil"/>
            </w:tcBorders>
            <w:vAlign w:val="center"/>
          </w:tcPr>
          <w:p w14:paraId="5D32DA61">
            <w:pPr>
              <w:pStyle w:val="385"/>
              <w:jc w:val="center"/>
              <w:rPr>
                <w:sz w:val="21"/>
                <w:szCs w:val="21"/>
              </w:rPr>
            </w:pPr>
            <w:r>
              <w:rPr>
                <w:sz w:val="21"/>
                <w:szCs w:val="21"/>
              </w:rPr>
              <w:t>乙苯</w:t>
            </w:r>
          </w:p>
        </w:tc>
        <w:tc>
          <w:tcPr>
            <w:tcW w:w="1094" w:type="pct"/>
            <w:tcBorders>
              <w:tl2br w:val="nil"/>
              <w:tr2bl w:val="nil"/>
            </w:tcBorders>
            <w:vAlign w:val="center"/>
          </w:tcPr>
          <w:p w14:paraId="7A8A36BD">
            <w:pPr>
              <w:pStyle w:val="385"/>
              <w:jc w:val="center"/>
              <w:rPr>
                <w:sz w:val="21"/>
                <w:szCs w:val="21"/>
              </w:rPr>
            </w:pPr>
            <w:r>
              <w:rPr>
                <w:sz w:val="21"/>
                <w:szCs w:val="21"/>
              </w:rPr>
              <w:t>100-41-4</w:t>
            </w:r>
          </w:p>
        </w:tc>
        <w:tc>
          <w:tcPr>
            <w:tcW w:w="1352" w:type="pct"/>
            <w:tcBorders>
              <w:tl2br w:val="nil"/>
              <w:tr2bl w:val="nil"/>
            </w:tcBorders>
            <w:vAlign w:val="center"/>
          </w:tcPr>
          <w:p w14:paraId="0D67F2F6">
            <w:pPr>
              <w:pStyle w:val="385"/>
              <w:jc w:val="center"/>
              <w:rPr>
                <w:sz w:val="21"/>
                <w:szCs w:val="21"/>
              </w:rPr>
            </w:pPr>
            <w:r>
              <w:rPr>
                <w:sz w:val="21"/>
                <w:szCs w:val="21"/>
              </w:rPr>
              <w:t>28</w:t>
            </w:r>
          </w:p>
        </w:tc>
        <w:tc>
          <w:tcPr>
            <w:tcW w:w="957" w:type="pct"/>
            <w:vMerge w:val="continue"/>
            <w:tcBorders>
              <w:tl2br w:val="nil"/>
              <w:tr2bl w:val="nil"/>
            </w:tcBorders>
            <w:vAlign w:val="center"/>
          </w:tcPr>
          <w:p w14:paraId="29E1886B">
            <w:pPr>
              <w:jc w:val="center"/>
              <w:rPr>
                <w:sz w:val="21"/>
                <w:szCs w:val="21"/>
              </w:rPr>
            </w:pPr>
          </w:p>
        </w:tc>
      </w:tr>
      <w:tr w14:paraId="32C9E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4DEFEC81">
            <w:pPr>
              <w:pStyle w:val="385"/>
              <w:jc w:val="center"/>
              <w:rPr>
                <w:sz w:val="21"/>
                <w:szCs w:val="21"/>
              </w:rPr>
            </w:pPr>
            <w:r>
              <w:rPr>
                <w:sz w:val="21"/>
                <w:szCs w:val="21"/>
              </w:rPr>
              <w:t>31</w:t>
            </w:r>
          </w:p>
        </w:tc>
        <w:tc>
          <w:tcPr>
            <w:tcW w:w="1207" w:type="pct"/>
            <w:tcBorders>
              <w:tl2br w:val="nil"/>
              <w:tr2bl w:val="nil"/>
            </w:tcBorders>
            <w:vAlign w:val="center"/>
          </w:tcPr>
          <w:p w14:paraId="30D6F3D0">
            <w:pPr>
              <w:pStyle w:val="385"/>
              <w:jc w:val="center"/>
              <w:rPr>
                <w:sz w:val="21"/>
                <w:szCs w:val="21"/>
              </w:rPr>
            </w:pPr>
            <w:r>
              <w:rPr>
                <w:sz w:val="21"/>
                <w:szCs w:val="21"/>
              </w:rPr>
              <w:t>苯乙烯</w:t>
            </w:r>
          </w:p>
        </w:tc>
        <w:tc>
          <w:tcPr>
            <w:tcW w:w="1094" w:type="pct"/>
            <w:tcBorders>
              <w:tl2br w:val="nil"/>
              <w:tr2bl w:val="nil"/>
            </w:tcBorders>
            <w:vAlign w:val="center"/>
          </w:tcPr>
          <w:p w14:paraId="798E0AF9">
            <w:pPr>
              <w:pStyle w:val="385"/>
              <w:jc w:val="center"/>
              <w:rPr>
                <w:sz w:val="21"/>
                <w:szCs w:val="21"/>
              </w:rPr>
            </w:pPr>
            <w:r>
              <w:rPr>
                <w:sz w:val="21"/>
                <w:szCs w:val="21"/>
              </w:rPr>
              <w:t>100-42-5</w:t>
            </w:r>
          </w:p>
        </w:tc>
        <w:tc>
          <w:tcPr>
            <w:tcW w:w="1352" w:type="pct"/>
            <w:tcBorders>
              <w:tl2br w:val="nil"/>
              <w:tr2bl w:val="nil"/>
            </w:tcBorders>
            <w:vAlign w:val="center"/>
          </w:tcPr>
          <w:p w14:paraId="79FC865D">
            <w:pPr>
              <w:pStyle w:val="385"/>
              <w:jc w:val="center"/>
              <w:rPr>
                <w:sz w:val="21"/>
                <w:szCs w:val="21"/>
              </w:rPr>
            </w:pPr>
            <w:r>
              <w:rPr>
                <w:sz w:val="21"/>
                <w:szCs w:val="21"/>
              </w:rPr>
              <w:t>1290</w:t>
            </w:r>
          </w:p>
        </w:tc>
        <w:tc>
          <w:tcPr>
            <w:tcW w:w="957" w:type="pct"/>
            <w:vMerge w:val="continue"/>
            <w:tcBorders>
              <w:tl2br w:val="nil"/>
              <w:tr2bl w:val="nil"/>
            </w:tcBorders>
            <w:vAlign w:val="center"/>
          </w:tcPr>
          <w:p w14:paraId="13A540F1">
            <w:pPr>
              <w:jc w:val="center"/>
              <w:rPr>
                <w:sz w:val="21"/>
                <w:szCs w:val="21"/>
              </w:rPr>
            </w:pPr>
          </w:p>
        </w:tc>
      </w:tr>
      <w:tr w14:paraId="5685D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5BBEFC4C">
            <w:pPr>
              <w:pStyle w:val="385"/>
              <w:jc w:val="center"/>
              <w:rPr>
                <w:sz w:val="21"/>
                <w:szCs w:val="21"/>
              </w:rPr>
            </w:pPr>
            <w:r>
              <w:rPr>
                <w:sz w:val="21"/>
                <w:szCs w:val="21"/>
              </w:rPr>
              <w:t>32</w:t>
            </w:r>
          </w:p>
        </w:tc>
        <w:tc>
          <w:tcPr>
            <w:tcW w:w="1207" w:type="pct"/>
            <w:tcBorders>
              <w:tl2br w:val="nil"/>
              <w:tr2bl w:val="nil"/>
            </w:tcBorders>
            <w:vAlign w:val="center"/>
          </w:tcPr>
          <w:p w14:paraId="188402AB">
            <w:pPr>
              <w:pStyle w:val="385"/>
              <w:jc w:val="center"/>
              <w:rPr>
                <w:sz w:val="21"/>
                <w:szCs w:val="21"/>
              </w:rPr>
            </w:pPr>
            <w:r>
              <w:rPr>
                <w:sz w:val="21"/>
                <w:szCs w:val="21"/>
              </w:rPr>
              <w:t>甲苯</w:t>
            </w:r>
          </w:p>
        </w:tc>
        <w:tc>
          <w:tcPr>
            <w:tcW w:w="1094" w:type="pct"/>
            <w:tcBorders>
              <w:tl2br w:val="nil"/>
              <w:tr2bl w:val="nil"/>
            </w:tcBorders>
            <w:vAlign w:val="center"/>
          </w:tcPr>
          <w:p w14:paraId="51DB05F6">
            <w:pPr>
              <w:pStyle w:val="385"/>
              <w:jc w:val="center"/>
              <w:rPr>
                <w:sz w:val="21"/>
                <w:szCs w:val="21"/>
              </w:rPr>
            </w:pPr>
            <w:r>
              <w:rPr>
                <w:sz w:val="21"/>
                <w:szCs w:val="21"/>
              </w:rPr>
              <w:t>108-88-3</w:t>
            </w:r>
          </w:p>
        </w:tc>
        <w:tc>
          <w:tcPr>
            <w:tcW w:w="1352" w:type="pct"/>
            <w:tcBorders>
              <w:tl2br w:val="nil"/>
              <w:tr2bl w:val="nil"/>
            </w:tcBorders>
            <w:vAlign w:val="center"/>
          </w:tcPr>
          <w:p w14:paraId="077B106A">
            <w:pPr>
              <w:pStyle w:val="385"/>
              <w:jc w:val="center"/>
              <w:rPr>
                <w:sz w:val="21"/>
                <w:szCs w:val="21"/>
              </w:rPr>
            </w:pPr>
            <w:r>
              <w:rPr>
                <w:sz w:val="21"/>
                <w:szCs w:val="21"/>
              </w:rPr>
              <w:t>1200</w:t>
            </w:r>
          </w:p>
        </w:tc>
        <w:tc>
          <w:tcPr>
            <w:tcW w:w="957" w:type="pct"/>
            <w:vMerge w:val="continue"/>
            <w:tcBorders>
              <w:tl2br w:val="nil"/>
              <w:tr2bl w:val="nil"/>
            </w:tcBorders>
            <w:vAlign w:val="center"/>
          </w:tcPr>
          <w:p w14:paraId="73BCABFB">
            <w:pPr>
              <w:jc w:val="center"/>
              <w:rPr>
                <w:sz w:val="21"/>
                <w:szCs w:val="21"/>
              </w:rPr>
            </w:pPr>
          </w:p>
        </w:tc>
      </w:tr>
      <w:tr w14:paraId="0E64B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7DDBFBD7">
            <w:pPr>
              <w:jc w:val="center"/>
              <w:rPr>
                <w:sz w:val="21"/>
                <w:szCs w:val="21"/>
              </w:rPr>
            </w:pPr>
            <w:r>
              <w:rPr>
                <w:sz w:val="21"/>
                <w:szCs w:val="21"/>
              </w:rPr>
              <w:t>33</w:t>
            </w:r>
          </w:p>
        </w:tc>
        <w:tc>
          <w:tcPr>
            <w:tcW w:w="1207" w:type="pct"/>
            <w:tcBorders>
              <w:tl2br w:val="nil"/>
              <w:tr2bl w:val="nil"/>
            </w:tcBorders>
            <w:vAlign w:val="center"/>
          </w:tcPr>
          <w:p w14:paraId="2843E548">
            <w:pPr>
              <w:jc w:val="center"/>
              <w:rPr>
                <w:sz w:val="21"/>
                <w:szCs w:val="21"/>
              </w:rPr>
            </w:pPr>
            <w:r>
              <w:rPr>
                <w:sz w:val="21"/>
                <w:szCs w:val="21"/>
              </w:rPr>
              <w:t>间二甲苯+对二甲苯</w:t>
            </w:r>
          </w:p>
        </w:tc>
        <w:tc>
          <w:tcPr>
            <w:tcW w:w="1094" w:type="pct"/>
            <w:tcBorders>
              <w:tl2br w:val="nil"/>
              <w:tr2bl w:val="nil"/>
            </w:tcBorders>
            <w:vAlign w:val="center"/>
          </w:tcPr>
          <w:p w14:paraId="107B30B4">
            <w:pPr>
              <w:jc w:val="center"/>
              <w:rPr>
                <w:sz w:val="21"/>
                <w:szCs w:val="21"/>
              </w:rPr>
            </w:pPr>
            <w:r>
              <w:rPr>
                <w:sz w:val="21"/>
                <w:szCs w:val="21"/>
              </w:rPr>
              <w:t>108-38-3,106-42-3</w:t>
            </w:r>
          </w:p>
        </w:tc>
        <w:tc>
          <w:tcPr>
            <w:tcW w:w="1352" w:type="pct"/>
            <w:tcBorders>
              <w:tl2br w:val="nil"/>
              <w:tr2bl w:val="nil"/>
            </w:tcBorders>
            <w:vAlign w:val="center"/>
          </w:tcPr>
          <w:p w14:paraId="185DA2E4">
            <w:pPr>
              <w:jc w:val="center"/>
              <w:rPr>
                <w:sz w:val="21"/>
                <w:szCs w:val="21"/>
              </w:rPr>
            </w:pPr>
            <w:r>
              <w:rPr>
                <w:sz w:val="21"/>
                <w:szCs w:val="21"/>
              </w:rPr>
              <w:t>570</w:t>
            </w:r>
          </w:p>
        </w:tc>
        <w:tc>
          <w:tcPr>
            <w:tcW w:w="957" w:type="pct"/>
            <w:vMerge w:val="continue"/>
            <w:tcBorders>
              <w:tl2br w:val="nil"/>
              <w:tr2bl w:val="nil"/>
            </w:tcBorders>
            <w:vAlign w:val="center"/>
          </w:tcPr>
          <w:p w14:paraId="12EE6D82">
            <w:pPr>
              <w:jc w:val="center"/>
              <w:rPr>
                <w:sz w:val="21"/>
                <w:szCs w:val="21"/>
              </w:rPr>
            </w:pPr>
          </w:p>
        </w:tc>
      </w:tr>
      <w:tr w14:paraId="7A78A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6393EC2B">
            <w:pPr>
              <w:pStyle w:val="385"/>
              <w:jc w:val="center"/>
              <w:rPr>
                <w:sz w:val="21"/>
                <w:szCs w:val="21"/>
              </w:rPr>
            </w:pPr>
            <w:r>
              <w:rPr>
                <w:sz w:val="21"/>
                <w:szCs w:val="21"/>
              </w:rPr>
              <w:t>34</w:t>
            </w:r>
          </w:p>
        </w:tc>
        <w:tc>
          <w:tcPr>
            <w:tcW w:w="1207" w:type="pct"/>
            <w:tcBorders>
              <w:tl2br w:val="nil"/>
              <w:tr2bl w:val="nil"/>
            </w:tcBorders>
            <w:vAlign w:val="center"/>
          </w:tcPr>
          <w:p w14:paraId="60D8D1E8">
            <w:pPr>
              <w:pStyle w:val="385"/>
              <w:jc w:val="center"/>
              <w:rPr>
                <w:sz w:val="21"/>
                <w:szCs w:val="21"/>
              </w:rPr>
            </w:pPr>
            <w:r>
              <w:rPr>
                <w:sz w:val="21"/>
                <w:szCs w:val="21"/>
              </w:rPr>
              <w:t>邻二甲苯</w:t>
            </w:r>
          </w:p>
        </w:tc>
        <w:tc>
          <w:tcPr>
            <w:tcW w:w="1094" w:type="pct"/>
            <w:tcBorders>
              <w:tl2br w:val="nil"/>
              <w:tr2bl w:val="nil"/>
            </w:tcBorders>
            <w:vAlign w:val="center"/>
          </w:tcPr>
          <w:p w14:paraId="1074DEC2">
            <w:pPr>
              <w:pStyle w:val="385"/>
              <w:jc w:val="center"/>
              <w:rPr>
                <w:sz w:val="21"/>
                <w:szCs w:val="21"/>
              </w:rPr>
            </w:pPr>
            <w:r>
              <w:rPr>
                <w:sz w:val="21"/>
                <w:szCs w:val="21"/>
              </w:rPr>
              <w:t>95-47-6</w:t>
            </w:r>
          </w:p>
        </w:tc>
        <w:tc>
          <w:tcPr>
            <w:tcW w:w="1352" w:type="pct"/>
            <w:tcBorders>
              <w:tl2br w:val="nil"/>
              <w:tr2bl w:val="nil"/>
            </w:tcBorders>
            <w:vAlign w:val="center"/>
          </w:tcPr>
          <w:p w14:paraId="35B4230F">
            <w:pPr>
              <w:pStyle w:val="385"/>
              <w:jc w:val="center"/>
              <w:rPr>
                <w:sz w:val="21"/>
                <w:szCs w:val="21"/>
              </w:rPr>
            </w:pPr>
            <w:r>
              <w:rPr>
                <w:sz w:val="21"/>
                <w:szCs w:val="21"/>
              </w:rPr>
              <w:t>640</w:t>
            </w:r>
          </w:p>
        </w:tc>
        <w:tc>
          <w:tcPr>
            <w:tcW w:w="957" w:type="pct"/>
            <w:vMerge w:val="continue"/>
            <w:tcBorders>
              <w:tl2br w:val="nil"/>
              <w:tr2bl w:val="nil"/>
            </w:tcBorders>
            <w:vAlign w:val="center"/>
          </w:tcPr>
          <w:p w14:paraId="53EB38B8">
            <w:pPr>
              <w:jc w:val="center"/>
              <w:rPr>
                <w:sz w:val="21"/>
                <w:szCs w:val="21"/>
              </w:rPr>
            </w:pPr>
          </w:p>
        </w:tc>
      </w:tr>
      <w:tr w14:paraId="13B34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4042" w:type="pct"/>
            <w:gridSpan w:val="4"/>
            <w:tcBorders>
              <w:tl2br w:val="nil"/>
              <w:tr2bl w:val="nil"/>
            </w:tcBorders>
            <w:vAlign w:val="center"/>
          </w:tcPr>
          <w:p w14:paraId="44C2D023">
            <w:pPr>
              <w:pStyle w:val="385"/>
              <w:jc w:val="center"/>
              <w:rPr>
                <w:sz w:val="21"/>
                <w:szCs w:val="21"/>
              </w:rPr>
            </w:pPr>
            <w:r>
              <w:rPr>
                <w:sz w:val="21"/>
                <w:szCs w:val="21"/>
              </w:rPr>
              <w:t>半挥发性有机物</w:t>
            </w:r>
          </w:p>
        </w:tc>
        <w:tc>
          <w:tcPr>
            <w:tcW w:w="957" w:type="pct"/>
            <w:vMerge w:val="continue"/>
            <w:tcBorders>
              <w:tl2br w:val="nil"/>
              <w:tr2bl w:val="nil"/>
            </w:tcBorders>
            <w:vAlign w:val="center"/>
          </w:tcPr>
          <w:p w14:paraId="15996932">
            <w:pPr>
              <w:jc w:val="center"/>
              <w:rPr>
                <w:sz w:val="21"/>
                <w:szCs w:val="21"/>
              </w:rPr>
            </w:pPr>
          </w:p>
        </w:tc>
      </w:tr>
      <w:tr w14:paraId="61C81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694A2871">
            <w:pPr>
              <w:pStyle w:val="385"/>
              <w:jc w:val="center"/>
              <w:rPr>
                <w:sz w:val="21"/>
                <w:szCs w:val="21"/>
              </w:rPr>
            </w:pPr>
            <w:r>
              <w:rPr>
                <w:sz w:val="21"/>
                <w:szCs w:val="21"/>
              </w:rPr>
              <w:t>35</w:t>
            </w:r>
          </w:p>
        </w:tc>
        <w:tc>
          <w:tcPr>
            <w:tcW w:w="1207" w:type="pct"/>
            <w:tcBorders>
              <w:tl2br w:val="nil"/>
              <w:tr2bl w:val="nil"/>
            </w:tcBorders>
            <w:vAlign w:val="center"/>
          </w:tcPr>
          <w:p w14:paraId="2A0B7AD8">
            <w:pPr>
              <w:pStyle w:val="385"/>
              <w:jc w:val="center"/>
              <w:rPr>
                <w:sz w:val="21"/>
                <w:szCs w:val="21"/>
              </w:rPr>
            </w:pPr>
            <w:r>
              <w:rPr>
                <w:sz w:val="21"/>
                <w:szCs w:val="21"/>
              </w:rPr>
              <w:t>硝基苯</w:t>
            </w:r>
          </w:p>
        </w:tc>
        <w:tc>
          <w:tcPr>
            <w:tcW w:w="1094" w:type="pct"/>
            <w:tcBorders>
              <w:tl2br w:val="nil"/>
              <w:tr2bl w:val="nil"/>
            </w:tcBorders>
            <w:vAlign w:val="center"/>
          </w:tcPr>
          <w:p w14:paraId="544A394C">
            <w:pPr>
              <w:pStyle w:val="385"/>
              <w:jc w:val="center"/>
              <w:rPr>
                <w:sz w:val="21"/>
                <w:szCs w:val="21"/>
              </w:rPr>
            </w:pPr>
            <w:r>
              <w:rPr>
                <w:sz w:val="21"/>
                <w:szCs w:val="21"/>
              </w:rPr>
              <w:t>98-95-3</w:t>
            </w:r>
          </w:p>
        </w:tc>
        <w:tc>
          <w:tcPr>
            <w:tcW w:w="1352" w:type="pct"/>
            <w:tcBorders>
              <w:tl2br w:val="nil"/>
              <w:tr2bl w:val="nil"/>
            </w:tcBorders>
            <w:vAlign w:val="center"/>
          </w:tcPr>
          <w:p w14:paraId="2AFDAAC9">
            <w:pPr>
              <w:pStyle w:val="385"/>
              <w:jc w:val="center"/>
              <w:rPr>
                <w:sz w:val="21"/>
                <w:szCs w:val="21"/>
              </w:rPr>
            </w:pPr>
            <w:r>
              <w:rPr>
                <w:sz w:val="21"/>
                <w:szCs w:val="21"/>
              </w:rPr>
              <w:t>76</w:t>
            </w:r>
          </w:p>
        </w:tc>
        <w:tc>
          <w:tcPr>
            <w:tcW w:w="957" w:type="pct"/>
            <w:vMerge w:val="continue"/>
            <w:tcBorders>
              <w:tl2br w:val="nil"/>
              <w:tr2bl w:val="nil"/>
            </w:tcBorders>
            <w:vAlign w:val="center"/>
          </w:tcPr>
          <w:p w14:paraId="32FBCB87">
            <w:pPr>
              <w:jc w:val="center"/>
              <w:rPr>
                <w:sz w:val="21"/>
                <w:szCs w:val="21"/>
              </w:rPr>
            </w:pPr>
          </w:p>
        </w:tc>
      </w:tr>
      <w:tr w14:paraId="33B04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64F393BA">
            <w:pPr>
              <w:pStyle w:val="385"/>
              <w:jc w:val="center"/>
              <w:rPr>
                <w:sz w:val="21"/>
                <w:szCs w:val="21"/>
              </w:rPr>
            </w:pPr>
            <w:r>
              <w:rPr>
                <w:sz w:val="21"/>
                <w:szCs w:val="21"/>
              </w:rPr>
              <w:t>36</w:t>
            </w:r>
          </w:p>
        </w:tc>
        <w:tc>
          <w:tcPr>
            <w:tcW w:w="1207" w:type="pct"/>
            <w:tcBorders>
              <w:tl2br w:val="nil"/>
              <w:tr2bl w:val="nil"/>
            </w:tcBorders>
            <w:vAlign w:val="center"/>
          </w:tcPr>
          <w:p w14:paraId="06FD0DDB">
            <w:pPr>
              <w:pStyle w:val="385"/>
              <w:jc w:val="center"/>
              <w:rPr>
                <w:sz w:val="21"/>
                <w:szCs w:val="21"/>
              </w:rPr>
            </w:pPr>
            <w:r>
              <w:rPr>
                <w:sz w:val="21"/>
                <w:szCs w:val="21"/>
              </w:rPr>
              <w:t>苯胺</w:t>
            </w:r>
          </w:p>
        </w:tc>
        <w:tc>
          <w:tcPr>
            <w:tcW w:w="1094" w:type="pct"/>
            <w:tcBorders>
              <w:tl2br w:val="nil"/>
              <w:tr2bl w:val="nil"/>
            </w:tcBorders>
            <w:vAlign w:val="center"/>
          </w:tcPr>
          <w:p w14:paraId="3A3A28D2">
            <w:pPr>
              <w:pStyle w:val="385"/>
              <w:jc w:val="center"/>
              <w:rPr>
                <w:sz w:val="21"/>
                <w:szCs w:val="21"/>
              </w:rPr>
            </w:pPr>
            <w:r>
              <w:rPr>
                <w:sz w:val="21"/>
                <w:szCs w:val="21"/>
              </w:rPr>
              <w:t>62-53-3</w:t>
            </w:r>
          </w:p>
        </w:tc>
        <w:tc>
          <w:tcPr>
            <w:tcW w:w="1352" w:type="pct"/>
            <w:tcBorders>
              <w:tl2br w:val="nil"/>
              <w:tr2bl w:val="nil"/>
            </w:tcBorders>
            <w:vAlign w:val="center"/>
          </w:tcPr>
          <w:p w14:paraId="1A69E772">
            <w:pPr>
              <w:pStyle w:val="385"/>
              <w:jc w:val="center"/>
              <w:rPr>
                <w:sz w:val="21"/>
                <w:szCs w:val="21"/>
              </w:rPr>
            </w:pPr>
            <w:r>
              <w:rPr>
                <w:sz w:val="21"/>
                <w:szCs w:val="21"/>
              </w:rPr>
              <w:t>260</w:t>
            </w:r>
          </w:p>
        </w:tc>
        <w:tc>
          <w:tcPr>
            <w:tcW w:w="957" w:type="pct"/>
            <w:vMerge w:val="continue"/>
            <w:tcBorders>
              <w:tl2br w:val="nil"/>
              <w:tr2bl w:val="nil"/>
            </w:tcBorders>
            <w:vAlign w:val="center"/>
          </w:tcPr>
          <w:p w14:paraId="598E8C57">
            <w:pPr>
              <w:jc w:val="center"/>
              <w:rPr>
                <w:sz w:val="21"/>
                <w:szCs w:val="21"/>
              </w:rPr>
            </w:pPr>
          </w:p>
        </w:tc>
      </w:tr>
      <w:tr w14:paraId="709A8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13125D64">
            <w:pPr>
              <w:pStyle w:val="385"/>
              <w:jc w:val="center"/>
              <w:rPr>
                <w:sz w:val="21"/>
                <w:szCs w:val="21"/>
              </w:rPr>
            </w:pPr>
            <w:r>
              <w:rPr>
                <w:sz w:val="21"/>
                <w:szCs w:val="21"/>
              </w:rPr>
              <w:t>37</w:t>
            </w:r>
          </w:p>
        </w:tc>
        <w:tc>
          <w:tcPr>
            <w:tcW w:w="1207" w:type="pct"/>
            <w:tcBorders>
              <w:tl2br w:val="nil"/>
              <w:tr2bl w:val="nil"/>
            </w:tcBorders>
            <w:vAlign w:val="center"/>
          </w:tcPr>
          <w:p w14:paraId="60B98049">
            <w:pPr>
              <w:pStyle w:val="385"/>
              <w:jc w:val="center"/>
              <w:rPr>
                <w:sz w:val="21"/>
                <w:szCs w:val="21"/>
              </w:rPr>
            </w:pPr>
            <w:r>
              <w:rPr>
                <w:sz w:val="21"/>
                <w:szCs w:val="21"/>
              </w:rPr>
              <w:t>2-氯酚</w:t>
            </w:r>
          </w:p>
        </w:tc>
        <w:tc>
          <w:tcPr>
            <w:tcW w:w="1094" w:type="pct"/>
            <w:tcBorders>
              <w:tl2br w:val="nil"/>
              <w:tr2bl w:val="nil"/>
            </w:tcBorders>
            <w:vAlign w:val="center"/>
          </w:tcPr>
          <w:p w14:paraId="4C86AEBC">
            <w:pPr>
              <w:pStyle w:val="385"/>
              <w:jc w:val="center"/>
              <w:rPr>
                <w:sz w:val="21"/>
                <w:szCs w:val="21"/>
              </w:rPr>
            </w:pPr>
            <w:r>
              <w:rPr>
                <w:sz w:val="21"/>
                <w:szCs w:val="21"/>
              </w:rPr>
              <w:t>95-57-8</w:t>
            </w:r>
          </w:p>
        </w:tc>
        <w:tc>
          <w:tcPr>
            <w:tcW w:w="1352" w:type="pct"/>
            <w:tcBorders>
              <w:tl2br w:val="nil"/>
              <w:tr2bl w:val="nil"/>
            </w:tcBorders>
            <w:vAlign w:val="center"/>
          </w:tcPr>
          <w:p w14:paraId="4B07BE2F">
            <w:pPr>
              <w:pStyle w:val="385"/>
              <w:jc w:val="center"/>
              <w:rPr>
                <w:sz w:val="21"/>
                <w:szCs w:val="21"/>
              </w:rPr>
            </w:pPr>
            <w:r>
              <w:rPr>
                <w:sz w:val="21"/>
                <w:szCs w:val="21"/>
              </w:rPr>
              <w:t>2256</w:t>
            </w:r>
          </w:p>
        </w:tc>
        <w:tc>
          <w:tcPr>
            <w:tcW w:w="957" w:type="pct"/>
            <w:vMerge w:val="continue"/>
            <w:tcBorders>
              <w:tl2br w:val="nil"/>
              <w:tr2bl w:val="nil"/>
            </w:tcBorders>
            <w:vAlign w:val="center"/>
          </w:tcPr>
          <w:p w14:paraId="41911206">
            <w:pPr>
              <w:jc w:val="center"/>
              <w:rPr>
                <w:sz w:val="21"/>
                <w:szCs w:val="21"/>
              </w:rPr>
            </w:pPr>
          </w:p>
        </w:tc>
      </w:tr>
      <w:tr w14:paraId="653A1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16786346">
            <w:pPr>
              <w:pStyle w:val="385"/>
              <w:jc w:val="center"/>
              <w:rPr>
                <w:sz w:val="21"/>
                <w:szCs w:val="21"/>
              </w:rPr>
            </w:pPr>
            <w:r>
              <w:rPr>
                <w:sz w:val="21"/>
                <w:szCs w:val="21"/>
              </w:rPr>
              <w:t>38</w:t>
            </w:r>
          </w:p>
        </w:tc>
        <w:tc>
          <w:tcPr>
            <w:tcW w:w="1207" w:type="pct"/>
            <w:tcBorders>
              <w:tl2br w:val="nil"/>
              <w:tr2bl w:val="nil"/>
            </w:tcBorders>
            <w:vAlign w:val="center"/>
          </w:tcPr>
          <w:p w14:paraId="4322707E">
            <w:pPr>
              <w:pStyle w:val="385"/>
              <w:jc w:val="center"/>
              <w:rPr>
                <w:sz w:val="21"/>
                <w:szCs w:val="21"/>
              </w:rPr>
            </w:pPr>
            <w:r>
              <w:rPr>
                <w:sz w:val="21"/>
                <w:szCs w:val="21"/>
              </w:rPr>
              <w:t>苯并[a]蒽</w:t>
            </w:r>
          </w:p>
        </w:tc>
        <w:tc>
          <w:tcPr>
            <w:tcW w:w="1094" w:type="pct"/>
            <w:tcBorders>
              <w:tl2br w:val="nil"/>
              <w:tr2bl w:val="nil"/>
            </w:tcBorders>
            <w:vAlign w:val="center"/>
          </w:tcPr>
          <w:p w14:paraId="29D3F0D4">
            <w:pPr>
              <w:pStyle w:val="385"/>
              <w:jc w:val="center"/>
              <w:rPr>
                <w:sz w:val="21"/>
                <w:szCs w:val="21"/>
              </w:rPr>
            </w:pPr>
            <w:r>
              <w:rPr>
                <w:sz w:val="21"/>
                <w:szCs w:val="21"/>
              </w:rPr>
              <w:t>56-55-3</w:t>
            </w:r>
          </w:p>
        </w:tc>
        <w:tc>
          <w:tcPr>
            <w:tcW w:w="1352" w:type="pct"/>
            <w:tcBorders>
              <w:tl2br w:val="nil"/>
              <w:tr2bl w:val="nil"/>
            </w:tcBorders>
            <w:vAlign w:val="center"/>
          </w:tcPr>
          <w:p w14:paraId="680DEE95">
            <w:pPr>
              <w:pStyle w:val="385"/>
              <w:jc w:val="center"/>
              <w:rPr>
                <w:sz w:val="21"/>
                <w:szCs w:val="21"/>
              </w:rPr>
            </w:pPr>
            <w:r>
              <w:rPr>
                <w:sz w:val="21"/>
                <w:szCs w:val="21"/>
              </w:rPr>
              <w:t>15</w:t>
            </w:r>
          </w:p>
        </w:tc>
        <w:tc>
          <w:tcPr>
            <w:tcW w:w="957" w:type="pct"/>
            <w:vMerge w:val="continue"/>
            <w:tcBorders>
              <w:tl2br w:val="nil"/>
              <w:tr2bl w:val="nil"/>
            </w:tcBorders>
            <w:vAlign w:val="center"/>
          </w:tcPr>
          <w:p w14:paraId="0D6A4323">
            <w:pPr>
              <w:jc w:val="center"/>
              <w:rPr>
                <w:sz w:val="21"/>
                <w:szCs w:val="21"/>
              </w:rPr>
            </w:pPr>
          </w:p>
        </w:tc>
      </w:tr>
      <w:tr w14:paraId="4AE1E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6A734211">
            <w:pPr>
              <w:pStyle w:val="385"/>
              <w:jc w:val="center"/>
              <w:rPr>
                <w:sz w:val="21"/>
                <w:szCs w:val="21"/>
              </w:rPr>
            </w:pPr>
            <w:r>
              <w:rPr>
                <w:sz w:val="21"/>
                <w:szCs w:val="21"/>
              </w:rPr>
              <w:t>39</w:t>
            </w:r>
          </w:p>
        </w:tc>
        <w:tc>
          <w:tcPr>
            <w:tcW w:w="1207" w:type="pct"/>
            <w:tcBorders>
              <w:tl2br w:val="nil"/>
              <w:tr2bl w:val="nil"/>
            </w:tcBorders>
            <w:vAlign w:val="center"/>
          </w:tcPr>
          <w:p w14:paraId="0FE7B74F">
            <w:pPr>
              <w:pStyle w:val="385"/>
              <w:jc w:val="center"/>
              <w:rPr>
                <w:sz w:val="21"/>
                <w:szCs w:val="21"/>
              </w:rPr>
            </w:pPr>
            <w:r>
              <w:rPr>
                <w:sz w:val="21"/>
                <w:szCs w:val="21"/>
              </w:rPr>
              <w:t>苯并[a]芘</w:t>
            </w:r>
          </w:p>
        </w:tc>
        <w:tc>
          <w:tcPr>
            <w:tcW w:w="1094" w:type="pct"/>
            <w:tcBorders>
              <w:tl2br w:val="nil"/>
              <w:tr2bl w:val="nil"/>
            </w:tcBorders>
            <w:vAlign w:val="center"/>
          </w:tcPr>
          <w:p w14:paraId="7B32E3E3">
            <w:pPr>
              <w:pStyle w:val="385"/>
              <w:jc w:val="center"/>
              <w:rPr>
                <w:sz w:val="21"/>
                <w:szCs w:val="21"/>
              </w:rPr>
            </w:pPr>
            <w:r>
              <w:rPr>
                <w:sz w:val="21"/>
                <w:szCs w:val="21"/>
              </w:rPr>
              <w:t>50-32-8</w:t>
            </w:r>
          </w:p>
        </w:tc>
        <w:tc>
          <w:tcPr>
            <w:tcW w:w="1352" w:type="pct"/>
            <w:tcBorders>
              <w:tl2br w:val="nil"/>
              <w:tr2bl w:val="nil"/>
            </w:tcBorders>
            <w:vAlign w:val="center"/>
          </w:tcPr>
          <w:p w14:paraId="20BFE519">
            <w:pPr>
              <w:pStyle w:val="385"/>
              <w:jc w:val="center"/>
              <w:rPr>
                <w:sz w:val="21"/>
                <w:szCs w:val="21"/>
              </w:rPr>
            </w:pPr>
            <w:r>
              <w:rPr>
                <w:sz w:val="21"/>
                <w:szCs w:val="21"/>
              </w:rPr>
              <w:t>1.5</w:t>
            </w:r>
          </w:p>
        </w:tc>
        <w:tc>
          <w:tcPr>
            <w:tcW w:w="957" w:type="pct"/>
            <w:vMerge w:val="continue"/>
            <w:tcBorders>
              <w:tl2br w:val="nil"/>
              <w:tr2bl w:val="nil"/>
            </w:tcBorders>
            <w:vAlign w:val="center"/>
          </w:tcPr>
          <w:p w14:paraId="4E19823B">
            <w:pPr>
              <w:jc w:val="center"/>
              <w:rPr>
                <w:sz w:val="21"/>
                <w:szCs w:val="21"/>
              </w:rPr>
            </w:pPr>
          </w:p>
        </w:tc>
      </w:tr>
      <w:tr w14:paraId="6DE3F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1CC00DB6">
            <w:pPr>
              <w:pStyle w:val="385"/>
              <w:jc w:val="center"/>
              <w:rPr>
                <w:sz w:val="21"/>
                <w:szCs w:val="21"/>
              </w:rPr>
            </w:pPr>
            <w:r>
              <w:rPr>
                <w:sz w:val="21"/>
                <w:szCs w:val="21"/>
              </w:rPr>
              <w:t>40</w:t>
            </w:r>
          </w:p>
        </w:tc>
        <w:tc>
          <w:tcPr>
            <w:tcW w:w="1207" w:type="pct"/>
            <w:tcBorders>
              <w:tl2br w:val="nil"/>
              <w:tr2bl w:val="nil"/>
            </w:tcBorders>
            <w:vAlign w:val="center"/>
          </w:tcPr>
          <w:p w14:paraId="6DFA182D">
            <w:pPr>
              <w:pStyle w:val="385"/>
              <w:jc w:val="center"/>
              <w:rPr>
                <w:sz w:val="21"/>
                <w:szCs w:val="21"/>
              </w:rPr>
            </w:pPr>
            <w:r>
              <w:rPr>
                <w:sz w:val="21"/>
                <w:szCs w:val="21"/>
              </w:rPr>
              <w:t>苯并[b]荧蒽</w:t>
            </w:r>
          </w:p>
        </w:tc>
        <w:tc>
          <w:tcPr>
            <w:tcW w:w="1094" w:type="pct"/>
            <w:tcBorders>
              <w:tl2br w:val="nil"/>
              <w:tr2bl w:val="nil"/>
            </w:tcBorders>
            <w:vAlign w:val="center"/>
          </w:tcPr>
          <w:p w14:paraId="1A52D37E">
            <w:pPr>
              <w:pStyle w:val="385"/>
              <w:jc w:val="center"/>
              <w:rPr>
                <w:sz w:val="21"/>
                <w:szCs w:val="21"/>
              </w:rPr>
            </w:pPr>
            <w:r>
              <w:rPr>
                <w:sz w:val="21"/>
                <w:szCs w:val="21"/>
              </w:rPr>
              <w:t>205-99-2</w:t>
            </w:r>
          </w:p>
        </w:tc>
        <w:tc>
          <w:tcPr>
            <w:tcW w:w="1352" w:type="pct"/>
            <w:tcBorders>
              <w:tl2br w:val="nil"/>
              <w:tr2bl w:val="nil"/>
            </w:tcBorders>
            <w:vAlign w:val="center"/>
          </w:tcPr>
          <w:p w14:paraId="07B5318B">
            <w:pPr>
              <w:pStyle w:val="385"/>
              <w:jc w:val="center"/>
              <w:rPr>
                <w:sz w:val="21"/>
                <w:szCs w:val="21"/>
              </w:rPr>
            </w:pPr>
            <w:r>
              <w:rPr>
                <w:sz w:val="21"/>
                <w:szCs w:val="21"/>
              </w:rPr>
              <w:t>15</w:t>
            </w:r>
          </w:p>
        </w:tc>
        <w:tc>
          <w:tcPr>
            <w:tcW w:w="957" w:type="pct"/>
            <w:vMerge w:val="continue"/>
            <w:tcBorders>
              <w:tl2br w:val="nil"/>
              <w:tr2bl w:val="nil"/>
            </w:tcBorders>
            <w:vAlign w:val="center"/>
          </w:tcPr>
          <w:p w14:paraId="2E59D09B">
            <w:pPr>
              <w:jc w:val="center"/>
              <w:rPr>
                <w:sz w:val="21"/>
                <w:szCs w:val="21"/>
              </w:rPr>
            </w:pPr>
          </w:p>
        </w:tc>
      </w:tr>
      <w:tr w14:paraId="64E91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2C279D0E">
            <w:pPr>
              <w:pStyle w:val="385"/>
              <w:jc w:val="center"/>
              <w:rPr>
                <w:sz w:val="21"/>
                <w:szCs w:val="21"/>
              </w:rPr>
            </w:pPr>
            <w:r>
              <w:rPr>
                <w:sz w:val="21"/>
                <w:szCs w:val="21"/>
              </w:rPr>
              <w:t>41</w:t>
            </w:r>
          </w:p>
        </w:tc>
        <w:tc>
          <w:tcPr>
            <w:tcW w:w="1207" w:type="pct"/>
            <w:tcBorders>
              <w:tl2br w:val="nil"/>
              <w:tr2bl w:val="nil"/>
            </w:tcBorders>
            <w:vAlign w:val="center"/>
          </w:tcPr>
          <w:p w14:paraId="75CC73D3">
            <w:pPr>
              <w:pStyle w:val="385"/>
              <w:jc w:val="center"/>
              <w:rPr>
                <w:sz w:val="21"/>
                <w:szCs w:val="21"/>
              </w:rPr>
            </w:pPr>
            <w:r>
              <w:rPr>
                <w:sz w:val="21"/>
                <w:szCs w:val="21"/>
              </w:rPr>
              <w:t>苯并[k]荧蒽</w:t>
            </w:r>
          </w:p>
        </w:tc>
        <w:tc>
          <w:tcPr>
            <w:tcW w:w="1094" w:type="pct"/>
            <w:tcBorders>
              <w:tl2br w:val="nil"/>
              <w:tr2bl w:val="nil"/>
            </w:tcBorders>
            <w:vAlign w:val="center"/>
          </w:tcPr>
          <w:p w14:paraId="42C4B137">
            <w:pPr>
              <w:pStyle w:val="385"/>
              <w:jc w:val="center"/>
              <w:rPr>
                <w:sz w:val="21"/>
                <w:szCs w:val="21"/>
              </w:rPr>
            </w:pPr>
            <w:r>
              <w:rPr>
                <w:sz w:val="21"/>
                <w:szCs w:val="21"/>
              </w:rPr>
              <w:t>207-08-9</w:t>
            </w:r>
          </w:p>
        </w:tc>
        <w:tc>
          <w:tcPr>
            <w:tcW w:w="1352" w:type="pct"/>
            <w:tcBorders>
              <w:tl2br w:val="nil"/>
              <w:tr2bl w:val="nil"/>
            </w:tcBorders>
            <w:vAlign w:val="center"/>
          </w:tcPr>
          <w:p w14:paraId="40409C32">
            <w:pPr>
              <w:pStyle w:val="385"/>
              <w:jc w:val="center"/>
              <w:rPr>
                <w:sz w:val="21"/>
                <w:szCs w:val="21"/>
              </w:rPr>
            </w:pPr>
            <w:r>
              <w:rPr>
                <w:sz w:val="21"/>
                <w:szCs w:val="21"/>
              </w:rPr>
              <w:t>151</w:t>
            </w:r>
          </w:p>
        </w:tc>
        <w:tc>
          <w:tcPr>
            <w:tcW w:w="957" w:type="pct"/>
            <w:vMerge w:val="continue"/>
            <w:tcBorders>
              <w:tl2br w:val="nil"/>
              <w:tr2bl w:val="nil"/>
            </w:tcBorders>
            <w:vAlign w:val="center"/>
          </w:tcPr>
          <w:p w14:paraId="7BD84B4E">
            <w:pPr>
              <w:jc w:val="center"/>
              <w:rPr>
                <w:sz w:val="21"/>
                <w:szCs w:val="21"/>
              </w:rPr>
            </w:pPr>
          </w:p>
        </w:tc>
      </w:tr>
      <w:tr w14:paraId="4E3F7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165CD422">
            <w:pPr>
              <w:pStyle w:val="385"/>
              <w:jc w:val="center"/>
              <w:rPr>
                <w:sz w:val="21"/>
                <w:szCs w:val="21"/>
              </w:rPr>
            </w:pPr>
            <w:r>
              <w:rPr>
                <w:sz w:val="21"/>
                <w:szCs w:val="21"/>
              </w:rPr>
              <w:t>42</w:t>
            </w:r>
          </w:p>
        </w:tc>
        <w:tc>
          <w:tcPr>
            <w:tcW w:w="1207" w:type="pct"/>
            <w:tcBorders>
              <w:tl2br w:val="nil"/>
              <w:tr2bl w:val="nil"/>
            </w:tcBorders>
            <w:vAlign w:val="center"/>
          </w:tcPr>
          <w:p w14:paraId="6D0E0C7B">
            <w:pPr>
              <w:pStyle w:val="385"/>
              <w:jc w:val="center"/>
              <w:rPr>
                <w:sz w:val="21"/>
                <w:szCs w:val="21"/>
              </w:rPr>
            </w:pPr>
            <w:r>
              <w:rPr>
                <w:w w:val="99"/>
                <w:sz w:val="21"/>
                <w:szCs w:val="21"/>
              </w:rPr>
              <w:t>䓛</w:t>
            </w:r>
          </w:p>
        </w:tc>
        <w:tc>
          <w:tcPr>
            <w:tcW w:w="1094" w:type="pct"/>
            <w:tcBorders>
              <w:tl2br w:val="nil"/>
              <w:tr2bl w:val="nil"/>
            </w:tcBorders>
            <w:vAlign w:val="center"/>
          </w:tcPr>
          <w:p w14:paraId="04B6CCB4">
            <w:pPr>
              <w:pStyle w:val="385"/>
              <w:jc w:val="center"/>
              <w:rPr>
                <w:sz w:val="21"/>
                <w:szCs w:val="21"/>
              </w:rPr>
            </w:pPr>
            <w:r>
              <w:rPr>
                <w:sz w:val="21"/>
                <w:szCs w:val="21"/>
              </w:rPr>
              <w:t>218-01-9</w:t>
            </w:r>
          </w:p>
        </w:tc>
        <w:tc>
          <w:tcPr>
            <w:tcW w:w="1352" w:type="pct"/>
            <w:tcBorders>
              <w:tl2br w:val="nil"/>
              <w:tr2bl w:val="nil"/>
            </w:tcBorders>
            <w:vAlign w:val="center"/>
          </w:tcPr>
          <w:p w14:paraId="618705F3">
            <w:pPr>
              <w:pStyle w:val="385"/>
              <w:jc w:val="center"/>
              <w:rPr>
                <w:sz w:val="21"/>
                <w:szCs w:val="21"/>
              </w:rPr>
            </w:pPr>
            <w:r>
              <w:rPr>
                <w:sz w:val="21"/>
                <w:szCs w:val="21"/>
              </w:rPr>
              <w:t>1293</w:t>
            </w:r>
          </w:p>
        </w:tc>
        <w:tc>
          <w:tcPr>
            <w:tcW w:w="957" w:type="pct"/>
            <w:vMerge w:val="continue"/>
            <w:tcBorders>
              <w:tl2br w:val="nil"/>
              <w:tr2bl w:val="nil"/>
            </w:tcBorders>
            <w:vAlign w:val="center"/>
          </w:tcPr>
          <w:p w14:paraId="15CD054F">
            <w:pPr>
              <w:jc w:val="center"/>
              <w:rPr>
                <w:sz w:val="21"/>
                <w:szCs w:val="21"/>
              </w:rPr>
            </w:pPr>
          </w:p>
        </w:tc>
      </w:tr>
      <w:tr w14:paraId="6262E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574F23A1">
            <w:pPr>
              <w:pStyle w:val="385"/>
              <w:jc w:val="center"/>
              <w:rPr>
                <w:sz w:val="21"/>
                <w:szCs w:val="21"/>
              </w:rPr>
            </w:pPr>
            <w:r>
              <w:rPr>
                <w:sz w:val="21"/>
                <w:szCs w:val="21"/>
              </w:rPr>
              <w:t>43</w:t>
            </w:r>
          </w:p>
        </w:tc>
        <w:tc>
          <w:tcPr>
            <w:tcW w:w="1207" w:type="pct"/>
            <w:tcBorders>
              <w:tl2br w:val="nil"/>
              <w:tr2bl w:val="nil"/>
            </w:tcBorders>
            <w:vAlign w:val="center"/>
          </w:tcPr>
          <w:p w14:paraId="6162FB4C">
            <w:pPr>
              <w:pStyle w:val="385"/>
              <w:jc w:val="center"/>
              <w:rPr>
                <w:sz w:val="21"/>
                <w:szCs w:val="21"/>
              </w:rPr>
            </w:pPr>
            <w:r>
              <w:rPr>
                <w:sz w:val="21"/>
                <w:szCs w:val="21"/>
              </w:rPr>
              <w:t>二苯并[a,h]蒽</w:t>
            </w:r>
          </w:p>
        </w:tc>
        <w:tc>
          <w:tcPr>
            <w:tcW w:w="1094" w:type="pct"/>
            <w:tcBorders>
              <w:tl2br w:val="nil"/>
              <w:tr2bl w:val="nil"/>
            </w:tcBorders>
            <w:vAlign w:val="center"/>
          </w:tcPr>
          <w:p w14:paraId="5B17C2FA">
            <w:pPr>
              <w:pStyle w:val="385"/>
              <w:jc w:val="center"/>
              <w:rPr>
                <w:sz w:val="21"/>
                <w:szCs w:val="21"/>
              </w:rPr>
            </w:pPr>
            <w:r>
              <w:rPr>
                <w:sz w:val="21"/>
                <w:szCs w:val="21"/>
              </w:rPr>
              <w:t>53-70-3</w:t>
            </w:r>
          </w:p>
        </w:tc>
        <w:tc>
          <w:tcPr>
            <w:tcW w:w="1352" w:type="pct"/>
            <w:tcBorders>
              <w:tl2br w:val="nil"/>
              <w:tr2bl w:val="nil"/>
            </w:tcBorders>
            <w:vAlign w:val="center"/>
          </w:tcPr>
          <w:p w14:paraId="281C3FEA">
            <w:pPr>
              <w:pStyle w:val="385"/>
              <w:jc w:val="center"/>
              <w:rPr>
                <w:sz w:val="21"/>
                <w:szCs w:val="21"/>
              </w:rPr>
            </w:pPr>
            <w:r>
              <w:rPr>
                <w:sz w:val="21"/>
                <w:szCs w:val="21"/>
              </w:rPr>
              <w:t>1.5</w:t>
            </w:r>
          </w:p>
        </w:tc>
        <w:tc>
          <w:tcPr>
            <w:tcW w:w="957" w:type="pct"/>
            <w:vMerge w:val="continue"/>
            <w:tcBorders>
              <w:tl2br w:val="nil"/>
              <w:tr2bl w:val="nil"/>
            </w:tcBorders>
            <w:vAlign w:val="center"/>
          </w:tcPr>
          <w:p w14:paraId="61EC2387">
            <w:pPr>
              <w:jc w:val="center"/>
              <w:rPr>
                <w:sz w:val="21"/>
                <w:szCs w:val="21"/>
              </w:rPr>
            </w:pPr>
          </w:p>
        </w:tc>
      </w:tr>
      <w:tr w14:paraId="0FF59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14C491D1">
            <w:pPr>
              <w:pStyle w:val="385"/>
              <w:jc w:val="center"/>
              <w:rPr>
                <w:sz w:val="21"/>
                <w:szCs w:val="21"/>
              </w:rPr>
            </w:pPr>
            <w:r>
              <w:rPr>
                <w:sz w:val="21"/>
                <w:szCs w:val="21"/>
              </w:rPr>
              <w:t>44</w:t>
            </w:r>
          </w:p>
        </w:tc>
        <w:tc>
          <w:tcPr>
            <w:tcW w:w="1207" w:type="pct"/>
            <w:tcBorders>
              <w:tl2br w:val="nil"/>
              <w:tr2bl w:val="nil"/>
            </w:tcBorders>
            <w:vAlign w:val="center"/>
          </w:tcPr>
          <w:p w14:paraId="210FABB8">
            <w:pPr>
              <w:pStyle w:val="385"/>
              <w:jc w:val="center"/>
              <w:rPr>
                <w:sz w:val="21"/>
                <w:szCs w:val="21"/>
              </w:rPr>
            </w:pPr>
            <w:r>
              <w:rPr>
                <w:w w:val="95"/>
                <w:sz w:val="21"/>
                <w:szCs w:val="21"/>
              </w:rPr>
              <w:t>茚并[1,2,3-,cd]芘</w:t>
            </w:r>
          </w:p>
        </w:tc>
        <w:tc>
          <w:tcPr>
            <w:tcW w:w="1094" w:type="pct"/>
            <w:tcBorders>
              <w:tl2br w:val="nil"/>
              <w:tr2bl w:val="nil"/>
            </w:tcBorders>
            <w:vAlign w:val="center"/>
          </w:tcPr>
          <w:p w14:paraId="57EF9B31">
            <w:pPr>
              <w:pStyle w:val="385"/>
              <w:jc w:val="center"/>
              <w:rPr>
                <w:sz w:val="21"/>
                <w:szCs w:val="21"/>
              </w:rPr>
            </w:pPr>
            <w:r>
              <w:rPr>
                <w:sz w:val="21"/>
                <w:szCs w:val="21"/>
              </w:rPr>
              <w:t>193-39-5</w:t>
            </w:r>
          </w:p>
        </w:tc>
        <w:tc>
          <w:tcPr>
            <w:tcW w:w="1352" w:type="pct"/>
            <w:tcBorders>
              <w:tl2br w:val="nil"/>
              <w:tr2bl w:val="nil"/>
            </w:tcBorders>
            <w:vAlign w:val="center"/>
          </w:tcPr>
          <w:p w14:paraId="41AF462F">
            <w:pPr>
              <w:pStyle w:val="385"/>
              <w:jc w:val="center"/>
              <w:rPr>
                <w:sz w:val="21"/>
                <w:szCs w:val="21"/>
              </w:rPr>
            </w:pPr>
            <w:r>
              <w:rPr>
                <w:sz w:val="21"/>
                <w:szCs w:val="21"/>
              </w:rPr>
              <w:t>15</w:t>
            </w:r>
          </w:p>
        </w:tc>
        <w:tc>
          <w:tcPr>
            <w:tcW w:w="957" w:type="pct"/>
            <w:vMerge w:val="continue"/>
            <w:tcBorders>
              <w:tl2br w:val="nil"/>
              <w:tr2bl w:val="nil"/>
            </w:tcBorders>
            <w:vAlign w:val="center"/>
          </w:tcPr>
          <w:p w14:paraId="32087044">
            <w:pPr>
              <w:jc w:val="center"/>
              <w:rPr>
                <w:sz w:val="21"/>
                <w:szCs w:val="21"/>
              </w:rPr>
            </w:pPr>
          </w:p>
        </w:tc>
      </w:tr>
      <w:tr w14:paraId="3F729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388" w:type="pct"/>
            <w:tcBorders>
              <w:tl2br w:val="nil"/>
              <w:tr2bl w:val="nil"/>
            </w:tcBorders>
            <w:vAlign w:val="center"/>
          </w:tcPr>
          <w:p w14:paraId="75F2D158">
            <w:pPr>
              <w:pStyle w:val="385"/>
              <w:jc w:val="center"/>
              <w:rPr>
                <w:sz w:val="21"/>
                <w:szCs w:val="21"/>
              </w:rPr>
            </w:pPr>
            <w:r>
              <w:rPr>
                <w:sz w:val="21"/>
                <w:szCs w:val="21"/>
              </w:rPr>
              <w:t>45</w:t>
            </w:r>
          </w:p>
        </w:tc>
        <w:tc>
          <w:tcPr>
            <w:tcW w:w="1207" w:type="pct"/>
            <w:tcBorders>
              <w:tl2br w:val="nil"/>
              <w:tr2bl w:val="nil"/>
            </w:tcBorders>
            <w:vAlign w:val="center"/>
          </w:tcPr>
          <w:p w14:paraId="0C0C2981">
            <w:pPr>
              <w:pStyle w:val="385"/>
              <w:jc w:val="center"/>
              <w:rPr>
                <w:sz w:val="21"/>
                <w:szCs w:val="21"/>
              </w:rPr>
            </w:pPr>
            <w:r>
              <w:rPr>
                <w:w w:val="99"/>
                <w:sz w:val="21"/>
                <w:szCs w:val="21"/>
              </w:rPr>
              <w:t>萘</w:t>
            </w:r>
          </w:p>
        </w:tc>
        <w:tc>
          <w:tcPr>
            <w:tcW w:w="1094" w:type="pct"/>
            <w:tcBorders>
              <w:tl2br w:val="nil"/>
              <w:tr2bl w:val="nil"/>
            </w:tcBorders>
            <w:vAlign w:val="center"/>
          </w:tcPr>
          <w:p w14:paraId="6D6DF33C">
            <w:pPr>
              <w:pStyle w:val="385"/>
              <w:jc w:val="center"/>
              <w:rPr>
                <w:sz w:val="21"/>
                <w:szCs w:val="21"/>
              </w:rPr>
            </w:pPr>
            <w:r>
              <w:rPr>
                <w:sz w:val="21"/>
                <w:szCs w:val="21"/>
              </w:rPr>
              <w:t>91-20-3</w:t>
            </w:r>
          </w:p>
        </w:tc>
        <w:tc>
          <w:tcPr>
            <w:tcW w:w="1352" w:type="pct"/>
            <w:tcBorders>
              <w:tl2br w:val="nil"/>
              <w:tr2bl w:val="nil"/>
            </w:tcBorders>
            <w:vAlign w:val="center"/>
          </w:tcPr>
          <w:p w14:paraId="28D5F850">
            <w:pPr>
              <w:pStyle w:val="385"/>
              <w:jc w:val="center"/>
              <w:rPr>
                <w:sz w:val="21"/>
                <w:szCs w:val="21"/>
              </w:rPr>
            </w:pPr>
            <w:r>
              <w:rPr>
                <w:sz w:val="21"/>
                <w:szCs w:val="21"/>
              </w:rPr>
              <w:t>70</w:t>
            </w:r>
          </w:p>
        </w:tc>
        <w:tc>
          <w:tcPr>
            <w:tcW w:w="957" w:type="pct"/>
            <w:vMerge w:val="continue"/>
            <w:tcBorders>
              <w:tl2br w:val="nil"/>
              <w:tr2bl w:val="nil"/>
            </w:tcBorders>
            <w:vAlign w:val="center"/>
          </w:tcPr>
          <w:p w14:paraId="2B8DD061">
            <w:pPr>
              <w:jc w:val="center"/>
              <w:rPr>
                <w:sz w:val="21"/>
                <w:szCs w:val="21"/>
              </w:rPr>
            </w:pPr>
          </w:p>
        </w:tc>
      </w:tr>
    </w:tbl>
    <w:p w14:paraId="387EFF9F">
      <w:pPr>
        <w:pStyle w:val="5"/>
      </w:pPr>
      <w:r>
        <w:t>2.2.3.2污染物排放标准</w:t>
      </w:r>
    </w:p>
    <w:p w14:paraId="4E2299B2">
      <w:pPr>
        <w:spacing w:line="360" w:lineRule="auto"/>
        <w:ind w:firstLine="480"/>
      </w:pPr>
      <w:r>
        <w:t>（1）废气</w:t>
      </w:r>
    </w:p>
    <w:p w14:paraId="215E9A42">
      <w:pPr>
        <w:tabs>
          <w:tab w:val="right" w:leader="dot" w:pos="8505"/>
        </w:tabs>
        <w:spacing w:line="360" w:lineRule="auto"/>
        <w:ind w:firstLine="480" w:firstLineChars="200"/>
      </w:pPr>
      <w:r>
        <w:t>颗粒物</w:t>
      </w:r>
      <w:r>
        <w:rPr>
          <w:rFonts w:hint="eastAsia"/>
          <w:lang w:eastAsia="zh-CN"/>
        </w:rPr>
        <w:t>、</w:t>
      </w:r>
      <w:r>
        <w:rPr>
          <w:rFonts w:hint="eastAsia"/>
          <w:lang w:val="en-US" w:eastAsia="zh-CN"/>
        </w:rPr>
        <w:t>非甲烷总烃</w:t>
      </w:r>
      <w:r>
        <w:t>排放执行《大气污染物综合排放标准》（GB16297-1996）</w:t>
      </w:r>
      <w:r>
        <w:rPr>
          <w:rFonts w:hint="eastAsia"/>
          <w:lang w:val="en-US" w:eastAsia="zh-CN"/>
        </w:rPr>
        <w:t>表2二级标准</w:t>
      </w:r>
      <w:r>
        <w:t>要求。</w:t>
      </w:r>
    </w:p>
    <w:p w14:paraId="786D376A">
      <w:pPr>
        <w:tabs>
          <w:tab w:val="right" w:leader="dot" w:pos="8505"/>
        </w:tabs>
        <w:jc w:val="center"/>
        <w:rPr>
          <w:b/>
        </w:rPr>
      </w:pPr>
      <w:r>
        <w:rPr>
          <w:b/>
        </w:rPr>
        <w:t>表2.3-</w:t>
      </w:r>
      <w:r>
        <w:rPr>
          <w:rFonts w:hint="eastAsia"/>
          <w:b/>
          <w:lang w:val="en-US" w:eastAsia="zh-CN"/>
        </w:rPr>
        <w:t>7</w:t>
      </w:r>
      <w:r>
        <w:rPr>
          <w:b/>
        </w:rPr>
        <w:t xml:space="preserve">   《大气污染物综合排放标准》（GB16297-1996）</w:t>
      </w:r>
    </w:p>
    <w:tbl>
      <w:tblPr>
        <w:tblStyle w:val="53"/>
        <w:tblW w:w="484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5"/>
        <w:gridCol w:w="1595"/>
        <w:gridCol w:w="1399"/>
        <w:gridCol w:w="4616"/>
      </w:tblGrid>
      <w:tr w14:paraId="5A74E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751" w:type="pct"/>
            <w:vMerge w:val="restart"/>
            <w:tcBorders>
              <w:tl2br w:val="nil"/>
              <w:tr2bl w:val="nil"/>
            </w:tcBorders>
            <w:vAlign w:val="center"/>
          </w:tcPr>
          <w:p w14:paraId="66B729DB">
            <w:pPr>
              <w:tabs>
                <w:tab w:val="left" w:leader="middleDot" w:pos="7371"/>
              </w:tabs>
              <w:jc w:val="center"/>
              <w:rPr>
                <w:b/>
                <w:bCs/>
                <w:sz w:val="21"/>
                <w:szCs w:val="21"/>
              </w:rPr>
            </w:pPr>
            <w:r>
              <w:rPr>
                <w:b/>
                <w:bCs/>
                <w:sz w:val="21"/>
                <w:szCs w:val="21"/>
              </w:rPr>
              <w:t>污染物</w:t>
            </w:r>
          </w:p>
        </w:tc>
        <w:tc>
          <w:tcPr>
            <w:tcW w:w="890" w:type="pct"/>
            <w:vMerge w:val="restart"/>
            <w:tcBorders>
              <w:tl2br w:val="nil"/>
              <w:tr2bl w:val="nil"/>
            </w:tcBorders>
            <w:vAlign w:val="center"/>
          </w:tcPr>
          <w:p w14:paraId="50E462E2">
            <w:pPr>
              <w:tabs>
                <w:tab w:val="left" w:leader="middleDot" w:pos="7371"/>
              </w:tabs>
              <w:jc w:val="center"/>
              <w:rPr>
                <w:b/>
                <w:bCs/>
                <w:sz w:val="21"/>
                <w:szCs w:val="21"/>
              </w:rPr>
            </w:pPr>
            <w:r>
              <w:rPr>
                <w:rFonts w:hint="eastAsia"/>
                <w:b/>
                <w:bCs/>
                <w:sz w:val="21"/>
                <w:szCs w:val="21"/>
                <w:lang w:val="en-US" w:eastAsia="zh-CN"/>
              </w:rPr>
              <w:t>最高允许排放</w:t>
            </w:r>
            <w:r>
              <w:rPr>
                <w:b/>
                <w:bCs/>
                <w:sz w:val="21"/>
                <w:szCs w:val="21"/>
              </w:rPr>
              <w:t>浓度（mg/m</w:t>
            </w:r>
            <w:r>
              <w:rPr>
                <w:b/>
                <w:bCs/>
                <w:sz w:val="21"/>
                <w:szCs w:val="21"/>
                <w:vertAlign w:val="superscript"/>
              </w:rPr>
              <w:t>3</w:t>
            </w:r>
            <w:r>
              <w:rPr>
                <w:b/>
                <w:bCs/>
                <w:sz w:val="21"/>
                <w:szCs w:val="21"/>
              </w:rPr>
              <w:t>）</w:t>
            </w:r>
          </w:p>
        </w:tc>
        <w:tc>
          <w:tcPr>
            <w:tcW w:w="3357" w:type="pct"/>
            <w:gridSpan w:val="2"/>
            <w:tcBorders>
              <w:tl2br w:val="nil"/>
              <w:tr2bl w:val="nil"/>
            </w:tcBorders>
            <w:vAlign w:val="center"/>
          </w:tcPr>
          <w:p w14:paraId="768CA6B2">
            <w:pPr>
              <w:tabs>
                <w:tab w:val="left" w:leader="middleDot" w:pos="7371"/>
              </w:tabs>
              <w:jc w:val="center"/>
              <w:rPr>
                <w:b/>
                <w:bCs/>
                <w:sz w:val="21"/>
                <w:szCs w:val="21"/>
              </w:rPr>
            </w:pPr>
            <w:r>
              <w:rPr>
                <w:rFonts w:hint="eastAsia"/>
                <w:b/>
                <w:bCs/>
                <w:sz w:val="21"/>
                <w:szCs w:val="21"/>
                <w:lang w:val="en-US" w:eastAsia="zh-CN"/>
              </w:rPr>
              <w:t>最高允许排放速率</w:t>
            </w:r>
            <w:r>
              <w:rPr>
                <w:b/>
                <w:bCs/>
                <w:sz w:val="21"/>
                <w:szCs w:val="21"/>
              </w:rPr>
              <w:t>（</w:t>
            </w:r>
            <w:r>
              <w:rPr>
                <w:rFonts w:hint="eastAsia"/>
                <w:b/>
                <w:bCs/>
                <w:sz w:val="21"/>
                <w:szCs w:val="21"/>
                <w:lang w:val="en-US" w:eastAsia="zh-CN"/>
              </w:rPr>
              <w:t>kg</w:t>
            </w:r>
            <w:r>
              <w:rPr>
                <w:b/>
                <w:bCs/>
                <w:sz w:val="21"/>
                <w:szCs w:val="21"/>
              </w:rPr>
              <w:t>/</w:t>
            </w:r>
            <w:r>
              <w:rPr>
                <w:rFonts w:hint="eastAsia"/>
                <w:b/>
                <w:bCs/>
                <w:sz w:val="21"/>
                <w:szCs w:val="21"/>
                <w:lang w:val="en-US" w:eastAsia="zh-CN"/>
              </w:rPr>
              <w:t>h</w:t>
            </w:r>
            <w:r>
              <w:rPr>
                <w:b/>
                <w:bCs/>
                <w:sz w:val="21"/>
                <w:szCs w:val="21"/>
              </w:rPr>
              <w:t>）</w:t>
            </w:r>
          </w:p>
        </w:tc>
      </w:tr>
      <w:tr w14:paraId="19151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9" w:hRule="atLeast"/>
          <w:jc w:val="center"/>
        </w:trPr>
        <w:tc>
          <w:tcPr>
            <w:tcW w:w="751" w:type="pct"/>
            <w:vMerge w:val="continue"/>
            <w:tcBorders>
              <w:tl2br w:val="nil"/>
              <w:tr2bl w:val="nil"/>
            </w:tcBorders>
            <w:vAlign w:val="center"/>
          </w:tcPr>
          <w:p w14:paraId="183AFB5A">
            <w:pPr>
              <w:rPr>
                <w:b/>
                <w:bCs/>
              </w:rPr>
            </w:pPr>
          </w:p>
        </w:tc>
        <w:tc>
          <w:tcPr>
            <w:tcW w:w="890" w:type="pct"/>
            <w:vMerge w:val="continue"/>
            <w:tcBorders>
              <w:tl2br w:val="nil"/>
              <w:tr2bl w:val="nil"/>
            </w:tcBorders>
            <w:vAlign w:val="center"/>
          </w:tcPr>
          <w:p w14:paraId="682DD016">
            <w:pPr>
              <w:rPr>
                <w:b/>
                <w:bCs/>
              </w:rPr>
            </w:pPr>
          </w:p>
        </w:tc>
        <w:tc>
          <w:tcPr>
            <w:tcW w:w="781" w:type="pct"/>
            <w:tcBorders>
              <w:tl2br w:val="nil"/>
              <w:tr2bl w:val="nil"/>
            </w:tcBorders>
            <w:vAlign w:val="center"/>
          </w:tcPr>
          <w:p w14:paraId="7DDB98BE">
            <w:pPr>
              <w:tabs>
                <w:tab w:val="left" w:leader="middleDot" w:pos="7371"/>
              </w:tabs>
              <w:jc w:val="center"/>
              <w:rPr>
                <w:rFonts w:hint="eastAsia" w:eastAsia="宋体"/>
                <w:b/>
                <w:bCs/>
                <w:sz w:val="21"/>
                <w:szCs w:val="21"/>
                <w:lang w:val="en-US" w:eastAsia="zh-CN"/>
              </w:rPr>
            </w:pPr>
            <w:r>
              <w:rPr>
                <w:rFonts w:hint="eastAsia"/>
                <w:b/>
                <w:bCs/>
                <w:sz w:val="21"/>
                <w:szCs w:val="21"/>
                <w:lang w:val="en-US" w:eastAsia="zh-CN"/>
              </w:rPr>
              <w:t>排气筒（m）</w:t>
            </w:r>
          </w:p>
        </w:tc>
        <w:tc>
          <w:tcPr>
            <w:tcW w:w="2576" w:type="pct"/>
            <w:tcBorders>
              <w:tl2br w:val="nil"/>
              <w:tr2bl w:val="nil"/>
            </w:tcBorders>
            <w:vAlign w:val="center"/>
          </w:tcPr>
          <w:p w14:paraId="1F8902D3">
            <w:pPr>
              <w:tabs>
                <w:tab w:val="left" w:leader="middleDot" w:pos="7371"/>
              </w:tabs>
              <w:jc w:val="center"/>
              <w:rPr>
                <w:rFonts w:hint="default" w:eastAsia="宋体"/>
                <w:b/>
                <w:bCs/>
                <w:sz w:val="21"/>
                <w:szCs w:val="21"/>
                <w:lang w:val="en-US" w:eastAsia="zh-CN"/>
              </w:rPr>
            </w:pPr>
            <w:r>
              <w:rPr>
                <w:rFonts w:hint="eastAsia"/>
                <w:b/>
                <w:bCs/>
                <w:sz w:val="21"/>
                <w:szCs w:val="21"/>
                <w:lang w:val="en-US" w:eastAsia="zh-CN"/>
              </w:rPr>
              <w:t>二级</w:t>
            </w:r>
          </w:p>
        </w:tc>
      </w:tr>
      <w:tr w14:paraId="16DE3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751" w:type="pct"/>
            <w:vMerge w:val="restart"/>
            <w:tcBorders>
              <w:tl2br w:val="nil"/>
              <w:tr2bl w:val="nil"/>
            </w:tcBorders>
            <w:vAlign w:val="center"/>
          </w:tcPr>
          <w:p w14:paraId="7FA60F22">
            <w:pPr>
              <w:tabs>
                <w:tab w:val="left" w:leader="middleDot" w:pos="7371"/>
              </w:tabs>
              <w:jc w:val="center"/>
              <w:rPr>
                <w:sz w:val="21"/>
                <w:szCs w:val="21"/>
              </w:rPr>
            </w:pPr>
            <w:r>
              <w:rPr>
                <w:sz w:val="21"/>
                <w:szCs w:val="21"/>
              </w:rPr>
              <w:t>颗粒物</w:t>
            </w:r>
          </w:p>
        </w:tc>
        <w:tc>
          <w:tcPr>
            <w:tcW w:w="890" w:type="pct"/>
            <w:vMerge w:val="restart"/>
            <w:tcBorders>
              <w:tl2br w:val="nil"/>
              <w:tr2bl w:val="nil"/>
            </w:tcBorders>
            <w:vAlign w:val="center"/>
          </w:tcPr>
          <w:p w14:paraId="121D7646">
            <w:pPr>
              <w:tabs>
                <w:tab w:val="left" w:leader="middleDot" w:pos="7371"/>
              </w:tabs>
              <w:jc w:val="center"/>
              <w:rPr>
                <w:rFonts w:hint="default" w:eastAsia="宋体"/>
                <w:sz w:val="21"/>
                <w:szCs w:val="21"/>
                <w:lang w:val="en-US" w:eastAsia="zh-CN"/>
              </w:rPr>
            </w:pPr>
            <w:r>
              <w:rPr>
                <w:rFonts w:hint="eastAsia"/>
                <w:sz w:val="21"/>
                <w:szCs w:val="21"/>
                <w:lang w:val="en-US" w:eastAsia="zh-CN"/>
              </w:rPr>
              <w:t>120</w:t>
            </w:r>
          </w:p>
        </w:tc>
        <w:tc>
          <w:tcPr>
            <w:tcW w:w="781" w:type="pct"/>
            <w:tcBorders>
              <w:tl2br w:val="nil"/>
              <w:tr2bl w:val="nil"/>
            </w:tcBorders>
            <w:vAlign w:val="center"/>
          </w:tcPr>
          <w:p w14:paraId="1BA06465">
            <w:pPr>
              <w:tabs>
                <w:tab w:val="left" w:leader="middleDot" w:pos="7371"/>
              </w:tabs>
              <w:jc w:val="center"/>
              <w:rPr>
                <w:rFonts w:hint="default" w:eastAsia="宋体"/>
                <w:sz w:val="21"/>
                <w:szCs w:val="21"/>
                <w:lang w:val="en-US" w:eastAsia="zh-CN"/>
              </w:rPr>
            </w:pPr>
            <w:r>
              <w:rPr>
                <w:rFonts w:hint="eastAsia"/>
                <w:sz w:val="21"/>
                <w:szCs w:val="21"/>
                <w:lang w:val="en-US" w:eastAsia="zh-CN"/>
              </w:rPr>
              <w:t>22.5</w:t>
            </w:r>
          </w:p>
        </w:tc>
        <w:tc>
          <w:tcPr>
            <w:tcW w:w="2576" w:type="pct"/>
            <w:tcBorders>
              <w:tl2br w:val="nil"/>
              <w:tr2bl w:val="nil"/>
            </w:tcBorders>
            <w:vAlign w:val="center"/>
          </w:tcPr>
          <w:p w14:paraId="59B11ED0">
            <w:pPr>
              <w:tabs>
                <w:tab w:val="left" w:leader="middleDot" w:pos="7371"/>
              </w:tabs>
              <w:jc w:val="center"/>
              <w:rPr>
                <w:rFonts w:hint="default" w:eastAsia="宋体"/>
                <w:sz w:val="21"/>
                <w:szCs w:val="21"/>
                <w:lang w:val="en-US" w:eastAsia="zh-CN"/>
              </w:rPr>
            </w:pPr>
            <w:r>
              <w:rPr>
                <w:rFonts w:hint="eastAsia"/>
                <w:sz w:val="21"/>
                <w:szCs w:val="21"/>
                <w:lang w:val="en-US" w:eastAsia="zh-CN"/>
              </w:rPr>
              <w:t>5.09（内插法）</w:t>
            </w:r>
          </w:p>
        </w:tc>
      </w:tr>
      <w:tr w14:paraId="666F6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751" w:type="pct"/>
            <w:vMerge w:val="continue"/>
            <w:tcBorders>
              <w:tl2br w:val="nil"/>
              <w:tr2bl w:val="nil"/>
            </w:tcBorders>
            <w:vAlign w:val="center"/>
          </w:tcPr>
          <w:p w14:paraId="37116EB1">
            <w:pPr>
              <w:tabs>
                <w:tab w:val="left" w:leader="middleDot" w:pos="7371"/>
              </w:tabs>
              <w:jc w:val="center"/>
              <w:rPr>
                <w:sz w:val="21"/>
                <w:szCs w:val="21"/>
              </w:rPr>
            </w:pPr>
          </w:p>
        </w:tc>
        <w:tc>
          <w:tcPr>
            <w:tcW w:w="890" w:type="pct"/>
            <w:vMerge w:val="continue"/>
            <w:tcBorders>
              <w:tl2br w:val="nil"/>
              <w:tr2bl w:val="nil"/>
            </w:tcBorders>
            <w:vAlign w:val="center"/>
          </w:tcPr>
          <w:p w14:paraId="5C910A8D">
            <w:pPr>
              <w:tabs>
                <w:tab w:val="left" w:leader="middleDot" w:pos="7371"/>
              </w:tabs>
              <w:jc w:val="center"/>
              <w:rPr>
                <w:sz w:val="21"/>
                <w:szCs w:val="21"/>
              </w:rPr>
            </w:pPr>
          </w:p>
        </w:tc>
        <w:tc>
          <w:tcPr>
            <w:tcW w:w="781" w:type="pct"/>
            <w:tcBorders>
              <w:tl2br w:val="nil"/>
              <w:tr2bl w:val="nil"/>
            </w:tcBorders>
            <w:vAlign w:val="center"/>
          </w:tcPr>
          <w:p w14:paraId="556271D5">
            <w:pPr>
              <w:tabs>
                <w:tab w:val="left" w:leader="middleDot" w:pos="7371"/>
              </w:tabs>
              <w:jc w:val="center"/>
              <w:rPr>
                <w:rFonts w:hint="default" w:eastAsia="宋体"/>
                <w:sz w:val="21"/>
                <w:szCs w:val="21"/>
                <w:lang w:val="en-US" w:eastAsia="zh-CN"/>
              </w:rPr>
            </w:pPr>
            <w:r>
              <w:rPr>
                <w:rFonts w:hint="eastAsia"/>
                <w:sz w:val="21"/>
                <w:szCs w:val="21"/>
                <w:lang w:val="en-US" w:eastAsia="zh-CN"/>
              </w:rPr>
              <w:t>25</w:t>
            </w:r>
          </w:p>
        </w:tc>
        <w:tc>
          <w:tcPr>
            <w:tcW w:w="2576" w:type="pct"/>
            <w:tcBorders>
              <w:tl2br w:val="nil"/>
              <w:tr2bl w:val="nil"/>
            </w:tcBorders>
            <w:vAlign w:val="center"/>
          </w:tcPr>
          <w:p w14:paraId="43616457">
            <w:pPr>
              <w:tabs>
                <w:tab w:val="left" w:leader="middleDot" w:pos="7371"/>
              </w:tabs>
              <w:jc w:val="center"/>
              <w:rPr>
                <w:rFonts w:hint="default" w:eastAsia="宋体"/>
                <w:sz w:val="21"/>
                <w:szCs w:val="21"/>
                <w:lang w:val="en-US" w:eastAsia="zh-CN"/>
              </w:rPr>
            </w:pPr>
            <w:r>
              <w:rPr>
                <w:rFonts w:hint="eastAsia"/>
                <w:sz w:val="21"/>
                <w:szCs w:val="21"/>
                <w:lang w:val="en-US" w:eastAsia="zh-CN"/>
              </w:rPr>
              <w:t>7.23（内插法）</w:t>
            </w:r>
          </w:p>
        </w:tc>
      </w:tr>
      <w:tr w14:paraId="789D9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9" w:hRule="atLeast"/>
          <w:jc w:val="center"/>
        </w:trPr>
        <w:tc>
          <w:tcPr>
            <w:tcW w:w="751" w:type="pct"/>
            <w:tcBorders>
              <w:tl2br w:val="nil"/>
              <w:tr2bl w:val="nil"/>
            </w:tcBorders>
            <w:vAlign w:val="center"/>
          </w:tcPr>
          <w:p w14:paraId="24FB9D73">
            <w:pPr>
              <w:tabs>
                <w:tab w:val="left" w:leader="middleDot" w:pos="7371"/>
              </w:tabs>
              <w:jc w:val="center"/>
              <w:rPr>
                <w:rFonts w:hint="eastAsia" w:eastAsia="宋体"/>
                <w:sz w:val="21"/>
                <w:szCs w:val="21"/>
                <w:lang w:val="en-US" w:eastAsia="zh-CN"/>
              </w:rPr>
            </w:pPr>
            <w:r>
              <w:rPr>
                <w:rFonts w:hint="eastAsia"/>
                <w:sz w:val="21"/>
                <w:szCs w:val="21"/>
                <w:lang w:val="en-US" w:eastAsia="zh-CN"/>
              </w:rPr>
              <w:t>非甲烷总烃</w:t>
            </w:r>
          </w:p>
        </w:tc>
        <w:tc>
          <w:tcPr>
            <w:tcW w:w="890" w:type="pct"/>
            <w:tcBorders>
              <w:tl2br w:val="nil"/>
              <w:tr2bl w:val="nil"/>
            </w:tcBorders>
            <w:vAlign w:val="center"/>
          </w:tcPr>
          <w:p w14:paraId="397A9185">
            <w:pPr>
              <w:tabs>
                <w:tab w:val="left" w:leader="middleDot" w:pos="7371"/>
              </w:tabs>
              <w:jc w:val="center"/>
              <w:rPr>
                <w:rFonts w:hint="default" w:eastAsia="宋体"/>
                <w:sz w:val="21"/>
                <w:szCs w:val="21"/>
                <w:lang w:val="en-US" w:eastAsia="zh-CN"/>
              </w:rPr>
            </w:pPr>
            <w:r>
              <w:rPr>
                <w:rFonts w:hint="eastAsia"/>
                <w:sz w:val="21"/>
                <w:szCs w:val="21"/>
                <w:lang w:val="en-US" w:eastAsia="zh-CN"/>
              </w:rPr>
              <w:t>120</w:t>
            </w:r>
          </w:p>
        </w:tc>
        <w:tc>
          <w:tcPr>
            <w:tcW w:w="781" w:type="pct"/>
            <w:tcBorders>
              <w:tl2br w:val="nil"/>
              <w:tr2bl w:val="nil"/>
            </w:tcBorders>
            <w:vAlign w:val="center"/>
          </w:tcPr>
          <w:p w14:paraId="35A540FB">
            <w:pPr>
              <w:tabs>
                <w:tab w:val="left" w:leader="middleDot" w:pos="7371"/>
              </w:tabs>
              <w:jc w:val="center"/>
              <w:rPr>
                <w:rFonts w:hint="default" w:eastAsia="宋体"/>
                <w:sz w:val="21"/>
                <w:szCs w:val="21"/>
                <w:lang w:val="en-US" w:eastAsia="zh-CN"/>
              </w:rPr>
            </w:pPr>
            <w:r>
              <w:rPr>
                <w:rFonts w:hint="eastAsia"/>
                <w:sz w:val="21"/>
                <w:szCs w:val="21"/>
                <w:lang w:val="en-US" w:eastAsia="zh-CN"/>
              </w:rPr>
              <w:t>15</w:t>
            </w:r>
          </w:p>
        </w:tc>
        <w:tc>
          <w:tcPr>
            <w:tcW w:w="2576" w:type="pct"/>
            <w:tcBorders>
              <w:tl2br w:val="nil"/>
              <w:tr2bl w:val="nil"/>
            </w:tcBorders>
            <w:vAlign w:val="center"/>
          </w:tcPr>
          <w:p w14:paraId="61BB617A">
            <w:pPr>
              <w:tabs>
                <w:tab w:val="left" w:leader="middleDot" w:pos="7371"/>
              </w:tabs>
              <w:jc w:val="center"/>
              <w:rPr>
                <w:rFonts w:hint="default" w:eastAsia="宋体"/>
                <w:sz w:val="21"/>
                <w:szCs w:val="21"/>
                <w:lang w:val="en-US" w:eastAsia="zh-CN"/>
              </w:rPr>
            </w:pPr>
            <w:r>
              <w:rPr>
                <w:rFonts w:hint="eastAsia"/>
                <w:sz w:val="21"/>
                <w:szCs w:val="21"/>
                <w:lang w:val="en-US" w:eastAsia="zh-CN"/>
              </w:rPr>
              <w:t>5（因15m高排气筒不能满足高出周围200米半径范围的建筑5米以上，应按其高度对应的表列排放速率标准值严格50％执行）</w:t>
            </w:r>
          </w:p>
        </w:tc>
      </w:tr>
    </w:tbl>
    <w:p w14:paraId="5F5A3F2F">
      <w:pPr>
        <w:spacing w:line="360" w:lineRule="auto"/>
        <w:ind w:firstLine="480" w:firstLineChars="200"/>
        <w:rPr>
          <w:sz w:val="21"/>
        </w:rPr>
      </w:pPr>
      <w:r>
        <w:t>氨</w:t>
      </w:r>
      <w:r>
        <w:rPr>
          <w:rFonts w:hint="eastAsia"/>
          <w:lang w:eastAsia="zh-CN"/>
        </w:rPr>
        <w:t>、</w:t>
      </w:r>
      <w:r>
        <w:rPr>
          <w:rFonts w:hint="eastAsia"/>
          <w:lang w:val="en-US" w:eastAsia="zh-CN"/>
        </w:rPr>
        <w:t>硫化氢</w:t>
      </w:r>
      <w:r>
        <w:t>执行《恶臭污染物排放标准》（GB14554-1993）表1</w:t>
      </w:r>
      <w:r>
        <w:rPr>
          <w:rFonts w:hint="eastAsia"/>
          <w:lang w:eastAsia="zh-CN"/>
        </w:rPr>
        <w:t>、</w:t>
      </w:r>
      <w:r>
        <w:rPr>
          <w:rFonts w:hint="eastAsia"/>
          <w:lang w:val="en-US" w:eastAsia="zh-CN"/>
        </w:rPr>
        <w:t>表2</w:t>
      </w:r>
      <w:r>
        <w:t>恶臭污染物厂界标准值要求。</w:t>
      </w:r>
    </w:p>
    <w:p w14:paraId="44639A77">
      <w:pPr>
        <w:spacing w:line="360" w:lineRule="auto"/>
        <w:jc w:val="center"/>
        <w:rPr>
          <w:b/>
        </w:rPr>
      </w:pPr>
      <w:r>
        <w:rPr>
          <w:b/>
        </w:rPr>
        <w:t>表2.3-</w:t>
      </w:r>
      <w:r>
        <w:rPr>
          <w:rFonts w:hint="eastAsia"/>
          <w:b/>
          <w:lang w:val="en-US" w:eastAsia="zh-CN"/>
        </w:rPr>
        <w:t>8</w:t>
      </w:r>
      <w:r>
        <w:rPr>
          <w:b/>
        </w:rPr>
        <w:t xml:space="preserve">  恶臭污染物厂界标准值</w:t>
      </w:r>
    </w:p>
    <w:tbl>
      <w:tblPr>
        <w:tblStyle w:val="53"/>
        <w:tblW w:w="4878" w:type="pct"/>
        <w:tblInd w:w="2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3"/>
        <w:gridCol w:w="3081"/>
        <w:gridCol w:w="3083"/>
      </w:tblGrid>
      <w:tr w14:paraId="49EC1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pct"/>
            <w:tcBorders>
              <w:tl2br w:val="nil"/>
              <w:tr2bl w:val="nil"/>
            </w:tcBorders>
            <w:vAlign w:val="center"/>
          </w:tcPr>
          <w:p w14:paraId="072B92E2">
            <w:pPr>
              <w:jc w:val="center"/>
              <w:rPr>
                <w:b/>
                <w:bCs/>
                <w:sz w:val="21"/>
                <w:szCs w:val="21"/>
              </w:rPr>
            </w:pPr>
            <w:r>
              <w:rPr>
                <w:b/>
                <w:bCs/>
                <w:sz w:val="21"/>
                <w:szCs w:val="21"/>
              </w:rPr>
              <w:t>控制项目</w:t>
            </w:r>
          </w:p>
        </w:tc>
        <w:tc>
          <w:tcPr>
            <w:tcW w:w="1708" w:type="pct"/>
            <w:tcBorders>
              <w:tl2br w:val="nil"/>
              <w:tr2bl w:val="nil"/>
            </w:tcBorders>
            <w:vAlign w:val="center"/>
          </w:tcPr>
          <w:p w14:paraId="5284931A">
            <w:pPr>
              <w:jc w:val="center"/>
              <w:rPr>
                <w:b/>
                <w:bCs/>
                <w:sz w:val="21"/>
                <w:szCs w:val="21"/>
              </w:rPr>
            </w:pPr>
            <w:r>
              <w:rPr>
                <w:b/>
                <w:bCs/>
                <w:sz w:val="21"/>
                <w:szCs w:val="21"/>
              </w:rPr>
              <w:t>二级，新扩改建（mg/m</w:t>
            </w:r>
            <w:r>
              <w:rPr>
                <w:b/>
                <w:bCs/>
                <w:sz w:val="21"/>
                <w:szCs w:val="21"/>
                <w:vertAlign w:val="superscript"/>
              </w:rPr>
              <w:t>3</w:t>
            </w:r>
            <w:r>
              <w:rPr>
                <w:b/>
                <w:bCs/>
                <w:sz w:val="21"/>
                <w:szCs w:val="21"/>
              </w:rPr>
              <w:t>）</w:t>
            </w:r>
          </w:p>
        </w:tc>
        <w:tc>
          <w:tcPr>
            <w:tcW w:w="1709" w:type="pct"/>
            <w:tcBorders>
              <w:tl2br w:val="nil"/>
              <w:tr2bl w:val="nil"/>
            </w:tcBorders>
            <w:vAlign w:val="center"/>
          </w:tcPr>
          <w:p w14:paraId="7ABFF39E">
            <w:pPr>
              <w:jc w:val="center"/>
              <w:rPr>
                <w:b/>
                <w:bCs/>
                <w:sz w:val="21"/>
                <w:szCs w:val="21"/>
              </w:rPr>
            </w:pPr>
            <w:r>
              <w:rPr>
                <w:b/>
                <w:bCs/>
                <w:sz w:val="21"/>
                <w:szCs w:val="21"/>
              </w:rPr>
              <w:t>备注</w:t>
            </w:r>
          </w:p>
        </w:tc>
      </w:tr>
      <w:tr w14:paraId="02A1F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2" w:type="pct"/>
            <w:tcBorders>
              <w:tl2br w:val="nil"/>
              <w:tr2bl w:val="nil"/>
            </w:tcBorders>
            <w:vAlign w:val="center"/>
          </w:tcPr>
          <w:p w14:paraId="47C449AA">
            <w:pPr>
              <w:jc w:val="center"/>
              <w:rPr>
                <w:sz w:val="21"/>
                <w:szCs w:val="21"/>
              </w:rPr>
            </w:pPr>
            <w:r>
              <w:rPr>
                <w:sz w:val="21"/>
                <w:szCs w:val="21"/>
              </w:rPr>
              <w:t>氨</w:t>
            </w:r>
          </w:p>
        </w:tc>
        <w:tc>
          <w:tcPr>
            <w:tcW w:w="1708" w:type="pct"/>
            <w:tcBorders>
              <w:tl2br w:val="nil"/>
              <w:tr2bl w:val="nil"/>
            </w:tcBorders>
            <w:vAlign w:val="center"/>
          </w:tcPr>
          <w:p w14:paraId="557C66B0">
            <w:pPr>
              <w:jc w:val="center"/>
              <w:rPr>
                <w:sz w:val="21"/>
                <w:szCs w:val="21"/>
              </w:rPr>
            </w:pPr>
            <w:r>
              <w:rPr>
                <w:sz w:val="21"/>
                <w:szCs w:val="21"/>
              </w:rPr>
              <w:t>1.5</w:t>
            </w:r>
          </w:p>
        </w:tc>
        <w:tc>
          <w:tcPr>
            <w:tcW w:w="1709" w:type="pct"/>
            <w:vMerge w:val="restart"/>
            <w:tcBorders>
              <w:tl2br w:val="nil"/>
              <w:tr2bl w:val="nil"/>
            </w:tcBorders>
            <w:vAlign w:val="center"/>
          </w:tcPr>
          <w:p w14:paraId="44FE3636">
            <w:pPr>
              <w:jc w:val="center"/>
              <w:rPr>
                <w:sz w:val="21"/>
                <w:szCs w:val="21"/>
              </w:rPr>
            </w:pPr>
            <w:r>
              <w:rPr>
                <w:sz w:val="21"/>
                <w:szCs w:val="21"/>
              </w:rPr>
              <w:t>无组织排放</w:t>
            </w:r>
          </w:p>
        </w:tc>
      </w:tr>
      <w:tr w14:paraId="62DCA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2" w:type="pct"/>
            <w:tcBorders>
              <w:tl2br w:val="nil"/>
              <w:tr2bl w:val="nil"/>
            </w:tcBorders>
            <w:vAlign w:val="center"/>
          </w:tcPr>
          <w:p w14:paraId="06D8B851">
            <w:pPr>
              <w:jc w:val="center"/>
              <w:rPr>
                <w:rFonts w:hint="eastAsia" w:eastAsia="宋体"/>
                <w:sz w:val="21"/>
                <w:szCs w:val="21"/>
                <w:lang w:val="en-US" w:eastAsia="zh-CN"/>
              </w:rPr>
            </w:pPr>
            <w:r>
              <w:rPr>
                <w:rFonts w:hint="eastAsia"/>
                <w:sz w:val="21"/>
                <w:szCs w:val="21"/>
                <w:lang w:val="en-US" w:eastAsia="zh-CN"/>
              </w:rPr>
              <w:t>硫化氢</w:t>
            </w:r>
          </w:p>
        </w:tc>
        <w:tc>
          <w:tcPr>
            <w:tcW w:w="1708" w:type="pct"/>
            <w:tcBorders>
              <w:tl2br w:val="nil"/>
              <w:tr2bl w:val="nil"/>
            </w:tcBorders>
            <w:vAlign w:val="center"/>
          </w:tcPr>
          <w:p w14:paraId="3AC39177">
            <w:pPr>
              <w:jc w:val="center"/>
              <w:rPr>
                <w:rFonts w:hint="default" w:eastAsia="宋体"/>
                <w:sz w:val="21"/>
                <w:szCs w:val="21"/>
                <w:lang w:val="en-US" w:eastAsia="zh-CN"/>
              </w:rPr>
            </w:pPr>
            <w:r>
              <w:rPr>
                <w:rFonts w:hint="eastAsia"/>
                <w:sz w:val="21"/>
                <w:szCs w:val="21"/>
                <w:lang w:val="en-US" w:eastAsia="zh-CN"/>
              </w:rPr>
              <w:t>0.06</w:t>
            </w:r>
          </w:p>
        </w:tc>
        <w:tc>
          <w:tcPr>
            <w:tcW w:w="1709" w:type="pct"/>
            <w:vMerge w:val="continue"/>
            <w:tcBorders>
              <w:tl2br w:val="nil"/>
              <w:tr2bl w:val="nil"/>
            </w:tcBorders>
            <w:vAlign w:val="center"/>
          </w:tcPr>
          <w:p w14:paraId="3868B1A2">
            <w:pPr>
              <w:jc w:val="center"/>
              <w:rPr>
                <w:sz w:val="21"/>
                <w:szCs w:val="21"/>
              </w:rPr>
            </w:pPr>
          </w:p>
        </w:tc>
      </w:tr>
      <w:tr w14:paraId="7284A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2" w:type="pct"/>
            <w:tcBorders>
              <w:tl2br w:val="nil"/>
              <w:tr2bl w:val="nil"/>
            </w:tcBorders>
            <w:vAlign w:val="center"/>
          </w:tcPr>
          <w:p w14:paraId="62AB069D">
            <w:pPr>
              <w:jc w:val="center"/>
              <w:rPr>
                <w:rFonts w:hint="default"/>
                <w:sz w:val="21"/>
                <w:szCs w:val="21"/>
                <w:lang w:val="en-US" w:eastAsia="zh-CN"/>
              </w:rPr>
            </w:pPr>
            <w:r>
              <w:rPr>
                <w:rFonts w:hint="eastAsia"/>
                <w:sz w:val="21"/>
                <w:szCs w:val="21"/>
                <w:lang w:val="en-US" w:eastAsia="zh-CN"/>
              </w:rPr>
              <w:t>臭气浓度</w:t>
            </w:r>
          </w:p>
        </w:tc>
        <w:tc>
          <w:tcPr>
            <w:tcW w:w="1708" w:type="pct"/>
            <w:tcBorders>
              <w:tl2br w:val="nil"/>
              <w:tr2bl w:val="nil"/>
            </w:tcBorders>
            <w:vAlign w:val="center"/>
          </w:tcPr>
          <w:p w14:paraId="624FE1EC">
            <w:pPr>
              <w:jc w:val="center"/>
              <w:rPr>
                <w:rFonts w:hint="default"/>
                <w:sz w:val="21"/>
                <w:szCs w:val="21"/>
                <w:lang w:val="en-US" w:eastAsia="zh-CN"/>
              </w:rPr>
            </w:pPr>
            <w:r>
              <w:rPr>
                <w:rFonts w:hint="eastAsia"/>
                <w:sz w:val="21"/>
                <w:szCs w:val="21"/>
                <w:lang w:val="en-US" w:eastAsia="zh-CN"/>
              </w:rPr>
              <w:t>20（无量纲）</w:t>
            </w:r>
          </w:p>
        </w:tc>
        <w:tc>
          <w:tcPr>
            <w:tcW w:w="1709" w:type="pct"/>
            <w:vMerge w:val="continue"/>
            <w:tcBorders>
              <w:tl2br w:val="nil"/>
              <w:tr2bl w:val="nil"/>
            </w:tcBorders>
            <w:vAlign w:val="center"/>
          </w:tcPr>
          <w:p w14:paraId="3953B923">
            <w:pPr>
              <w:jc w:val="center"/>
              <w:rPr>
                <w:sz w:val="21"/>
                <w:szCs w:val="21"/>
              </w:rPr>
            </w:pPr>
          </w:p>
        </w:tc>
      </w:tr>
    </w:tbl>
    <w:p w14:paraId="29FFAA2C">
      <w:pPr>
        <w:spacing w:line="360" w:lineRule="auto"/>
        <w:jc w:val="center"/>
        <w:rPr>
          <w:b/>
        </w:rPr>
      </w:pPr>
      <w:r>
        <w:rPr>
          <w:b/>
        </w:rPr>
        <w:t>表2.3-</w:t>
      </w:r>
      <w:r>
        <w:rPr>
          <w:rFonts w:hint="eastAsia"/>
          <w:b/>
          <w:lang w:val="en-US" w:eastAsia="zh-CN"/>
        </w:rPr>
        <w:t>9</w:t>
      </w:r>
      <w:r>
        <w:rPr>
          <w:b/>
        </w:rPr>
        <w:t xml:space="preserve">  恶臭污染物</w:t>
      </w:r>
      <w:r>
        <w:rPr>
          <w:rFonts w:hint="eastAsia"/>
          <w:b/>
          <w:lang w:val="en-US" w:eastAsia="zh-CN"/>
        </w:rPr>
        <w:t>15米高排气筒</w:t>
      </w:r>
      <w:r>
        <w:rPr>
          <w:b/>
        </w:rPr>
        <w:t>标准值</w:t>
      </w:r>
    </w:p>
    <w:tbl>
      <w:tblPr>
        <w:tblStyle w:val="53"/>
        <w:tblW w:w="4878" w:type="pct"/>
        <w:tblInd w:w="2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3"/>
        <w:gridCol w:w="3081"/>
        <w:gridCol w:w="3083"/>
      </w:tblGrid>
      <w:tr w14:paraId="4472D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pct"/>
            <w:tcBorders>
              <w:tl2br w:val="nil"/>
              <w:tr2bl w:val="nil"/>
            </w:tcBorders>
            <w:vAlign w:val="center"/>
          </w:tcPr>
          <w:p w14:paraId="5DE24490">
            <w:pPr>
              <w:jc w:val="center"/>
              <w:rPr>
                <w:b/>
                <w:bCs/>
                <w:sz w:val="21"/>
                <w:szCs w:val="21"/>
              </w:rPr>
            </w:pPr>
            <w:r>
              <w:rPr>
                <w:b/>
                <w:bCs/>
                <w:sz w:val="21"/>
                <w:szCs w:val="21"/>
              </w:rPr>
              <w:t>控制项目</w:t>
            </w:r>
          </w:p>
        </w:tc>
        <w:tc>
          <w:tcPr>
            <w:tcW w:w="1708" w:type="pct"/>
            <w:tcBorders>
              <w:tl2br w:val="nil"/>
              <w:tr2bl w:val="nil"/>
            </w:tcBorders>
            <w:vAlign w:val="center"/>
          </w:tcPr>
          <w:p w14:paraId="7B65B4FA">
            <w:pPr>
              <w:jc w:val="both"/>
              <w:rPr>
                <w:b/>
                <w:bCs/>
                <w:sz w:val="21"/>
                <w:szCs w:val="21"/>
              </w:rPr>
            </w:pPr>
            <w:r>
              <w:rPr>
                <w:rFonts w:hint="eastAsia"/>
                <w:b/>
                <w:bCs/>
                <w:sz w:val="21"/>
                <w:szCs w:val="21"/>
                <w:lang w:val="en-US" w:eastAsia="zh-CN"/>
              </w:rPr>
              <w:t>15m高排气筒</w:t>
            </w:r>
            <w:r>
              <w:rPr>
                <w:b/>
                <w:bCs/>
                <w:sz w:val="21"/>
                <w:szCs w:val="21"/>
              </w:rPr>
              <w:t>，</w:t>
            </w:r>
            <w:r>
              <w:rPr>
                <w:rFonts w:hint="default"/>
                <w:b/>
                <w:bCs/>
                <w:sz w:val="21"/>
                <w:szCs w:val="21"/>
              </w:rPr>
              <w:t>排放量（kg/h）</w:t>
            </w:r>
          </w:p>
        </w:tc>
        <w:tc>
          <w:tcPr>
            <w:tcW w:w="1709" w:type="pct"/>
            <w:tcBorders>
              <w:tl2br w:val="nil"/>
              <w:tr2bl w:val="nil"/>
            </w:tcBorders>
            <w:vAlign w:val="center"/>
          </w:tcPr>
          <w:p w14:paraId="0E351700">
            <w:pPr>
              <w:jc w:val="center"/>
              <w:rPr>
                <w:b/>
                <w:bCs/>
                <w:sz w:val="21"/>
                <w:szCs w:val="21"/>
              </w:rPr>
            </w:pPr>
            <w:r>
              <w:rPr>
                <w:b/>
                <w:bCs/>
                <w:sz w:val="21"/>
                <w:szCs w:val="21"/>
              </w:rPr>
              <w:t>备注</w:t>
            </w:r>
          </w:p>
        </w:tc>
      </w:tr>
      <w:tr w14:paraId="7AFC8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2" w:type="pct"/>
            <w:tcBorders>
              <w:tl2br w:val="nil"/>
              <w:tr2bl w:val="nil"/>
            </w:tcBorders>
            <w:vAlign w:val="center"/>
          </w:tcPr>
          <w:p w14:paraId="21E3B43F">
            <w:pPr>
              <w:jc w:val="center"/>
              <w:rPr>
                <w:sz w:val="21"/>
                <w:szCs w:val="21"/>
              </w:rPr>
            </w:pPr>
            <w:r>
              <w:rPr>
                <w:sz w:val="21"/>
                <w:szCs w:val="21"/>
              </w:rPr>
              <w:t>氨</w:t>
            </w:r>
          </w:p>
        </w:tc>
        <w:tc>
          <w:tcPr>
            <w:tcW w:w="1708" w:type="pct"/>
            <w:tcBorders>
              <w:tl2br w:val="nil"/>
              <w:tr2bl w:val="nil"/>
            </w:tcBorders>
            <w:vAlign w:val="center"/>
          </w:tcPr>
          <w:p w14:paraId="348E4963">
            <w:pPr>
              <w:jc w:val="center"/>
              <w:rPr>
                <w:rFonts w:hint="default" w:eastAsia="宋体"/>
                <w:sz w:val="21"/>
                <w:szCs w:val="21"/>
                <w:lang w:val="en-US" w:eastAsia="zh-CN"/>
              </w:rPr>
            </w:pPr>
            <w:r>
              <w:rPr>
                <w:rFonts w:hint="eastAsia"/>
                <w:sz w:val="21"/>
                <w:szCs w:val="21"/>
                <w:lang w:val="en-US" w:eastAsia="zh-CN"/>
              </w:rPr>
              <w:t>4.9</w:t>
            </w:r>
          </w:p>
        </w:tc>
        <w:tc>
          <w:tcPr>
            <w:tcW w:w="1709" w:type="pct"/>
            <w:vMerge w:val="restart"/>
            <w:tcBorders>
              <w:tl2br w:val="nil"/>
              <w:tr2bl w:val="nil"/>
            </w:tcBorders>
            <w:vAlign w:val="center"/>
          </w:tcPr>
          <w:p w14:paraId="2B623EAB">
            <w:pPr>
              <w:jc w:val="center"/>
              <w:rPr>
                <w:sz w:val="21"/>
                <w:szCs w:val="21"/>
              </w:rPr>
            </w:pPr>
            <w:r>
              <w:rPr>
                <w:rFonts w:hint="eastAsia"/>
                <w:sz w:val="21"/>
                <w:szCs w:val="21"/>
                <w:lang w:val="en-US" w:eastAsia="zh-CN"/>
              </w:rPr>
              <w:t>有</w:t>
            </w:r>
            <w:r>
              <w:rPr>
                <w:sz w:val="21"/>
                <w:szCs w:val="21"/>
              </w:rPr>
              <w:t>组织排放</w:t>
            </w:r>
          </w:p>
        </w:tc>
      </w:tr>
      <w:tr w14:paraId="46848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2" w:type="pct"/>
            <w:tcBorders>
              <w:tl2br w:val="nil"/>
              <w:tr2bl w:val="nil"/>
            </w:tcBorders>
            <w:vAlign w:val="center"/>
          </w:tcPr>
          <w:p w14:paraId="1DB1D8F1">
            <w:pPr>
              <w:jc w:val="center"/>
              <w:rPr>
                <w:rFonts w:hint="eastAsia" w:eastAsia="宋体"/>
                <w:sz w:val="21"/>
                <w:szCs w:val="21"/>
                <w:lang w:val="en-US" w:eastAsia="zh-CN"/>
              </w:rPr>
            </w:pPr>
            <w:r>
              <w:rPr>
                <w:rFonts w:hint="eastAsia"/>
                <w:sz w:val="21"/>
                <w:szCs w:val="21"/>
                <w:lang w:val="en-US" w:eastAsia="zh-CN"/>
              </w:rPr>
              <w:t>硫化氢</w:t>
            </w:r>
          </w:p>
        </w:tc>
        <w:tc>
          <w:tcPr>
            <w:tcW w:w="1708" w:type="pct"/>
            <w:tcBorders>
              <w:tl2br w:val="nil"/>
              <w:tr2bl w:val="nil"/>
            </w:tcBorders>
            <w:vAlign w:val="center"/>
          </w:tcPr>
          <w:p w14:paraId="33F704CA">
            <w:pPr>
              <w:jc w:val="center"/>
              <w:rPr>
                <w:rFonts w:hint="default" w:eastAsia="宋体"/>
                <w:sz w:val="21"/>
                <w:szCs w:val="21"/>
                <w:lang w:val="en-US" w:eastAsia="zh-CN"/>
              </w:rPr>
            </w:pPr>
            <w:r>
              <w:rPr>
                <w:rFonts w:hint="eastAsia"/>
                <w:sz w:val="21"/>
                <w:szCs w:val="21"/>
                <w:lang w:val="en-US" w:eastAsia="zh-CN"/>
              </w:rPr>
              <w:t>0.33</w:t>
            </w:r>
          </w:p>
        </w:tc>
        <w:tc>
          <w:tcPr>
            <w:tcW w:w="1709" w:type="pct"/>
            <w:vMerge w:val="continue"/>
            <w:tcBorders>
              <w:tl2br w:val="nil"/>
              <w:tr2bl w:val="nil"/>
            </w:tcBorders>
            <w:vAlign w:val="center"/>
          </w:tcPr>
          <w:p w14:paraId="242527F4">
            <w:pPr>
              <w:jc w:val="center"/>
              <w:rPr>
                <w:sz w:val="21"/>
                <w:szCs w:val="21"/>
              </w:rPr>
            </w:pPr>
          </w:p>
        </w:tc>
      </w:tr>
      <w:tr w14:paraId="1B830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2" w:type="pct"/>
            <w:tcBorders>
              <w:tl2br w:val="nil"/>
              <w:tr2bl w:val="nil"/>
            </w:tcBorders>
            <w:vAlign w:val="center"/>
          </w:tcPr>
          <w:p w14:paraId="5842932B">
            <w:pPr>
              <w:jc w:val="center"/>
              <w:rPr>
                <w:rFonts w:hint="default"/>
                <w:sz w:val="21"/>
                <w:szCs w:val="21"/>
                <w:lang w:val="en-US" w:eastAsia="zh-CN"/>
              </w:rPr>
            </w:pPr>
            <w:r>
              <w:rPr>
                <w:rFonts w:hint="eastAsia"/>
                <w:sz w:val="21"/>
                <w:szCs w:val="21"/>
                <w:lang w:val="en-US" w:eastAsia="zh-CN"/>
              </w:rPr>
              <w:t>臭气浓度</w:t>
            </w:r>
          </w:p>
        </w:tc>
        <w:tc>
          <w:tcPr>
            <w:tcW w:w="1708" w:type="pct"/>
            <w:tcBorders>
              <w:tl2br w:val="nil"/>
              <w:tr2bl w:val="nil"/>
            </w:tcBorders>
            <w:vAlign w:val="center"/>
          </w:tcPr>
          <w:p w14:paraId="7B30C331">
            <w:pPr>
              <w:jc w:val="center"/>
              <w:rPr>
                <w:rFonts w:hint="default"/>
                <w:sz w:val="21"/>
                <w:szCs w:val="21"/>
                <w:lang w:val="en-US" w:eastAsia="zh-CN"/>
              </w:rPr>
            </w:pPr>
            <w:r>
              <w:rPr>
                <w:rFonts w:hint="eastAsia"/>
                <w:sz w:val="21"/>
                <w:szCs w:val="21"/>
                <w:lang w:val="en-US" w:eastAsia="zh-CN"/>
              </w:rPr>
              <w:t>2000（无量纲）</w:t>
            </w:r>
          </w:p>
        </w:tc>
        <w:tc>
          <w:tcPr>
            <w:tcW w:w="1709" w:type="pct"/>
            <w:vMerge w:val="continue"/>
            <w:tcBorders>
              <w:tl2br w:val="nil"/>
              <w:tr2bl w:val="nil"/>
            </w:tcBorders>
            <w:vAlign w:val="center"/>
          </w:tcPr>
          <w:p w14:paraId="17B7EEC3">
            <w:pPr>
              <w:jc w:val="center"/>
              <w:rPr>
                <w:sz w:val="21"/>
                <w:szCs w:val="21"/>
              </w:rPr>
            </w:pPr>
          </w:p>
        </w:tc>
      </w:tr>
    </w:tbl>
    <w:p w14:paraId="22BB13FF">
      <w:pPr>
        <w:numPr>
          <w:ilvl w:val="0"/>
          <w:numId w:val="4"/>
        </w:numPr>
        <w:spacing w:line="360" w:lineRule="auto"/>
        <w:ind w:firstLine="480"/>
        <w:rPr>
          <w:rFonts w:hint="eastAsia"/>
          <w:lang w:val="en-US" w:eastAsia="zh-CN"/>
        </w:rPr>
      </w:pPr>
      <w:r>
        <w:rPr>
          <w:rFonts w:hint="eastAsia"/>
          <w:lang w:val="en-US" w:eastAsia="zh-CN"/>
        </w:rPr>
        <w:t>废水</w:t>
      </w:r>
    </w:p>
    <w:p w14:paraId="10230128">
      <w:pPr>
        <w:spacing w:line="480" w:lineRule="exact"/>
        <w:ind w:firstLine="480" w:firstLineChars="200"/>
        <w:rPr>
          <w:rFonts w:hint="eastAsia"/>
          <w:lang w:val="en-US" w:eastAsia="zh-CN"/>
        </w:rPr>
      </w:pPr>
      <w:r>
        <w:rPr>
          <w:rFonts w:hint="eastAsia"/>
          <w:lang w:val="en-US" w:eastAsia="zh-CN"/>
        </w:rPr>
        <w:t>本项目废水执行</w:t>
      </w:r>
      <w:r>
        <w:rPr>
          <w:rFonts w:hint="eastAsia"/>
        </w:rPr>
        <w:t>《城镇污水处理厂污染物排放标准》（GB18918-2002）一级标准中的A标准</w:t>
      </w:r>
      <w:r>
        <w:rPr>
          <w:rFonts w:hint="eastAsia"/>
          <w:lang w:eastAsia="zh-CN"/>
        </w:rPr>
        <w:t>，</w:t>
      </w:r>
      <w:r>
        <w:rPr>
          <w:rFonts w:hint="eastAsia"/>
          <w:lang w:val="en-US" w:eastAsia="zh-CN"/>
        </w:rPr>
        <w:t>同时</w:t>
      </w:r>
      <w:r>
        <w:rPr>
          <w:rFonts w:hint="default"/>
        </w:rPr>
        <w:t>单位产品基准排水量</w:t>
      </w:r>
      <w:r>
        <w:rPr>
          <w:rFonts w:hint="eastAsia"/>
          <w:lang w:val="en-US" w:eastAsia="zh-CN"/>
        </w:rPr>
        <w:t>执行</w:t>
      </w:r>
      <w:r>
        <w:t>《发酵酒精和白酒工业水污染物排放标准》（GB27631-2011）表2</w:t>
      </w:r>
      <w:r>
        <w:rPr>
          <w:rFonts w:hint="eastAsia"/>
          <w:lang w:val="en-US" w:eastAsia="zh-CN"/>
        </w:rPr>
        <w:t>的要求。</w:t>
      </w:r>
    </w:p>
    <w:p w14:paraId="2DCFEC73">
      <w:pPr>
        <w:ind w:firstLine="2168" w:firstLineChars="900"/>
        <w:rPr>
          <w:rFonts w:hint="eastAsia"/>
          <w:lang w:val="en-US" w:eastAsia="zh-CN"/>
        </w:rPr>
      </w:pPr>
      <w:r>
        <w:rPr>
          <w:b/>
        </w:rPr>
        <w:t>表2.3-</w:t>
      </w:r>
      <w:r>
        <w:rPr>
          <w:rFonts w:hint="eastAsia"/>
          <w:b/>
          <w:lang w:val="en-US" w:eastAsia="zh-CN"/>
        </w:rPr>
        <w:t>10</w:t>
      </w:r>
      <w:r>
        <w:rPr>
          <w:b/>
        </w:rPr>
        <w:t xml:space="preserve">    </w:t>
      </w:r>
      <w:r>
        <w:rPr>
          <w:rFonts w:hint="eastAsia"/>
          <w:b/>
          <w:lang w:eastAsia="zh-CN"/>
        </w:rPr>
        <w:t>本项目</w:t>
      </w:r>
      <w:r>
        <w:rPr>
          <w:rFonts w:hint="eastAsia"/>
          <w:b/>
          <w:lang w:val="en-US" w:eastAsia="zh-CN"/>
        </w:rPr>
        <w:t>废水</w:t>
      </w:r>
      <w:r>
        <w:rPr>
          <w:b/>
        </w:rPr>
        <w:t xml:space="preserve">排放标准        </w:t>
      </w:r>
    </w:p>
    <w:tbl>
      <w:tblPr>
        <w:tblStyle w:val="53"/>
        <w:tblW w:w="88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95"/>
        <w:gridCol w:w="1628"/>
        <w:gridCol w:w="2332"/>
        <w:gridCol w:w="1203"/>
      </w:tblGrid>
      <w:tr w14:paraId="7D44C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Align w:val="center"/>
          </w:tcPr>
          <w:p w14:paraId="46A81CB3">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标准名称及级（类）别</w:t>
            </w:r>
          </w:p>
        </w:tc>
        <w:tc>
          <w:tcPr>
            <w:tcW w:w="1628" w:type="dxa"/>
            <w:vAlign w:val="center"/>
          </w:tcPr>
          <w:p w14:paraId="37BAAB2C">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污染因子</w:t>
            </w:r>
          </w:p>
        </w:tc>
        <w:tc>
          <w:tcPr>
            <w:tcW w:w="2332" w:type="dxa"/>
            <w:vAlign w:val="center"/>
          </w:tcPr>
          <w:p w14:paraId="72F90345">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单位</w:t>
            </w:r>
          </w:p>
        </w:tc>
        <w:tc>
          <w:tcPr>
            <w:tcW w:w="1203" w:type="dxa"/>
            <w:vAlign w:val="center"/>
          </w:tcPr>
          <w:p w14:paraId="00C0D0CA">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数值</w:t>
            </w:r>
          </w:p>
        </w:tc>
      </w:tr>
      <w:tr w14:paraId="1148B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Merge w:val="restart"/>
            <w:vAlign w:val="center"/>
          </w:tcPr>
          <w:p w14:paraId="25926F9C">
            <w:pPr>
              <w:pStyle w:val="262"/>
              <w:autoSpaceDE w:val="0"/>
              <w:autoSpaceDN w:val="0"/>
              <w:spacing w:line="240" w:lineRule="exact"/>
              <w:ind w:left="0" w:leftChars="0" w:firstLine="0" w:firstLineChars="0"/>
              <w:jc w:val="center"/>
              <w:textAlignment w:val="bottom"/>
              <w:rPr>
                <w:rFonts w:ascii="Times New Roman"/>
                <w:sz w:val="21"/>
                <w:szCs w:val="21"/>
              </w:rPr>
            </w:pPr>
            <w:r>
              <w:rPr>
                <w:rFonts w:ascii="Times New Roman"/>
                <w:sz w:val="21"/>
                <w:szCs w:val="21"/>
              </w:rPr>
              <w:t>《城镇污水处理厂污染物排放标准》（GB18918-2002）中一级标准中的A标准</w:t>
            </w:r>
          </w:p>
        </w:tc>
        <w:tc>
          <w:tcPr>
            <w:tcW w:w="1628" w:type="dxa"/>
            <w:vAlign w:val="center"/>
          </w:tcPr>
          <w:p w14:paraId="2DFE7138">
            <w:pPr>
              <w:pStyle w:val="262"/>
              <w:autoSpaceDE w:val="0"/>
              <w:autoSpaceDN w:val="0"/>
              <w:spacing w:line="240" w:lineRule="exact"/>
              <w:ind w:left="0" w:leftChars="0" w:firstLine="0" w:firstLineChars="0"/>
              <w:jc w:val="center"/>
              <w:textAlignment w:val="bottom"/>
              <w:rPr>
                <w:rFonts w:hint="default" w:ascii="Times New Roman" w:hAnsi="宋体" w:eastAsia="宋体" w:cs="Times New Roman"/>
                <w:sz w:val="21"/>
                <w:szCs w:val="21"/>
                <w:lang w:val="en-US" w:eastAsia="zh-CN" w:bidi="ar-SA"/>
              </w:rPr>
            </w:pPr>
            <w:r>
              <w:rPr>
                <w:rFonts w:hint="default" w:ascii="Times New Roman"/>
                <w:sz w:val="21"/>
                <w:szCs w:val="21"/>
              </w:rPr>
              <w:t>pH</w:t>
            </w:r>
          </w:p>
        </w:tc>
        <w:tc>
          <w:tcPr>
            <w:tcW w:w="2332" w:type="dxa"/>
            <w:vAlign w:val="center"/>
          </w:tcPr>
          <w:p w14:paraId="77123A12">
            <w:pPr>
              <w:pStyle w:val="262"/>
              <w:autoSpaceDE w:val="0"/>
              <w:autoSpaceDN w:val="0"/>
              <w:spacing w:line="240" w:lineRule="exact"/>
              <w:ind w:left="0" w:leftChars="0" w:firstLine="0" w:firstLineChars="0"/>
              <w:jc w:val="center"/>
              <w:textAlignment w:val="bottom"/>
              <w:rPr>
                <w:rFonts w:hint="default" w:ascii="Times New Roman" w:hAnsi="宋体" w:eastAsia="宋体" w:cs="Times New Roman"/>
                <w:sz w:val="21"/>
                <w:szCs w:val="21"/>
                <w:lang w:val="en-US" w:eastAsia="zh-CN" w:bidi="ar-SA"/>
              </w:rPr>
            </w:pPr>
            <w:r>
              <w:rPr>
                <w:rFonts w:hint="default" w:ascii="Times New Roman"/>
                <w:sz w:val="21"/>
                <w:szCs w:val="21"/>
              </w:rPr>
              <w:t>/</w:t>
            </w:r>
          </w:p>
        </w:tc>
        <w:tc>
          <w:tcPr>
            <w:tcW w:w="1203" w:type="dxa"/>
            <w:vAlign w:val="center"/>
          </w:tcPr>
          <w:p w14:paraId="5AB5CC8F">
            <w:pPr>
              <w:pStyle w:val="262"/>
              <w:autoSpaceDE w:val="0"/>
              <w:autoSpaceDN w:val="0"/>
              <w:spacing w:line="240" w:lineRule="exact"/>
              <w:ind w:left="0" w:leftChars="0" w:firstLine="0" w:firstLineChars="0"/>
              <w:jc w:val="center"/>
              <w:textAlignment w:val="bottom"/>
              <w:rPr>
                <w:rFonts w:hint="default" w:ascii="Times New Roman" w:hAnsi="宋体" w:eastAsia="宋体" w:cs="Times New Roman"/>
                <w:sz w:val="21"/>
                <w:szCs w:val="21"/>
                <w:lang w:val="en-US" w:eastAsia="zh-CN" w:bidi="ar-SA"/>
              </w:rPr>
            </w:pPr>
            <w:r>
              <w:rPr>
                <w:rFonts w:hint="default" w:ascii="Times New Roman"/>
                <w:sz w:val="21"/>
                <w:szCs w:val="21"/>
              </w:rPr>
              <w:t>6-9</w:t>
            </w:r>
          </w:p>
        </w:tc>
      </w:tr>
      <w:tr w14:paraId="151E8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Merge w:val="continue"/>
            <w:vAlign w:val="center"/>
          </w:tcPr>
          <w:p w14:paraId="2AF50101">
            <w:pPr>
              <w:pStyle w:val="262"/>
              <w:autoSpaceDE w:val="0"/>
              <w:autoSpaceDN w:val="0"/>
              <w:spacing w:line="240" w:lineRule="exact"/>
              <w:jc w:val="center"/>
              <w:textAlignment w:val="bottom"/>
              <w:rPr>
                <w:rFonts w:hint="default" w:ascii="Times New Roman"/>
                <w:sz w:val="21"/>
                <w:szCs w:val="21"/>
              </w:rPr>
            </w:pPr>
          </w:p>
        </w:tc>
        <w:tc>
          <w:tcPr>
            <w:tcW w:w="1628" w:type="dxa"/>
            <w:vAlign w:val="center"/>
          </w:tcPr>
          <w:p w14:paraId="0CE5E7CA">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悬浮物</w:t>
            </w:r>
          </w:p>
        </w:tc>
        <w:tc>
          <w:tcPr>
            <w:tcW w:w="2332" w:type="dxa"/>
            <w:vMerge w:val="restart"/>
            <w:vAlign w:val="center"/>
          </w:tcPr>
          <w:p w14:paraId="738724DB">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mg/L</w:t>
            </w:r>
          </w:p>
        </w:tc>
        <w:tc>
          <w:tcPr>
            <w:tcW w:w="1203" w:type="dxa"/>
            <w:vAlign w:val="center"/>
          </w:tcPr>
          <w:p w14:paraId="38C65E90">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ascii="Times New Roman"/>
                <w:sz w:val="21"/>
                <w:szCs w:val="21"/>
              </w:rPr>
              <w:t>10</w:t>
            </w:r>
          </w:p>
        </w:tc>
      </w:tr>
      <w:tr w14:paraId="65289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Merge w:val="continue"/>
            <w:vAlign w:val="center"/>
          </w:tcPr>
          <w:p w14:paraId="661277A1">
            <w:pPr>
              <w:pStyle w:val="262"/>
              <w:autoSpaceDE w:val="0"/>
              <w:autoSpaceDN w:val="0"/>
              <w:spacing w:line="240" w:lineRule="exact"/>
              <w:jc w:val="center"/>
              <w:textAlignment w:val="bottom"/>
              <w:rPr>
                <w:rFonts w:hint="default" w:ascii="Times New Roman"/>
                <w:sz w:val="21"/>
                <w:szCs w:val="21"/>
              </w:rPr>
            </w:pPr>
          </w:p>
        </w:tc>
        <w:tc>
          <w:tcPr>
            <w:tcW w:w="1628" w:type="dxa"/>
            <w:vAlign w:val="center"/>
          </w:tcPr>
          <w:p w14:paraId="59E36FA9">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BOD</w:t>
            </w:r>
            <w:r>
              <w:rPr>
                <w:rFonts w:hint="default" w:ascii="Times New Roman"/>
                <w:sz w:val="21"/>
                <w:szCs w:val="21"/>
                <w:vertAlign w:val="subscript"/>
              </w:rPr>
              <w:t>5</w:t>
            </w:r>
          </w:p>
        </w:tc>
        <w:tc>
          <w:tcPr>
            <w:tcW w:w="2332" w:type="dxa"/>
            <w:vMerge w:val="continue"/>
            <w:vAlign w:val="center"/>
          </w:tcPr>
          <w:p w14:paraId="5C7878C6">
            <w:pPr>
              <w:pStyle w:val="262"/>
              <w:autoSpaceDE w:val="0"/>
              <w:autoSpaceDN w:val="0"/>
              <w:spacing w:line="240" w:lineRule="exact"/>
              <w:jc w:val="center"/>
              <w:textAlignment w:val="bottom"/>
              <w:rPr>
                <w:rFonts w:hint="default" w:ascii="Times New Roman"/>
                <w:sz w:val="21"/>
                <w:szCs w:val="21"/>
              </w:rPr>
            </w:pPr>
          </w:p>
        </w:tc>
        <w:tc>
          <w:tcPr>
            <w:tcW w:w="1203" w:type="dxa"/>
            <w:vAlign w:val="center"/>
          </w:tcPr>
          <w:p w14:paraId="1970B535">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ascii="Times New Roman"/>
                <w:sz w:val="21"/>
                <w:szCs w:val="21"/>
              </w:rPr>
              <w:t>10</w:t>
            </w:r>
          </w:p>
        </w:tc>
      </w:tr>
      <w:tr w14:paraId="0C592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Merge w:val="continue"/>
            <w:vAlign w:val="center"/>
          </w:tcPr>
          <w:p w14:paraId="4FA482F0">
            <w:pPr>
              <w:pStyle w:val="262"/>
              <w:autoSpaceDE w:val="0"/>
              <w:autoSpaceDN w:val="0"/>
              <w:spacing w:line="240" w:lineRule="exact"/>
              <w:jc w:val="center"/>
              <w:textAlignment w:val="bottom"/>
              <w:rPr>
                <w:rFonts w:hint="default" w:ascii="Times New Roman"/>
                <w:sz w:val="21"/>
                <w:szCs w:val="21"/>
              </w:rPr>
            </w:pPr>
          </w:p>
        </w:tc>
        <w:tc>
          <w:tcPr>
            <w:tcW w:w="1628" w:type="dxa"/>
            <w:vAlign w:val="center"/>
          </w:tcPr>
          <w:p w14:paraId="219E07F2">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COD</w:t>
            </w:r>
          </w:p>
        </w:tc>
        <w:tc>
          <w:tcPr>
            <w:tcW w:w="2332" w:type="dxa"/>
            <w:vMerge w:val="continue"/>
            <w:vAlign w:val="center"/>
          </w:tcPr>
          <w:p w14:paraId="6396E8E8">
            <w:pPr>
              <w:pStyle w:val="262"/>
              <w:autoSpaceDE w:val="0"/>
              <w:autoSpaceDN w:val="0"/>
              <w:spacing w:line="240" w:lineRule="exact"/>
              <w:jc w:val="center"/>
              <w:textAlignment w:val="bottom"/>
              <w:rPr>
                <w:rFonts w:hint="default" w:ascii="Times New Roman"/>
                <w:sz w:val="21"/>
                <w:szCs w:val="21"/>
              </w:rPr>
            </w:pPr>
          </w:p>
        </w:tc>
        <w:tc>
          <w:tcPr>
            <w:tcW w:w="1203" w:type="dxa"/>
            <w:vAlign w:val="center"/>
          </w:tcPr>
          <w:p w14:paraId="28C6FE7A">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ascii="Times New Roman"/>
                <w:sz w:val="21"/>
                <w:szCs w:val="21"/>
              </w:rPr>
              <w:t>50</w:t>
            </w:r>
          </w:p>
        </w:tc>
      </w:tr>
      <w:tr w14:paraId="38181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Merge w:val="continue"/>
            <w:vAlign w:val="center"/>
          </w:tcPr>
          <w:p w14:paraId="3D281544">
            <w:pPr>
              <w:pStyle w:val="262"/>
              <w:autoSpaceDE w:val="0"/>
              <w:autoSpaceDN w:val="0"/>
              <w:spacing w:line="240" w:lineRule="exact"/>
              <w:jc w:val="center"/>
              <w:textAlignment w:val="bottom"/>
              <w:rPr>
                <w:rFonts w:hint="default" w:ascii="Times New Roman"/>
                <w:sz w:val="21"/>
                <w:szCs w:val="21"/>
              </w:rPr>
            </w:pPr>
          </w:p>
        </w:tc>
        <w:tc>
          <w:tcPr>
            <w:tcW w:w="1628" w:type="dxa"/>
            <w:vAlign w:val="center"/>
          </w:tcPr>
          <w:p w14:paraId="32540A1A">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NH</w:t>
            </w:r>
            <w:r>
              <w:rPr>
                <w:rFonts w:hint="default" w:ascii="Times New Roman"/>
                <w:sz w:val="21"/>
                <w:szCs w:val="21"/>
                <w:vertAlign w:val="subscript"/>
              </w:rPr>
              <w:t>3</w:t>
            </w:r>
            <w:r>
              <w:rPr>
                <w:rFonts w:hint="default" w:ascii="Times New Roman"/>
                <w:sz w:val="21"/>
                <w:szCs w:val="21"/>
              </w:rPr>
              <w:t>-N</w:t>
            </w:r>
          </w:p>
        </w:tc>
        <w:tc>
          <w:tcPr>
            <w:tcW w:w="2332" w:type="dxa"/>
            <w:vMerge w:val="continue"/>
            <w:vAlign w:val="center"/>
          </w:tcPr>
          <w:p w14:paraId="5871D9D7">
            <w:pPr>
              <w:pStyle w:val="262"/>
              <w:autoSpaceDE w:val="0"/>
              <w:autoSpaceDN w:val="0"/>
              <w:spacing w:line="240" w:lineRule="exact"/>
              <w:jc w:val="center"/>
              <w:textAlignment w:val="bottom"/>
              <w:rPr>
                <w:rFonts w:hint="default" w:ascii="Times New Roman"/>
                <w:sz w:val="21"/>
                <w:szCs w:val="21"/>
              </w:rPr>
            </w:pPr>
          </w:p>
        </w:tc>
        <w:tc>
          <w:tcPr>
            <w:tcW w:w="1203" w:type="dxa"/>
            <w:vAlign w:val="center"/>
          </w:tcPr>
          <w:p w14:paraId="7668C75D">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ascii="Times New Roman"/>
                <w:sz w:val="21"/>
                <w:szCs w:val="21"/>
              </w:rPr>
              <w:t>5（8）</w:t>
            </w:r>
            <w:r>
              <w:rPr>
                <w:rFonts w:ascii="Times New Roman"/>
                <w:color w:val="000000"/>
                <w:sz w:val="21"/>
                <w:szCs w:val="21"/>
              </w:rPr>
              <w:t>*</w:t>
            </w:r>
            <w:r>
              <w:rPr>
                <w:rFonts w:ascii="Times New Roman"/>
                <w:color w:val="000000"/>
                <w:sz w:val="21"/>
                <w:szCs w:val="21"/>
                <w:vertAlign w:val="superscript"/>
              </w:rPr>
              <w:t>1</w:t>
            </w:r>
          </w:p>
        </w:tc>
      </w:tr>
      <w:tr w14:paraId="3AD16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Merge w:val="continue"/>
            <w:vAlign w:val="center"/>
          </w:tcPr>
          <w:p w14:paraId="1719B62B">
            <w:pPr>
              <w:pStyle w:val="262"/>
              <w:autoSpaceDE w:val="0"/>
              <w:autoSpaceDN w:val="0"/>
              <w:spacing w:line="240" w:lineRule="exact"/>
              <w:jc w:val="center"/>
              <w:textAlignment w:val="bottom"/>
              <w:rPr>
                <w:rFonts w:hint="default" w:ascii="Times New Roman"/>
                <w:sz w:val="21"/>
                <w:szCs w:val="21"/>
              </w:rPr>
            </w:pPr>
          </w:p>
        </w:tc>
        <w:tc>
          <w:tcPr>
            <w:tcW w:w="1628" w:type="dxa"/>
            <w:vAlign w:val="center"/>
          </w:tcPr>
          <w:p w14:paraId="16A17B12">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总氮</w:t>
            </w:r>
          </w:p>
        </w:tc>
        <w:tc>
          <w:tcPr>
            <w:tcW w:w="2332" w:type="dxa"/>
            <w:vMerge w:val="continue"/>
            <w:vAlign w:val="center"/>
          </w:tcPr>
          <w:p w14:paraId="1040211F">
            <w:pPr>
              <w:pStyle w:val="262"/>
              <w:autoSpaceDE w:val="0"/>
              <w:autoSpaceDN w:val="0"/>
              <w:spacing w:line="240" w:lineRule="exact"/>
              <w:jc w:val="center"/>
              <w:textAlignment w:val="bottom"/>
              <w:rPr>
                <w:rFonts w:hint="default" w:ascii="Times New Roman"/>
                <w:sz w:val="21"/>
                <w:szCs w:val="21"/>
              </w:rPr>
            </w:pPr>
          </w:p>
        </w:tc>
        <w:tc>
          <w:tcPr>
            <w:tcW w:w="1203" w:type="dxa"/>
            <w:vAlign w:val="center"/>
          </w:tcPr>
          <w:p w14:paraId="3A283303">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ascii="Times New Roman"/>
                <w:sz w:val="21"/>
                <w:szCs w:val="21"/>
              </w:rPr>
              <w:t>15</w:t>
            </w:r>
          </w:p>
        </w:tc>
      </w:tr>
      <w:tr w14:paraId="774C3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695" w:type="dxa"/>
            <w:vMerge w:val="continue"/>
            <w:vAlign w:val="center"/>
          </w:tcPr>
          <w:p w14:paraId="60D6E1B6">
            <w:pPr>
              <w:pStyle w:val="262"/>
              <w:autoSpaceDE w:val="0"/>
              <w:autoSpaceDN w:val="0"/>
              <w:spacing w:line="240" w:lineRule="exact"/>
              <w:jc w:val="center"/>
              <w:textAlignment w:val="bottom"/>
              <w:rPr>
                <w:rFonts w:hint="default" w:ascii="Times New Roman"/>
                <w:sz w:val="21"/>
                <w:szCs w:val="21"/>
              </w:rPr>
            </w:pPr>
          </w:p>
        </w:tc>
        <w:tc>
          <w:tcPr>
            <w:tcW w:w="1628" w:type="dxa"/>
            <w:vAlign w:val="center"/>
          </w:tcPr>
          <w:p w14:paraId="2D3FC4F2">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总磷</w:t>
            </w:r>
          </w:p>
        </w:tc>
        <w:tc>
          <w:tcPr>
            <w:tcW w:w="2332" w:type="dxa"/>
            <w:vMerge w:val="continue"/>
            <w:vAlign w:val="center"/>
          </w:tcPr>
          <w:p w14:paraId="34C68106">
            <w:pPr>
              <w:pStyle w:val="262"/>
              <w:autoSpaceDE w:val="0"/>
              <w:autoSpaceDN w:val="0"/>
              <w:spacing w:line="240" w:lineRule="exact"/>
              <w:jc w:val="center"/>
              <w:textAlignment w:val="bottom"/>
              <w:rPr>
                <w:rFonts w:hint="default" w:ascii="Times New Roman"/>
                <w:sz w:val="21"/>
                <w:szCs w:val="21"/>
              </w:rPr>
            </w:pPr>
          </w:p>
        </w:tc>
        <w:tc>
          <w:tcPr>
            <w:tcW w:w="1203" w:type="dxa"/>
            <w:vAlign w:val="center"/>
          </w:tcPr>
          <w:p w14:paraId="55E5B63E">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ascii="Times New Roman"/>
                <w:sz w:val="21"/>
                <w:szCs w:val="21"/>
              </w:rPr>
              <w:t>0.5</w:t>
            </w:r>
          </w:p>
        </w:tc>
      </w:tr>
      <w:tr w14:paraId="77559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3695" w:type="dxa"/>
            <w:vAlign w:val="center"/>
          </w:tcPr>
          <w:p w14:paraId="197A762D">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《发酵酒精和白酒工业水污染物排放标准》（GB27631-2011）表2（直接排放）</w:t>
            </w:r>
          </w:p>
        </w:tc>
        <w:tc>
          <w:tcPr>
            <w:tcW w:w="1628" w:type="dxa"/>
            <w:vAlign w:val="center"/>
          </w:tcPr>
          <w:p w14:paraId="10C9539F">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单位产品基准排水量</w:t>
            </w:r>
          </w:p>
        </w:tc>
        <w:tc>
          <w:tcPr>
            <w:tcW w:w="2332" w:type="dxa"/>
            <w:vAlign w:val="center"/>
          </w:tcPr>
          <w:p w14:paraId="19045FDF">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m</w:t>
            </w:r>
            <w:r>
              <w:rPr>
                <w:rFonts w:hint="default" w:ascii="Times New Roman"/>
                <w:sz w:val="21"/>
                <w:szCs w:val="21"/>
                <w:vertAlign w:val="superscript"/>
              </w:rPr>
              <w:t>3</w:t>
            </w:r>
            <w:r>
              <w:rPr>
                <w:rFonts w:hint="default" w:ascii="Times New Roman"/>
                <w:sz w:val="21"/>
                <w:szCs w:val="21"/>
              </w:rPr>
              <w:t>/t</w:t>
            </w:r>
          </w:p>
        </w:tc>
        <w:tc>
          <w:tcPr>
            <w:tcW w:w="1203" w:type="dxa"/>
            <w:vAlign w:val="center"/>
          </w:tcPr>
          <w:p w14:paraId="66ECA112">
            <w:pPr>
              <w:pStyle w:val="262"/>
              <w:autoSpaceDE w:val="0"/>
              <w:autoSpaceDN w:val="0"/>
              <w:spacing w:line="240" w:lineRule="exact"/>
              <w:ind w:left="0" w:leftChars="0" w:firstLine="0" w:firstLineChars="0"/>
              <w:jc w:val="center"/>
              <w:textAlignment w:val="bottom"/>
              <w:rPr>
                <w:rFonts w:hint="default" w:ascii="Times New Roman"/>
                <w:sz w:val="21"/>
                <w:szCs w:val="21"/>
              </w:rPr>
            </w:pPr>
            <w:r>
              <w:rPr>
                <w:rFonts w:hint="default" w:ascii="Times New Roman"/>
                <w:sz w:val="21"/>
                <w:szCs w:val="21"/>
              </w:rPr>
              <w:t>30</w:t>
            </w:r>
          </w:p>
        </w:tc>
      </w:tr>
    </w:tbl>
    <w:p w14:paraId="6ECE6B2C">
      <w:pPr>
        <w:pStyle w:val="42"/>
        <w:spacing w:line="360" w:lineRule="auto"/>
        <w:ind w:left="0" w:leftChars="0" w:firstLine="480" w:firstLineChars="200"/>
        <w:rPr>
          <w:rFonts w:hint="eastAsia"/>
          <w:lang w:val="en-US" w:eastAsia="zh-CN"/>
        </w:rPr>
      </w:pPr>
      <w:r>
        <w:rPr>
          <w:rFonts w:hint="eastAsia"/>
          <w:lang w:val="en-US" w:eastAsia="zh-CN"/>
        </w:rPr>
        <w:t>待拉哈小镇工业园区污水处理厂投入运营后，全厂污水满足拉哈小镇工业园区污水处理厂纳管标准后排入拉哈小镇工业园区污水处理厂。拉哈小镇工业园区污水处理厂纳管标准，</w:t>
      </w:r>
      <w:r>
        <w:t>详见表2.3-</w:t>
      </w:r>
      <w:r>
        <w:rPr>
          <w:rFonts w:hint="eastAsia"/>
          <w:lang w:val="en-US" w:eastAsia="zh-CN"/>
        </w:rPr>
        <w:t>11</w:t>
      </w:r>
      <w:r>
        <w:t>。</w:t>
      </w:r>
    </w:p>
    <w:p w14:paraId="438088D7">
      <w:pPr>
        <w:snapToGrid w:val="0"/>
        <w:spacing w:line="520" w:lineRule="exact"/>
        <w:jc w:val="center"/>
        <w:rPr>
          <w:rFonts w:ascii="Times New Roman" w:hAnsi="Times New Roman" w:eastAsia="宋体" w:cs="Times New Roman"/>
          <w:b/>
          <w:sz w:val="24"/>
          <w:szCs w:val="24"/>
          <w:lang w:val="en-US" w:eastAsia="zh-CN" w:bidi="ar-SA"/>
        </w:rPr>
      </w:pPr>
      <w:r>
        <w:rPr>
          <w:rFonts w:ascii="Times New Roman" w:hAnsi="Times New Roman" w:eastAsia="宋体" w:cs="Times New Roman"/>
          <w:b/>
          <w:sz w:val="24"/>
          <w:szCs w:val="24"/>
          <w:lang w:val="en-US" w:eastAsia="zh-CN" w:bidi="ar-SA"/>
        </w:rPr>
        <w:t>表</w:t>
      </w:r>
      <w:r>
        <w:rPr>
          <w:rFonts w:hint="eastAsia" w:cs="Times New Roman"/>
          <w:b/>
          <w:sz w:val="24"/>
          <w:szCs w:val="24"/>
          <w:lang w:val="en-US" w:eastAsia="zh-CN" w:bidi="ar-SA"/>
        </w:rPr>
        <w:t>2.3-11</w:t>
      </w:r>
      <w:r>
        <w:rPr>
          <w:rFonts w:hint="eastAsia" w:ascii="Times New Roman" w:hAnsi="Times New Roman" w:eastAsia="宋体" w:cs="Times New Roman"/>
          <w:b/>
          <w:sz w:val="24"/>
          <w:szCs w:val="24"/>
          <w:lang w:val="en-US" w:eastAsia="zh-CN" w:bidi="ar-SA"/>
        </w:rPr>
        <w:t xml:space="preserve"> 拉哈小镇工业园区污水处理厂污</w:t>
      </w:r>
      <w:r>
        <w:rPr>
          <w:rFonts w:ascii="Times New Roman" w:hAnsi="Times New Roman" w:eastAsia="宋体" w:cs="Times New Roman"/>
          <w:b/>
          <w:sz w:val="24"/>
          <w:szCs w:val="24"/>
          <w:lang w:val="en-US" w:eastAsia="zh-CN" w:bidi="ar-SA"/>
        </w:rPr>
        <w:t>水进水指标（mg/L）</w:t>
      </w:r>
    </w:p>
    <w:tbl>
      <w:tblPr>
        <w:tblStyle w:val="53"/>
        <w:tblW w:w="45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49"/>
        <w:gridCol w:w="2882"/>
        <w:gridCol w:w="3549"/>
      </w:tblGrid>
      <w:tr w14:paraId="3924E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5FAD0C4E">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序号</w:t>
            </w:r>
          </w:p>
        </w:tc>
        <w:tc>
          <w:tcPr>
            <w:tcW w:w="1699" w:type="pct"/>
            <w:vAlign w:val="center"/>
          </w:tcPr>
          <w:p w14:paraId="4A93B0C2">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因子</w:t>
            </w:r>
          </w:p>
        </w:tc>
        <w:tc>
          <w:tcPr>
            <w:tcW w:w="2092" w:type="pct"/>
            <w:vAlign w:val="center"/>
          </w:tcPr>
          <w:p w14:paraId="3EF41214">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排放限值（mg/L）</w:t>
            </w:r>
          </w:p>
        </w:tc>
      </w:tr>
      <w:tr w14:paraId="17554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215F5FDB">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w:t>
            </w:r>
          </w:p>
        </w:tc>
        <w:tc>
          <w:tcPr>
            <w:tcW w:w="1699" w:type="pct"/>
            <w:vAlign w:val="center"/>
          </w:tcPr>
          <w:p w14:paraId="25E725E7">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COD</w:t>
            </w:r>
          </w:p>
        </w:tc>
        <w:tc>
          <w:tcPr>
            <w:tcW w:w="2092" w:type="pct"/>
            <w:vAlign w:val="center"/>
          </w:tcPr>
          <w:p w14:paraId="7C71AC7F">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≤300</w:t>
            </w:r>
          </w:p>
        </w:tc>
      </w:tr>
      <w:tr w14:paraId="6F064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4F5273A7">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w:t>
            </w:r>
          </w:p>
        </w:tc>
        <w:tc>
          <w:tcPr>
            <w:tcW w:w="1699" w:type="pct"/>
            <w:vAlign w:val="center"/>
          </w:tcPr>
          <w:p w14:paraId="50FA71B8">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BOD</w:t>
            </w:r>
            <w:r>
              <w:rPr>
                <w:rFonts w:hint="default" w:ascii="Times New Roman" w:hAnsi="Times New Roman" w:eastAsia="宋体" w:cs="Times New Roman"/>
                <w:color w:val="auto"/>
                <w:spacing w:val="0"/>
                <w:sz w:val="21"/>
                <w:szCs w:val="21"/>
                <w:vertAlign w:val="subscript"/>
              </w:rPr>
              <w:t>5</w:t>
            </w:r>
          </w:p>
        </w:tc>
        <w:tc>
          <w:tcPr>
            <w:tcW w:w="2092" w:type="pct"/>
            <w:vAlign w:val="center"/>
          </w:tcPr>
          <w:p w14:paraId="2EB0D271">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≤250</w:t>
            </w:r>
          </w:p>
        </w:tc>
      </w:tr>
      <w:tr w14:paraId="2455A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406CC5B5">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w:t>
            </w:r>
          </w:p>
        </w:tc>
        <w:tc>
          <w:tcPr>
            <w:tcW w:w="1699" w:type="pct"/>
            <w:vAlign w:val="center"/>
          </w:tcPr>
          <w:p w14:paraId="54CF59D2">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SS</w:t>
            </w:r>
          </w:p>
        </w:tc>
        <w:tc>
          <w:tcPr>
            <w:tcW w:w="2092" w:type="pct"/>
            <w:vAlign w:val="center"/>
          </w:tcPr>
          <w:p w14:paraId="199031FC">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≤300</w:t>
            </w:r>
          </w:p>
        </w:tc>
      </w:tr>
      <w:tr w14:paraId="02596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7E31A616">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4</w:t>
            </w:r>
          </w:p>
        </w:tc>
        <w:tc>
          <w:tcPr>
            <w:tcW w:w="1699" w:type="pct"/>
            <w:vAlign w:val="center"/>
          </w:tcPr>
          <w:p w14:paraId="429EB665">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NH</w:t>
            </w:r>
            <w:r>
              <w:rPr>
                <w:rFonts w:hint="default" w:ascii="Times New Roman" w:hAnsi="Times New Roman" w:eastAsia="宋体" w:cs="Times New Roman"/>
                <w:color w:val="auto"/>
                <w:spacing w:val="0"/>
                <w:sz w:val="21"/>
                <w:szCs w:val="21"/>
                <w:vertAlign w:val="subscript"/>
              </w:rPr>
              <w:t>3</w:t>
            </w:r>
            <w:r>
              <w:rPr>
                <w:rFonts w:hint="default" w:ascii="Times New Roman" w:hAnsi="Times New Roman" w:eastAsia="宋体" w:cs="Times New Roman"/>
                <w:color w:val="auto"/>
                <w:spacing w:val="0"/>
                <w:sz w:val="21"/>
                <w:szCs w:val="21"/>
              </w:rPr>
              <w:t>-N</w:t>
            </w:r>
          </w:p>
        </w:tc>
        <w:tc>
          <w:tcPr>
            <w:tcW w:w="2092" w:type="pct"/>
            <w:vAlign w:val="center"/>
          </w:tcPr>
          <w:p w14:paraId="03687E8B">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≤30</w:t>
            </w:r>
          </w:p>
        </w:tc>
      </w:tr>
      <w:tr w14:paraId="64675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6742F021">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5</w:t>
            </w:r>
          </w:p>
        </w:tc>
        <w:tc>
          <w:tcPr>
            <w:tcW w:w="1699" w:type="pct"/>
            <w:vAlign w:val="center"/>
          </w:tcPr>
          <w:p w14:paraId="44335F40">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TN</w:t>
            </w:r>
          </w:p>
        </w:tc>
        <w:tc>
          <w:tcPr>
            <w:tcW w:w="2092" w:type="pct"/>
            <w:vAlign w:val="center"/>
          </w:tcPr>
          <w:p w14:paraId="350D9BE9">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≤100</w:t>
            </w:r>
          </w:p>
        </w:tc>
      </w:tr>
      <w:tr w14:paraId="75A8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7DE799C5">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6</w:t>
            </w:r>
          </w:p>
        </w:tc>
        <w:tc>
          <w:tcPr>
            <w:tcW w:w="1699" w:type="pct"/>
            <w:vAlign w:val="center"/>
          </w:tcPr>
          <w:p w14:paraId="542360F8">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TP</w:t>
            </w:r>
          </w:p>
        </w:tc>
        <w:tc>
          <w:tcPr>
            <w:tcW w:w="2092" w:type="pct"/>
            <w:vAlign w:val="center"/>
          </w:tcPr>
          <w:p w14:paraId="38AEBE2A">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≤1.0</w:t>
            </w:r>
          </w:p>
        </w:tc>
      </w:tr>
      <w:tr w14:paraId="4BCBE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55946423">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7</w:t>
            </w:r>
          </w:p>
        </w:tc>
        <w:tc>
          <w:tcPr>
            <w:tcW w:w="1699" w:type="pct"/>
            <w:vAlign w:val="center"/>
          </w:tcPr>
          <w:p w14:paraId="4F0091AE">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TDS</w:t>
            </w:r>
          </w:p>
        </w:tc>
        <w:tc>
          <w:tcPr>
            <w:tcW w:w="2092" w:type="pct"/>
            <w:vAlign w:val="center"/>
          </w:tcPr>
          <w:p w14:paraId="47CC50E9">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≤5000</w:t>
            </w:r>
          </w:p>
        </w:tc>
      </w:tr>
      <w:tr w14:paraId="499DC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1208" w:type="pct"/>
            <w:vAlign w:val="center"/>
          </w:tcPr>
          <w:p w14:paraId="1A699922">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8</w:t>
            </w:r>
          </w:p>
        </w:tc>
        <w:tc>
          <w:tcPr>
            <w:tcW w:w="1699" w:type="pct"/>
            <w:vAlign w:val="center"/>
          </w:tcPr>
          <w:p w14:paraId="31C096AB">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硫酸盐</w:t>
            </w:r>
          </w:p>
        </w:tc>
        <w:tc>
          <w:tcPr>
            <w:tcW w:w="2092" w:type="pct"/>
            <w:vAlign w:val="center"/>
          </w:tcPr>
          <w:p w14:paraId="69FCF656">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≤1400</w:t>
            </w:r>
          </w:p>
        </w:tc>
      </w:tr>
      <w:tr w14:paraId="2B330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08" w:type="pct"/>
            <w:vAlign w:val="center"/>
          </w:tcPr>
          <w:p w14:paraId="6CAE4767">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9</w:t>
            </w:r>
          </w:p>
        </w:tc>
        <w:tc>
          <w:tcPr>
            <w:tcW w:w="1699" w:type="pct"/>
            <w:vAlign w:val="center"/>
          </w:tcPr>
          <w:p w14:paraId="4185F81E">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氯化物</w:t>
            </w:r>
          </w:p>
        </w:tc>
        <w:tc>
          <w:tcPr>
            <w:tcW w:w="2092" w:type="pct"/>
            <w:vAlign w:val="center"/>
          </w:tcPr>
          <w:p w14:paraId="10E7069A">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≤1800</w:t>
            </w:r>
          </w:p>
        </w:tc>
      </w:tr>
    </w:tbl>
    <w:p w14:paraId="058B3ADD">
      <w:pPr>
        <w:numPr>
          <w:ilvl w:val="0"/>
          <w:numId w:val="0"/>
        </w:numPr>
        <w:spacing w:line="360" w:lineRule="auto"/>
        <w:ind w:firstLine="480" w:firstLineChars="200"/>
      </w:pPr>
      <w:r>
        <w:t>（3）噪声</w:t>
      </w:r>
    </w:p>
    <w:p w14:paraId="38A44ED4">
      <w:pPr>
        <w:spacing w:line="360" w:lineRule="auto"/>
        <w:ind w:firstLine="480"/>
      </w:pPr>
      <w:r>
        <w:rPr>
          <w:rFonts w:hint="eastAsia"/>
          <w:lang w:eastAsia="zh-CN"/>
        </w:rPr>
        <w:t>本项目</w:t>
      </w:r>
      <w:r>
        <w:rPr>
          <w:rFonts w:hint="eastAsia"/>
          <w:lang w:val="en-US" w:eastAsia="zh-CN"/>
        </w:rPr>
        <w:t>施工</w:t>
      </w:r>
      <w:r>
        <w:t>期项目厂界噪声执行</w:t>
      </w:r>
      <w:r>
        <w:rPr>
          <w:rFonts w:hint="eastAsia"/>
          <w:lang w:eastAsia="zh-CN"/>
        </w:rPr>
        <w:t>《建筑施工场界环境噪声排放标准》（GB12523-2011）</w:t>
      </w:r>
      <w:r>
        <w:t>中的标准，详见表2.3-</w:t>
      </w:r>
      <w:r>
        <w:rPr>
          <w:rFonts w:hint="eastAsia"/>
          <w:lang w:val="en-US" w:eastAsia="zh-CN"/>
        </w:rPr>
        <w:t>12</w:t>
      </w:r>
      <w:r>
        <w:t>。</w:t>
      </w:r>
    </w:p>
    <w:p w14:paraId="55833D73">
      <w:pPr>
        <w:pStyle w:val="42"/>
        <w:ind w:left="480" w:firstLine="241" w:firstLineChars="100"/>
      </w:pPr>
      <w:r>
        <w:rPr>
          <w:b/>
        </w:rPr>
        <w:t xml:space="preserve">     表2.3-</w:t>
      </w:r>
      <w:r>
        <w:rPr>
          <w:rFonts w:hint="eastAsia"/>
          <w:b/>
          <w:lang w:val="en-US" w:eastAsia="zh-CN"/>
        </w:rPr>
        <w:t>12</w:t>
      </w:r>
      <w:r>
        <w:rPr>
          <w:b/>
        </w:rPr>
        <w:t xml:space="preserve">    </w:t>
      </w:r>
      <w:r>
        <w:rPr>
          <w:rFonts w:hint="eastAsia"/>
          <w:b/>
          <w:lang w:eastAsia="zh-CN"/>
        </w:rPr>
        <w:t>本项目</w:t>
      </w:r>
      <w:r>
        <w:rPr>
          <w:rFonts w:hint="eastAsia"/>
          <w:b/>
          <w:lang w:val="en-US" w:eastAsia="zh-CN"/>
        </w:rPr>
        <w:t>施工期</w:t>
      </w:r>
      <w:r>
        <w:rPr>
          <w:b/>
        </w:rPr>
        <w:t>噪声排放标准          单位：dB(A)</w:t>
      </w:r>
    </w:p>
    <w:tbl>
      <w:tblPr>
        <w:tblStyle w:val="53"/>
        <w:tblW w:w="9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1"/>
        <w:gridCol w:w="1215"/>
        <w:gridCol w:w="980"/>
        <w:gridCol w:w="5612"/>
      </w:tblGrid>
      <w:tr w14:paraId="1E407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431" w:type="dxa"/>
            <w:tcBorders>
              <w:tl2br w:val="nil"/>
              <w:tr2bl w:val="nil"/>
            </w:tcBorders>
            <w:vAlign w:val="center"/>
          </w:tcPr>
          <w:p w14:paraId="291D2A21">
            <w:pPr>
              <w:jc w:val="center"/>
              <w:rPr>
                <w:b/>
                <w:bCs/>
                <w:sz w:val="21"/>
                <w:szCs w:val="21"/>
              </w:rPr>
            </w:pPr>
            <w:r>
              <w:rPr>
                <w:b/>
                <w:bCs/>
                <w:sz w:val="21"/>
                <w:szCs w:val="21"/>
              </w:rPr>
              <w:t>类别</w:t>
            </w:r>
          </w:p>
        </w:tc>
        <w:tc>
          <w:tcPr>
            <w:tcW w:w="1215" w:type="dxa"/>
            <w:tcBorders>
              <w:tl2br w:val="nil"/>
              <w:tr2bl w:val="nil"/>
            </w:tcBorders>
            <w:vAlign w:val="center"/>
          </w:tcPr>
          <w:p w14:paraId="6B2C8300">
            <w:pPr>
              <w:jc w:val="center"/>
              <w:rPr>
                <w:b/>
                <w:bCs/>
                <w:sz w:val="21"/>
                <w:szCs w:val="21"/>
              </w:rPr>
            </w:pPr>
            <w:r>
              <w:rPr>
                <w:b/>
                <w:bCs/>
                <w:sz w:val="21"/>
                <w:szCs w:val="21"/>
              </w:rPr>
              <w:t>昼间</w:t>
            </w:r>
          </w:p>
        </w:tc>
        <w:tc>
          <w:tcPr>
            <w:tcW w:w="980" w:type="dxa"/>
            <w:tcBorders>
              <w:tl2br w:val="nil"/>
              <w:tr2bl w:val="nil"/>
            </w:tcBorders>
            <w:vAlign w:val="center"/>
          </w:tcPr>
          <w:p w14:paraId="52947F6C">
            <w:pPr>
              <w:jc w:val="center"/>
              <w:rPr>
                <w:b/>
                <w:bCs/>
                <w:sz w:val="21"/>
                <w:szCs w:val="21"/>
              </w:rPr>
            </w:pPr>
            <w:r>
              <w:rPr>
                <w:b/>
                <w:bCs/>
                <w:sz w:val="21"/>
                <w:szCs w:val="21"/>
              </w:rPr>
              <w:t>夜间</w:t>
            </w:r>
          </w:p>
        </w:tc>
        <w:tc>
          <w:tcPr>
            <w:tcW w:w="5612" w:type="dxa"/>
            <w:tcBorders>
              <w:tl2br w:val="nil"/>
              <w:tr2bl w:val="nil"/>
            </w:tcBorders>
            <w:vAlign w:val="center"/>
          </w:tcPr>
          <w:p w14:paraId="73DA4466">
            <w:pPr>
              <w:jc w:val="center"/>
              <w:rPr>
                <w:b/>
                <w:bCs/>
                <w:sz w:val="21"/>
                <w:szCs w:val="21"/>
              </w:rPr>
            </w:pPr>
            <w:r>
              <w:rPr>
                <w:b/>
                <w:bCs/>
                <w:sz w:val="21"/>
                <w:szCs w:val="21"/>
              </w:rPr>
              <w:t>标准来源</w:t>
            </w:r>
          </w:p>
        </w:tc>
      </w:tr>
      <w:tr w14:paraId="127E5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31" w:type="dxa"/>
            <w:tcBorders>
              <w:tl2br w:val="nil"/>
              <w:tr2bl w:val="nil"/>
            </w:tcBorders>
            <w:vAlign w:val="center"/>
          </w:tcPr>
          <w:p w14:paraId="4596D2CB">
            <w:pPr>
              <w:jc w:val="center"/>
              <w:rPr>
                <w:rFonts w:hint="eastAsia" w:eastAsia="宋体"/>
                <w:sz w:val="21"/>
                <w:szCs w:val="21"/>
                <w:lang w:eastAsia="zh-CN"/>
              </w:rPr>
            </w:pPr>
            <w:r>
              <w:rPr>
                <w:rFonts w:hint="eastAsia"/>
                <w:sz w:val="21"/>
                <w:szCs w:val="21"/>
                <w:lang w:val="en-US" w:eastAsia="zh-CN"/>
              </w:rPr>
              <w:t>施工期</w:t>
            </w:r>
          </w:p>
        </w:tc>
        <w:tc>
          <w:tcPr>
            <w:tcW w:w="1215" w:type="dxa"/>
            <w:tcBorders>
              <w:tl2br w:val="nil"/>
              <w:tr2bl w:val="nil"/>
            </w:tcBorders>
            <w:vAlign w:val="center"/>
          </w:tcPr>
          <w:p w14:paraId="154F0723">
            <w:pPr>
              <w:jc w:val="center"/>
              <w:rPr>
                <w:rFonts w:hint="default" w:eastAsia="宋体"/>
                <w:sz w:val="21"/>
                <w:szCs w:val="21"/>
                <w:lang w:val="en-US" w:eastAsia="zh-CN"/>
              </w:rPr>
            </w:pPr>
            <w:r>
              <w:rPr>
                <w:rFonts w:hint="eastAsia"/>
                <w:sz w:val="21"/>
                <w:szCs w:val="21"/>
                <w:lang w:val="en-US" w:eastAsia="zh-CN"/>
              </w:rPr>
              <w:t>70</w:t>
            </w:r>
          </w:p>
        </w:tc>
        <w:tc>
          <w:tcPr>
            <w:tcW w:w="980" w:type="dxa"/>
            <w:tcBorders>
              <w:tl2br w:val="nil"/>
              <w:tr2bl w:val="nil"/>
            </w:tcBorders>
            <w:vAlign w:val="center"/>
          </w:tcPr>
          <w:p w14:paraId="41031F12">
            <w:pPr>
              <w:jc w:val="center"/>
              <w:rPr>
                <w:rFonts w:hint="eastAsia" w:eastAsia="宋体"/>
                <w:sz w:val="21"/>
                <w:szCs w:val="21"/>
                <w:lang w:eastAsia="zh-CN"/>
              </w:rPr>
            </w:pPr>
            <w:r>
              <w:rPr>
                <w:sz w:val="21"/>
                <w:szCs w:val="21"/>
              </w:rPr>
              <w:t>5</w:t>
            </w:r>
            <w:r>
              <w:rPr>
                <w:rFonts w:hint="eastAsia"/>
                <w:sz w:val="21"/>
                <w:szCs w:val="21"/>
                <w:lang w:val="en-US" w:eastAsia="zh-CN"/>
              </w:rPr>
              <w:t>5</w:t>
            </w:r>
          </w:p>
        </w:tc>
        <w:tc>
          <w:tcPr>
            <w:tcW w:w="5612" w:type="dxa"/>
            <w:tcBorders>
              <w:tl2br w:val="nil"/>
              <w:tr2bl w:val="nil"/>
            </w:tcBorders>
            <w:vAlign w:val="center"/>
          </w:tcPr>
          <w:p w14:paraId="2F9F0FC6">
            <w:pPr>
              <w:jc w:val="center"/>
              <w:rPr>
                <w:rFonts w:hint="eastAsia" w:eastAsia="宋体"/>
                <w:sz w:val="21"/>
                <w:szCs w:val="21"/>
                <w:lang w:eastAsia="zh-CN"/>
              </w:rPr>
            </w:pPr>
            <w:r>
              <w:rPr>
                <w:rFonts w:hint="eastAsia"/>
                <w:sz w:val="21"/>
                <w:szCs w:val="21"/>
                <w:lang w:eastAsia="zh-CN"/>
              </w:rPr>
              <w:t>《建筑施工场界环境噪声排放标准》（GB12523-2011）</w:t>
            </w:r>
          </w:p>
        </w:tc>
      </w:tr>
    </w:tbl>
    <w:p w14:paraId="57E5FD5C">
      <w:pPr>
        <w:spacing w:line="360" w:lineRule="auto"/>
        <w:ind w:firstLine="480"/>
      </w:pPr>
      <w:r>
        <w:rPr>
          <w:rFonts w:hint="eastAsia"/>
          <w:lang w:eastAsia="zh-CN"/>
        </w:rPr>
        <w:t>本项目</w:t>
      </w:r>
      <w:r>
        <w:t>运行期项目厂界噪声执行《工业企业厂界环境噪声排放标准》（GB12348-2008）中的</w:t>
      </w:r>
      <w:r>
        <w:rPr>
          <w:rFonts w:hint="eastAsia"/>
          <w:lang w:eastAsia="zh-CN"/>
        </w:rPr>
        <w:t>3类</w:t>
      </w:r>
      <w:r>
        <w:t>标准，详见表2.3-1</w:t>
      </w:r>
      <w:r>
        <w:rPr>
          <w:rFonts w:hint="eastAsia"/>
          <w:lang w:val="en-US" w:eastAsia="zh-CN"/>
        </w:rPr>
        <w:t>3</w:t>
      </w:r>
      <w:r>
        <w:t>。</w:t>
      </w:r>
    </w:p>
    <w:p w14:paraId="7EA86781">
      <w:pPr>
        <w:pStyle w:val="42"/>
        <w:ind w:left="480" w:firstLine="241" w:firstLineChars="100"/>
      </w:pPr>
      <w:r>
        <w:rPr>
          <w:b/>
        </w:rPr>
        <w:t xml:space="preserve">      表2.3-1</w:t>
      </w:r>
      <w:r>
        <w:rPr>
          <w:rFonts w:hint="eastAsia"/>
          <w:b/>
          <w:lang w:val="en-US" w:eastAsia="zh-CN"/>
        </w:rPr>
        <w:t>3</w:t>
      </w:r>
      <w:r>
        <w:rPr>
          <w:b/>
        </w:rPr>
        <w:t xml:space="preserve">    </w:t>
      </w:r>
      <w:r>
        <w:rPr>
          <w:rFonts w:hint="eastAsia"/>
          <w:b/>
          <w:lang w:eastAsia="zh-CN"/>
        </w:rPr>
        <w:t>本项目</w:t>
      </w:r>
      <w:r>
        <w:rPr>
          <w:b/>
        </w:rPr>
        <w:t>噪声排放标准          单位：dB(A)</w:t>
      </w:r>
    </w:p>
    <w:tbl>
      <w:tblPr>
        <w:tblStyle w:val="53"/>
        <w:tblW w:w="9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6"/>
        <w:gridCol w:w="1236"/>
        <w:gridCol w:w="996"/>
        <w:gridCol w:w="5710"/>
      </w:tblGrid>
      <w:tr w14:paraId="64C90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456" w:type="dxa"/>
            <w:tcBorders>
              <w:tl2br w:val="nil"/>
              <w:tr2bl w:val="nil"/>
            </w:tcBorders>
            <w:vAlign w:val="center"/>
          </w:tcPr>
          <w:p w14:paraId="6732DE49">
            <w:pPr>
              <w:jc w:val="center"/>
              <w:rPr>
                <w:b/>
                <w:bCs/>
                <w:sz w:val="21"/>
                <w:szCs w:val="21"/>
              </w:rPr>
            </w:pPr>
            <w:r>
              <w:rPr>
                <w:b/>
                <w:bCs/>
                <w:sz w:val="21"/>
                <w:szCs w:val="21"/>
              </w:rPr>
              <w:t>类别</w:t>
            </w:r>
          </w:p>
        </w:tc>
        <w:tc>
          <w:tcPr>
            <w:tcW w:w="1236" w:type="dxa"/>
            <w:tcBorders>
              <w:tl2br w:val="nil"/>
              <w:tr2bl w:val="nil"/>
            </w:tcBorders>
            <w:vAlign w:val="center"/>
          </w:tcPr>
          <w:p w14:paraId="28831607">
            <w:pPr>
              <w:jc w:val="center"/>
              <w:rPr>
                <w:b/>
                <w:bCs/>
                <w:sz w:val="21"/>
                <w:szCs w:val="21"/>
              </w:rPr>
            </w:pPr>
            <w:r>
              <w:rPr>
                <w:b/>
                <w:bCs/>
                <w:sz w:val="21"/>
                <w:szCs w:val="21"/>
              </w:rPr>
              <w:t>昼间</w:t>
            </w:r>
          </w:p>
        </w:tc>
        <w:tc>
          <w:tcPr>
            <w:tcW w:w="996" w:type="dxa"/>
            <w:tcBorders>
              <w:tl2br w:val="nil"/>
              <w:tr2bl w:val="nil"/>
            </w:tcBorders>
            <w:vAlign w:val="center"/>
          </w:tcPr>
          <w:p w14:paraId="0DBDEA03">
            <w:pPr>
              <w:jc w:val="center"/>
              <w:rPr>
                <w:b/>
                <w:bCs/>
                <w:sz w:val="21"/>
                <w:szCs w:val="21"/>
              </w:rPr>
            </w:pPr>
            <w:r>
              <w:rPr>
                <w:b/>
                <w:bCs/>
                <w:sz w:val="21"/>
                <w:szCs w:val="21"/>
              </w:rPr>
              <w:t>夜间</w:t>
            </w:r>
          </w:p>
        </w:tc>
        <w:tc>
          <w:tcPr>
            <w:tcW w:w="5710" w:type="dxa"/>
            <w:tcBorders>
              <w:tl2br w:val="nil"/>
              <w:tr2bl w:val="nil"/>
            </w:tcBorders>
            <w:vAlign w:val="center"/>
          </w:tcPr>
          <w:p w14:paraId="05EEDCF9">
            <w:pPr>
              <w:jc w:val="center"/>
              <w:rPr>
                <w:b/>
                <w:bCs/>
                <w:sz w:val="21"/>
                <w:szCs w:val="21"/>
              </w:rPr>
            </w:pPr>
            <w:r>
              <w:rPr>
                <w:b/>
                <w:bCs/>
                <w:sz w:val="21"/>
                <w:szCs w:val="21"/>
              </w:rPr>
              <w:t>标准来源</w:t>
            </w:r>
          </w:p>
        </w:tc>
      </w:tr>
      <w:tr w14:paraId="271E2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1456" w:type="dxa"/>
            <w:tcBorders>
              <w:tl2br w:val="nil"/>
              <w:tr2bl w:val="nil"/>
            </w:tcBorders>
            <w:vAlign w:val="center"/>
          </w:tcPr>
          <w:p w14:paraId="4CD46E19">
            <w:pPr>
              <w:jc w:val="center"/>
              <w:rPr>
                <w:rFonts w:hint="eastAsia" w:eastAsia="宋体"/>
                <w:sz w:val="21"/>
                <w:szCs w:val="21"/>
                <w:lang w:eastAsia="zh-CN"/>
              </w:rPr>
            </w:pPr>
            <w:r>
              <w:rPr>
                <w:rFonts w:hint="eastAsia"/>
                <w:sz w:val="21"/>
                <w:szCs w:val="21"/>
                <w:lang w:eastAsia="zh-CN"/>
              </w:rPr>
              <w:t>3类</w:t>
            </w:r>
          </w:p>
        </w:tc>
        <w:tc>
          <w:tcPr>
            <w:tcW w:w="1236" w:type="dxa"/>
            <w:tcBorders>
              <w:tl2br w:val="nil"/>
              <w:tr2bl w:val="nil"/>
            </w:tcBorders>
            <w:vAlign w:val="center"/>
          </w:tcPr>
          <w:p w14:paraId="21B5FC27">
            <w:pPr>
              <w:jc w:val="center"/>
              <w:rPr>
                <w:rFonts w:hint="eastAsia" w:eastAsia="宋体"/>
                <w:sz w:val="21"/>
                <w:szCs w:val="21"/>
                <w:lang w:eastAsia="zh-CN"/>
              </w:rPr>
            </w:pPr>
            <w:r>
              <w:rPr>
                <w:sz w:val="21"/>
                <w:szCs w:val="21"/>
              </w:rPr>
              <w:t>6</w:t>
            </w:r>
            <w:r>
              <w:rPr>
                <w:rFonts w:hint="eastAsia"/>
                <w:sz w:val="21"/>
                <w:szCs w:val="21"/>
                <w:lang w:val="en-US" w:eastAsia="zh-CN"/>
              </w:rPr>
              <w:t>5</w:t>
            </w:r>
          </w:p>
        </w:tc>
        <w:tc>
          <w:tcPr>
            <w:tcW w:w="996" w:type="dxa"/>
            <w:tcBorders>
              <w:tl2br w:val="nil"/>
              <w:tr2bl w:val="nil"/>
            </w:tcBorders>
            <w:vAlign w:val="center"/>
          </w:tcPr>
          <w:p w14:paraId="2B494A08">
            <w:pPr>
              <w:jc w:val="center"/>
              <w:rPr>
                <w:rFonts w:hint="eastAsia" w:eastAsia="宋体"/>
                <w:sz w:val="21"/>
                <w:szCs w:val="21"/>
                <w:lang w:eastAsia="zh-CN"/>
              </w:rPr>
            </w:pPr>
            <w:r>
              <w:rPr>
                <w:sz w:val="21"/>
                <w:szCs w:val="21"/>
              </w:rPr>
              <w:t>5</w:t>
            </w:r>
            <w:r>
              <w:rPr>
                <w:rFonts w:hint="eastAsia"/>
                <w:sz w:val="21"/>
                <w:szCs w:val="21"/>
                <w:lang w:val="en-US" w:eastAsia="zh-CN"/>
              </w:rPr>
              <w:t>5</w:t>
            </w:r>
          </w:p>
        </w:tc>
        <w:tc>
          <w:tcPr>
            <w:tcW w:w="5710" w:type="dxa"/>
            <w:tcBorders>
              <w:tl2br w:val="nil"/>
              <w:tr2bl w:val="nil"/>
            </w:tcBorders>
            <w:vAlign w:val="center"/>
          </w:tcPr>
          <w:p w14:paraId="5D20D743">
            <w:pPr>
              <w:jc w:val="center"/>
              <w:rPr>
                <w:sz w:val="21"/>
                <w:szCs w:val="21"/>
              </w:rPr>
            </w:pPr>
            <w:r>
              <w:rPr>
                <w:sz w:val="21"/>
                <w:szCs w:val="21"/>
              </w:rPr>
              <w:t>《工业企业厂界环境噪声排放标准》（GB12348-2008）</w:t>
            </w:r>
          </w:p>
        </w:tc>
      </w:tr>
    </w:tbl>
    <w:p w14:paraId="5D90E018">
      <w:pPr>
        <w:spacing w:line="360" w:lineRule="auto"/>
        <w:ind w:firstLine="480"/>
      </w:pPr>
      <w:r>
        <w:t>（4）固废</w:t>
      </w:r>
    </w:p>
    <w:p w14:paraId="1AD22147">
      <w:pPr>
        <w:spacing w:line="360" w:lineRule="auto"/>
        <w:ind w:firstLine="480" w:firstLineChars="200"/>
      </w:pPr>
      <w:r>
        <w:rPr>
          <w:rFonts w:hint="eastAsia"/>
        </w:rPr>
        <w:t>《一般工业固体废物贮存和填埋污染控制标准》（GB18599－2020）</w:t>
      </w:r>
      <w:bookmarkStart w:id="144" w:name="_Toc27180"/>
      <w:r>
        <w:rPr>
          <w:rFonts w:hint="eastAsia"/>
        </w:rPr>
        <w:t>。</w:t>
      </w:r>
    </w:p>
    <w:p w14:paraId="5E4ED6F2">
      <w:pPr>
        <w:pStyle w:val="3"/>
        <w:spacing w:line="360" w:lineRule="auto"/>
      </w:pPr>
      <w:bookmarkStart w:id="145" w:name="_Toc18676"/>
      <w:r>
        <w:t>2.4评价工作等级</w:t>
      </w:r>
      <w:bookmarkEnd w:id="137"/>
      <w:bookmarkEnd w:id="138"/>
      <w:bookmarkEnd w:id="139"/>
      <w:bookmarkEnd w:id="140"/>
      <w:bookmarkEnd w:id="141"/>
      <w:bookmarkEnd w:id="142"/>
      <w:bookmarkEnd w:id="143"/>
      <w:bookmarkEnd w:id="144"/>
      <w:r>
        <w:rPr>
          <w:rFonts w:hint="eastAsia"/>
        </w:rPr>
        <w:t>确定</w:t>
      </w:r>
      <w:bookmarkEnd w:id="145"/>
    </w:p>
    <w:p w14:paraId="6D4BA14A">
      <w:pPr>
        <w:pStyle w:val="4"/>
        <w:spacing w:line="360" w:lineRule="auto"/>
      </w:pPr>
      <w:bookmarkStart w:id="146" w:name="_Toc271360658"/>
      <w:bookmarkStart w:id="147" w:name="_Toc229301168"/>
      <w:bookmarkStart w:id="148" w:name="_Toc270323227"/>
      <w:bookmarkStart w:id="149" w:name="_Toc269285146"/>
      <w:bookmarkStart w:id="150" w:name="_Toc272499973"/>
      <w:bookmarkStart w:id="151" w:name="_Toc241156903"/>
      <w:bookmarkStart w:id="152" w:name="_Toc241157261"/>
      <w:bookmarkStart w:id="153" w:name="_Toc267408489"/>
      <w:bookmarkStart w:id="154" w:name="_Toc271898030"/>
      <w:bookmarkStart w:id="155" w:name="_Toc275358337"/>
      <w:bookmarkStart w:id="156" w:name="_Toc271897764"/>
      <w:bookmarkStart w:id="157" w:name="_Toc216001230"/>
      <w:r>
        <w:rPr>
          <w:szCs w:val="28"/>
        </w:rPr>
        <w:t>2.4.1</w:t>
      </w:r>
      <w:r>
        <w:t>地表水</w:t>
      </w:r>
      <w:bookmarkEnd w:id="146"/>
      <w:bookmarkEnd w:id="147"/>
      <w:bookmarkEnd w:id="148"/>
      <w:bookmarkEnd w:id="149"/>
      <w:bookmarkEnd w:id="150"/>
      <w:bookmarkEnd w:id="151"/>
      <w:bookmarkEnd w:id="152"/>
      <w:bookmarkEnd w:id="153"/>
      <w:bookmarkEnd w:id="154"/>
      <w:bookmarkEnd w:id="155"/>
      <w:bookmarkEnd w:id="156"/>
      <w:bookmarkEnd w:id="157"/>
      <w:r>
        <w:rPr>
          <w:rFonts w:hint="eastAsia"/>
        </w:rPr>
        <w:t>环境</w:t>
      </w:r>
    </w:p>
    <w:p w14:paraId="32BE8DB7">
      <w:pPr>
        <w:pStyle w:val="5"/>
        <w:rPr>
          <w:rFonts w:ascii="Times New Roman" w:hAnsi="Times New Roman" w:eastAsia="Times New Roman" w:cs="Times New Roman"/>
        </w:rPr>
      </w:pPr>
      <w:r>
        <w:rPr>
          <w:rFonts w:hint="eastAsia" w:ascii="Times New Roman" w:hAnsi="Times New Roman" w:eastAsia="Times New Roman" w:cs="Times New Roman"/>
        </w:rPr>
        <w:t>2.4.</w:t>
      </w:r>
      <w:r>
        <w:rPr>
          <w:rFonts w:hint="eastAsia" w:ascii="Times New Roman" w:hAnsi="Times New Roman" w:eastAsia="宋体" w:cs="Times New Roman"/>
          <w:lang w:val="en-US" w:eastAsia="zh-CN"/>
        </w:rPr>
        <w:t>1</w:t>
      </w:r>
      <w:r>
        <w:rPr>
          <w:rFonts w:hint="eastAsia" w:ascii="Times New Roman" w:hAnsi="Times New Roman" w:eastAsia="Times New Roman" w:cs="Times New Roman"/>
        </w:rPr>
        <w:t>.1</w:t>
      </w:r>
      <w:r>
        <w:rPr>
          <w:rFonts w:ascii="Times New Roman" w:hAnsi="Times New Roman" w:eastAsia="Times New Roman" w:cs="Times New Roman"/>
        </w:rPr>
        <w:t>评价工作等级</w:t>
      </w:r>
    </w:p>
    <w:p w14:paraId="1085EA6A">
      <w:pPr>
        <w:spacing w:line="360" w:lineRule="auto"/>
        <w:ind w:firstLine="470" w:firstLineChars="196"/>
        <w:rPr>
          <w:b/>
        </w:rPr>
      </w:pPr>
      <w:r>
        <w:t>《环境影响评价技术导则</w:t>
      </w:r>
      <w:r>
        <w:rPr>
          <w:rFonts w:hint="eastAsia"/>
          <w:lang w:val="en-US" w:eastAsia="zh-CN"/>
        </w:rPr>
        <w:t xml:space="preserve"> </w:t>
      </w:r>
      <w:r>
        <w:t>地</w:t>
      </w:r>
      <w:r>
        <w:rPr>
          <w:rFonts w:hint="eastAsia"/>
          <w:lang w:val="en-US" w:eastAsia="zh-CN"/>
        </w:rPr>
        <w:t>表</w:t>
      </w:r>
      <w:r>
        <w:t>水环境》</w:t>
      </w:r>
      <w:r>
        <w:rPr>
          <w:lang w:bidi="en-US"/>
        </w:rPr>
        <w:t>(</w:t>
      </w:r>
      <w:r>
        <w:rPr>
          <w:rFonts w:eastAsia="Times New Roman"/>
          <w:lang w:bidi="en-US"/>
        </w:rPr>
        <w:t>HJ2.3-2018</w:t>
      </w:r>
      <w:r>
        <w:rPr>
          <w:lang w:bidi="en-US"/>
        </w:rPr>
        <w:t>)</w:t>
      </w:r>
      <w:r>
        <w:t>规定，建设项目地表水环境影响评价等级按照影响类型、排放方式、排放量或影响情况、受纳水体环境质量现状、水环境保护目标等综合确定，其分级判据见表</w:t>
      </w:r>
      <w:r>
        <w:rPr>
          <w:rFonts w:eastAsia="Times New Roman"/>
        </w:rPr>
        <w:t>2.</w:t>
      </w:r>
      <w:r>
        <w:t>4-1</w:t>
      </w:r>
      <w:r>
        <w:rPr>
          <w:bCs/>
        </w:rPr>
        <w:t>。</w:t>
      </w:r>
    </w:p>
    <w:p w14:paraId="56499485">
      <w:pPr>
        <w:spacing w:line="360" w:lineRule="auto"/>
        <w:ind w:firstLine="482" w:firstLineChars="200"/>
        <w:jc w:val="center"/>
        <w:rPr>
          <w:b/>
        </w:rPr>
      </w:pPr>
      <w:r>
        <w:rPr>
          <w:b/>
        </w:rPr>
        <w:t>表2.4-1  水</w:t>
      </w:r>
      <w:r>
        <w:rPr>
          <w:b/>
          <w:bCs/>
        </w:rPr>
        <w:t>地面水环境影响评价分级判据</w:t>
      </w:r>
    </w:p>
    <w:tbl>
      <w:tblPr>
        <w:tblStyle w:val="53"/>
        <w:tblW w:w="92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64"/>
        <w:gridCol w:w="2742"/>
        <w:gridCol w:w="4081"/>
      </w:tblGrid>
      <w:tr w14:paraId="44B14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4" w:type="dxa"/>
            <w:vMerge w:val="restart"/>
            <w:tcBorders>
              <w:tl2br w:val="nil"/>
              <w:tr2bl w:val="nil"/>
            </w:tcBorders>
            <w:vAlign w:val="center"/>
          </w:tcPr>
          <w:p w14:paraId="153CDC75">
            <w:pPr>
              <w:pStyle w:val="88"/>
              <w:rPr>
                <w:b/>
                <w:bCs/>
                <w:sz w:val="21"/>
                <w:szCs w:val="21"/>
              </w:rPr>
            </w:pPr>
            <w:r>
              <w:rPr>
                <w:b/>
                <w:bCs/>
                <w:sz w:val="21"/>
                <w:szCs w:val="21"/>
              </w:rPr>
              <w:t>评价等级</w:t>
            </w:r>
          </w:p>
        </w:tc>
        <w:tc>
          <w:tcPr>
            <w:tcW w:w="6823" w:type="dxa"/>
            <w:gridSpan w:val="2"/>
            <w:tcBorders>
              <w:tl2br w:val="nil"/>
              <w:tr2bl w:val="nil"/>
            </w:tcBorders>
            <w:vAlign w:val="center"/>
          </w:tcPr>
          <w:p w14:paraId="3EEB2FC7">
            <w:pPr>
              <w:pStyle w:val="88"/>
              <w:rPr>
                <w:b/>
                <w:bCs/>
                <w:sz w:val="21"/>
                <w:szCs w:val="21"/>
              </w:rPr>
            </w:pPr>
            <w:r>
              <w:rPr>
                <w:b/>
                <w:bCs/>
                <w:sz w:val="21"/>
                <w:szCs w:val="21"/>
              </w:rPr>
              <w:t>判定依据</w:t>
            </w:r>
          </w:p>
        </w:tc>
      </w:tr>
      <w:tr w14:paraId="3AD2E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4" w:type="dxa"/>
            <w:vMerge w:val="continue"/>
            <w:tcBorders>
              <w:tl2br w:val="nil"/>
              <w:tr2bl w:val="nil"/>
            </w:tcBorders>
            <w:vAlign w:val="center"/>
          </w:tcPr>
          <w:p w14:paraId="46C707F9">
            <w:pPr>
              <w:pStyle w:val="88"/>
              <w:rPr>
                <w:b/>
                <w:bCs/>
                <w:sz w:val="21"/>
                <w:szCs w:val="21"/>
              </w:rPr>
            </w:pPr>
          </w:p>
        </w:tc>
        <w:tc>
          <w:tcPr>
            <w:tcW w:w="2742" w:type="dxa"/>
            <w:tcBorders>
              <w:tl2br w:val="nil"/>
              <w:tr2bl w:val="nil"/>
            </w:tcBorders>
            <w:vAlign w:val="center"/>
          </w:tcPr>
          <w:p w14:paraId="58C6C425">
            <w:pPr>
              <w:pStyle w:val="88"/>
              <w:rPr>
                <w:b/>
                <w:bCs/>
                <w:sz w:val="21"/>
                <w:szCs w:val="21"/>
              </w:rPr>
            </w:pPr>
            <w:r>
              <w:rPr>
                <w:b/>
                <w:bCs/>
                <w:sz w:val="21"/>
                <w:szCs w:val="21"/>
              </w:rPr>
              <w:t>排放方式</w:t>
            </w:r>
          </w:p>
        </w:tc>
        <w:tc>
          <w:tcPr>
            <w:tcW w:w="4081" w:type="dxa"/>
            <w:tcBorders>
              <w:tl2br w:val="nil"/>
              <w:tr2bl w:val="nil"/>
            </w:tcBorders>
            <w:vAlign w:val="center"/>
          </w:tcPr>
          <w:p w14:paraId="3537031B">
            <w:pPr>
              <w:pStyle w:val="88"/>
              <w:rPr>
                <w:b/>
                <w:bCs/>
                <w:sz w:val="21"/>
                <w:szCs w:val="21"/>
              </w:rPr>
            </w:pPr>
            <w:r>
              <w:rPr>
                <w:b/>
                <w:bCs/>
                <w:sz w:val="21"/>
                <w:szCs w:val="21"/>
              </w:rPr>
              <w:t>废水排放量Q/（m</w:t>
            </w:r>
            <w:r>
              <w:rPr>
                <w:b/>
                <w:bCs/>
                <w:sz w:val="21"/>
                <w:szCs w:val="21"/>
                <w:vertAlign w:val="superscript"/>
              </w:rPr>
              <w:t>3</w:t>
            </w:r>
            <w:r>
              <w:rPr>
                <w:b/>
                <w:bCs/>
                <w:sz w:val="21"/>
                <w:szCs w:val="21"/>
              </w:rPr>
              <w:t>/d）；</w:t>
            </w:r>
          </w:p>
          <w:p w14:paraId="5A6A4BEA">
            <w:pPr>
              <w:pStyle w:val="88"/>
              <w:rPr>
                <w:b/>
                <w:bCs/>
                <w:sz w:val="21"/>
                <w:szCs w:val="21"/>
              </w:rPr>
            </w:pPr>
            <w:r>
              <w:rPr>
                <w:b/>
                <w:bCs/>
                <w:sz w:val="21"/>
                <w:szCs w:val="21"/>
              </w:rPr>
              <w:t>水污染物当量数W/（无量纲）</w:t>
            </w:r>
          </w:p>
        </w:tc>
      </w:tr>
      <w:tr w14:paraId="5A65D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4" w:type="dxa"/>
            <w:tcBorders>
              <w:tl2br w:val="nil"/>
              <w:tr2bl w:val="nil"/>
            </w:tcBorders>
            <w:vAlign w:val="center"/>
          </w:tcPr>
          <w:p w14:paraId="73B8E877">
            <w:pPr>
              <w:pStyle w:val="88"/>
              <w:rPr>
                <w:sz w:val="21"/>
                <w:szCs w:val="21"/>
              </w:rPr>
            </w:pPr>
            <w:r>
              <w:rPr>
                <w:sz w:val="21"/>
                <w:szCs w:val="21"/>
              </w:rPr>
              <w:t>一级</w:t>
            </w:r>
          </w:p>
        </w:tc>
        <w:tc>
          <w:tcPr>
            <w:tcW w:w="2742" w:type="dxa"/>
            <w:tcBorders>
              <w:tl2br w:val="nil"/>
              <w:tr2bl w:val="nil"/>
            </w:tcBorders>
            <w:vAlign w:val="center"/>
          </w:tcPr>
          <w:p w14:paraId="245A2977">
            <w:pPr>
              <w:pStyle w:val="88"/>
              <w:rPr>
                <w:sz w:val="21"/>
                <w:szCs w:val="21"/>
              </w:rPr>
            </w:pPr>
            <w:r>
              <w:rPr>
                <w:sz w:val="21"/>
                <w:szCs w:val="21"/>
              </w:rPr>
              <w:t>直接排放</w:t>
            </w:r>
          </w:p>
        </w:tc>
        <w:tc>
          <w:tcPr>
            <w:tcW w:w="4081" w:type="dxa"/>
            <w:tcBorders>
              <w:tl2br w:val="nil"/>
              <w:tr2bl w:val="nil"/>
            </w:tcBorders>
            <w:vAlign w:val="center"/>
          </w:tcPr>
          <w:p w14:paraId="607CAAE9">
            <w:pPr>
              <w:pStyle w:val="88"/>
              <w:rPr>
                <w:rFonts w:hint="eastAsia" w:eastAsia="宋体"/>
                <w:sz w:val="21"/>
                <w:szCs w:val="21"/>
                <w:lang w:val="en-US" w:eastAsia="zh-CN"/>
              </w:rPr>
            </w:pPr>
            <w:r>
              <w:rPr>
                <w:sz w:val="21"/>
                <w:szCs w:val="21"/>
              </w:rPr>
              <w:t>Q≥20000或W≥60000</w:t>
            </w:r>
            <w:r>
              <w:rPr>
                <w:rFonts w:hint="eastAsia"/>
                <w:sz w:val="21"/>
                <w:szCs w:val="21"/>
                <w:lang w:val="en-US" w:eastAsia="zh-CN"/>
              </w:rPr>
              <w:t>0</w:t>
            </w:r>
          </w:p>
        </w:tc>
      </w:tr>
      <w:tr w14:paraId="424CA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4" w:type="dxa"/>
            <w:tcBorders>
              <w:tl2br w:val="nil"/>
              <w:tr2bl w:val="nil"/>
            </w:tcBorders>
            <w:vAlign w:val="center"/>
          </w:tcPr>
          <w:p w14:paraId="21145EF1">
            <w:pPr>
              <w:pStyle w:val="88"/>
              <w:rPr>
                <w:sz w:val="21"/>
                <w:szCs w:val="21"/>
              </w:rPr>
            </w:pPr>
            <w:r>
              <w:rPr>
                <w:sz w:val="21"/>
                <w:szCs w:val="21"/>
              </w:rPr>
              <w:t>二级</w:t>
            </w:r>
          </w:p>
        </w:tc>
        <w:tc>
          <w:tcPr>
            <w:tcW w:w="2742" w:type="dxa"/>
            <w:tcBorders>
              <w:tl2br w:val="nil"/>
              <w:tr2bl w:val="nil"/>
            </w:tcBorders>
            <w:vAlign w:val="center"/>
          </w:tcPr>
          <w:p w14:paraId="777C7473">
            <w:pPr>
              <w:pStyle w:val="88"/>
              <w:rPr>
                <w:sz w:val="21"/>
                <w:szCs w:val="21"/>
              </w:rPr>
            </w:pPr>
            <w:r>
              <w:rPr>
                <w:sz w:val="21"/>
                <w:szCs w:val="21"/>
              </w:rPr>
              <w:t>直接排放</w:t>
            </w:r>
          </w:p>
        </w:tc>
        <w:tc>
          <w:tcPr>
            <w:tcW w:w="4081" w:type="dxa"/>
            <w:tcBorders>
              <w:tl2br w:val="nil"/>
              <w:tr2bl w:val="nil"/>
            </w:tcBorders>
            <w:vAlign w:val="center"/>
          </w:tcPr>
          <w:p w14:paraId="2632CE64">
            <w:pPr>
              <w:pStyle w:val="88"/>
              <w:rPr>
                <w:sz w:val="21"/>
                <w:szCs w:val="21"/>
              </w:rPr>
            </w:pPr>
            <w:r>
              <w:rPr>
                <w:sz w:val="21"/>
                <w:szCs w:val="21"/>
              </w:rPr>
              <w:t>其他</w:t>
            </w:r>
          </w:p>
        </w:tc>
      </w:tr>
      <w:tr w14:paraId="5AD48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4" w:type="dxa"/>
            <w:tcBorders>
              <w:tl2br w:val="nil"/>
              <w:tr2bl w:val="nil"/>
            </w:tcBorders>
            <w:vAlign w:val="center"/>
          </w:tcPr>
          <w:p w14:paraId="44EC1FB9">
            <w:pPr>
              <w:pStyle w:val="88"/>
              <w:rPr>
                <w:sz w:val="21"/>
                <w:szCs w:val="21"/>
              </w:rPr>
            </w:pPr>
            <w:r>
              <w:rPr>
                <w:sz w:val="21"/>
                <w:szCs w:val="21"/>
              </w:rPr>
              <w:t>三级A</w:t>
            </w:r>
          </w:p>
        </w:tc>
        <w:tc>
          <w:tcPr>
            <w:tcW w:w="2742" w:type="dxa"/>
            <w:tcBorders>
              <w:tl2br w:val="nil"/>
              <w:tr2bl w:val="nil"/>
            </w:tcBorders>
            <w:vAlign w:val="center"/>
          </w:tcPr>
          <w:p w14:paraId="7D291681">
            <w:pPr>
              <w:pStyle w:val="88"/>
              <w:rPr>
                <w:sz w:val="21"/>
                <w:szCs w:val="21"/>
              </w:rPr>
            </w:pPr>
            <w:r>
              <w:rPr>
                <w:sz w:val="21"/>
                <w:szCs w:val="21"/>
              </w:rPr>
              <w:t>直接排放</w:t>
            </w:r>
          </w:p>
        </w:tc>
        <w:tc>
          <w:tcPr>
            <w:tcW w:w="4081" w:type="dxa"/>
            <w:tcBorders>
              <w:tl2br w:val="nil"/>
              <w:tr2bl w:val="nil"/>
            </w:tcBorders>
            <w:vAlign w:val="center"/>
          </w:tcPr>
          <w:p w14:paraId="66C2DE62">
            <w:pPr>
              <w:pStyle w:val="88"/>
              <w:rPr>
                <w:sz w:val="21"/>
                <w:szCs w:val="21"/>
              </w:rPr>
            </w:pPr>
            <w:r>
              <w:rPr>
                <w:sz w:val="21"/>
                <w:szCs w:val="21"/>
              </w:rPr>
              <w:t>Q＜200且W＜6000</w:t>
            </w:r>
          </w:p>
        </w:tc>
      </w:tr>
      <w:tr w14:paraId="685B8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4" w:type="dxa"/>
            <w:tcBorders>
              <w:tl2br w:val="nil"/>
              <w:tr2bl w:val="nil"/>
            </w:tcBorders>
            <w:vAlign w:val="center"/>
          </w:tcPr>
          <w:p w14:paraId="2538EEFF">
            <w:pPr>
              <w:pStyle w:val="88"/>
              <w:rPr>
                <w:sz w:val="21"/>
                <w:szCs w:val="21"/>
              </w:rPr>
            </w:pPr>
            <w:r>
              <w:rPr>
                <w:sz w:val="21"/>
                <w:szCs w:val="21"/>
              </w:rPr>
              <w:t>三级B</w:t>
            </w:r>
          </w:p>
        </w:tc>
        <w:tc>
          <w:tcPr>
            <w:tcW w:w="2742" w:type="dxa"/>
            <w:tcBorders>
              <w:tl2br w:val="nil"/>
              <w:tr2bl w:val="nil"/>
            </w:tcBorders>
            <w:vAlign w:val="center"/>
          </w:tcPr>
          <w:p w14:paraId="695CA307">
            <w:pPr>
              <w:pStyle w:val="88"/>
              <w:rPr>
                <w:sz w:val="21"/>
                <w:szCs w:val="21"/>
              </w:rPr>
            </w:pPr>
            <w:r>
              <w:rPr>
                <w:sz w:val="21"/>
                <w:szCs w:val="21"/>
              </w:rPr>
              <w:t>间接排放</w:t>
            </w:r>
          </w:p>
        </w:tc>
        <w:tc>
          <w:tcPr>
            <w:tcW w:w="4081" w:type="dxa"/>
            <w:tcBorders>
              <w:tl2br w:val="nil"/>
              <w:tr2bl w:val="nil"/>
            </w:tcBorders>
            <w:vAlign w:val="center"/>
          </w:tcPr>
          <w:p w14:paraId="0C8A9D7B">
            <w:pPr>
              <w:pStyle w:val="88"/>
              <w:rPr>
                <w:sz w:val="21"/>
                <w:szCs w:val="21"/>
              </w:rPr>
            </w:pPr>
            <w:r>
              <w:rPr>
                <w:sz w:val="21"/>
                <w:szCs w:val="21"/>
              </w:rPr>
              <w:t>—</w:t>
            </w:r>
          </w:p>
        </w:tc>
      </w:tr>
      <w:tr w14:paraId="5CED6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287" w:type="dxa"/>
            <w:gridSpan w:val="3"/>
            <w:tcBorders>
              <w:tl2br w:val="nil"/>
              <w:tr2bl w:val="nil"/>
            </w:tcBorders>
            <w:vAlign w:val="center"/>
          </w:tcPr>
          <w:p w14:paraId="708D0F6E">
            <w:pPr>
              <w:widowControl/>
              <w:spacing w:line="440" w:lineRule="exact"/>
              <w:jc w:val="left"/>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注 1：水污染物当量数等于该污染物的年排放量除以该污染物的污染当量值（见附录 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445AF34C">
            <w:pPr>
              <w:widowControl/>
              <w:spacing w:line="440" w:lineRule="exact"/>
              <w:jc w:val="left"/>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注 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67425F34">
            <w:pPr>
              <w:widowControl/>
              <w:spacing w:line="440" w:lineRule="exact"/>
              <w:jc w:val="left"/>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注 3：厂区存在堆积物（露天堆放的原料、燃料、废渣等以及垃圾堆放场）、降尘污染的，应将初期雨污水纳入废水排放量，相应的主要污染物纳入水污染当量计算。</w:t>
            </w:r>
          </w:p>
          <w:p w14:paraId="36E7FAF4">
            <w:pPr>
              <w:widowControl/>
              <w:spacing w:line="440" w:lineRule="exact"/>
              <w:jc w:val="left"/>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注 4：建设项目直接排放第一类污染物的，其评价等级为一级；建设项目直接排放的污染物为受纳水体超标因子的，评价等级不低于二级。</w:t>
            </w:r>
          </w:p>
          <w:p w14:paraId="1A9684C9">
            <w:pPr>
              <w:widowControl/>
              <w:spacing w:line="440" w:lineRule="exact"/>
              <w:jc w:val="left"/>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注 5：直接排放受纳水体影响范围涉及饮用水水源保护区、饮用水取水口、重点保护与珍稀水生生物的栖息地、重要水生生物的自然产卵场等保护目标时，评价等级不低于二级。</w:t>
            </w:r>
          </w:p>
          <w:p w14:paraId="7350C6E4">
            <w:pPr>
              <w:widowControl/>
              <w:spacing w:line="440" w:lineRule="exact"/>
              <w:jc w:val="left"/>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注 6：建设项目向河流、湖库排放温排水引起受纳水体水温变化超过水环境质量标准要求，且评价范围有水温敏感目标时，评价等级为一级。</w:t>
            </w:r>
          </w:p>
          <w:p w14:paraId="77E5B582">
            <w:pPr>
              <w:widowControl/>
              <w:spacing w:line="440" w:lineRule="exact"/>
              <w:jc w:val="left"/>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 xml:space="preserve">注 7：建设项目利用海水作为调节温度介质，排水量≥500万m </w:t>
            </w:r>
            <w:r>
              <w:rPr>
                <w:rFonts w:hint="default" w:ascii="Times New Roman" w:hAnsi="Times New Roman" w:eastAsia="宋体" w:cs="Times New Roman"/>
                <w:sz w:val="21"/>
                <w:szCs w:val="21"/>
                <w:vertAlign w:val="superscript"/>
                <w:lang w:val="en-US" w:eastAsia="zh-CN" w:bidi="ar-SA"/>
              </w:rPr>
              <w:t>3</w:t>
            </w:r>
            <w:r>
              <w:rPr>
                <w:rFonts w:hint="default" w:ascii="Times New Roman" w:hAnsi="Times New Roman" w:eastAsia="宋体" w:cs="Times New Roman"/>
                <w:sz w:val="21"/>
                <w:szCs w:val="21"/>
                <w:lang w:val="en-US" w:eastAsia="zh-CN" w:bidi="ar-SA"/>
              </w:rPr>
              <w:t xml:space="preserve"> /d，评价等级为一级；排水量＜500 万m </w:t>
            </w:r>
            <w:r>
              <w:rPr>
                <w:rFonts w:hint="default" w:ascii="Times New Roman" w:hAnsi="Times New Roman" w:eastAsia="宋体" w:cs="Times New Roman"/>
                <w:sz w:val="21"/>
                <w:szCs w:val="21"/>
                <w:vertAlign w:val="superscript"/>
                <w:lang w:val="en-US" w:eastAsia="zh-CN" w:bidi="ar-SA"/>
              </w:rPr>
              <w:t>3</w:t>
            </w:r>
            <w:r>
              <w:rPr>
                <w:rFonts w:hint="default" w:ascii="Times New Roman" w:hAnsi="Times New Roman" w:eastAsia="宋体" w:cs="Times New Roman"/>
                <w:sz w:val="21"/>
                <w:szCs w:val="21"/>
                <w:lang w:val="en-US" w:eastAsia="zh-CN" w:bidi="ar-SA"/>
              </w:rPr>
              <w:t xml:space="preserve"> /d，评价等级为二级。</w:t>
            </w:r>
          </w:p>
          <w:p w14:paraId="61CE459C">
            <w:pPr>
              <w:widowControl/>
              <w:spacing w:line="440" w:lineRule="exact"/>
              <w:jc w:val="left"/>
              <w:rPr>
                <w:rFonts w:hint="eastAsia" w:eastAsia="宋体"/>
                <w:sz w:val="21"/>
                <w:szCs w:val="21"/>
                <w:lang w:eastAsia="zh-CN"/>
              </w:rPr>
            </w:pPr>
            <w:r>
              <w:rPr>
                <w:rFonts w:hint="default" w:ascii="Times New Roman" w:hAnsi="Times New Roman" w:eastAsia="宋体" w:cs="Times New Roman"/>
                <w:sz w:val="21"/>
                <w:szCs w:val="21"/>
                <w:lang w:val="en-US" w:eastAsia="zh-CN" w:bidi="ar-SA"/>
              </w:rPr>
              <w:t>注 8：仅涉及清净下水排放的，如其排放水质满足受纳水体水环境质量标准要求的，评价等级为三级 A。</w:t>
            </w:r>
          </w:p>
        </w:tc>
      </w:tr>
    </w:tbl>
    <w:p w14:paraId="565FE2A1">
      <w:pPr>
        <w:spacing w:line="360" w:lineRule="auto"/>
        <w:ind w:firstLine="470" w:firstLineChars="196"/>
        <w:rPr>
          <w:rFonts w:hint="default"/>
          <w:color w:val="auto"/>
          <w:lang w:val="en-US" w:eastAsia="zh-CN"/>
        </w:rPr>
      </w:pPr>
      <w:r>
        <w:rPr>
          <w:rFonts w:hint="eastAsia"/>
          <w:color w:val="auto"/>
          <w:lang w:val="en-US" w:eastAsia="zh-CN"/>
        </w:rPr>
        <w:t>（1）本项目基本情况</w:t>
      </w:r>
    </w:p>
    <w:p w14:paraId="37952150">
      <w:pPr>
        <w:spacing w:line="360" w:lineRule="auto"/>
        <w:ind w:firstLine="470" w:firstLineChars="196"/>
        <w:rPr>
          <w:rFonts w:hint="eastAsia"/>
          <w:color w:val="auto"/>
        </w:rPr>
      </w:pPr>
      <w:r>
        <w:rPr>
          <w:rFonts w:hint="eastAsia"/>
          <w:color w:val="auto"/>
          <w:lang w:val="en-US" w:eastAsia="zh-CN"/>
        </w:rPr>
        <w:t>本项目建成后</w:t>
      </w:r>
      <w:r>
        <w:rPr>
          <w:rFonts w:hint="default"/>
          <w:color w:val="auto"/>
          <w:lang w:val="en-US" w:eastAsia="zh-CN"/>
        </w:rPr>
        <w:t>污水处理站处理规模为</w:t>
      </w:r>
      <w:r>
        <w:rPr>
          <w:rFonts w:hint="eastAsia"/>
          <w:color w:val="auto"/>
          <w:lang w:val="en-US" w:eastAsia="zh-CN"/>
        </w:rPr>
        <w:t>18</w:t>
      </w:r>
      <w:r>
        <w:rPr>
          <w:rFonts w:hint="default"/>
          <w:color w:val="auto"/>
          <w:lang w:val="en-US" w:eastAsia="zh-CN"/>
        </w:rPr>
        <w:t>000m</w:t>
      </w:r>
      <w:r>
        <w:rPr>
          <w:rFonts w:hint="default"/>
          <w:color w:val="auto"/>
          <w:vertAlign w:val="superscript"/>
          <w:lang w:val="en-US" w:eastAsia="zh-CN"/>
        </w:rPr>
        <w:t>3</w:t>
      </w:r>
      <w:r>
        <w:rPr>
          <w:rFonts w:hint="default"/>
          <w:color w:val="auto"/>
          <w:lang w:val="en-US" w:eastAsia="zh-CN"/>
        </w:rPr>
        <w:t>/d，</w:t>
      </w:r>
      <w:r>
        <w:rPr>
          <w:color w:val="auto"/>
        </w:rPr>
        <w:t>处理达到《城镇污水处理厂污染物排放标准》（GB18918-2002）中一级标准中的</w:t>
      </w:r>
      <w:r>
        <w:rPr>
          <w:rFonts w:hint="eastAsia"/>
          <w:color w:val="auto"/>
        </w:rPr>
        <w:t>A标准</w:t>
      </w:r>
      <w:r>
        <w:rPr>
          <w:color w:val="auto"/>
        </w:rPr>
        <w:t>的要求后，</w:t>
      </w:r>
      <w:r>
        <w:rPr>
          <w:rFonts w:hint="eastAsia"/>
          <w:color w:val="auto"/>
          <w:lang w:eastAsia="zh-CN"/>
        </w:rPr>
        <w:t>经拉哈生物技术与化学制药产业园区污水处理厂入河排污口排入到嫩江</w:t>
      </w:r>
      <w:r>
        <w:rPr>
          <w:rFonts w:hint="eastAsia"/>
          <w:color w:val="auto"/>
        </w:rPr>
        <w:t>，排放方式为连续式。</w:t>
      </w:r>
    </w:p>
    <w:p w14:paraId="7482E4FA">
      <w:pPr>
        <w:spacing w:line="360" w:lineRule="auto"/>
        <w:ind w:firstLine="470" w:firstLineChars="196"/>
        <w:rPr>
          <w:rFonts w:hint="eastAsia"/>
          <w:color w:val="auto"/>
          <w:lang w:val="en-US" w:eastAsia="zh-CN"/>
        </w:rPr>
      </w:pPr>
      <w:r>
        <w:rPr>
          <w:rFonts w:hint="eastAsia"/>
          <w:color w:val="auto"/>
          <w:lang w:val="en-US" w:eastAsia="zh-CN"/>
        </w:rPr>
        <w:t>（2）受纳水体基本情况</w:t>
      </w:r>
    </w:p>
    <w:p w14:paraId="0FB469A3">
      <w:pPr>
        <w:spacing w:line="360" w:lineRule="auto"/>
        <w:ind w:firstLine="470" w:firstLineChars="196"/>
        <w:rPr>
          <w:rFonts w:hint="eastAsia"/>
          <w:color w:val="auto"/>
          <w:lang w:val="en-US" w:eastAsia="zh-CN"/>
        </w:rPr>
      </w:pPr>
      <w:r>
        <w:rPr>
          <w:rFonts w:hint="eastAsia"/>
          <w:color w:val="auto"/>
          <w:lang w:val="en-US" w:eastAsia="zh-CN"/>
        </w:rPr>
        <w:t>嫩江，黑龙江支流松花江的支流（或北源）。发源于内蒙古自治区境内大兴安岭伊勒呼里山的中段南侧，正源称南瓮河（又称南北河）。嫩江干流流经黑龙江省与内蒙古自治区、吉林省的交界，最后在吉林省松原市三岔河与松花江南源汇合为松花江，嫩江全长1370公里，嫩江支流共有20多条（其中较大的12条），是黑龙江水系最长的一条支流。流域面积为29.7万平方公里，大于淮河和海河。</w:t>
      </w:r>
    </w:p>
    <w:p w14:paraId="23D33E5B">
      <w:pPr>
        <w:spacing w:line="360" w:lineRule="auto"/>
        <w:ind w:firstLine="470" w:firstLineChars="196"/>
        <w:rPr>
          <w:rFonts w:hint="eastAsia"/>
          <w:color w:val="auto"/>
          <w:lang w:val="en-US" w:eastAsia="zh-CN"/>
        </w:rPr>
      </w:pPr>
      <w:r>
        <w:rPr>
          <w:rFonts w:hint="eastAsia"/>
          <w:color w:val="auto"/>
          <w:lang w:val="en-US" w:eastAsia="zh-CN"/>
        </w:rPr>
        <w:t>河源至</w:t>
      </w:r>
      <w:r>
        <w:rPr>
          <w:rFonts w:hint="eastAsia"/>
          <w:color w:val="auto"/>
          <w:lang w:val="en-US" w:eastAsia="zh-CN"/>
        </w:rPr>
        <w:fldChar w:fldCharType="begin"/>
      </w:r>
      <w:r>
        <w:rPr>
          <w:rFonts w:hint="eastAsia"/>
          <w:color w:val="auto"/>
          <w:lang w:val="en-US" w:eastAsia="zh-CN"/>
        </w:rPr>
        <w:instrText xml:space="preserve"> HYPERLINK "http://baike.baidu.com/view/50709.htm" \t "_blank" </w:instrText>
      </w:r>
      <w:r>
        <w:rPr>
          <w:rFonts w:hint="eastAsia"/>
          <w:color w:val="auto"/>
          <w:lang w:val="en-US" w:eastAsia="zh-CN"/>
        </w:rPr>
        <w:fldChar w:fldCharType="separate"/>
      </w:r>
      <w:r>
        <w:rPr>
          <w:rFonts w:hint="eastAsia"/>
          <w:color w:val="auto"/>
          <w:lang w:val="en-US" w:eastAsia="zh-CN"/>
        </w:rPr>
        <w:t>嫩江县</w:t>
      </w:r>
      <w:r>
        <w:rPr>
          <w:rFonts w:hint="eastAsia"/>
          <w:color w:val="auto"/>
          <w:lang w:val="en-US" w:eastAsia="zh-CN"/>
        </w:rPr>
        <w:fldChar w:fldCharType="end"/>
      </w:r>
      <w:r>
        <w:rPr>
          <w:rFonts w:hint="eastAsia"/>
          <w:color w:val="auto"/>
          <w:lang w:val="en-US" w:eastAsia="zh-CN"/>
        </w:rPr>
        <w:t>城为上游，河谷狭窄，两岸多林区，产落叶松、樟子松、杨、桦等木材；嫩江县城至莫力达瓦达斡尔族自治旗驻地为中游，其下至三岔河口为下游，中下游河谷宽阔，中高水位时最大水面宽450-8000米，最大水深6-13米；枯水位时最大水面宽170-180米，最大水深1.6-7.2米。两岸为</w:t>
      </w:r>
      <w:r>
        <w:rPr>
          <w:rFonts w:hint="eastAsia"/>
          <w:color w:val="auto"/>
          <w:lang w:val="en-US" w:eastAsia="zh-CN"/>
        </w:rPr>
        <w:fldChar w:fldCharType="begin"/>
      </w:r>
      <w:r>
        <w:rPr>
          <w:rFonts w:hint="eastAsia"/>
          <w:color w:val="auto"/>
          <w:lang w:val="en-US" w:eastAsia="zh-CN"/>
        </w:rPr>
        <w:instrText xml:space="preserve"> HYPERLINK "http://baike.baidu.com/view/718342.htm" \t "_blank" </w:instrText>
      </w:r>
      <w:r>
        <w:rPr>
          <w:rFonts w:hint="eastAsia"/>
          <w:color w:val="auto"/>
          <w:lang w:val="en-US" w:eastAsia="zh-CN"/>
        </w:rPr>
        <w:fldChar w:fldCharType="separate"/>
      </w:r>
      <w:r>
        <w:rPr>
          <w:rFonts w:hint="eastAsia"/>
          <w:color w:val="auto"/>
          <w:lang w:val="en-US" w:eastAsia="zh-CN"/>
        </w:rPr>
        <w:t>松嫩平原</w:t>
      </w:r>
      <w:r>
        <w:rPr>
          <w:rFonts w:hint="eastAsia"/>
          <w:color w:val="auto"/>
          <w:lang w:val="en-US" w:eastAsia="zh-CN"/>
        </w:rPr>
        <w:fldChar w:fldCharType="end"/>
      </w:r>
      <w:r>
        <w:rPr>
          <w:rFonts w:hint="eastAsia"/>
          <w:color w:val="auto"/>
          <w:lang w:val="en-US" w:eastAsia="zh-CN"/>
        </w:rPr>
        <w:t>农业区，建有</w:t>
      </w:r>
      <w:r>
        <w:rPr>
          <w:rFonts w:hint="eastAsia"/>
          <w:color w:val="auto"/>
          <w:lang w:val="en-US" w:eastAsia="zh-CN"/>
        </w:rPr>
        <w:fldChar w:fldCharType="begin"/>
      </w:r>
      <w:r>
        <w:rPr>
          <w:rFonts w:hint="eastAsia"/>
          <w:color w:val="auto"/>
          <w:lang w:val="en-US" w:eastAsia="zh-CN"/>
        </w:rPr>
        <w:instrText xml:space="preserve"> HYPERLINK "http://baike.baidu.com/item/%E6%9F%A5%E5%93%88%E9%98%B3%E7%81%8C%E5%8C%BA" \t "_blank" </w:instrText>
      </w:r>
      <w:r>
        <w:rPr>
          <w:rFonts w:hint="eastAsia"/>
          <w:color w:val="auto"/>
          <w:lang w:val="en-US" w:eastAsia="zh-CN"/>
        </w:rPr>
        <w:fldChar w:fldCharType="separate"/>
      </w:r>
      <w:r>
        <w:rPr>
          <w:rFonts w:hint="eastAsia"/>
          <w:color w:val="auto"/>
          <w:lang w:val="en-US" w:eastAsia="zh-CN"/>
        </w:rPr>
        <w:t>查哈阳灌区</w:t>
      </w:r>
      <w:r>
        <w:rPr>
          <w:rFonts w:hint="eastAsia"/>
          <w:color w:val="auto"/>
          <w:lang w:val="en-US" w:eastAsia="zh-CN"/>
        </w:rPr>
        <w:fldChar w:fldCharType="end"/>
      </w:r>
      <w:r>
        <w:rPr>
          <w:rFonts w:hint="eastAsia"/>
          <w:color w:val="auto"/>
          <w:lang w:val="en-US" w:eastAsia="zh-CN"/>
        </w:rPr>
        <w:t>和北部、中部、南部引嫩水利工程，是黑龙江省主要粮食产区之一。右岸支流主要由内蒙古自治区境内流入，左岸支流均在黑龙江省境内。结冰期从11月中旬至次年4月中旬。中、下游可通航300-500吨船舶。沿岸主要城市有</w:t>
      </w:r>
      <w:r>
        <w:rPr>
          <w:rFonts w:hint="eastAsia"/>
          <w:color w:val="auto"/>
          <w:lang w:val="en-US" w:eastAsia="zh-CN"/>
        </w:rPr>
        <w:fldChar w:fldCharType="begin"/>
      </w:r>
      <w:r>
        <w:rPr>
          <w:rFonts w:hint="eastAsia"/>
          <w:color w:val="auto"/>
          <w:lang w:val="en-US" w:eastAsia="zh-CN"/>
        </w:rPr>
        <w:instrText xml:space="preserve"> HYPERLINK "http://baike.baidu.com/view/2636.htm" \t "_blank" </w:instrText>
      </w:r>
      <w:r>
        <w:rPr>
          <w:rFonts w:hint="eastAsia"/>
          <w:color w:val="auto"/>
          <w:lang w:val="en-US" w:eastAsia="zh-CN"/>
        </w:rPr>
        <w:fldChar w:fldCharType="separate"/>
      </w:r>
      <w:r>
        <w:rPr>
          <w:rFonts w:hint="eastAsia"/>
          <w:color w:val="auto"/>
          <w:lang w:val="en-US" w:eastAsia="zh-CN"/>
        </w:rPr>
        <w:t>齐齐哈尔市</w:t>
      </w:r>
      <w:r>
        <w:rPr>
          <w:rFonts w:hint="eastAsia"/>
          <w:color w:val="auto"/>
          <w:lang w:val="en-US" w:eastAsia="zh-CN"/>
        </w:rPr>
        <w:fldChar w:fldCharType="end"/>
      </w:r>
      <w:r>
        <w:rPr>
          <w:rFonts w:hint="eastAsia"/>
          <w:color w:val="auto"/>
          <w:lang w:val="en-US" w:eastAsia="zh-CN"/>
        </w:rPr>
        <w:t>，以及</w:t>
      </w:r>
      <w:r>
        <w:rPr>
          <w:rFonts w:hint="eastAsia"/>
          <w:color w:val="auto"/>
          <w:lang w:val="en-US" w:eastAsia="zh-CN"/>
        </w:rPr>
        <w:fldChar w:fldCharType="begin"/>
      </w:r>
      <w:r>
        <w:rPr>
          <w:rFonts w:hint="eastAsia"/>
          <w:color w:val="auto"/>
          <w:lang w:val="en-US" w:eastAsia="zh-CN"/>
        </w:rPr>
        <w:instrText xml:space="preserve"> HYPERLINK "http://baike.baidu.com/view/2003728.htm" \t "_blank" </w:instrText>
      </w:r>
      <w:r>
        <w:rPr>
          <w:rFonts w:hint="eastAsia"/>
          <w:color w:val="auto"/>
          <w:lang w:val="en-US" w:eastAsia="zh-CN"/>
        </w:rPr>
        <w:fldChar w:fldCharType="separate"/>
      </w:r>
      <w:r>
        <w:rPr>
          <w:rFonts w:hint="eastAsia"/>
          <w:color w:val="auto"/>
          <w:lang w:val="en-US" w:eastAsia="zh-CN"/>
        </w:rPr>
        <w:t>嫩江镇</w:t>
      </w:r>
      <w:r>
        <w:rPr>
          <w:rFonts w:hint="eastAsia"/>
          <w:color w:val="auto"/>
          <w:lang w:val="en-US" w:eastAsia="zh-CN"/>
        </w:rPr>
        <w:fldChar w:fldCharType="end"/>
      </w:r>
      <w:r>
        <w:rPr>
          <w:rFonts w:hint="eastAsia"/>
          <w:color w:val="auto"/>
          <w:lang w:val="en-US" w:eastAsia="zh-CN"/>
        </w:rPr>
        <w:t>、</w:t>
      </w:r>
      <w:r>
        <w:rPr>
          <w:rFonts w:hint="eastAsia"/>
          <w:color w:val="auto"/>
          <w:lang w:val="en-US" w:eastAsia="zh-CN"/>
        </w:rPr>
        <w:fldChar w:fldCharType="begin"/>
      </w:r>
      <w:r>
        <w:rPr>
          <w:rFonts w:hint="eastAsia"/>
          <w:color w:val="auto"/>
          <w:lang w:val="en-US" w:eastAsia="zh-CN"/>
        </w:rPr>
        <w:instrText xml:space="preserve"> HYPERLINK "http://baike.baidu.com/view/2258614.htm" \t "_blank" </w:instrText>
      </w:r>
      <w:r>
        <w:rPr>
          <w:rFonts w:hint="eastAsia"/>
          <w:color w:val="auto"/>
          <w:lang w:val="en-US" w:eastAsia="zh-CN"/>
        </w:rPr>
        <w:fldChar w:fldCharType="separate"/>
      </w:r>
      <w:r>
        <w:rPr>
          <w:rFonts w:hint="eastAsia"/>
          <w:color w:val="auto"/>
          <w:lang w:val="en-US" w:eastAsia="zh-CN"/>
        </w:rPr>
        <w:t>尼尔基镇</w:t>
      </w:r>
      <w:r>
        <w:rPr>
          <w:rFonts w:hint="eastAsia"/>
          <w:color w:val="auto"/>
          <w:lang w:val="en-US" w:eastAsia="zh-CN"/>
        </w:rPr>
        <w:fldChar w:fldCharType="end"/>
      </w:r>
      <w:r>
        <w:rPr>
          <w:rFonts w:hint="eastAsia"/>
          <w:color w:val="auto"/>
          <w:lang w:val="en-US" w:eastAsia="zh-CN"/>
        </w:rPr>
        <w:t>、</w:t>
      </w:r>
      <w:r>
        <w:rPr>
          <w:rFonts w:hint="eastAsia"/>
          <w:color w:val="auto"/>
          <w:lang w:val="en-US" w:eastAsia="zh-CN"/>
        </w:rPr>
        <w:fldChar w:fldCharType="begin"/>
      </w:r>
      <w:r>
        <w:rPr>
          <w:rFonts w:hint="eastAsia"/>
          <w:color w:val="auto"/>
          <w:lang w:val="en-US" w:eastAsia="zh-CN"/>
        </w:rPr>
        <w:instrText xml:space="preserve"> HYPERLINK "http://baike.baidu.com/view/108231.htm" \t "_blank" </w:instrText>
      </w:r>
      <w:r>
        <w:rPr>
          <w:rFonts w:hint="eastAsia"/>
          <w:color w:val="auto"/>
          <w:lang w:val="en-US" w:eastAsia="zh-CN"/>
        </w:rPr>
        <w:fldChar w:fldCharType="separate"/>
      </w:r>
      <w:r>
        <w:rPr>
          <w:rFonts w:hint="eastAsia"/>
          <w:color w:val="auto"/>
          <w:lang w:val="en-US" w:eastAsia="zh-CN"/>
        </w:rPr>
        <w:t>富拉尔基</w:t>
      </w:r>
      <w:r>
        <w:rPr>
          <w:rFonts w:hint="eastAsia"/>
          <w:color w:val="auto"/>
          <w:lang w:val="en-US" w:eastAsia="zh-CN"/>
        </w:rPr>
        <w:fldChar w:fldCharType="end"/>
      </w:r>
      <w:r>
        <w:rPr>
          <w:rFonts w:hint="eastAsia"/>
          <w:color w:val="auto"/>
          <w:lang w:val="en-US" w:eastAsia="zh-CN"/>
        </w:rPr>
        <w:t>等城镇。</w:t>
      </w:r>
    </w:p>
    <w:p w14:paraId="415A3732">
      <w:pPr>
        <w:spacing w:line="360" w:lineRule="auto"/>
        <w:ind w:firstLine="470" w:firstLineChars="196"/>
        <w:rPr>
          <w:rFonts w:hint="default"/>
          <w:color w:val="auto"/>
          <w:lang w:val="en-US" w:eastAsia="zh-CN"/>
        </w:rPr>
      </w:pPr>
      <w:r>
        <w:rPr>
          <w:rFonts w:hint="eastAsia"/>
          <w:color w:val="auto"/>
          <w:lang w:val="en-US" w:eastAsia="zh-CN"/>
        </w:rPr>
        <w:t>（3）水污染物排放情况</w:t>
      </w:r>
    </w:p>
    <w:p w14:paraId="59CA2921">
      <w:pPr>
        <w:spacing w:line="360" w:lineRule="auto"/>
        <w:ind w:firstLine="470" w:firstLineChars="196"/>
        <w:rPr>
          <w:rFonts w:hint="eastAsia"/>
          <w:color w:val="auto"/>
        </w:rPr>
      </w:pPr>
      <w:r>
        <w:rPr>
          <w:rFonts w:hint="eastAsia"/>
          <w:color w:val="auto"/>
        </w:rPr>
        <w:t>污水外排放量：</w:t>
      </w:r>
      <w:r>
        <w:rPr>
          <w:rFonts w:hint="eastAsia"/>
          <w:color w:val="auto"/>
          <w:lang w:val="en-US" w:eastAsia="zh-CN"/>
        </w:rPr>
        <w:t>200</w:t>
      </w:r>
      <w:r>
        <w:rPr>
          <w:rFonts w:hint="eastAsia"/>
          <w:color w:val="auto"/>
        </w:rPr>
        <w:t>&lt;Q=</w:t>
      </w:r>
      <w:r>
        <w:rPr>
          <w:rFonts w:hint="eastAsia"/>
          <w:color w:val="auto"/>
          <w:lang w:val="en-US" w:eastAsia="zh-CN"/>
        </w:rPr>
        <w:t>18</w:t>
      </w:r>
      <w:r>
        <w:rPr>
          <w:rFonts w:hint="eastAsia"/>
          <w:color w:val="auto"/>
        </w:rPr>
        <w:t>000&lt;20000</w:t>
      </w:r>
      <w:r>
        <w:rPr>
          <w:rFonts w:hint="eastAsia"/>
          <w:color w:val="auto"/>
          <w:lang w:eastAsia="zh-CN"/>
        </w:rPr>
        <w:t>（</w:t>
      </w:r>
      <w:r>
        <w:rPr>
          <w:rFonts w:hint="eastAsia"/>
          <w:color w:val="auto"/>
        </w:rPr>
        <w:t>m</w:t>
      </w:r>
      <w:r>
        <w:rPr>
          <w:rFonts w:hint="eastAsia"/>
          <w:color w:val="auto"/>
          <w:vertAlign w:val="superscript"/>
        </w:rPr>
        <w:t>3</w:t>
      </w:r>
      <w:r>
        <w:rPr>
          <w:rFonts w:hint="eastAsia"/>
          <w:color w:val="auto"/>
        </w:rPr>
        <w:t>/d</w:t>
      </w:r>
      <w:r>
        <w:rPr>
          <w:rFonts w:hint="eastAsia"/>
          <w:color w:val="auto"/>
          <w:lang w:eastAsia="zh-CN"/>
        </w:rPr>
        <w:t>）</w:t>
      </w:r>
      <w:r>
        <w:rPr>
          <w:rFonts w:hint="eastAsia"/>
          <w:color w:val="auto"/>
        </w:rPr>
        <w:t>；</w:t>
      </w:r>
    </w:p>
    <w:p w14:paraId="7B09DB45">
      <w:pPr>
        <w:spacing w:line="360" w:lineRule="auto"/>
        <w:ind w:firstLine="470" w:firstLineChars="196"/>
        <w:rPr>
          <w:rFonts w:hint="eastAsia"/>
          <w:color w:val="auto"/>
          <w:lang w:eastAsia="zh-CN"/>
        </w:rPr>
      </w:pPr>
      <w:r>
        <w:rPr>
          <w:rFonts w:hint="eastAsia"/>
          <w:color w:val="auto"/>
        </w:rPr>
        <w:t>水污染当量</w:t>
      </w:r>
      <w:r>
        <w:rPr>
          <w:rFonts w:hint="eastAsia"/>
          <w:color w:val="auto"/>
          <w:lang w:val="en-US" w:eastAsia="zh-CN"/>
        </w:rPr>
        <w:t>取最大值</w:t>
      </w:r>
      <w:r>
        <w:rPr>
          <w:rFonts w:hint="eastAsia"/>
          <w:color w:val="auto"/>
        </w:rPr>
        <w:t>：COD</w:t>
      </w:r>
      <w:r>
        <w:rPr>
          <w:rFonts w:hint="eastAsia"/>
          <w:color w:val="auto"/>
          <w:lang w:val="en-US" w:eastAsia="zh-CN"/>
        </w:rPr>
        <w:t>=18000</w:t>
      </w:r>
      <w:r>
        <w:rPr>
          <w:rFonts w:hint="eastAsia"/>
          <w:color w:val="auto"/>
        </w:rPr>
        <w:t>&lt;600000</w:t>
      </w:r>
      <w:r>
        <w:rPr>
          <w:rFonts w:hint="eastAsia"/>
          <w:color w:val="auto"/>
          <w:lang w:eastAsia="zh-CN"/>
        </w:rPr>
        <w:t>（</w:t>
      </w:r>
      <w:r>
        <w:rPr>
          <w:rFonts w:hint="eastAsia"/>
          <w:color w:val="auto"/>
          <w:lang w:val="en-US" w:eastAsia="zh-CN"/>
        </w:rPr>
        <w:t>无量纲</w:t>
      </w:r>
      <w:r>
        <w:rPr>
          <w:rFonts w:hint="eastAsia"/>
          <w:color w:val="auto"/>
          <w:lang w:eastAsia="zh-CN"/>
        </w:rPr>
        <w:t>）。</w:t>
      </w:r>
    </w:p>
    <w:p w14:paraId="7BB62FF6">
      <w:pPr>
        <w:spacing w:line="360" w:lineRule="auto"/>
        <w:ind w:firstLine="470" w:firstLineChars="196"/>
        <w:rPr>
          <w:color w:val="auto"/>
        </w:rPr>
      </w:pPr>
      <w:r>
        <w:rPr>
          <w:rFonts w:hint="eastAsia"/>
          <w:color w:val="auto"/>
          <w:lang w:val="en-US" w:eastAsia="zh-CN"/>
        </w:rPr>
        <w:t>综上，本项目属于水污染型建设项目</w:t>
      </w:r>
      <w:r>
        <w:rPr>
          <w:rFonts w:hint="eastAsia"/>
          <w:color w:val="auto"/>
          <w:lang w:eastAsia="zh-CN"/>
        </w:rPr>
        <w:t>，</w:t>
      </w:r>
      <w:r>
        <w:rPr>
          <w:rFonts w:hint="eastAsia"/>
          <w:color w:val="auto"/>
        </w:rPr>
        <w:t>排放方式</w:t>
      </w:r>
      <w:r>
        <w:rPr>
          <w:rFonts w:hint="eastAsia"/>
          <w:color w:val="auto"/>
          <w:lang w:val="en-US" w:eastAsia="zh-CN"/>
        </w:rPr>
        <w:t>为</w:t>
      </w:r>
      <w:r>
        <w:rPr>
          <w:rFonts w:hint="eastAsia"/>
          <w:color w:val="auto"/>
        </w:rPr>
        <w:t>直接排放</w:t>
      </w:r>
      <w:r>
        <w:rPr>
          <w:rFonts w:hint="eastAsia"/>
          <w:color w:val="auto"/>
          <w:lang w:val="en-US" w:eastAsia="zh-CN"/>
        </w:rPr>
        <w:t>。受纳水体影响范围不涉及饮用水水源保护区、饮用水取水口、重点保护与珍稀水生生物的栖息地、重要水生生物的自然产卵场等保护目标。</w:t>
      </w:r>
      <w:r>
        <w:rPr>
          <w:color w:val="auto"/>
        </w:rPr>
        <w:t>根据表2</w:t>
      </w:r>
      <w:r>
        <w:rPr>
          <w:rFonts w:hint="eastAsia"/>
          <w:color w:val="auto"/>
          <w:lang w:val="en-US" w:eastAsia="zh-CN"/>
        </w:rPr>
        <w:t>.4-1</w:t>
      </w:r>
      <w:r>
        <w:rPr>
          <w:rFonts w:hint="eastAsia"/>
          <w:color w:val="auto"/>
          <w:lang w:eastAsia="zh-CN"/>
        </w:rPr>
        <w:t>，</w:t>
      </w:r>
      <w:r>
        <w:rPr>
          <w:color w:val="auto"/>
        </w:rPr>
        <w:t>本项目</w:t>
      </w:r>
      <w:r>
        <w:rPr>
          <w:rFonts w:hint="eastAsia"/>
          <w:color w:val="auto"/>
          <w:lang w:eastAsia="zh-CN"/>
        </w:rPr>
        <w:t>地表水</w:t>
      </w:r>
      <w:r>
        <w:rPr>
          <w:color w:val="auto"/>
        </w:rPr>
        <w:t>环境影响评价</w:t>
      </w:r>
      <w:r>
        <w:rPr>
          <w:rFonts w:hint="eastAsia"/>
          <w:color w:val="auto"/>
          <w:lang w:val="en-US" w:eastAsia="zh-CN"/>
        </w:rPr>
        <w:t>等级</w:t>
      </w:r>
      <w:r>
        <w:rPr>
          <w:color w:val="auto"/>
        </w:rPr>
        <w:t>为</w:t>
      </w:r>
      <w:r>
        <w:rPr>
          <w:rFonts w:hint="eastAsia"/>
          <w:color w:val="auto"/>
          <w:lang w:eastAsia="zh-CN"/>
        </w:rPr>
        <w:t>二</w:t>
      </w:r>
      <w:r>
        <w:rPr>
          <w:color w:val="auto"/>
        </w:rPr>
        <w:t>级。</w:t>
      </w:r>
    </w:p>
    <w:p w14:paraId="0BEDD7CF">
      <w:pPr>
        <w:pStyle w:val="5"/>
        <w:rPr>
          <w:rFonts w:hint="eastAsia" w:ascii="Times New Roman" w:hAnsi="Times New Roman" w:eastAsia="Times New Roman" w:cs="Times New Roman"/>
        </w:rPr>
      </w:pPr>
      <w:r>
        <w:rPr>
          <w:rFonts w:hint="eastAsia" w:ascii="Times New Roman" w:hAnsi="Times New Roman" w:eastAsia="Times New Roman" w:cs="Times New Roman"/>
        </w:rPr>
        <w:t>2.4.</w:t>
      </w:r>
      <w:r>
        <w:rPr>
          <w:rFonts w:hint="eastAsia" w:ascii="Times New Roman" w:hAnsi="Times New Roman" w:eastAsia="宋体" w:cs="Times New Roman"/>
          <w:lang w:val="en-US" w:eastAsia="zh-CN"/>
        </w:rPr>
        <w:t>1</w:t>
      </w:r>
      <w:r>
        <w:rPr>
          <w:rFonts w:hint="eastAsia" w:ascii="Times New Roman" w:hAnsi="Times New Roman" w:eastAsia="Times New Roman" w:cs="Times New Roman"/>
        </w:rPr>
        <w:t>.2评价范围</w:t>
      </w:r>
    </w:p>
    <w:p w14:paraId="6B7D9BF0">
      <w:pPr>
        <w:spacing w:line="360" w:lineRule="auto"/>
        <w:ind w:firstLine="470" w:firstLineChars="196"/>
        <w:rPr>
          <w:rFonts w:hint="eastAsia"/>
          <w:color w:val="auto"/>
          <w:lang w:val="en-US" w:eastAsia="zh-CN"/>
        </w:rPr>
      </w:pPr>
      <w:r>
        <w:rPr>
          <w:rFonts w:hint="eastAsia"/>
          <w:color w:val="auto"/>
          <w:lang w:val="en-US" w:eastAsia="zh-CN"/>
        </w:rPr>
        <w:t>根据《环境影响评价技术导则地表水环境》（HJ2.3-2018）相关要求，二级评价范围应符合以下要求：</w:t>
      </w:r>
    </w:p>
    <w:p w14:paraId="58192418">
      <w:pPr>
        <w:spacing w:line="360" w:lineRule="auto"/>
        <w:ind w:firstLine="470" w:firstLineChars="196"/>
        <w:rPr>
          <w:rFonts w:hint="eastAsia"/>
          <w:color w:val="auto"/>
          <w:lang w:val="en-US" w:eastAsia="zh-CN"/>
        </w:rPr>
      </w:pPr>
      <w:r>
        <w:rPr>
          <w:rFonts w:hint="eastAsia"/>
          <w:color w:val="auto"/>
          <w:lang w:val="en-US" w:eastAsia="zh-CN"/>
        </w:rPr>
        <w:t>a）应根据主要污染物迁移转化状况，至少覆盖建设项目污染影响所及水域；</w:t>
      </w:r>
    </w:p>
    <w:p w14:paraId="481B3D41">
      <w:pPr>
        <w:spacing w:line="360" w:lineRule="auto"/>
        <w:ind w:firstLine="470" w:firstLineChars="196"/>
        <w:rPr>
          <w:rFonts w:hint="eastAsia"/>
          <w:color w:val="auto"/>
          <w:lang w:val="en-US" w:eastAsia="zh-CN"/>
        </w:rPr>
      </w:pPr>
      <w:r>
        <w:rPr>
          <w:rFonts w:hint="eastAsia"/>
          <w:color w:val="auto"/>
          <w:lang w:val="en-US" w:eastAsia="zh-CN"/>
        </w:rPr>
        <w:t>b）根据《环境影响评价技术导则地表水环境》（HJ2.3-2018）附录E河流、湖库、入海口及近岸海域常用数学模型基本方程及解法中E.1混合过程段长度估算公式计算评价范围。</w:t>
      </w:r>
    </w:p>
    <w:p w14:paraId="23304694">
      <w:pPr>
        <w:spacing w:line="360" w:lineRule="auto"/>
        <w:ind w:firstLine="470" w:firstLineChars="196"/>
        <w:jc w:val="center"/>
        <w:rPr>
          <w:rFonts w:hint="eastAsia"/>
          <w:color w:val="0000FF"/>
          <w:lang w:val="en-US" w:eastAsia="zh-CN"/>
        </w:rPr>
      </w:pPr>
      <w:r>
        <w:rPr>
          <w:rFonts w:hint="eastAsia"/>
          <w:color w:val="0000FF"/>
          <w:lang w:val="en-US" w:eastAsia="zh-CN"/>
        </w:rPr>
        <w:drawing>
          <wp:inline distT="0" distB="0" distL="0" distR="0">
            <wp:extent cx="4324350" cy="74295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324350" cy="742950"/>
                    </a:xfrm>
                    <a:prstGeom prst="rect">
                      <a:avLst/>
                    </a:prstGeom>
                    <a:noFill/>
                    <a:ln>
                      <a:noFill/>
                    </a:ln>
                  </pic:spPr>
                </pic:pic>
              </a:graphicData>
            </a:graphic>
          </wp:inline>
        </w:drawing>
      </w:r>
    </w:p>
    <w:p w14:paraId="5D0A2DD4">
      <w:pPr>
        <w:spacing w:line="360" w:lineRule="auto"/>
        <w:ind w:firstLine="470" w:firstLineChars="196"/>
        <w:rPr>
          <w:rFonts w:hint="eastAsia"/>
          <w:color w:val="auto"/>
          <w:lang w:val="en-US" w:eastAsia="zh-CN"/>
        </w:rPr>
      </w:pPr>
      <w:r>
        <w:rPr>
          <w:rFonts w:hint="eastAsia"/>
          <w:color w:val="auto"/>
          <w:lang w:val="en-US" w:eastAsia="zh-CN"/>
        </w:rPr>
        <w:t>式中：Lm－混合段长度，m；</w:t>
      </w:r>
    </w:p>
    <w:p w14:paraId="67F786E8">
      <w:pPr>
        <w:spacing w:line="360" w:lineRule="auto"/>
        <w:ind w:firstLine="470" w:firstLineChars="196"/>
        <w:rPr>
          <w:rFonts w:hint="eastAsia"/>
          <w:color w:val="auto"/>
          <w:lang w:val="en-US" w:eastAsia="zh-CN"/>
        </w:rPr>
      </w:pPr>
      <w:r>
        <w:rPr>
          <w:rFonts w:hint="eastAsia"/>
          <w:color w:val="auto"/>
          <w:lang w:val="en-US" w:eastAsia="zh-CN"/>
        </w:rPr>
        <w:t>B－水面宽度，m；</w:t>
      </w:r>
    </w:p>
    <w:p w14:paraId="7B0871AC">
      <w:pPr>
        <w:spacing w:line="360" w:lineRule="auto"/>
        <w:ind w:firstLine="470" w:firstLineChars="196"/>
        <w:rPr>
          <w:rFonts w:hint="eastAsia"/>
          <w:color w:val="auto"/>
          <w:lang w:val="en-US" w:eastAsia="zh-CN"/>
        </w:rPr>
      </w:pPr>
      <w:r>
        <w:rPr>
          <w:rFonts w:hint="eastAsia"/>
          <w:color w:val="auto"/>
          <w:lang w:val="en-US" w:eastAsia="zh-CN"/>
        </w:rPr>
        <w:t>a－排放口到岸边的距离，m；（0m）</w:t>
      </w:r>
    </w:p>
    <w:p w14:paraId="0F19086D">
      <w:pPr>
        <w:spacing w:line="360" w:lineRule="auto"/>
        <w:ind w:firstLine="470" w:firstLineChars="196"/>
        <w:rPr>
          <w:rFonts w:hint="eastAsia"/>
          <w:color w:val="auto"/>
          <w:lang w:val="en-US" w:eastAsia="zh-CN"/>
        </w:rPr>
      </w:pPr>
      <w:r>
        <w:rPr>
          <w:rFonts w:hint="eastAsia"/>
          <w:color w:val="auto"/>
          <w:lang w:val="en-US" w:eastAsia="zh-CN"/>
        </w:rPr>
        <w:t>u－断面流速，m/s；</w:t>
      </w:r>
    </w:p>
    <w:p w14:paraId="775A571E">
      <w:pPr>
        <w:spacing w:line="360" w:lineRule="auto"/>
        <w:ind w:firstLine="470" w:firstLineChars="196"/>
        <w:rPr>
          <w:rFonts w:hint="eastAsia"/>
          <w:color w:val="auto"/>
          <w:lang w:val="en-US" w:eastAsia="zh-CN"/>
        </w:rPr>
      </w:pPr>
      <w:r>
        <w:rPr>
          <w:rFonts w:hint="eastAsia"/>
          <w:color w:val="auto"/>
          <w:lang w:val="en-US" w:eastAsia="zh-CN"/>
        </w:rPr>
        <w:t>Ey－污染物横向扩散系数，m</w:t>
      </w:r>
      <w:r>
        <w:rPr>
          <w:rFonts w:hint="eastAsia"/>
          <w:color w:val="auto"/>
          <w:vertAlign w:val="superscript"/>
          <w:lang w:val="en-US" w:eastAsia="zh-CN"/>
        </w:rPr>
        <w:t>2</w:t>
      </w:r>
      <w:r>
        <w:rPr>
          <w:rFonts w:hint="eastAsia"/>
          <w:color w:val="auto"/>
          <w:lang w:val="en-US" w:eastAsia="zh-CN"/>
        </w:rPr>
        <w:t>/s；</w:t>
      </w:r>
    </w:p>
    <w:p w14:paraId="70D97F12">
      <w:pPr>
        <w:spacing w:line="360" w:lineRule="auto"/>
        <w:ind w:firstLine="470" w:firstLineChars="196"/>
        <w:rPr>
          <w:rFonts w:hint="eastAsia"/>
          <w:color w:val="auto"/>
          <w:lang w:val="en-US" w:eastAsia="zh-CN"/>
        </w:rPr>
      </w:pPr>
      <w:r>
        <w:rPr>
          <w:rFonts w:hint="eastAsia"/>
          <w:color w:val="auto"/>
          <w:lang w:val="en-US" w:eastAsia="zh-CN"/>
        </w:rPr>
        <w:t>对应的水深、河宽、流速等水文参数表见表2.4-2。</w:t>
      </w:r>
    </w:p>
    <w:p w14:paraId="45F96E67">
      <w:pPr>
        <w:spacing w:line="360" w:lineRule="auto"/>
        <w:ind w:firstLine="482" w:firstLineChars="200"/>
        <w:jc w:val="center"/>
        <w:rPr>
          <w:b/>
          <w:bCs/>
        </w:rPr>
      </w:pPr>
      <w:r>
        <w:rPr>
          <w:b/>
          <w:bCs/>
        </w:rPr>
        <w:t>表2</w:t>
      </w:r>
      <w:r>
        <w:rPr>
          <w:rFonts w:hint="eastAsia"/>
          <w:b/>
          <w:bCs/>
          <w:lang w:val="en-US" w:eastAsia="zh-CN"/>
        </w:rPr>
        <w:t>.4-2</w:t>
      </w:r>
      <w:r>
        <w:rPr>
          <w:b/>
          <w:bCs/>
        </w:rPr>
        <w:t xml:space="preserve"> 嫩江水文参数</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0"/>
        <w:gridCol w:w="1386"/>
        <w:gridCol w:w="1388"/>
        <w:gridCol w:w="1542"/>
        <w:gridCol w:w="1388"/>
        <w:gridCol w:w="1689"/>
      </w:tblGrid>
      <w:tr w14:paraId="05630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1" w:type="pct"/>
            <w:shd w:val="clear" w:color="auto" w:fill="auto"/>
            <w:vAlign w:val="center"/>
          </w:tcPr>
          <w:p w14:paraId="47B022ED">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w:t>
            </w:r>
          </w:p>
        </w:tc>
        <w:tc>
          <w:tcPr>
            <w:tcW w:w="750" w:type="pct"/>
            <w:shd w:val="clear" w:color="auto" w:fill="auto"/>
            <w:vAlign w:val="center"/>
          </w:tcPr>
          <w:p w14:paraId="2852081D">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水深（m）</w:t>
            </w:r>
          </w:p>
        </w:tc>
        <w:tc>
          <w:tcPr>
            <w:tcW w:w="751" w:type="pct"/>
            <w:shd w:val="clear" w:color="auto" w:fill="auto"/>
            <w:vAlign w:val="center"/>
          </w:tcPr>
          <w:p w14:paraId="183E2FE4">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河宽（m）</w:t>
            </w:r>
          </w:p>
        </w:tc>
        <w:tc>
          <w:tcPr>
            <w:tcW w:w="834" w:type="pct"/>
            <w:shd w:val="clear" w:color="auto" w:fill="auto"/>
            <w:vAlign w:val="center"/>
          </w:tcPr>
          <w:p w14:paraId="6B81B678">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流速（m/s）</w:t>
            </w:r>
          </w:p>
        </w:tc>
        <w:tc>
          <w:tcPr>
            <w:tcW w:w="751" w:type="pct"/>
            <w:shd w:val="clear" w:color="auto" w:fill="auto"/>
            <w:vAlign w:val="center"/>
          </w:tcPr>
          <w:p w14:paraId="20D52037">
            <w:pPr>
              <w:spacing w:line="440" w:lineRule="exact"/>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水力坡降</w:t>
            </w:r>
          </w:p>
        </w:tc>
        <w:tc>
          <w:tcPr>
            <w:tcW w:w="914" w:type="pct"/>
            <w:shd w:val="clear" w:color="auto" w:fill="auto"/>
            <w:vAlign w:val="center"/>
          </w:tcPr>
          <w:p w14:paraId="3DD365E3">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流量（m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w:t>
            </w:r>
          </w:p>
        </w:tc>
      </w:tr>
      <w:tr w14:paraId="72286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1" w:type="pct"/>
            <w:shd w:val="clear" w:color="auto" w:fill="auto"/>
            <w:vAlign w:val="center"/>
          </w:tcPr>
          <w:p w14:paraId="1B31BC96">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嫩江（枯水期尼尔基下泄极端情况）</w:t>
            </w:r>
          </w:p>
        </w:tc>
        <w:tc>
          <w:tcPr>
            <w:tcW w:w="750" w:type="pct"/>
            <w:shd w:val="clear" w:color="auto" w:fill="auto"/>
            <w:vAlign w:val="center"/>
          </w:tcPr>
          <w:p w14:paraId="48D36376">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1.62</w:t>
            </w:r>
          </w:p>
        </w:tc>
        <w:tc>
          <w:tcPr>
            <w:tcW w:w="751" w:type="pct"/>
            <w:shd w:val="clear" w:color="auto" w:fill="auto"/>
            <w:vAlign w:val="center"/>
          </w:tcPr>
          <w:p w14:paraId="22016338">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146.85</w:t>
            </w:r>
          </w:p>
        </w:tc>
        <w:tc>
          <w:tcPr>
            <w:tcW w:w="834" w:type="pct"/>
            <w:shd w:val="clear" w:color="auto" w:fill="auto"/>
            <w:vAlign w:val="center"/>
          </w:tcPr>
          <w:p w14:paraId="29891CBD">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0.51</w:t>
            </w:r>
          </w:p>
        </w:tc>
        <w:tc>
          <w:tcPr>
            <w:tcW w:w="751" w:type="pct"/>
            <w:shd w:val="clear" w:color="auto" w:fill="auto"/>
            <w:vAlign w:val="center"/>
          </w:tcPr>
          <w:p w14:paraId="1760F336">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0.003</w:t>
            </w:r>
          </w:p>
        </w:tc>
        <w:tc>
          <w:tcPr>
            <w:tcW w:w="914" w:type="pct"/>
            <w:shd w:val="clear" w:color="auto" w:fill="auto"/>
            <w:vAlign w:val="center"/>
          </w:tcPr>
          <w:p w14:paraId="3340E652">
            <w:pPr>
              <w:spacing w:line="44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35</w:t>
            </w:r>
          </w:p>
        </w:tc>
      </w:tr>
    </w:tbl>
    <w:p w14:paraId="4365EB45">
      <w:pPr>
        <w:spacing w:line="360" w:lineRule="auto"/>
        <w:ind w:firstLine="470" w:firstLineChars="196"/>
        <w:rPr>
          <w:rFonts w:hint="eastAsia"/>
          <w:color w:val="auto"/>
          <w:lang w:val="en-US" w:eastAsia="zh-CN"/>
        </w:rPr>
      </w:pPr>
      <w:r>
        <w:rPr>
          <w:rFonts w:hint="eastAsia"/>
          <w:color w:val="auto"/>
          <w:lang w:val="en-US" w:eastAsia="zh-CN"/>
        </w:rPr>
        <w:t>Ey确定采用泰勒法，公式如下。</w:t>
      </w:r>
    </w:p>
    <w:p w14:paraId="65ECAA69">
      <w:pPr>
        <w:spacing w:line="360" w:lineRule="auto"/>
        <w:ind w:firstLine="470" w:firstLineChars="196"/>
        <w:rPr>
          <w:rFonts w:hint="eastAsia"/>
          <w:color w:val="auto"/>
          <w:lang w:val="en-US" w:eastAsia="zh-CN"/>
        </w:rPr>
      </w:pPr>
      <w:r>
        <w:rPr>
          <w:rFonts w:hint="eastAsia"/>
          <w:color w:val="auto"/>
          <w:lang w:val="en-US" w:eastAsia="zh-CN"/>
        </w:rPr>
        <w:drawing>
          <wp:inline distT="0" distB="0" distL="0" distR="0">
            <wp:extent cx="2827020" cy="416560"/>
            <wp:effectExtent l="0" t="0" r="11430" b="25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noChangeArrowheads="1"/>
                    </pic:cNvPicPr>
                  </pic:nvPicPr>
                  <pic:blipFill>
                    <a:blip r:embed="rId27">
                      <a:extLst>
                        <a:ext uri="{28A0092B-C50C-407E-A947-70E740481C1C}">
                          <a14:useLocalDpi xmlns:a14="http://schemas.microsoft.com/office/drawing/2010/main" val="0"/>
                        </a:ext>
                      </a:extLst>
                    </a:blip>
                    <a:srcRect b="13158"/>
                    <a:stretch>
                      <a:fillRect/>
                    </a:stretch>
                  </pic:blipFill>
                  <pic:spPr>
                    <a:xfrm>
                      <a:off x="0" y="0"/>
                      <a:ext cx="2827020" cy="416560"/>
                    </a:xfrm>
                    <a:prstGeom prst="rect">
                      <a:avLst/>
                    </a:prstGeom>
                    <a:noFill/>
                    <a:ln>
                      <a:noFill/>
                    </a:ln>
                  </pic:spPr>
                </pic:pic>
              </a:graphicData>
            </a:graphic>
          </wp:inline>
        </w:drawing>
      </w:r>
    </w:p>
    <w:p w14:paraId="3E2517CE">
      <w:pPr>
        <w:spacing w:line="360" w:lineRule="auto"/>
        <w:ind w:firstLine="470" w:firstLineChars="196"/>
        <w:rPr>
          <w:rFonts w:hint="eastAsia"/>
          <w:color w:val="auto"/>
          <w:lang w:val="en-US" w:eastAsia="zh-CN"/>
        </w:rPr>
      </w:pPr>
      <w:r>
        <w:rPr>
          <w:rFonts w:hint="eastAsia"/>
          <w:color w:val="auto"/>
          <w:lang w:val="en-US" w:eastAsia="zh-CN"/>
        </w:rPr>
        <w:t>式中：H——平均水深，m；</w:t>
      </w:r>
    </w:p>
    <w:p w14:paraId="41BE6B2A">
      <w:pPr>
        <w:spacing w:line="360" w:lineRule="auto"/>
        <w:ind w:firstLine="470" w:firstLineChars="196"/>
        <w:rPr>
          <w:rFonts w:hint="eastAsia"/>
          <w:color w:val="auto"/>
          <w:lang w:val="en-US" w:eastAsia="zh-CN"/>
        </w:rPr>
      </w:pPr>
      <w:r>
        <w:rPr>
          <w:rFonts w:hint="eastAsia"/>
          <w:color w:val="auto"/>
          <w:lang w:val="en-US" w:eastAsia="zh-CN"/>
        </w:rPr>
        <w:t>B——水面宽度，m；</w:t>
      </w:r>
    </w:p>
    <w:p w14:paraId="4666515C">
      <w:pPr>
        <w:spacing w:line="360" w:lineRule="auto"/>
        <w:ind w:firstLine="470" w:firstLineChars="196"/>
        <w:rPr>
          <w:rFonts w:hint="eastAsia"/>
          <w:color w:val="auto"/>
          <w:lang w:val="en-US" w:eastAsia="zh-CN"/>
        </w:rPr>
      </w:pPr>
      <w:r>
        <w:rPr>
          <w:rFonts w:hint="eastAsia"/>
          <w:color w:val="auto"/>
          <w:lang w:val="en-US" w:eastAsia="zh-CN"/>
        </w:rPr>
        <w:t>g——重力加速度，m/s</w:t>
      </w:r>
      <w:r>
        <w:rPr>
          <w:rFonts w:hint="eastAsia"/>
          <w:color w:val="auto"/>
          <w:vertAlign w:val="superscript"/>
          <w:lang w:val="en-US" w:eastAsia="zh-CN"/>
        </w:rPr>
        <w:t>2</w:t>
      </w:r>
      <w:r>
        <w:rPr>
          <w:rFonts w:hint="eastAsia"/>
          <w:color w:val="auto"/>
          <w:lang w:val="en-US" w:eastAsia="zh-CN"/>
        </w:rPr>
        <w:t>，取9.8；</w:t>
      </w:r>
    </w:p>
    <w:p w14:paraId="5CC6801C">
      <w:pPr>
        <w:spacing w:line="360" w:lineRule="auto"/>
        <w:ind w:firstLine="470" w:firstLineChars="196"/>
        <w:rPr>
          <w:rFonts w:hint="eastAsia"/>
          <w:color w:val="auto"/>
          <w:lang w:val="en-US" w:eastAsia="zh-CN"/>
        </w:rPr>
      </w:pPr>
      <w:r>
        <w:rPr>
          <w:rFonts w:hint="eastAsia"/>
          <w:color w:val="auto"/>
          <w:lang w:val="en-US" w:eastAsia="zh-CN"/>
        </w:rPr>
        <w:t>I——水力坡降，%。</w:t>
      </w:r>
    </w:p>
    <w:p w14:paraId="2AAA383C">
      <w:pPr>
        <w:spacing w:line="360" w:lineRule="auto"/>
        <w:ind w:firstLine="470" w:firstLineChars="196"/>
        <w:rPr>
          <w:rFonts w:hint="eastAsia"/>
          <w:color w:val="auto"/>
          <w:lang w:val="en-US" w:eastAsia="zh-CN"/>
        </w:rPr>
      </w:pPr>
      <w:r>
        <w:rPr>
          <w:rFonts w:hint="eastAsia"/>
          <w:color w:val="auto"/>
          <w:lang w:val="en-US" w:eastAsia="zh-CN"/>
        </w:rPr>
        <w:t>计算得Ey=0.41m</w:t>
      </w:r>
      <w:r>
        <w:rPr>
          <w:rFonts w:hint="eastAsia"/>
          <w:color w:val="auto"/>
          <w:vertAlign w:val="superscript"/>
          <w:lang w:val="en-US" w:eastAsia="zh-CN"/>
        </w:rPr>
        <w:t>2</w:t>
      </w:r>
      <w:r>
        <w:rPr>
          <w:rFonts w:hint="eastAsia"/>
          <w:color w:val="auto"/>
          <w:lang w:val="en-US" w:eastAsia="zh-CN"/>
        </w:rPr>
        <w:t>/s。</w:t>
      </w:r>
    </w:p>
    <w:p w14:paraId="40BEBA8A">
      <w:pPr>
        <w:spacing w:line="360" w:lineRule="auto"/>
        <w:ind w:firstLine="470" w:firstLineChars="196"/>
        <w:rPr>
          <w:rFonts w:hint="eastAsia"/>
          <w:color w:val="auto"/>
          <w:lang w:val="en-US" w:eastAsia="zh-CN"/>
        </w:rPr>
      </w:pPr>
      <w:r>
        <w:rPr>
          <w:rFonts w:hint="eastAsia"/>
          <w:color w:val="auto"/>
          <w:lang w:val="en-US" w:eastAsia="zh-CN"/>
        </w:rPr>
        <w:t>经计算混合长度为11857m。</w:t>
      </w:r>
    </w:p>
    <w:p w14:paraId="111FB8C4">
      <w:pPr>
        <w:pStyle w:val="21"/>
        <w:spacing w:line="360" w:lineRule="auto"/>
        <w:ind w:left="0" w:leftChars="0" w:firstLine="480" w:firstLineChars="200"/>
        <w:rPr>
          <w:rFonts w:hint="eastAsia"/>
          <w:color w:val="auto"/>
          <w:lang w:val="en-US" w:eastAsia="zh-CN"/>
        </w:rPr>
      </w:pPr>
      <w:r>
        <w:rPr>
          <w:rFonts w:hint="eastAsia" w:ascii="Times New Roman" w:hAnsi="Times New Roman" w:eastAsia="宋体" w:cs="Times New Roman"/>
          <w:color w:val="auto"/>
          <w:sz w:val="24"/>
          <w:szCs w:val="24"/>
          <w:lang w:val="en-US" w:eastAsia="zh-CN" w:bidi="ar-SA"/>
        </w:rPr>
        <w:t>因此，本次地表水评价范围为排污口上游500m的对照断面至排污口下游11857m的消减断面，评价河流段长度为12357m。</w:t>
      </w:r>
    </w:p>
    <w:p w14:paraId="53B9C0C6">
      <w:pPr>
        <w:pStyle w:val="4"/>
      </w:pPr>
      <w:r>
        <w:t>2.4.2环境空气</w:t>
      </w:r>
    </w:p>
    <w:p w14:paraId="32A2F115">
      <w:pPr>
        <w:pStyle w:val="5"/>
        <w:rPr>
          <w:rFonts w:hint="eastAsia" w:ascii="Times New Roman" w:hAnsi="Times New Roman" w:eastAsia="Times New Roman" w:cs="Times New Roman"/>
        </w:rPr>
      </w:pPr>
      <w:bookmarkStart w:id="158" w:name="_Toc267408491"/>
      <w:bookmarkStart w:id="159" w:name="_Toc229301170"/>
      <w:bookmarkStart w:id="160" w:name="_Toc216001232"/>
      <w:bookmarkStart w:id="161" w:name="_Toc241156905"/>
      <w:bookmarkStart w:id="162" w:name="_Toc241157263"/>
      <w:r>
        <w:rPr>
          <w:rFonts w:hint="eastAsia" w:ascii="Times New Roman" w:hAnsi="Times New Roman" w:eastAsia="Times New Roman" w:cs="Times New Roman"/>
        </w:rPr>
        <w:t>2.4.</w:t>
      </w:r>
      <w:r>
        <w:rPr>
          <w:rFonts w:hint="eastAsia" w:ascii="Times New Roman" w:hAnsi="Times New Roman" w:eastAsia="宋体" w:cs="Times New Roman"/>
          <w:lang w:val="en-US" w:eastAsia="zh-CN"/>
        </w:rPr>
        <w:t>2</w:t>
      </w:r>
      <w:r>
        <w:rPr>
          <w:rFonts w:hint="eastAsia" w:ascii="Times New Roman" w:hAnsi="Times New Roman" w:eastAsia="Times New Roman" w:cs="Times New Roman"/>
        </w:rPr>
        <w:t>.1评价工作等级</w:t>
      </w:r>
    </w:p>
    <w:p w14:paraId="05D56738">
      <w:pPr>
        <w:spacing w:line="360" w:lineRule="auto"/>
        <w:ind w:firstLine="480" w:firstLineChars="200"/>
      </w:pPr>
      <w: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14:paraId="030DD532">
      <w:pPr>
        <w:spacing w:line="360" w:lineRule="auto"/>
        <w:ind w:firstLine="480" w:firstLineChars="200"/>
      </w:pPr>
      <w:r>
        <w:t>根据项目污染源初步调查结果，分别计算项目排放主要污染物的最大地面空气质量浓度占标率Pi（第i个污染物，简称“最大浓度占标率”），及第i个污染物的地面空气质量浓度达标准限值的10%时所对应的最远距离D10%。其中Pi定义见公式（1）：</w:t>
      </w:r>
    </w:p>
    <w:p w14:paraId="7EA35ABA">
      <w:pPr>
        <w:spacing w:line="360" w:lineRule="auto"/>
        <w:ind w:firstLine="480" w:firstLineChars="200"/>
      </w:pPr>
      <w:r>
        <w:t xml:space="preserve">                 Pi=Ci/C0i×100%                    （1）</w:t>
      </w:r>
    </w:p>
    <w:p w14:paraId="07F5F06A">
      <w:pPr>
        <w:spacing w:line="360" w:lineRule="auto"/>
        <w:ind w:firstLine="480" w:firstLineChars="200"/>
      </w:pPr>
      <w:r>
        <w:t>式中：Pi—第i个污染物的最大地面空气质量浓度占标率，%；</w:t>
      </w:r>
    </w:p>
    <w:p w14:paraId="06476444">
      <w:pPr>
        <w:spacing w:line="360" w:lineRule="auto"/>
        <w:ind w:firstLine="480" w:firstLineChars="200"/>
      </w:pPr>
      <w:r>
        <w:t>Ci—采用估算模式计算出的第i个污染物的最大1h地面空气质量浓度，μg/m</w:t>
      </w:r>
      <w:r>
        <w:rPr>
          <w:vertAlign w:val="superscript"/>
        </w:rPr>
        <w:t>3</w:t>
      </w:r>
      <w:r>
        <w:t>；</w:t>
      </w:r>
    </w:p>
    <w:p w14:paraId="6356AEE3">
      <w:pPr>
        <w:spacing w:line="360" w:lineRule="auto"/>
        <w:ind w:firstLine="480" w:firstLineChars="200"/>
      </w:pPr>
      <w:r>
        <w:t>C0i—第i个污染物的环境空气质量浓度标准，μg/m</w:t>
      </w:r>
      <w:r>
        <w:rPr>
          <w:vertAlign w:val="superscript"/>
        </w:rPr>
        <w:t>3</w:t>
      </w:r>
      <w:r>
        <w:t>。</w:t>
      </w:r>
    </w:p>
    <w:p w14:paraId="6D015CAE">
      <w:pPr>
        <w:spacing w:line="360" w:lineRule="auto"/>
        <w:ind w:firstLine="480" w:firstLineChars="200"/>
      </w:pPr>
      <w:r>
        <w:t>一般选用GB3095中1h平均质量浓度的二级浓度限值；对该标准中未包含的污染物，使用5.2确定的各评价因子1h平均质量浓度限值。对仅有8h平均质量浓度限值、日平均质量浓度限值或年平均质量浓度限值的，可分别按2倍、3倍、6倍折算为1h平均质量浓度限值。</w:t>
      </w:r>
    </w:p>
    <w:p w14:paraId="229294B1">
      <w:pPr>
        <w:spacing w:line="360" w:lineRule="auto"/>
        <w:ind w:firstLine="482" w:firstLineChars="200"/>
        <w:jc w:val="center"/>
      </w:pPr>
      <w:r>
        <w:rPr>
          <w:b/>
          <w:bCs/>
        </w:rPr>
        <w:t>表2.4-</w:t>
      </w:r>
      <w:r>
        <w:rPr>
          <w:rFonts w:hint="eastAsia"/>
          <w:b/>
          <w:bCs/>
          <w:lang w:val="en-US" w:eastAsia="zh-CN"/>
        </w:rPr>
        <w:t>3</w:t>
      </w:r>
      <w:r>
        <w:rPr>
          <w:b/>
          <w:bCs/>
        </w:rPr>
        <w:t xml:space="preserve">  环境空气影响评价工作等级</w:t>
      </w:r>
    </w:p>
    <w:tbl>
      <w:tblPr>
        <w:tblStyle w:val="53"/>
        <w:tblW w:w="912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817"/>
        <w:gridCol w:w="6310"/>
      </w:tblGrid>
      <w:tr w14:paraId="64198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trPr>
        <w:tc>
          <w:tcPr>
            <w:tcW w:w="2817" w:type="dxa"/>
            <w:tcBorders>
              <w:tl2br w:val="nil"/>
              <w:tr2bl w:val="nil"/>
            </w:tcBorders>
            <w:vAlign w:val="center"/>
          </w:tcPr>
          <w:p w14:paraId="0ABF3C85">
            <w:pPr>
              <w:jc w:val="center"/>
              <w:rPr>
                <w:b/>
                <w:bCs/>
                <w:sz w:val="21"/>
                <w:szCs w:val="21"/>
              </w:rPr>
            </w:pPr>
            <w:r>
              <w:rPr>
                <w:b/>
                <w:bCs/>
                <w:sz w:val="21"/>
                <w:szCs w:val="21"/>
              </w:rPr>
              <w:t>评价工作等级</w:t>
            </w:r>
          </w:p>
        </w:tc>
        <w:tc>
          <w:tcPr>
            <w:tcW w:w="6310" w:type="dxa"/>
            <w:tcBorders>
              <w:tl2br w:val="nil"/>
              <w:tr2bl w:val="nil"/>
            </w:tcBorders>
            <w:vAlign w:val="center"/>
          </w:tcPr>
          <w:p w14:paraId="1A9DA528">
            <w:pPr>
              <w:jc w:val="center"/>
              <w:rPr>
                <w:b/>
                <w:bCs/>
                <w:sz w:val="21"/>
                <w:szCs w:val="21"/>
              </w:rPr>
            </w:pPr>
            <w:r>
              <w:rPr>
                <w:b/>
                <w:bCs/>
                <w:sz w:val="21"/>
                <w:szCs w:val="21"/>
              </w:rPr>
              <w:t>评价工作分级判据</w:t>
            </w:r>
          </w:p>
        </w:tc>
      </w:tr>
      <w:tr w14:paraId="752AD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trPr>
        <w:tc>
          <w:tcPr>
            <w:tcW w:w="2817" w:type="dxa"/>
            <w:tcBorders>
              <w:tl2br w:val="nil"/>
              <w:tr2bl w:val="nil"/>
            </w:tcBorders>
            <w:vAlign w:val="center"/>
          </w:tcPr>
          <w:p w14:paraId="13EB702D">
            <w:pPr>
              <w:jc w:val="center"/>
              <w:rPr>
                <w:sz w:val="21"/>
                <w:szCs w:val="21"/>
              </w:rPr>
            </w:pPr>
            <w:r>
              <w:rPr>
                <w:sz w:val="21"/>
                <w:szCs w:val="21"/>
              </w:rPr>
              <w:t>一级评价</w:t>
            </w:r>
          </w:p>
        </w:tc>
        <w:tc>
          <w:tcPr>
            <w:tcW w:w="6310" w:type="dxa"/>
            <w:tcBorders>
              <w:tl2br w:val="nil"/>
              <w:tr2bl w:val="nil"/>
            </w:tcBorders>
            <w:vAlign w:val="center"/>
          </w:tcPr>
          <w:p w14:paraId="58725CBF">
            <w:pPr>
              <w:jc w:val="center"/>
              <w:rPr>
                <w:sz w:val="21"/>
                <w:szCs w:val="21"/>
              </w:rPr>
            </w:pPr>
            <w:r>
              <w:rPr>
                <w:sz w:val="21"/>
                <w:szCs w:val="21"/>
              </w:rPr>
              <w:t>Pmax≥10%</w:t>
            </w:r>
          </w:p>
        </w:tc>
      </w:tr>
      <w:tr w14:paraId="11968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trPr>
        <w:tc>
          <w:tcPr>
            <w:tcW w:w="2817" w:type="dxa"/>
            <w:tcBorders>
              <w:tl2br w:val="nil"/>
              <w:tr2bl w:val="nil"/>
            </w:tcBorders>
            <w:vAlign w:val="center"/>
          </w:tcPr>
          <w:p w14:paraId="34C28D3E">
            <w:pPr>
              <w:jc w:val="center"/>
              <w:rPr>
                <w:sz w:val="21"/>
                <w:szCs w:val="21"/>
              </w:rPr>
            </w:pPr>
            <w:r>
              <w:rPr>
                <w:sz w:val="21"/>
                <w:szCs w:val="21"/>
              </w:rPr>
              <w:t>二级评价</w:t>
            </w:r>
          </w:p>
        </w:tc>
        <w:tc>
          <w:tcPr>
            <w:tcW w:w="6310" w:type="dxa"/>
            <w:tcBorders>
              <w:tl2br w:val="nil"/>
              <w:tr2bl w:val="nil"/>
            </w:tcBorders>
            <w:vAlign w:val="center"/>
          </w:tcPr>
          <w:p w14:paraId="046270C4">
            <w:pPr>
              <w:jc w:val="center"/>
              <w:rPr>
                <w:sz w:val="21"/>
                <w:szCs w:val="21"/>
              </w:rPr>
            </w:pPr>
            <w:r>
              <w:rPr>
                <w:sz w:val="21"/>
                <w:szCs w:val="21"/>
              </w:rPr>
              <w:t>1%≤Pmax＜10%</w:t>
            </w:r>
          </w:p>
        </w:tc>
      </w:tr>
      <w:tr w14:paraId="3ACA2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97" w:hRule="atLeast"/>
        </w:trPr>
        <w:tc>
          <w:tcPr>
            <w:tcW w:w="2817" w:type="dxa"/>
            <w:tcBorders>
              <w:tl2br w:val="nil"/>
              <w:tr2bl w:val="nil"/>
            </w:tcBorders>
            <w:vAlign w:val="center"/>
          </w:tcPr>
          <w:p w14:paraId="6248B6A9">
            <w:pPr>
              <w:jc w:val="center"/>
              <w:rPr>
                <w:sz w:val="21"/>
                <w:szCs w:val="21"/>
              </w:rPr>
            </w:pPr>
            <w:r>
              <w:rPr>
                <w:sz w:val="21"/>
                <w:szCs w:val="21"/>
              </w:rPr>
              <w:t>三级评价</w:t>
            </w:r>
          </w:p>
        </w:tc>
        <w:tc>
          <w:tcPr>
            <w:tcW w:w="6310" w:type="dxa"/>
            <w:tcBorders>
              <w:tl2br w:val="nil"/>
              <w:tr2bl w:val="nil"/>
            </w:tcBorders>
            <w:vAlign w:val="center"/>
          </w:tcPr>
          <w:p w14:paraId="1EDA6111">
            <w:pPr>
              <w:jc w:val="center"/>
              <w:rPr>
                <w:sz w:val="21"/>
                <w:szCs w:val="21"/>
              </w:rPr>
            </w:pPr>
            <w:r>
              <w:rPr>
                <w:sz w:val="21"/>
                <w:szCs w:val="21"/>
              </w:rPr>
              <w:t>Pmax＜1%</w:t>
            </w:r>
          </w:p>
        </w:tc>
      </w:tr>
    </w:tbl>
    <w:p w14:paraId="48E8857F">
      <w:pPr>
        <w:spacing w:line="360" w:lineRule="auto"/>
        <w:ind w:firstLine="480"/>
        <w:textAlignment w:val="baseline"/>
      </w:pPr>
      <w:r>
        <w:t>最大地面空气质量浓度占标率Pi按公式（1）计算，如污染物数i大于1，取P值中最大者Pmax。</w:t>
      </w:r>
    </w:p>
    <w:p w14:paraId="208D2D38">
      <w:pPr>
        <w:spacing w:line="360" w:lineRule="auto"/>
        <w:ind w:firstLine="480"/>
        <w:textAlignment w:val="baseline"/>
        <w:rPr>
          <w:b/>
        </w:rPr>
      </w:pPr>
      <w:r>
        <w:rPr>
          <w:rFonts w:hint="eastAsia"/>
          <w:lang w:eastAsia="zh-CN"/>
        </w:rPr>
        <w:t>本项目</w:t>
      </w:r>
      <w:r>
        <w:t>主要大气污染物为氨</w:t>
      </w:r>
      <w:r>
        <w:rPr>
          <w:rFonts w:hint="eastAsia"/>
          <w:lang w:eastAsia="zh-CN"/>
        </w:rPr>
        <w:t>、</w:t>
      </w:r>
      <w:r>
        <w:rPr>
          <w:rFonts w:hint="eastAsia"/>
          <w:lang w:val="en-US" w:eastAsia="zh-CN"/>
        </w:rPr>
        <w:t>硫化氢</w:t>
      </w:r>
      <w:r>
        <w:t>。采用《环境影响评价技术导则 大气环境》（HJ2.2-2018）附录A推荐模型中估算模型进行计算，估算模型参数见表2.4-</w:t>
      </w:r>
      <w:r>
        <w:rPr>
          <w:rFonts w:hint="eastAsia"/>
          <w:lang w:val="en-US" w:eastAsia="zh-CN"/>
        </w:rPr>
        <w:t>4</w:t>
      </w:r>
      <w:r>
        <w:t>，计算参数见表2.4-</w:t>
      </w:r>
      <w:r>
        <w:rPr>
          <w:rFonts w:hint="eastAsia"/>
          <w:lang w:val="en-US" w:eastAsia="zh-CN"/>
        </w:rPr>
        <w:t>5</w:t>
      </w:r>
      <w:r>
        <w:t>，</w:t>
      </w:r>
      <w:r>
        <w:rPr>
          <w:rFonts w:hint="eastAsia"/>
          <w:lang w:val="en-US" w:eastAsia="zh-CN"/>
        </w:rPr>
        <w:t>2.4-6，</w:t>
      </w:r>
      <w:r>
        <w:t>计算结果见表2.4-</w:t>
      </w:r>
      <w:r>
        <w:rPr>
          <w:rFonts w:hint="eastAsia"/>
          <w:lang w:val="en-US" w:eastAsia="zh-CN"/>
        </w:rPr>
        <w:t>7</w:t>
      </w:r>
      <w:r>
        <w:t>。</w:t>
      </w:r>
    </w:p>
    <w:p w14:paraId="2DBC20D6">
      <w:pPr>
        <w:adjustRightInd w:val="0"/>
        <w:snapToGrid w:val="0"/>
        <w:spacing w:line="360" w:lineRule="auto"/>
        <w:jc w:val="center"/>
        <w:rPr>
          <w:b/>
        </w:rPr>
      </w:pPr>
      <w:r>
        <w:rPr>
          <w:b/>
        </w:rPr>
        <w:t>表2.4-</w:t>
      </w:r>
      <w:r>
        <w:rPr>
          <w:rFonts w:hint="eastAsia"/>
          <w:b/>
          <w:lang w:val="en-US" w:eastAsia="zh-CN"/>
        </w:rPr>
        <w:t>4</w:t>
      </w:r>
      <w:r>
        <w:rPr>
          <w:b/>
        </w:rPr>
        <w:t xml:space="preserve"> 估算模型参数表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6"/>
        <w:gridCol w:w="2367"/>
        <w:gridCol w:w="4385"/>
      </w:tblGrid>
      <w:tr w14:paraId="7586A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3" w:type="dxa"/>
            <w:gridSpan w:val="2"/>
            <w:tcBorders>
              <w:tl2br w:val="nil"/>
              <w:tr2bl w:val="nil"/>
            </w:tcBorders>
            <w:vAlign w:val="center"/>
          </w:tcPr>
          <w:p w14:paraId="2FB73397">
            <w:pPr>
              <w:jc w:val="center"/>
              <w:rPr>
                <w:b/>
                <w:bCs/>
                <w:sz w:val="21"/>
                <w:szCs w:val="21"/>
              </w:rPr>
            </w:pPr>
            <w:r>
              <w:rPr>
                <w:b/>
                <w:bCs/>
                <w:sz w:val="21"/>
                <w:szCs w:val="21"/>
              </w:rPr>
              <w:t>参数</w:t>
            </w:r>
          </w:p>
        </w:tc>
        <w:tc>
          <w:tcPr>
            <w:tcW w:w="4385" w:type="dxa"/>
            <w:tcBorders>
              <w:tl2br w:val="nil"/>
              <w:tr2bl w:val="nil"/>
            </w:tcBorders>
            <w:vAlign w:val="center"/>
          </w:tcPr>
          <w:p w14:paraId="3BFD0372">
            <w:pPr>
              <w:jc w:val="center"/>
              <w:rPr>
                <w:b/>
                <w:bCs/>
                <w:sz w:val="21"/>
                <w:szCs w:val="21"/>
              </w:rPr>
            </w:pPr>
            <w:r>
              <w:rPr>
                <w:b/>
                <w:bCs/>
                <w:sz w:val="21"/>
                <w:szCs w:val="21"/>
              </w:rPr>
              <w:t>取值</w:t>
            </w:r>
          </w:p>
        </w:tc>
      </w:tr>
      <w:tr w14:paraId="79706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restart"/>
            <w:tcBorders>
              <w:tl2br w:val="nil"/>
              <w:tr2bl w:val="nil"/>
            </w:tcBorders>
            <w:vAlign w:val="center"/>
          </w:tcPr>
          <w:p w14:paraId="50554E9F">
            <w:pPr>
              <w:jc w:val="center"/>
              <w:rPr>
                <w:sz w:val="21"/>
                <w:szCs w:val="21"/>
              </w:rPr>
            </w:pPr>
            <w:r>
              <w:rPr>
                <w:sz w:val="21"/>
                <w:szCs w:val="21"/>
              </w:rPr>
              <w:t>城市农村/选项</w:t>
            </w:r>
          </w:p>
        </w:tc>
        <w:tc>
          <w:tcPr>
            <w:tcW w:w="2367" w:type="dxa"/>
            <w:tcBorders>
              <w:tl2br w:val="nil"/>
              <w:tr2bl w:val="nil"/>
            </w:tcBorders>
            <w:vAlign w:val="center"/>
          </w:tcPr>
          <w:p w14:paraId="7F8C9746">
            <w:pPr>
              <w:jc w:val="center"/>
              <w:rPr>
                <w:sz w:val="21"/>
                <w:szCs w:val="21"/>
              </w:rPr>
            </w:pPr>
            <w:r>
              <w:rPr>
                <w:sz w:val="21"/>
                <w:szCs w:val="21"/>
              </w:rPr>
              <w:t>城市/农村</w:t>
            </w:r>
          </w:p>
        </w:tc>
        <w:tc>
          <w:tcPr>
            <w:tcW w:w="4385" w:type="dxa"/>
            <w:tcBorders>
              <w:tl2br w:val="nil"/>
              <w:tr2bl w:val="nil"/>
            </w:tcBorders>
            <w:vAlign w:val="center"/>
          </w:tcPr>
          <w:p w14:paraId="7EBC70CE">
            <w:pPr>
              <w:jc w:val="center"/>
              <w:rPr>
                <w:sz w:val="21"/>
                <w:szCs w:val="21"/>
              </w:rPr>
            </w:pPr>
            <w:r>
              <w:rPr>
                <w:sz w:val="21"/>
                <w:szCs w:val="21"/>
              </w:rPr>
              <w:t>农村</w:t>
            </w:r>
          </w:p>
        </w:tc>
      </w:tr>
      <w:tr w14:paraId="7DF79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tcBorders>
              <w:tl2br w:val="nil"/>
              <w:tr2bl w:val="nil"/>
            </w:tcBorders>
            <w:vAlign w:val="center"/>
          </w:tcPr>
          <w:p w14:paraId="3A0218DD">
            <w:pPr>
              <w:jc w:val="center"/>
              <w:rPr>
                <w:sz w:val="21"/>
                <w:szCs w:val="21"/>
              </w:rPr>
            </w:pPr>
          </w:p>
        </w:tc>
        <w:tc>
          <w:tcPr>
            <w:tcW w:w="2367" w:type="dxa"/>
            <w:tcBorders>
              <w:tl2br w:val="nil"/>
              <w:tr2bl w:val="nil"/>
            </w:tcBorders>
            <w:vAlign w:val="center"/>
          </w:tcPr>
          <w:p w14:paraId="6B53EC91">
            <w:pPr>
              <w:jc w:val="center"/>
              <w:rPr>
                <w:sz w:val="21"/>
                <w:szCs w:val="21"/>
              </w:rPr>
            </w:pPr>
            <w:r>
              <w:rPr>
                <w:sz w:val="21"/>
                <w:szCs w:val="21"/>
              </w:rPr>
              <w:t>人口数(城市人口数)</w:t>
            </w:r>
          </w:p>
        </w:tc>
        <w:tc>
          <w:tcPr>
            <w:tcW w:w="4385" w:type="dxa"/>
            <w:tcBorders>
              <w:tl2br w:val="nil"/>
              <w:tr2bl w:val="nil"/>
            </w:tcBorders>
            <w:vAlign w:val="center"/>
          </w:tcPr>
          <w:p w14:paraId="3E779108">
            <w:pPr>
              <w:jc w:val="center"/>
              <w:rPr>
                <w:sz w:val="21"/>
                <w:szCs w:val="21"/>
              </w:rPr>
            </w:pPr>
            <w:r>
              <w:rPr>
                <w:sz w:val="21"/>
                <w:szCs w:val="21"/>
              </w:rPr>
              <w:t>/</w:t>
            </w:r>
          </w:p>
        </w:tc>
      </w:tr>
      <w:tr w14:paraId="01EE7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3" w:type="dxa"/>
            <w:gridSpan w:val="2"/>
            <w:tcBorders>
              <w:tl2br w:val="nil"/>
              <w:tr2bl w:val="nil"/>
            </w:tcBorders>
            <w:vAlign w:val="center"/>
          </w:tcPr>
          <w:p w14:paraId="422830C1">
            <w:pPr>
              <w:jc w:val="center"/>
              <w:rPr>
                <w:sz w:val="21"/>
                <w:szCs w:val="21"/>
              </w:rPr>
            </w:pPr>
            <w:r>
              <w:rPr>
                <w:sz w:val="21"/>
                <w:szCs w:val="21"/>
              </w:rPr>
              <w:t>最高环境温度</w:t>
            </w:r>
          </w:p>
        </w:tc>
        <w:tc>
          <w:tcPr>
            <w:tcW w:w="4385" w:type="dxa"/>
            <w:tcBorders>
              <w:tl2br w:val="nil"/>
              <w:tr2bl w:val="nil"/>
            </w:tcBorders>
            <w:vAlign w:val="center"/>
          </w:tcPr>
          <w:p w14:paraId="72BF4A1F">
            <w:pPr>
              <w:jc w:val="center"/>
              <w:rPr>
                <w:sz w:val="21"/>
                <w:szCs w:val="21"/>
              </w:rPr>
            </w:pPr>
            <w:r>
              <w:rPr>
                <w:sz w:val="21"/>
                <w:szCs w:val="21"/>
              </w:rPr>
              <w:t>40.7</w:t>
            </w:r>
          </w:p>
        </w:tc>
      </w:tr>
      <w:tr w14:paraId="4BDE5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3" w:type="dxa"/>
            <w:gridSpan w:val="2"/>
            <w:tcBorders>
              <w:tl2br w:val="nil"/>
              <w:tr2bl w:val="nil"/>
            </w:tcBorders>
            <w:vAlign w:val="center"/>
          </w:tcPr>
          <w:p w14:paraId="6764F99C">
            <w:pPr>
              <w:jc w:val="center"/>
              <w:rPr>
                <w:sz w:val="21"/>
                <w:szCs w:val="21"/>
              </w:rPr>
            </w:pPr>
            <w:r>
              <w:rPr>
                <w:sz w:val="21"/>
                <w:szCs w:val="21"/>
              </w:rPr>
              <w:t>最低环境温度</w:t>
            </w:r>
          </w:p>
        </w:tc>
        <w:tc>
          <w:tcPr>
            <w:tcW w:w="4385" w:type="dxa"/>
            <w:tcBorders>
              <w:tl2br w:val="nil"/>
              <w:tr2bl w:val="nil"/>
            </w:tcBorders>
            <w:vAlign w:val="center"/>
          </w:tcPr>
          <w:p w14:paraId="6CB4FE7B">
            <w:pPr>
              <w:jc w:val="center"/>
              <w:rPr>
                <w:sz w:val="21"/>
                <w:szCs w:val="21"/>
              </w:rPr>
            </w:pPr>
            <w:r>
              <w:rPr>
                <w:sz w:val="21"/>
                <w:szCs w:val="21"/>
              </w:rPr>
              <w:t>-40.3</w:t>
            </w:r>
          </w:p>
        </w:tc>
      </w:tr>
      <w:tr w14:paraId="0CB2F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3" w:type="dxa"/>
            <w:gridSpan w:val="2"/>
            <w:tcBorders>
              <w:tl2br w:val="nil"/>
              <w:tr2bl w:val="nil"/>
            </w:tcBorders>
            <w:vAlign w:val="center"/>
          </w:tcPr>
          <w:p w14:paraId="09234E3C">
            <w:pPr>
              <w:jc w:val="center"/>
              <w:rPr>
                <w:sz w:val="21"/>
                <w:szCs w:val="21"/>
              </w:rPr>
            </w:pPr>
            <w:r>
              <w:rPr>
                <w:sz w:val="21"/>
                <w:szCs w:val="21"/>
              </w:rPr>
              <w:t>土地利用类型</w:t>
            </w:r>
          </w:p>
        </w:tc>
        <w:tc>
          <w:tcPr>
            <w:tcW w:w="4385" w:type="dxa"/>
            <w:tcBorders>
              <w:tl2br w:val="nil"/>
              <w:tr2bl w:val="nil"/>
            </w:tcBorders>
            <w:vAlign w:val="center"/>
          </w:tcPr>
          <w:p w14:paraId="19E6EB1C">
            <w:pPr>
              <w:jc w:val="center"/>
              <w:rPr>
                <w:sz w:val="21"/>
                <w:szCs w:val="21"/>
              </w:rPr>
            </w:pPr>
            <w:r>
              <w:rPr>
                <w:sz w:val="21"/>
                <w:szCs w:val="21"/>
              </w:rPr>
              <w:t>农田</w:t>
            </w:r>
          </w:p>
        </w:tc>
      </w:tr>
      <w:tr w14:paraId="6D81F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43" w:type="dxa"/>
            <w:gridSpan w:val="2"/>
            <w:tcBorders>
              <w:tl2br w:val="nil"/>
              <w:tr2bl w:val="nil"/>
            </w:tcBorders>
            <w:vAlign w:val="center"/>
          </w:tcPr>
          <w:p w14:paraId="76D49DBF">
            <w:pPr>
              <w:jc w:val="center"/>
              <w:rPr>
                <w:sz w:val="21"/>
                <w:szCs w:val="21"/>
              </w:rPr>
            </w:pPr>
            <w:r>
              <w:rPr>
                <w:sz w:val="21"/>
                <w:szCs w:val="21"/>
              </w:rPr>
              <w:t>区域湿度条件</w:t>
            </w:r>
          </w:p>
        </w:tc>
        <w:tc>
          <w:tcPr>
            <w:tcW w:w="4385" w:type="dxa"/>
            <w:tcBorders>
              <w:tl2br w:val="nil"/>
              <w:tr2bl w:val="nil"/>
            </w:tcBorders>
            <w:vAlign w:val="center"/>
          </w:tcPr>
          <w:p w14:paraId="557DA7F3">
            <w:pPr>
              <w:jc w:val="center"/>
              <w:rPr>
                <w:sz w:val="21"/>
                <w:szCs w:val="21"/>
              </w:rPr>
            </w:pPr>
            <w:r>
              <w:rPr>
                <w:sz w:val="21"/>
                <w:szCs w:val="21"/>
              </w:rPr>
              <w:t>中等湿度</w:t>
            </w:r>
          </w:p>
        </w:tc>
      </w:tr>
      <w:tr w14:paraId="53D94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restart"/>
            <w:tcBorders>
              <w:tl2br w:val="nil"/>
              <w:tr2bl w:val="nil"/>
            </w:tcBorders>
            <w:vAlign w:val="center"/>
          </w:tcPr>
          <w:p w14:paraId="661B2ADA">
            <w:pPr>
              <w:jc w:val="center"/>
              <w:rPr>
                <w:sz w:val="21"/>
                <w:szCs w:val="21"/>
              </w:rPr>
            </w:pPr>
            <w:r>
              <w:rPr>
                <w:sz w:val="21"/>
                <w:szCs w:val="21"/>
              </w:rPr>
              <w:t>是否考虑地形</w:t>
            </w:r>
          </w:p>
        </w:tc>
        <w:tc>
          <w:tcPr>
            <w:tcW w:w="2367" w:type="dxa"/>
            <w:tcBorders>
              <w:tl2br w:val="nil"/>
              <w:tr2bl w:val="nil"/>
            </w:tcBorders>
            <w:vAlign w:val="center"/>
          </w:tcPr>
          <w:p w14:paraId="2973E9A9">
            <w:pPr>
              <w:jc w:val="center"/>
              <w:rPr>
                <w:sz w:val="21"/>
                <w:szCs w:val="21"/>
              </w:rPr>
            </w:pPr>
            <w:r>
              <w:rPr>
                <w:sz w:val="21"/>
                <w:szCs w:val="21"/>
              </w:rPr>
              <w:t>考虑地形</w:t>
            </w:r>
          </w:p>
        </w:tc>
        <w:tc>
          <w:tcPr>
            <w:tcW w:w="4385" w:type="dxa"/>
            <w:tcBorders>
              <w:tl2br w:val="nil"/>
              <w:tr2bl w:val="nil"/>
            </w:tcBorders>
            <w:vAlign w:val="center"/>
          </w:tcPr>
          <w:p w14:paraId="5EF34D1B">
            <w:pPr>
              <w:jc w:val="center"/>
              <w:rPr>
                <w:sz w:val="21"/>
                <w:szCs w:val="21"/>
              </w:rPr>
            </w:pPr>
            <w:r>
              <w:rPr>
                <w:sz w:val="21"/>
                <w:szCs w:val="21"/>
              </w:rPr>
              <w:t>是</w:t>
            </w:r>
          </w:p>
        </w:tc>
      </w:tr>
      <w:tr w14:paraId="59BE1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tcBorders>
              <w:tl2br w:val="nil"/>
              <w:tr2bl w:val="nil"/>
            </w:tcBorders>
            <w:vAlign w:val="center"/>
          </w:tcPr>
          <w:p w14:paraId="0F392F6E">
            <w:pPr>
              <w:jc w:val="center"/>
              <w:rPr>
                <w:sz w:val="21"/>
                <w:szCs w:val="21"/>
              </w:rPr>
            </w:pPr>
          </w:p>
        </w:tc>
        <w:tc>
          <w:tcPr>
            <w:tcW w:w="2367" w:type="dxa"/>
            <w:tcBorders>
              <w:tl2br w:val="nil"/>
              <w:tr2bl w:val="nil"/>
            </w:tcBorders>
            <w:vAlign w:val="center"/>
          </w:tcPr>
          <w:p w14:paraId="2DF0E298">
            <w:pPr>
              <w:jc w:val="center"/>
              <w:rPr>
                <w:sz w:val="21"/>
                <w:szCs w:val="21"/>
              </w:rPr>
            </w:pPr>
            <w:r>
              <w:rPr>
                <w:sz w:val="21"/>
                <w:szCs w:val="21"/>
              </w:rPr>
              <w:t>地形数据分辨率(m)</w:t>
            </w:r>
          </w:p>
        </w:tc>
        <w:tc>
          <w:tcPr>
            <w:tcW w:w="4385" w:type="dxa"/>
            <w:tcBorders>
              <w:tl2br w:val="nil"/>
              <w:tr2bl w:val="nil"/>
            </w:tcBorders>
            <w:vAlign w:val="center"/>
          </w:tcPr>
          <w:p w14:paraId="1A87FA16">
            <w:pPr>
              <w:jc w:val="center"/>
              <w:rPr>
                <w:sz w:val="21"/>
                <w:szCs w:val="21"/>
              </w:rPr>
            </w:pPr>
            <w:r>
              <w:rPr>
                <w:sz w:val="21"/>
                <w:szCs w:val="21"/>
              </w:rPr>
              <w:t>90</w:t>
            </w:r>
          </w:p>
        </w:tc>
      </w:tr>
      <w:tr w14:paraId="45AF1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restart"/>
            <w:tcBorders>
              <w:tl2br w:val="nil"/>
              <w:tr2bl w:val="nil"/>
            </w:tcBorders>
            <w:vAlign w:val="center"/>
          </w:tcPr>
          <w:p w14:paraId="62983A56">
            <w:pPr>
              <w:jc w:val="center"/>
              <w:rPr>
                <w:sz w:val="21"/>
                <w:szCs w:val="21"/>
              </w:rPr>
            </w:pPr>
            <w:r>
              <w:rPr>
                <w:sz w:val="21"/>
                <w:szCs w:val="21"/>
              </w:rPr>
              <w:t>是否考虑海岸线熏烟</w:t>
            </w:r>
          </w:p>
        </w:tc>
        <w:tc>
          <w:tcPr>
            <w:tcW w:w="2367" w:type="dxa"/>
            <w:tcBorders>
              <w:tl2br w:val="nil"/>
              <w:tr2bl w:val="nil"/>
            </w:tcBorders>
            <w:vAlign w:val="center"/>
          </w:tcPr>
          <w:p w14:paraId="2AECFE33">
            <w:pPr>
              <w:jc w:val="center"/>
              <w:rPr>
                <w:sz w:val="21"/>
                <w:szCs w:val="21"/>
              </w:rPr>
            </w:pPr>
            <w:r>
              <w:rPr>
                <w:sz w:val="21"/>
                <w:szCs w:val="21"/>
              </w:rPr>
              <w:t>考虑海岸线熏烟</w:t>
            </w:r>
          </w:p>
        </w:tc>
        <w:tc>
          <w:tcPr>
            <w:tcW w:w="4385" w:type="dxa"/>
            <w:tcBorders>
              <w:tl2br w:val="nil"/>
              <w:tr2bl w:val="nil"/>
            </w:tcBorders>
            <w:vAlign w:val="center"/>
          </w:tcPr>
          <w:p w14:paraId="51A298D1">
            <w:pPr>
              <w:jc w:val="center"/>
              <w:rPr>
                <w:sz w:val="21"/>
                <w:szCs w:val="21"/>
              </w:rPr>
            </w:pPr>
            <w:r>
              <w:rPr>
                <w:sz w:val="21"/>
                <w:szCs w:val="21"/>
              </w:rPr>
              <w:t>否</w:t>
            </w:r>
          </w:p>
        </w:tc>
      </w:tr>
      <w:tr w14:paraId="7766A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tcBorders>
              <w:tl2br w:val="nil"/>
              <w:tr2bl w:val="nil"/>
            </w:tcBorders>
            <w:vAlign w:val="center"/>
          </w:tcPr>
          <w:p w14:paraId="58D73B63">
            <w:pPr>
              <w:jc w:val="center"/>
              <w:rPr>
                <w:sz w:val="21"/>
                <w:szCs w:val="21"/>
              </w:rPr>
            </w:pPr>
          </w:p>
        </w:tc>
        <w:tc>
          <w:tcPr>
            <w:tcW w:w="2367" w:type="dxa"/>
            <w:tcBorders>
              <w:tl2br w:val="nil"/>
              <w:tr2bl w:val="nil"/>
            </w:tcBorders>
            <w:vAlign w:val="center"/>
          </w:tcPr>
          <w:p w14:paraId="2D383316">
            <w:pPr>
              <w:jc w:val="center"/>
              <w:rPr>
                <w:sz w:val="21"/>
                <w:szCs w:val="21"/>
              </w:rPr>
            </w:pPr>
            <w:r>
              <w:rPr>
                <w:sz w:val="21"/>
                <w:szCs w:val="21"/>
              </w:rPr>
              <w:t>海岸线距离/km</w:t>
            </w:r>
          </w:p>
        </w:tc>
        <w:tc>
          <w:tcPr>
            <w:tcW w:w="4385" w:type="dxa"/>
            <w:tcBorders>
              <w:tl2br w:val="nil"/>
              <w:tr2bl w:val="nil"/>
            </w:tcBorders>
            <w:vAlign w:val="center"/>
          </w:tcPr>
          <w:p w14:paraId="6B31DEFA">
            <w:pPr>
              <w:jc w:val="center"/>
              <w:rPr>
                <w:sz w:val="21"/>
                <w:szCs w:val="21"/>
              </w:rPr>
            </w:pPr>
            <w:r>
              <w:rPr>
                <w:sz w:val="21"/>
                <w:szCs w:val="21"/>
              </w:rPr>
              <w:t>/</w:t>
            </w:r>
          </w:p>
        </w:tc>
      </w:tr>
      <w:tr w14:paraId="3FDDD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76" w:type="dxa"/>
            <w:vMerge w:val="continue"/>
            <w:tcBorders>
              <w:tl2br w:val="nil"/>
              <w:tr2bl w:val="nil"/>
            </w:tcBorders>
            <w:vAlign w:val="center"/>
          </w:tcPr>
          <w:p w14:paraId="7FDDE2B3">
            <w:pPr>
              <w:jc w:val="center"/>
              <w:rPr>
                <w:sz w:val="21"/>
                <w:szCs w:val="21"/>
              </w:rPr>
            </w:pPr>
          </w:p>
        </w:tc>
        <w:tc>
          <w:tcPr>
            <w:tcW w:w="2367" w:type="dxa"/>
            <w:tcBorders>
              <w:tl2br w:val="nil"/>
              <w:tr2bl w:val="nil"/>
            </w:tcBorders>
            <w:vAlign w:val="center"/>
          </w:tcPr>
          <w:p w14:paraId="5C70C98A">
            <w:pPr>
              <w:jc w:val="center"/>
              <w:rPr>
                <w:sz w:val="21"/>
                <w:szCs w:val="21"/>
              </w:rPr>
            </w:pPr>
            <w:r>
              <w:rPr>
                <w:sz w:val="21"/>
                <w:szCs w:val="21"/>
              </w:rPr>
              <w:t>海岸线方向/o</w:t>
            </w:r>
          </w:p>
        </w:tc>
        <w:tc>
          <w:tcPr>
            <w:tcW w:w="4385" w:type="dxa"/>
            <w:tcBorders>
              <w:tl2br w:val="nil"/>
              <w:tr2bl w:val="nil"/>
            </w:tcBorders>
            <w:vAlign w:val="center"/>
          </w:tcPr>
          <w:p w14:paraId="7F7EECBB">
            <w:pPr>
              <w:jc w:val="center"/>
              <w:rPr>
                <w:sz w:val="21"/>
                <w:szCs w:val="21"/>
              </w:rPr>
            </w:pPr>
            <w:r>
              <w:rPr>
                <w:sz w:val="21"/>
                <w:szCs w:val="21"/>
              </w:rPr>
              <w:t>/</w:t>
            </w:r>
          </w:p>
        </w:tc>
      </w:tr>
    </w:tbl>
    <w:p w14:paraId="357B7F4A">
      <w:pPr>
        <w:spacing w:line="360" w:lineRule="auto"/>
        <w:jc w:val="center"/>
        <w:rPr>
          <w:b/>
          <w:bCs/>
          <w:color w:val="auto"/>
        </w:rPr>
      </w:pPr>
      <w:r>
        <w:rPr>
          <w:b w:val="0"/>
          <w:bCs w:val="0"/>
          <w:color w:val="auto"/>
        </w:rPr>
        <w:t xml:space="preserve"> </w:t>
      </w:r>
      <w:r>
        <w:rPr>
          <w:b/>
          <w:bCs/>
          <w:color w:val="auto"/>
        </w:rPr>
        <w:t>表2.4-</w:t>
      </w:r>
      <w:r>
        <w:rPr>
          <w:rFonts w:hint="eastAsia"/>
          <w:b/>
          <w:bCs/>
          <w:color w:val="auto"/>
          <w:lang w:val="en-US" w:eastAsia="zh-CN"/>
        </w:rPr>
        <w:t>6</w:t>
      </w:r>
      <w:r>
        <w:rPr>
          <w:b/>
          <w:bCs/>
          <w:color w:val="auto"/>
        </w:rPr>
        <w:t xml:space="preserve">  主要废气污染源参数一览表(矩形面源) </w:t>
      </w:r>
    </w:p>
    <w:tbl>
      <w:tblPr>
        <w:tblStyle w:val="53"/>
        <w:tblW w:w="8984"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1493"/>
        <w:gridCol w:w="1234"/>
        <w:gridCol w:w="1157"/>
        <w:gridCol w:w="852"/>
        <w:gridCol w:w="862"/>
        <w:gridCol w:w="729"/>
        <w:gridCol w:w="901"/>
        <w:gridCol w:w="899"/>
        <w:gridCol w:w="857"/>
      </w:tblGrid>
      <w:tr w14:paraId="14A5549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82" w:hRule="atLeast"/>
          <w:jc w:val="center"/>
        </w:trPr>
        <w:tc>
          <w:tcPr>
            <w:tcW w:w="1493" w:type="dxa"/>
            <w:vMerge w:val="restart"/>
            <w:vAlign w:val="center"/>
          </w:tcPr>
          <w:p w14:paraId="3284542F">
            <w:pPr>
              <w:jc w:val="center"/>
              <w:rPr>
                <w:rFonts w:hint="eastAsia"/>
                <w:b w:val="0"/>
                <w:bCs w:val="0"/>
                <w:color w:val="auto"/>
                <w:sz w:val="21"/>
                <w:szCs w:val="21"/>
              </w:rPr>
            </w:pPr>
            <w:r>
              <w:rPr>
                <w:rFonts w:hint="eastAsia"/>
                <w:b w:val="0"/>
                <w:bCs w:val="0"/>
                <w:color w:val="auto"/>
                <w:sz w:val="21"/>
                <w:szCs w:val="21"/>
              </w:rPr>
              <w:t>污染源名称</w:t>
            </w:r>
          </w:p>
        </w:tc>
        <w:tc>
          <w:tcPr>
            <w:tcW w:w="2391" w:type="dxa"/>
            <w:gridSpan w:val="2"/>
            <w:vAlign w:val="center"/>
          </w:tcPr>
          <w:p w14:paraId="2147813B">
            <w:pPr>
              <w:jc w:val="center"/>
              <w:rPr>
                <w:rFonts w:hint="eastAsia"/>
                <w:b w:val="0"/>
                <w:bCs w:val="0"/>
                <w:color w:val="auto"/>
                <w:sz w:val="21"/>
                <w:szCs w:val="21"/>
              </w:rPr>
            </w:pPr>
            <w:r>
              <w:rPr>
                <w:rFonts w:hint="eastAsia"/>
                <w:b w:val="0"/>
                <w:bCs w:val="0"/>
                <w:color w:val="auto"/>
                <w:sz w:val="21"/>
                <w:szCs w:val="21"/>
              </w:rPr>
              <w:t>坐标(°)</w:t>
            </w:r>
          </w:p>
        </w:tc>
        <w:tc>
          <w:tcPr>
            <w:tcW w:w="852" w:type="dxa"/>
            <w:vMerge w:val="restart"/>
            <w:vAlign w:val="center"/>
          </w:tcPr>
          <w:p w14:paraId="6C7F5161">
            <w:pPr>
              <w:jc w:val="center"/>
              <w:rPr>
                <w:rFonts w:hint="eastAsia"/>
                <w:b w:val="0"/>
                <w:bCs w:val="0"/>
                <w:color w:val="auto"/>
                <w:sz w:val="21"/>
                <w:szCs w:val="21"/>
              </w:rPr>
            </w:pPr>
            <w:r>
              <w:rPr>
                <w:rFonts w:hint="eastAsia"/>
                <w:b w:val="0"/>
                <w:bCs w:val="0"/>
                <w:color w:val="auto"/>
                <w:sz w:val="21"/>
                <w:szCs w:val="21"/>
              </w:rPr>
              <w:t>海拔高度(m)</w:t>
            </w:r>
          </w:p>
        </w:tc>
        <w:tc>
          <w:tcPr>
            <w:tcW w:w="2492" w:type="dxa"/>
            <w:gridSpan w:val="3"/>
            <w:vAlign w:val="center"/>
          </w:tcPr>
          <w:p w14:paraId="3710B4D0">
            <w:pPr>
              <w:jc w:val="center"/>
              <w:rPr>
                <w:rFonts w:hint="eastAsia"/>
                <w:b w:val="0"/>
                <w:bCs w:val="0"/>
                <w:color w:val="auto"/>
                <w:sz w:val="21"/>
                <w:szCs w:val="21"/>
              </w:rPr>
            </w:pPr>
            <w:r>
              <w:rPr>
                <w:rFonts w:hint="eastAsia"/>
                <w:b w:val="0"/>
                <w:bCs w:val="0"/>
                <w:color w:val="auto"/>
                <w:sz w:val="21"/>
                <w:szCs w:val="21"/>
              </w:rPr>
              <w:t>矩形面源</w:t>
            </w:r>
          </w:p>
        </w:tc>
        <w:tc>
          <w:tcPr>
            <w:tcW w:w="1756" w:type="dxa"/>
            <w:gridSpan w:val="2"/>
            <w:vAlign w:val="center"/>
          </w:tcPr>
          <w:p w14:paraId="3C0C77CB">
            <w:pPr>
              <w:jc w:val="center"/>
              <w:rPr>
                <w:rFonts w:hint="eastAsia"/>
                <w:b w:val="0"/>
                <w:bCs w:val="0"/>
                <w:color w:val="auto"/>
                <w:sz w:val="21"/>
                <w:szCs w:val="21"/>
              </w:rPr>
            </w:pPr>
            <w:r>
              <w:rPr>
                <w:rFonts w:hint="eastAsia"/>
                <w:b w:val="0"/>
                <w:bCs w:val="0"/>
                <w:color w:val="auto"/>
                <w:sz w:val="21"/>
                <w:szCs w:val="21"/>
              </w:rPr>
              <w:t>污染物排放速率(kg/h)</w:t>
            </w:r>
          </w:p>
        </w:tc>
      </w:tr>
      <w:tr w14:paraId="7CBEC39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23" w:hRule="atLeast"/>
          <w:jc w:val="center"/>
        </w:trPr>
        <w:tc>
          <w:tcPr>
            <w:tcW w:w="1493" w:type="dxa"/>
            <w:vMerge w:val="continue"/>
            <w:vAlign w:val="center"/>
          </w:tcPr>
          <w:p w14:paraId="683DA44F">
            <w:pPr>
              <w:jc w:val="center"/>
              <w:rPr>
                <w:rFonts w:hint="eastAsia"/>
                <w:b w:val="0"/>
                <w:bCs w:val="0"/>
                <w:color w:val="auto"/>
                <w:sz w:val="21"/>
                <w:szCs w:val="21"/>
              </w:rPr>
            </w:pPr>
          </w:p>
        </w:tc>
        <w:tc>
          <w:tcPr>
            <w:tcW w:w="1234" w:type="dxa"/>
            <w:vAlign w:val="center"/>
          </w:tcPr>
          <w:p w14:paraId="2FD2BECE">
            <w:pPr>
              <w:jc w:val="center"/>
              <w:rPr>
                <w:rFonts w:hint="eastAsia"/>
                <w:b w:val="0"/>
                <w:bCs w:val="0"/>
                <w:color w:val="auto"/>
                <w:sz w:val="21"/>
                <w:szCs w:val="21"/>
              </w:rPr>
            </w:pPr>
            <w:r>
              <w:rPr>
                <w:rFonts w:hint="eastAsia"/>
                <w:b w:val="0"/>
                <w:bCs w:val="0"/>
                <w:color w:val="auto"/>
                <w:sz w:val="21"/>
                <w:szCs w:val="21"/>
              </w:rPr>
              <w:t>经度</w:t>
            </w:r>
          </w:p>
        </w:tc>
        <w:tc>
          <w:tcPr>
            <w:tcW w:w="1157" w:type="dxa"/>
            <w:vAlign w:val="center"/>
          </w:tcPr>
          <w:p w14:paraId="621C2CBF">
            <w:pPr>
              <w:jc w:val="center"/>
              <w:rPr>
                <w:rFonts w:hint="eastAsia"/>
                <w:b w:val="0"/>
                <w:bCs w:val="0"/>
                <w:color w:val="auto"/>
                <w:sz w:val="21"/>
                <w:szCs w:val="21"/>
              </w:rPr>
            </w:pPr>
            <w:r>
              <w:rPr>
                <w:rFonts w:hint="eastAsia"/>
                <w:b w:val="0"/>
                <w:bCs w:val="0"/>
                <w:color w:val="auto"/>
                <w:sz w:val="21"/>
                <w:szCs w:val="21"/>
              </w:rPr>
              <w:t>纬度</w:t>
            </w:r>
          </w:p>
        </w:tc>
        <w:tc>
          <w:tcPr>
            <w:tcW w:w="852" w:type="dxa"/>
            <w:vMerge w:val="continue"/>
            <w:vAlign w:val="center"/>
          </w:tcPr>
          <w:p w14:paraId="26BFC376">
            <w:pPr>
              <w:jc w:val="center"/>
              <w:rPr>
                <w:rFonts w:hint="eastAsia"/>
                <w:b w:val="0"/>
                <w:bCs w:val="0"/>
                <w:color w:val="auto"/>
                <w:sz w:val="21"/>
                <w:szCs w:val="21"/>
              </w:rPr>
            </w:pPr>
          </w:p>
        </w:tc>
        <w:tc>
          <w:tcPr>
            <w:tcW w:w="862" w:type="dxa"/>
            <w:vAlign w:val="center"/>
          </w:tcPr>
          <w:p w14:paraId="2BA75C9F">
            <w:pPr>
              <w:jc w:val="center"/>
              <w:rPr>
                <w:rFonts w:hint="eastAsia"/>
                <w:b w:val="0"/>
                <w:bCs w:val="0"/>
                <w:color w:val="auto"/>
                <w:sz w:val="21"/>
                <w:szCs w:val="21"/>
              </w:rPr>
            </w:pPr>
            <w:r>
              <w:rPr>
                <w:rFonts w:hint="eastAsia"/>
                <w:b w:val="0"/>
                <w:bCs w:val="0"/>
                <w:color w:val="auto"/>
                <w:sz w:val="21"/>
                <w:szCs w:val="21"/>
              </w:rPr>
              <w:t>长度(m)</w:t>
            </w:r>
          </w:p>
        </w:tc>
        <w:tc>
          <w:tcPr>
            <w:tcW w:w="729" w:type="dxa"/>
            <w:vAlign w:val="center"/>
          </w:tcPr>
          <w:p w14:paraId="57387E2D">
            <w:pPr>
              <w:jc w:val="center"/>
              <w:rPr>
                <w:rFonts w:hint="eastAsia"/>
                <w:b w:val="0"/>
                <w:bCs w:val="0"/>
                <w:color w:val="auto"/>
                <w:sz w:val="21"/>
                <w:szCs w:val="21"/>
              </w:rPr>
            </w:pPr>
            <w:r>
              <w:rPr>
                <w:rFonts w:hint="eastAsia"/>
                <w:b w:val="0"/>
                <w:bCs w:val="0"/>
                <w:color w:val="auto"/>
                <w:sz w:val="21"/>
                <w:szCs w:val="21"/>
              </w:rPr>
              <w:t>宽度(m)</w:t>
            </w:r>
          </w:p>
        </w:tc>
        <w:tc>
          <w:tcPr>
            <w:tcW w:w="901" w:type="dxa"/>
            <w:vAlign w:val="center"/>
          </w:tcPr>
          <w:p w14:paraId="3908CCEE">
            <w:pPr>
              <w:jc w:val="center"/>
              <w:rPr>
                <w:rFonts w:hint="eastAsia"/>
                <w:b w:val="0"/>
                <w:bCs w:val="0"/>
                <w:color w:val="auto"/>
                <w:sz w:val="21"/>
                <w:szCs w:val="21"/>
              </w:rPr>
            </w:pPr>
            <w:r>
              <w:rPr>
                <w:rFonts w:hint="eastAsia"/>
                <w:b w:val="0"/>
                <w:bCs w:val="0"/>
                <w:color w:val="auto"/>
                <w:sz w:val="21"/>
                <w:szCs w:val="21"/>
              </w:rPr>
              <w:t>有效高度(m)</w:t>
            </w:r>
          </w:p>
        </w:tc>
        <w:tc>
          <w:tcPr>
            <w:tcW w:w="899" w:type="dxa"/>
            <w:vAlign w:val="center"/>
          </w:tcPr>
          <w:p w14:paraId="12EF9C76">
            <w:pPr>
              <w:jc w:val="center"/>
              <w:rPr>
                <w:rFonts w:hint="eastAsia"/>
                <w:b w:val="0"/>
                <w:bCs w:val="0"/>
                <w:color w:val="auto"/>
                <w:sz w:val="21"/>
                <w:szCs w:val="21"/>
              </w:rPr>
            </w:pPr>
            <w:r>
              <w:rPr>
                <w:rFonts w:hint="eastAsia"/>
                <w:b w:val="0"/>
                <w:bCs w:val="0"/>
                <w:color w:val="auto"/>
                <w:sz w:val="21"/>
                <w:szCs w:val="21"/>
              </w:rPr>
              <w:t>H</w:t>
            </w:r>
            <w:r>
              <w:rPr>
                <w:rFonts w:hint="eastAsia"/>
                <w:b w:val="0"/>
                <w:bCs w:val="0"/>
                <w:color w:val="auto"/>
                <w:sz w:val="21"/>
                <w:szCs w:val="21"/>
                <w:vertAlign w:val="subscript"/>
              </w:rPr>
              <w:t>2</w:t>
            </w:r>
            <w:r>
              <w:rPr>
                <w:rFonts w:hint="eastAsia"/>
                <w:b w:val="0"/>
                <w:bCs w:val="0"/>
                <w:color w:val="auto"/>
                <w:sz w:val="21"/>
                <w:szCs w:val="21"/>
              </w:rPr>
              <w:t>S</w:t>
            </w:r>
          </w:p>
        </w:tc>
        <w:tc>
          <w:tcPr>
            <w:tcW w:w="857" w:type="dxa"/>
            <w:vAlign w:val="center"/>
          </w:tcPr>
          <w:p w14:paraId="1BC123D1">
            <w:pPr>
              <w:jc w:val="center"/>
              <w:rPr>
                <w:rFonts w:hint="eastAsia"/>
                <w:b w:val="0"/>
                <w:bCs w:val="0"/>
                <w:color w:val="auto"/>
                <w:sz w:val="21"/>
                <w:szCs w:val="21"/>
              </w:rPr>
            </w:pPr>
            <w:r>
              <w:rPr>
                <w:rFonts w:hint="eastAsia"/>
                <w:b w:val="0"/>
                <w:bCs w:val="0"/>
                <w:color w:val="auto"/>
                <w:sz w:val="21"/>
                <w:szCs w:val="21"/>
              </w:rPr>
              <w:t>NH</w:t>
            </w:r>
            <w:r>
              <w:rPr>
                <w:rFonts w:hint="eastAsia"/>
                <w:b w:val="0"/>
                <w:bCs w:val="0"/>
                <w:color w:val="auto"/>
                <w:sz w:val="21"/>
                <w:szCs w:val="21"/>
                <w:vertAlign w:val="subscript"/>
              </w:rPr>
              <w:t>3</w:t>
            </w:r>
          </w:p>
        </w:tc>
      </w:tr>
      <w:tr w14:paraId="6299C34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44" w:hRule="atLeast"/>
          <w:jc w:val="center"/>
        </w:trPr>
        <w:tc>
          <w:tcPr>
            <w:tcW w:w="1493" w:type="dxa"/>
            <w:vAlign w:val="center"/>
          </w:tcPr>
          <w:p w14:paraId="5E39AB27">
            <w:pPr>
              <w:adjustRightInd w:val="0"/>
              <w:snapToGrid w:val="0"/>
              <w:spacing w:line="360" w:lineRule="auto"/>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污水处理（污泥脱水间）</w:t>
            </w:r>
          </w:p>
        </w:tc>
        <w:tc>
          <w:tcPr>
            <w:tcW w:w="1234" w:type="dxa"/>
            <w:vAlign w:val="center"/>
          </w:tcPr>
          <w:p w14:paraId="1CE5795B">
            <w:pPr>
              <w:jc w:val="center"/>
              <w:rPr>
                <w:rFonts w:hint="eastAsia"/>
                <w:b w:val="0"/>
                <w:bCs w:val="0"/>
                <w:color w:val="auto"/>
                <w:sz w:val="21"/>
                <w:szCs w:val="21"/>
              </w:rPr>
            </w:pPr>
            <w:r>
              <w:rPr>
                <w:rFonts w:hint="eastAsia"/>
                <w:b w:val="0"/>
                <w:bCs w:val="0"/>
                <w:color w:val="auto"/>
                <w:sz w:val="21"/>
                <w:szCs w:val="21"/>
              </w:rPr>
              <w:t>124.604662</w:t>
            </w:r>
          </w:p>
        </w:tc>
        <w:tc>
          <w:tcPr>
            <w:tcW w:w="1157" w:type="dxa"/>
            <w:vAlign w:val="center"/>
          </w:tcPr>
          <w:p w14:paraId="69956C16">
            <w:pPr>
              <w:jc w:val="center"/>
              <w:rPr>
                <w:rFonts w:hint="eastAsia"/>
                <w:b w:val="0"/>
                <w:bCs w:val="0"/>
                <w:color w:val="auto"/>
                <w:sz w:val="21"/>
                <w:szCs w:val="21"/>
              </w:rPr>
            </w:pPr>
            <w:r>
              <w:rPr>
                <w:rFonts w:hint="eastAsia"/>
                <w:b w:val="0"/>
                <w:bCs w:val="0"/>
                <w:color w:val="auto"/>
                <w:sz w:val="21"/>
                <w:szCs w:val="21"/>
              </w:rPr>
              <w:t>48.212638</w:t>
            </w:r>
          </w:p>
        </w:tc>
        <w:tc>
          <w:tcPr>
            <w:tcW w:w="852" w:type="dxa"/>
            <w:vAlign w:val="center"/>
          </w:tcPr>
          <w:p w14:paraId="7A0DC6BD">
            <w:pPr>
              <w:jc w:val="center"/>
              <w:rPr>
                <w:rFonts w:hint="eastAsia"/>
                <w:b w:val="0"/>
                <w:bCs w:val="0"/>
                <w:color w:val="auto"/>
                <w:sz w:val="21"/>
                <w:szCs w:val="21"/>
              </w:rPr>
            </w:pPr>
            <w:r>
              <w:rPr>
                <w:rFonts w:hint="eastAsia"/>
                <w:b w:val="0"/>
                <w:bCs w:val="0"/>
                <w:color w:val="auto"/>
                <w:sz w:val="21"/>
                <w:szCs w:val="21"/>
              </w:rPr>
              <w:t>181.00</w:t>
            </w:r>
          </w:p>
        </w:tc>
        <w:tc>
          <w:tcPr>
            <w:tcW w:w="862" w:type="dxa"/>
            <w:vAlign w:val="center"/>
          </w:tcPr>
          <w:p w14:paraId="2468A86A">
            <w:pPr>
              <w:jc w:val="center"/>
              <w:rPr>
                <w:rFonts w:hint="eastAsia"/>
                <w:b w:val="0"/>
                <w:bCs w:val="0"/>
                <w:color w:val="auto"/>
                <w:sz w:val="21"/>
                <w:szCs w:val="21"/>
              </w:rPr>
            </w:pPr>
            <w:r>
              <w:rPr>
                <w:rFonts w:hint="eastAsia"/>
                <w:b w:val="0"/>
                <w:bCs w:val="0"/>
                <w:color w:val="auto"/>
                <w:sz w:val="21"/>
                <w:szCs w:val="21"/>
              </w:rPr>
              <w:t>8.5</w:t>
            </w:r>
          </w:p>
        </w:tc>
        <w:tc>
          <w:tcPr>
            <w:tcW w:w="729" w:type="dxa"/>
            <w:vAlign w:val="center"/>
          </w:tcPr>
          <w:p w14:paraId="1B9F4040">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20.00</w:t>
            </w:r>
          </w:p>
        </w:tc>
        <w:tc>
          <w:tcPr>
            <w:tcW w:w="901" w:type="dxa"/>
            <w:vAlign w:val="center"/>
          </w:tcPr>
          <w:p w14:paraId="2D3360D0">
            <w:pPr>
              <w:jc w:val="center"/>
              <w:rPr>
                <w:rFonts w:hint="eastAsia"/>
                <w:b w:val="0"/>
                <w:bCs w:val="0"/>
                <w:color w:val="auto"/>
                <w:sz w:val="21"/>
                <w:szCs w:val="21"/>
              </w:rPr>
            </w:pPr>
            <w:r>
              <w:rPr>
                <w:rFonts w:hint="eastAsia"/>
                <w:b w:val="0"/>
                <w:bCs w:val="0"/>
                <w:color w:val="auto"/>
                <w:sz w:val="21"/>
                <w:szCs w:val="21"/>
                <w:lang w:val="en-US" w:eastAsia="zh-CN"/>
              </w:rPr>
              <w:t>3</w:t>
            </w:r>
            <w:r>
              <w:rPr>
                <w:rFonts w:hint="eastAsia"/>
                <w:b w:val="0"/>
                <w:bCs w:val="0"/>
                <w:color w:val="auto"/>
                <w:sz w:val="21"/>
                <w:szCs w:val="21"/>
              </w:rPr>
              <w:t>.00</w:t>
            </w:r>
          </w:p>
        </w:tc>
        <w:tc>
          <w:tcPr>
            <w:tcW w:w="899" w:type="dxa"/>
            <w:vAlign w:val="center"/>
          </w:tcPr>
          <w:p w14:paraId="6A9AB03A">
            <w:pPr>
              <w:jc w:val="center"/>
              <w:rPr>
                <w:rFonts w:hint="default" w:eastAsia="宋体"/>
                <w:b w:val="0"/>
                <w:bCs w:val="0"/>
                <w:color w:val="auto"/>
                <w:sz w:val="21"/>
                <w:szCs w:val="21"/>
                <w:lang w:val="en-US" w:eastAsia="zh-CN"/>
              </w:rPr>
            </w:pPr>
            <w:r>
              <w:rPr>
                <w:rFonts w:hint="eastAsia"/>
                <w:b w:val="0"/>
                <w:bCs w:val="0"/>
                <w:color w:val="auto"/>
                <w:sz w:val="21"/>
                <w:szCs w:val="21"/>
              </w:rPr>
              <w:t>0.00</w:t>
            </w:r>
            <w:r>
              <w:rPr>
                <w:rFonts w:hint="eastAsia"/>
                <w:b w:val="0"/>
                <w:bCs w:val="0"/>
                <w:color w:val="auto"/>
                <w:sz w:val="21"/>
                <w:szCs w:val="21"/>
                <w:lang w:val="en-US" w:eastAsia="zh-CN"/>
              </w:rPr>
              <w:t>26</w:t>
            </w:r>
          </w:p>
        </w:tc>
        <w:tc>
          <w:tcPr>
            <w:tcW w:w="857" w:type="dxa"/>
            <w:vAlign w:val="center"/>
          </w:tcPr>
          <w:p w14:paraId="4FF5487C">
            <w:pPr>
              <w:jc w:val="center"/>
              <w:rPr>
                <w:rFonts w:hint="default" w:eastAsia="宋体"/>
                <w:b w:val="0"/>
                <w:bCs w:val="0"/>
                <w:color w:val="auto"/>
                <w:sz w:val="21"/>
                <w:szCs w:val="21"/>
                <w:lang w:val="en-US" w:eastAsia="zh-CN"/>
              </w:rPr>
            </w:pPr>
            <w:r>
              <w:rPr>
                <w:rFonts w:hint="eastAsia"/>
                <w:b w:val="0"/>
                <w:bCs w:val="0"/>
                <w:color w:val="auto"/>
                <w:sz w:val="21"/>
                <w:szCs w:val="21"/>
              </w:rPr>
              <w:t>0.0</w:t>
            </w:r>
            <w:r>
              <w:rPr>
                <w:rFonts w:hint="eastAsia"/>
                <w:b w:val="0"/>
                <w:bCs w:val="0"/>
                <w:color w:val="auto"/>
                <w:sz w:val="21"/>
                <w:szCs w:val="21"/>
                <w:lang w:val="en-US" w:eastAsia="zh-CN"/>
              </w:rPr>
              <w:t>33</w:t>
            </w:r>
          </w:p>
        </w:tc>
      </w:tr>
    </w:tbl>
    <w:p w14:paraId="4B0684CF">
      <w:pPr>
        <w:rPr>
          <w:b/>
          <w:bCs/>
          <w:color w:val="auto"/>
          <w:szCs w:val="32"/>
        </w:rPr>
      </w:pPr>
      <w:r>
        <w:rPr>
          <w:b/>
          <w:bCs/>
          <w:color w:val="auto"/>
          <w:szCs w:val="32"/>
        </w:rPr>
        <w:br w:type="page"/>
      </w:r>
    </w:p>
    <w:p w14:paraId="6B252A79">
      <w:pPr>
        <w:adjustRightInd w:val="0"/>
        <w:snapToGrid w:val="0"/>
        <w:spacing w:line="360" w:lineRule="auto"/>
        <w:jc w:val="center"/>
        <w:rPr>
          <w:b/>
          <w:color w:val="auto"/>
        </w:rPr>
        <w:sectPr>
          <w:footerReference r:id="rId7" w:type="default"/>
          <w:pgSz w:w="11907" w:h="16840"/>
          <w:pgMar w:top="1440" w:right="1440" w:bottom="1440" w:left="1440" w:header="851" w:footer="992" w:gutter="0"/>
          <w:pgBorders>
            <w:top w:val="none" w:sz="0" w:space="0"/>
            <w:left w:val="none" w:sz="0" w:space="0"/>
            <w:bottom w:val="none" w:sz="0" w:space="0"/>
            <w:right w:val="none" w:sz="0" w:space="0"/>
          </w:pgBorders>
          <w:cols w:space="720" w:num="1"/>
          <w:docGrid w:linePitch="312" w:charSpace="0"/>
        </w:sectPr>
      </w:pPr>
    </w:p>
    <w:p w14:paraId="153D2B5F">
      <w:pPr>
        <w:adjustRightInd w:val="0"/>
        <w:snapToGrid w:val="0"/>
        <w:spacing w:line="360" w:lineRule="auto"/>
        <w:jc w:val="center"/>
        <w:rPr>
          <w:b/>
          <w:color w:val="auto"/>
        </w:rPr>
      </w:pPr>
      <w:r>
        <w:rPr>
          <w:b/>
          <w:color w:val="auto"/>
        </w:rPr>
        <w:t>表2.4-</w:t>
      </w:r>
      <w:r>
        <w:rPr>
          <w:rFonts w:hint="eastAsia"/>
          <w:b/>
          <w:color w:val="auto"/>
          <w:lang w:val="en-US" w:eastAsia="zh-CN"/>
        </w:rPr>
        <w:t>5</w:t>
      </w:r>
      <w:r>
        <w:rPr>
          <w:b/>
          <w:color w:val="auto"/>
        </w:rPr>
        <w:t xml:space="preserve">  点源估算模型所选参数一览表</w:t>
      </w:r>
    </w:p>
    <w:tbl>
      <w:tblPr>
        <w:tblStyle w:val="53"/>
        <w:tblW w:w="47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5"/>
        <w:gridCol w:w="1555"/>
        <w:gridCol w:w="1449"/>
        <w:gridCol w:w="1037"/>
        <w:gridCol w:w="917"/>
        <w:gridCol w:w="827"/>
        <w:gridCol w:w="949"/>
        <w:gridCol w:w="990"/>
        <w:gridCol w:w="825"/>
        <w:gridCol w:w="846"/>
        <w:gridCol w:w="1026"/>
        <w:gridCol w:w="1026"/>
      </w:tblGrid>
      <w:tr w14:paraId="1AC61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767" w:type="pct"/>
            <w:vMerge w:val="restart"/>
            <w:tcBorders>
              <w:tl2br w:val="nil"/>
              <w:tr2bl w:val="nil"/>
            </w:tcBorders>
            <w:vAlign w:val="center"/>
          </w:tcPr>
          <w:p w14:paraId="1446C256">
            <w:pPr>
              <w:jc w:val="center"/>
              <w:rPr>
                <w:b w:val="0"/>
                <w:bCs w:val="0"/>
                <w:color w:val="auto"/>
                <w:sz w:val="21"/>
                <w:szCs w:val="21"/>
              </w:rPr>
            </w:pPr>
            <w:r>
              <w:rPr>
                <w:b w:val="0"/>
                <w:bCs w:val="0"/>
                <w:color w:val="auto"/>
                <w:sz w:val="21"/>
                <w:szCs w:val="21"/>
              </w:rPr>
              <w:t>污染源名称</w:t>
            </w:r>
          </w:p>
        </w:tc>
        <w:tc>
          <w:tcPr>
            <w:tcW w:w="1110" w:type="pct"/>
            <w:gridSpan w:val="2"/>
            <w:tcBorders>
              <w:tl2br w:val="nil"/>
              <w:tr2bl w:val="nil"/>
            </w:tcBorders>
            <w:vAlign w:val="center"/>
          </w:tcPr>
          <w:p w14:paraId="17E20A0A">
            <w:pPr>
              <w:jc w:val="center"/>
              <w:rPr>
                <w:b w:val="0"/>
                <w:bCs w:val="0"/>
                <w:color w:val="auto"/>
                <w:sz w:val="21"/>
                <w:szCs w:val="21"/>
              </w:rPr>
            </w:pPr>
            <w:r>
              <w:rPr>
                <w:b w:val="0"/>
                <w:bCs w:val="0"/>
                <w:color w:val="auto"/>
                <w:sz w:val="21"/>
                <w:szCs w:val="21"/>
              </w:rPr>
              <w:t>排气筒底部中心坐标(°)</w:t>
            </w:r>
          </w:p>
        </w:tc>
        <w:tc>
          <w:tcPr>
            <w:tcW w:w="383" w:type="pct"/>
            <w:vMerge w:val="restart"/>
            <w:tcBorders>
              <w:tl2br w:val="nil"/>
              <w:tr2bl w:val="nil"/>
            </w:tcBorders>
            <w:vAlign w:val="center"/>
          </w:tcPr>
          <w:p w14:paraId="711CA640">
            <w:pPr>
              <w:jc w:val="center"/>
              <w:rPr>
                <w:b w:val="0"/>
                <w:bCs w:val="0"/>
                <w:color w:val="auto"/>
                <w:sz w:val="21"/>
                <w:szCs w:val="21"/>
              </w:rPr>
            </w:pPr>
            <w:r>
              <w:rPr>
                <w:b w:val="0"/>
                <w:bCs w:val="0"/>
                <w:color w:val="auto"/>
                <w:sz w:val="21"/>
                <w:szCs w:val="21"/>
              </w:rPr>
              <w:t>排气筒底部海拔高度(m)</w:t>
            </w:r>
          </w:p>
        </w:tc>
        <w:tc>
          <w:tcPr>
            <w:tcW w:w="1361" w:type="pct"/>
            <w:gridSpan w:val="4"/>
            <w:tcBorders>
              <w:tl2br w:val="nil"/>
              <w:tr2bl w:val="nil"/>
            </w:tcBorders>
            <w:vAlign w:val="center"/>
          </w:tcPr>
          <w:p w14:paraId="27EA4DD5">
            <w:pPr>
              <w:jc w:val="center"/>
              <w:rPr>
                <w:b w:val="0"/>
                <w:bCs w:val="0"/>
                <w:color w:val="auto"/>
                <w:sz w:val="21"/>
                <w:szCs w:val="21"/>
              </w:rPr>
            </w:pPr>
            <w:r>
              <w:rPr>
                <w:b w:val="0"/>
                <w:bCs w:val="0"/>
                <w:color w:val="auto"/>
                <w:sz w:val="21"/>
                <w:szCs w:val="21"/>
              </w:rPr>
              <w:t>排气筒参数</w:t>
            </w:r>
          </w:p>
        </w:tc>
        <w:tc>
          <w:tcPr>
            <w:tcW w:w="1376" w:type="pct"/>
            <w:gridSpan w:val="4"/>
            <w:tcBorders>
              <w:tl2br w:val="nil"/>
              <w:tr2bl w:val="nil"/>
            </w:tcBorders>
            <w:vAlign w:val="center"/>
          </w:tcPr>
          <w:p w14:paraId="3727E3B0">
            <w:pPr>
              <w:jc w:val="center"/>
              <w:rPr>
                <w:b w:val="0"/>
                <w:bCs w:val="0"/>
                <w:color w:val="auto"/>
                <w:sz w:val="21"/>
                <w:szCs w:val="21"/>
              </w:rPr>
            </w:pPr>
            <w:r>
              <w:rPr>
                <w:b w:val="0"/>
                <w:bCs w:val="0"/>
                <w:color w:val="auto"/>
                <w:sz w:val="21"/>
                <w:szCs w:val="21"/>
              </w:rPr>
              <w:t>污染物排放速率(kg/h)</w:t>
            </w:r>
          </w:p>
        </w:tc>
      </w:tr>
      <w:tr w14:paraId="13C44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767" w:type="pct"/>
            <w:vMerge w:val="continue"/>
            <w:tcBorders>
              <w:tl2br w:val="nil"/>
              <w:tr2bl w:val="nil"/>
            </w:tcBorders>
            <w:vAlign w:val="center"/>
          </w:tcPr>
          <w:p w14:paraId="070D4D2C">
            <w:pPr>
              <w:jc w:val="center"/>
              <w:rPr>
                <w:b w:val="0"/>
                <w:bCs w:val="0"/>
                <w:color w:val="auto"/>
                <w:sz w:val="21"/>
                <w:szCs w:val="21"/>
              </w:rPr>
            </w:pPr>
          </w:p>
        </w:tc>
        <w:tc>
          <w:tcPr>
            <w:tcW w:w="574" w:type="pct"/>
            <w:tcBorders>
              <w:tl2br w:val="nil"/>
              <w:tr2bl w:val="nil"/>
            </w:tcBorders>
            <w:vAlign w:val="center"/>
          </w:tcPr>
          <w:p w14:paraId="18699734">
            <w:pPr>
              <w:jc w:val="center"/>
              <w:rPr>
                <w:b w:val="0"/>
                <w:bCs w:val="0"/>
                <w:color w:val="auto"/>
                <w:sz w:val="21"/>
                <w:szCs w:val="21"/>
              </w:rPr>
            </w:pPr>
            <w:r>
              <w:rPr>
                <w:b w:val="0"/>
                <w:bCs w:val="0"/>
                <w:color w:val="auto"/>
                <w:sz w:val="21"/>
                <w:szCs w:val="21"/>
              </w:rPr>
              <w:t>经度</w:t>
            </w:r>
          </w:p>
        </w:tc>
        <w:tc>
          <w:tcPr>
            <w:tcW w:w="535" w:type="pct"/>
            <w:tcBorders>
              <w:tl2br w:val="nil"/>
              <w:tr2bl w:val="nil"/>
            </w:tcBorders>
            <w:vAlign w:val="center"/>
          </w:tcPr>
          <w:p w14:paraId="3977BA18">
            <w:pPr>
              <w:jc w:val="center"/>
              <w:rPr>
                <w:b w:val="0"/>
                <w:bCs w:val="0"/>
                <w:color w:val="auto"/>
                <w:sz w:val="21"/>
                <w:szCs w:val="21"/>
              </w:rPr>
            </w:pPr>
            <w:r>
              <w:rPr>
                <w:b w:val="0"/>
                <w:bCs w:val="0"/>
                <w:color w:val="auto"/>
                <w:sz w:val="21"/>
                <w:szCs w:val="21"/>
              </w:rPr>
              <w:t>纬度</w:t>
            </w:r>
          </w:p>
        </w:tc>
        <w:tc>
          <w:tcPr>
            <w:tcW w:w="383" w:type="pct"/>
            <w:vMerge w:val="continue"/>
            <w:tcBorders>
              <w:tl2br w:val="nil"/>
              <w:tr2bl w:val="nil"/>
            </w:tcBorders>
            <w:vAlign w:val="center"/>
          </w:tcPr>
          <w:p w14:paraId="1F2112B1">
            <w:pPr>
              <w:jc w:val="center"/>
              <w:rPr>
                <w:b w:val="0"/>
                <w:bCs w:val="0"/>
                <w:color w:val="auto"/>
                <w:sz w:val="21"/>
                <w:szCs w:val="21"/>
              </w:rPr>
            </w:pPr>
          </w:p>
        </w:tc>
        <w:tc>
          <w:tcPr>
            <w:tcW w:w="339" w:type="pct"/>
            <w:tcBorders>
              <w:tl2br w:val="nil"/>
              <w:tr2bl w:val="nil"/>
            </w:tcBorders>
            <w:vAlign w:val="center"/>
          </w:tcPr>
          <w:p w14:paraId="6574487C">
            <w:pPr>
              <w:jc w:val="center"/>
              <w:rPr>
                <w:b w:val="0"/>
                <w:bCs w:val="0"/>
                <w:color w:val="auto"/>
                <w:sz w:val="21"/>
                <w:szCs w:val="21"/>
              </w:rPr>
            </w:pPr>
            <w:r>
              <w:rPr>
                <w:b w:val="0"/>
                <w:bCs w:val="0"/>
                <w:color w:val="auto"/>
                <w:sz w:val="21"/>
                <w:szCs w:val="21"/>
              </w:rPr>
              <w:t>高度(m)</w:t>
            </w:r>
          </w:p>
        </w:tc>
        <w:tc>
          <w:tcPr>
            <w:tcW w:w="305" w:type="pct"/>
            <w:tcBorders>
              <w:tl2br w:val="nil"/>
              <w:tr2bl w:val="nil"/>
            </w:tcBorders>
            <w:vAlign w:val="center"/>
          </w:tcPr>
          <w:p w14:paraId="0B0A318F">
            <w:pPr>
              <w:jc w:val="center"/>
              <w:rPr>
                <w:b w:val="0"/>
                <w:bCs w:val="0"/>
                <w:color w:val="auto"/>
                <w:sz w:val="21"/>
                <w:szCs w:val="21"/>
              </w:rPr>
            </w:pPr>
            <w:r>
              <w:rPr>
                <w:b w:val="0"/>
                <w:bCs w:val="0"/>
                <w:color w:val="auto"/>
                <w:sz w:val="21"/>
                <w:szCs w:val="21"/>
              </w:rPr>
              <w:t>内径(m)</w:t>
            </w:r>
          </w:p>
        </w:tc>
        <w:tc>
          <w:tcPr>
            <w:tcW w:w="350" w:type="pct"/>
            <w:tcBorders>
              <w:tl2br w:val="nil"/>
              <w:tr2bl w:val="nil"/>
            </w:tcBorders>
            <w:vAlign w:val="center"/>
          </w:tcPr>
          <w:p w14:paraId="4D05AAB2">
            <w:pPr>
              <w:jc w:val="center"/>
              <w:rPr>
                <w:b w:val="0"/>
                <w:bCs w:val="0"/>
                <w:color w:val="auto"/>
                <w:sz w:val="21"/>
                <w:szCs w:val="21"/>
              </w:rPr>
            </w:pPr>
            <w:r>
              <w:rPr>
                <w:b w:val="0"/>
                <w:bCs w:val="0"/>
                <w:color w:val="auto"/>
                <w:sz w:val="21"/>
                <w:szCs w:val="21"/>
              </w:rPr>
              <w:t>温度(℃)</w:t>
            </w:r>
          </w:p>
        </w:tc>
        <w:tc>
          <w:tcPr>
            <w:tcW w:w="366" w:type="pct"/>
            <w:tcBorders>
              <w:tl2br w:val="nil"/>
              <w:tr2bl w:val="nil"/>
            </w:tcBorders>
            <w:vAlign w:val="center"/>
          </w:tcPr>
          <w:p w14:paraId="47A1001E">
            <w:pPr>
              <w:jc w:val="center"/>
              <w:rPr>
                <w:b w:val="0"/>
                <w:bCs w:val="0"/>
                <w:color w:val="auto"/>
                <w:sz w:val="21"/>
                <w:szCs w:val="21"/>
              </w:rPr>
            </w:pPr>
            <w:r>
              <w:rPr>
                <w:b w:val="0"/>
                <w:bCs w:val="0"/>
                <w:color w:val="auto"/>
                <w:sz w:val="21"/>
                <w:szCs w:val="21"/>
              </w:rPr>
              <w:t>流速(m/s)</w:t>
            </w:r>
          </w:p>
        </w:tc>
        <w:tc>
          <w:tcPr>
            <w:tcW w:w="305" w:type="pct"/>
            <w:tcBorders>
              <w:tl2br w:val="nil"/>
              <w:tr2bl w:val="nil"/>
            </w:tcBorders>
            <w:vAlign w:val="center"/>
          </w:tcPr>
          <w:p w14:paraId="1ECE1B56">
            <w:pPr>
              <w:jc w:val="center"/>
              <w:rPr>
                <w:b w:val="0"/>
                <w:bCs w:val="0"/>
                <w:color w:val="auto"/>
                <w:sz w:val="21"/>
                <w:szCs w:val="21"/>
              </w:rPr>
            </w:pPr>
            <w:r>
              <w:rPr>
                <w:rFonts w:hint="eastAsia"/>
                <w:b w:val="0"/>
                <w:bCs w:val="0"/>
                <w:color w:val="auto"/>
                <w:sz w:val="21"/>
                <w:szCs w:val="21"/>
              </w:rPr>
              <w:t>H2S</w:t>
            </w:r>
          </w:p>
        </w:tc>
        <w:tc>
          <w:tcPr>
            <w:tcW w:w="312" w:type="pct"/>
            <w:tcBorders>
              <w:tl2br w:val="nil"/>
              <w:tr2bl w:val="nil"/>
            </w:tcBorders>
            <w:vAlign w:val="center"/>
          </w:tcPr>
          <w:p w14:paraId="72E6973C">
            <w:pPr>
              <w:jc w:val="center"/>
              <w:rPr>
                <w:b w:val="0"/>
                <w:bCs w:val="0"/>
                <w:color w:val="auto"/>
                <w:sz w:val="21"/>
                <w:szCs w:val="21"/>
              </w:rPr>
            </w:pPr>
            <w:r>
              <w:rPr>
                <w:rFonts w:hint="eastAsia"/>
                <w:b w:val="0"/>
                <w:bCs w:val="0"/>
                <w:color w:val="auto"/>
                <w:sz w:val="21"/>
                <w:szCs w:val="21"/>
              </w:rPr>
              <w:t>NH3</w:t>
            </w:r>
          </w:p>
        </w:tc>
        <w:tc>
          <w:tcPr>
            <w:tcW w:w="379" w:type="pct"/>
            <w:tcBorders>
              <w:tl2br w:val="nil"/>
              <w:tr2bl w:val="nil"/>
            </w:tcBorders>
            <w:vAlign w:val="center"/>
          </w:tcPr>
          <w:p w14:paraId="525C79F0">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非甲烷总烃</w:t>
            </w:r>
          </w:p>
        </w:tc>
        <w:tc>
          <w:tcPr>
            <w:tcW w:w="379" w:type="pct"/>
            <w:tcBorders>
              <w:tl2br w:val="nil"/>
              <w:tr2bl w:val="nil"/>
            </w:tcBorders>
            <w:vAlign w:val="center"/>
          </w:tcPr>
          <w:p w14:paraId="1FA18F67">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颗粒物</w:t>
            </w:r>
          </w:p>
        </w:tc>
      </w:tr>
      <w:tr w14:paraId="0337C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767" w:type="pct"/>
            <w:tcBorders>
              <w:tl2br w:val="nil"/>
              <w:tr2bl w:val="nil"/>
            </w:tcBorders>
            <w:vAlign w:val="center"/>
          </w:tcPr>
          <w:p w14:paraId="60295068">
            <w:pPr>
              <w:jc w:val="center"/>
              <w:rPr>
                <w:rFonts w:hint="default"/>
                <w:b w:val="0"/>
                <w:bCs w:val="0"/>
                <w:color w:val="auto"/>
                <w:sz w:val="21"/>
                <w:szCs w:val="21"/>
                <w:lang w:val="en-US" w:eastAsia="zh-CN"/>
              </w:rPr>
            </w:pPr>
            <w:r>
              <w:rPr>
                <w:rFonts w:hint="eastAsia"/>
                <w:b w:val="0"/>
                <w:bCs w:val="0"/>
                <w:color w:val="auto"/>
                <w:sz w:val="21"/>
                <w:szCs w:val="21"/>
                <w:lang w:val="en-US" w:eastAsia="zh-CN"/>
              </w:rPr>
              <w:t>污水处理站排气筒（DA011）</w:t>
            </w:r>
          </w:p>
        </w:tc>
        <w:tc>
          <w:tcPr>
            <w:tcW w:w="574" w:type="pct"/>
            <w:tcBorders>
              <w:tl2br w:val="nil"/>
              <w:tr2bl w:val="nil"/>
            </w:tcBorders>
            <w:vAlign w:val="center"/>
          </w:tcPr>
          <w:p w14:paraId="291DF614">
            <w:pPr>
              <w:jc w:val="center"/>
              <w:rPr>
                <w:b w:val="0"/>
                <w:bCs w:val="0"/>
                <w:color w:val="auto"/>
                <w:sz w:val="21"/>
                <w:szCs w:val="21"/>
              </w:rPr>
            </w:pPr>
            <w:r>
              <w:rPr>
                <w:b w:val="0"/>
                <w:bCs w:val="0"/>
                <w:color w:val="auto"/>
                <w:sz w:val="21"/>
                <w:szCs w:val="21"/>
              </w:rPr>
              <w:t>124°36′16.60″</w:t>
            </w:r>
          </w:p>
        </w:tc>
        <w:tc>
          <w:tcPr>
            <w:tcW w:w="535" w:type="pct"/>
            <w:tcBorders>
              <w:tl2br w:val="nil"/>
              <w:tr2bl w:val="nil"/>
            </w:tcBorders>
            <w:vAlign w:val="center"/>
          </w:tcPr>
          <w:p w14:paraId="1F48B2DE">
            <w:pPr>
              <w:jc w:val="center"/>
              <w:rPr>
                <w:b w:val="0"/>
                <w:bCs w:val="0"/>
                <w:color w:val="auto"/>
                <w:sz w:val="21"/>
                <w:szCs w:val="21"/>
              </w:rPr>
            </w:pPr>
            <w:r>
              <w:rPr>
                <w:b w:val="0"/>
                <w:bCs w:val="0"/>
                <w:color w:val="auto"/>
                <w:sz w:val="21"/>
                <w:szCs w:val="21"/>
              </w:rPr>
              <w:t>48°12′45.36″</w:t>
            </w:r>
          </w:p>
        </w:tc>
        <w:tc>
          <w:tcPr>
            <w:tcW w:w="383" w:type="pct"/>
            <w:tcBorders>
              <w:tl2br w:val="nil"/>
              <w:tr2bl w:val="nil"/>
            </w:tcBorders>
            <w:shd w:val="clear" w:color="auto" w:fill="auto"/>
            <w:vAlign w:val="center"/>
          </w:tcPr>
          <w:p w14:paraId="689BE84D">
            <w:pPr>
              <w:jc w:val="center"/>
              <w:rPr>
                <w:rFonts w:eastAsia="宋体"/>
                <w:b w:val="0"/>
                <w:bCs w:val="0"/>
                <w:color w:val="auto"/>
                <w:sz w:val="21"/>
                <w:szCs w:val="21"/>
                <w:lang w:val="en-US" w:eastAsia="zh-CN"/>
              </w:rPr>
            </w:pPr>
            <w:r>
              <w:rPr>
                <w:rFonts w:eastAsia="宋体"/>
                <w:b w:val="0"/>
                <w:bCs w:val="0"/>
                <w:color w:val="auto"/>
                <w:sz w:val="21"/>
                <w:szCs w:val="21"/>
              </w:rPr>
              <w:t>181</w:t>
            </w:r>
          </w:p>
        </w:tc>
        <w:tc>
          <w:tcPr>
            <w:tcW w:w="339" w:type="pct"/>
            <w:tcBorders>
              <w:tl2br w:val="nil"/>
              <w:tr2bl w:val="nil"/>
            </w:tcBorders>
            <w:vAlign w:val="center"/>
          </w:tcPr>
          <w:p w14:paraId="2075E652">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vAlign w:val="center"/>
          </w:tcPr>
          <w:p w14:paraId="18681676">
            <w:pPr>
              <w:jc w:val="center"/>
              <w:rPr>
                <w:rFonts w:hint="default" w:eastAsia="宋体"/>
                <w:b w:val="0"/>
                <w:bCs w:val="0"/>
                <w:color w:val="auto"/>
                <w:sz w:val="21"/>
                <w:szCs w:val="21"/>
                <w:lang w:val="en-US" w:eastAsia="zh-CN"/>
              </w:rPr>
            </w:pPr>
            <w:r>
              <w:rPr>
                <w:rFonts w:hint="eastAsia" w:eastAsia="宋体"/>
                <w:b w:val="0"/>
                <w:bCs w:val="0"/>
                <w:color w:val="auto"/>
                <w:sz w:val="21"/>
                <w:szCs w:val="21"/>
                <w:lang w:val="en-US" w:eastAsia="zh-CN"/>
              </w:rPr>
              <w:t>0.3</w:t>
            </w:r>
          </w:p>
        </w:tc>
        <w:tc>
          <w:tcPr>
            <w:tcW w:w="350" w:type="pct"/>
            <w:tcBorders>
              <w:tl2br w:val="nil"/>
              <w:tr2bl w:val="nil"/>
            </w:tcBorders>
            <w:shd w:val="clear" w:color="auto" w:fill="auto"/>
            <w:vAlign w:val="center"/>
          </w:tcPr>
          <w:p w14:paraId="35075B6A">
            <w:pPr>
              <w:jc w:val="center"/>
              <w:rPr>
                <w:rFonts w:hint="default"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1C3BA3C">
            <w:pPr>
              <w:jc w:val="center"/>
              <w:rPr>
                <w:rFonts w:eastAsia="宋体"/>
                <w:b w:val="0"/>
                <w:bCs w:val="0"/>
                <w:color w:val="auto"/>
                <w:sz w:val="21"/>
                <w:szCs w:val="21"/>
                <w:lang w:val="en-US" w:eastAsia="zh-CN"/>
              </w:rPr>
            </w:pPr>
            <w:r>
              <w:rPr>
                <w:rFonts w:eastAsia="宋体"/>
                <w:b w:val="0"/>
                <w:bCs w:val="0"/>
                <w:color w:val="auto"/>
                <w:sz w:val="21"/>
                <w:szCs w:val="21"/>
              </w:rPr>
              <w:t>2.17</w:t>
            </w:r>
          </w:p>
        </w:tc>
        <w:tc>
          <w:tcPr>
            <w:tcW w:w="305" w:type="pct"/>
            <w:tcBorders>
              <w:tl2br w:val="nil"/>
              <w:tr2bl w:val="nil"/>
            </w:tcBorders>
            <w:shd w:val="clear" w:color="auto" w:fill="auto"/>
            <w:vAlign w:val="center"/>
          </w:tcPr>
          <w:p w14:paraId="16EBCC48">
            <w:pPr>
              <w:jc w:val="center"/>
              <w:rPr>
                <w:rFonts w:hint="eastAsia" w:eastAsia="宋体"/>
                <w:b w:val="0"/>
                <w:bCs w:val="0"/>
                <w:color w:val="auto"/>
                <w:sz w:val="21"/>
                <w:szCs w:val="21"/>
                <w:lang w:val="en-US" w:eastAsia="zh-CN"/>
              </w:rPr>
            </w:pPr>
            <w:r>
              <w:rPr>
                <w:rFonts w:eastAsia="宋体"/>
                <w:b w:val="0"/>
                <w:bCs w:val="0"/>
                <w:color w:val="auto"/>
                <w:sz w:val="21"/>
                <w:szCs w:val="21"/>
              </w:rPr>
              <w:t>0.003</w:t>
            </w:r>
          </w:p>
        </w:tc>
        <w:tc>
          <w:tcPr>
            <w:tcW w:w="312" w:type="pct"/>
            <w:tcBorders>
              <w:tl2br w:val="nil"/>
              <w:tr2bl w:val="nil"/>
            </w:tcBorders>
            <w:shd w:val="clear" w:color="auto" w:fill="auto"/>
            <w:vAlign w:val="center"/>
          </w:tcPr>
          <w:p w14:paraId="20A5B8F4">
            <w:pPr>
              <w:jc w:val="center"/>
              <w:rPr>
                <w:rFonts w:hint="eastAsia" w:eastAsia="宋体"/>
                <w:b w:val="0"/>
                <w:bCs w:val="0"/>
                <w:color w:val="auto"/>
                <w:sz w:val="21"/>
                <w:szCs w:val="21"/>
                <w:lang w:val="en-US" w:eastAsia="zh-CN"/>
              </w:rPr>
            </w:pPr>
            <w:r>
              <w:rPr>
                <w:rFonts w:eastAsia="宋体"/>
                <w:b w:val="0"/>
                <w:bCs w:val="0"/>
                <w:color w:val="auto"/>
                <w:sz w:val="21"/>
                <w:szCs w:val="21"/>
              </w:rPr>
              <w:t>0.034</w:t>
            </w:r>
          </w:p>
        </w:tc>
        <w:tc>
          <w:tcPr>
            <w:tcW w:w="379" w:type="pct"/>
            <w:tcBorders>
              <w:tl2br w:val="nil"/>
              <w:tr2bl w:val="nil"/>
            </w:tcBorders>
            <w:shd w:val="clear" w:color="auto" w:fill="auto"/>
            <w:vAlign w:val="center"/>
          </w:tcPr>
          <w:p w14:paraId="59276C7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EBE194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31081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20544A35">
            <w:pPr>
              <w:jc w:val="center"/>
              <w:rPr>
                <w:rFonts w:hint="eastAsia"/>
                <w:b w:val="0"/>
                <w:bCs w:val="0"/>
                <w:color w:val="auto"/>
                <w:sz w:val="21"/>
                <w:szCs w:val="21"/>
                <w:lang w:val="en-US" w:eastAsia="zh-CN"/>
              </w:rPr>
            </w:pPr>
            <w:r>
              <w:rPr>
                <w:b w:val="0"/>
                <w:bCs w:val="0"/>
                <w:color w:val="auto"/>
                <w:sz w:val="21"/>
                <w:szCs w:val="21"/>
              </w:rPr>
              <w:t>粉碎风机排气筒1</w:t>
            </w:r>
            <w:r>
              <w:rPr>
                <w:rFonts w:hint="eastAsia"/>
                <w:b w:val="0"/>
                <w:bCs w:val="0"/>
                <w:color w:val="auto"/>
                <w:sz w:val="21"/>
                <w:szCs w:val="21"/>
                <w:lang w:eastAsia="zh-CN"/>
              </w:rPr>
              <w:t>（</w:t>
            </w:r>
            <w:r>
              <w:rPr>
                <w:b w:val="0"/>
                <w:bCs w:val="0"/>
                <w:color w:val="auto"/>
                <w:sz w:val="21"/>
                <w:szCs w:val="21"/>
              </w:rPr>
              <w:t>DA005</w:t>
            </w:r>
            <w:r>
              <w:rPr>
                <w:rFonts w:hint="eastAsia"/>
                <w:b w:val="0"/>
                <w:bCs w:val="0"/>
                <w:color w:val="auto"/>
                <w:sz w:val="21"/>
                <w:szCs w:val="21"/>
                <w:lang w:eastAsia="zh-CN"/>
              </w:rPr>
              <w:t>）</w:t>
            </w:r>
          </w:p>
        </w:tc>
        <w:tc>
          <w:tcPr>
            <w:tcW w:w="574" w:type="pct"/>
            <w:tcBorders>
              <w:tl2br w:val="nil"/>
              <w:tr2bl w:val="nil"/>
            </w:tcBorders>
            <w:vAlign w:val="center"/>
          </w:tcPr>
          <w:p w14:paraId="4EF148E2">
            <w:pPr>
              <w:jc w:val="center"/>
              <w:rPr>
                <w:b w:val="0"/>
                <w:bCs w:val="0"/>
                <w:color w:val="auto"/>
                <w:sz w:val="21"/>
                <w:szCs w:val="21"/>
              </w:rPr>
            </w:pPr>
            <w:r>
              <w:rPr>
                <w:b w:val="0"/>
                <w:bCs w:val="0"/>
                <w:color w:val="auto"/>
                <w:sz w:val="21"/>
                <w:szCs w:val="21"/>
              </w:rPr>
              <w:t>124°36′27.40″</w:t>
            </w:r>
          </w:p>
        </w:tc>
        <w:tc>
          <w:tcPr>
            <w:tcW w:w="535" w:type="pct"/>
            <w:tcBorders>
              <w:tl2br w:val="nil"/>
              <w:tr2bl w:val="nil"/>
            </w:tcBorders>
            <w:vAlign w:val="center"/>
          </w:tcPr>
          <w:p w14:paraId="45A284D2">
            <w:pPr>
              <w:jc w:val="center"/>
              <w:rPr>
                <w:b w:val="0"/>
                <w:bCs w:val="0"/>
                <w:color w:val="auto"/>
                <w:sz w:val="21"/>
                <w:szCs w:val="21"/>
              </w:rPr>
            </w:pPr>
            <w:r>
              <w:rPr>
                <w:b w:val="0"/>
                <w:bCs w:val="0"/>
                <w:color w:val="auto"/>
                <w:sz w:val="21"/>
                <w:szCs w:val="21"/>
              </w:rPr>
              <w:t>48°12′53.82″</w:t>
            </w:r>
          </w:p>
        </w:tc>
        <w:tc>
          <w:tcPr>
            <w:tcW w:w="383" w:type="pct"/>
            <w:tcBorders>
              <w:tl2br w:val="nil"/>
              <w:tr2bl w:val="nil"/>
            </w:tcBorders>
            <w:shd w:val="clear" w:color="auto" w:fill="auto"/>
            <w:vAlign w:val="center"/>
          </w:tcPr>
          <w:p w14:paraId="19C77733">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vAlign w:val="center"/>
          </w:tcPr>
          <w:p w14:paraId="499C55D8">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29F09AA2">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658A86B5">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90DA3A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6527B8A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4C896D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6DEF5F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51BDE99">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4DBD8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3B895211">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2（</w:t>
            </w:r>
            <w:r>
              <w:rPr>
                <w:b w:val="0"/>
                <w:bCs w:val="0"/>
                <w:color w:val="auto"/>
                <w:sz w:val="21"/>
                <w:szCs w:val="21"/>
              </w:rPr>
              <w:t>DA006</w:t>
            </w:r>
            <w:r>
              <w:rPr>
                <w:rFonts w:hint="eastAsia"/>
                <w:b w:val="0"/>
                <w:bCs w:val="0"/>
                <w:color w:val="auto"/>
                <w:sz w:val="21"/>
                <w:szCs w:val="21"/>
                <w:lang w:val="en-US" w:eastAsia="zh-CN"/>
              </w:rPr>
              <w:t>）</w:t>
            </w:r>
          </w:p>
        </w:tc>
        <w:tc>
          <w:tcPr>
            <w:tcW w:w="574" w:type="pct"/>
            <w:tcBorders>
              <w:tl2br w:val="nil"/>
              <w:tr2bl w:val="nil"/>
            </w:tcBorders>
            <w:vAlign w:val="center"/>
          </w:tcPr>
          <w:p w14:paraId="0E39C8A1">
            <w:pPr>
              <w:jc w:val="center"/>
              <w:rPr>
                <w:b w:val="0"/>
                <w:bCs w:val="0"/>
                <w:color w:val="auto"/>
                <w:sz w:val="21"/>
                <w:szCs w:val="21"/>
              </w:rPr>
            </w:pPr>
            <w:r>
              <w:rPr>
                <w:b w:val="0"/>
                <w:bCs w:val="0"/>
                <w:color w:val="auto"/>
                <w:sz w:val="21"/>
                <w:szCs w:val="21"/>
              </w:rPr>
              <w:t>124°36′26.39″</w:t>
            </w:r>
          </w:p>
        </w:tc>
        <w:tc>
          <w:tcPr>
            <w:tcW w:w="535" w:type="pct"/>
            <w:tcBorders>
              <w:tl2br w:val="nil"/>
              <w:tr2bl w:val="nil"/>
            </w:tcBorders>
            <w:vAlign w:val="center"/>
          </w:tcPr>
          <w:p w14:paraId="0F463AC2">
            <w:pPr>
              <w:jc w:val="center"/>
              <w:rPr>
                <w:b w:val="0"/>
                <w:bCs w:val="0"/>
                <w:color w:val="auto"/>
                <w:sz w:val="21"/>
                <w:szCs w:val="21"/>
              </w:rPr>
            </w:pPr>
            <w:r>
              <w:rPr>
                <w:b w:val="0"/>
                <w:bCs w:val="0"/>
                <w:color w:val="auto"/>
                <w:sz w:val="21"/>
                <w:szCs w:val="21"/>
              </w:rPr>
              <w:t>48°12′53.46″</w:t>
            </w:r>
          </w:p>
        </w:tc>
        <w:tc>
          <w:tcPr>
            <w:tcW w:w="383" w:type="pct"/>
            <w:tcBorders>
              <w:tl2br w:val="nil"/>
              <w:tr2bl w:val="nil"/>
            </w:tcBorders>
            <w:shd w:val="clear" w:color="auto" w:fill="auto"/>
            <w:vAlign w:val="center"/>
          </w:tcPr>
          <w:p w14:paraId="2939DD03">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19307D86">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30F15DA7">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42FFE474">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767E9F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268702E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A6FE33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E210E0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A5A76B3">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58D36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B27881A">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3（</w:t>
            </w:r>
            <w:r>
              <w:rPr>
                <w:b w:val="0"/>
                <w:bCs w:val="0"/>
                <w:color w:val="auto"/>
                <w:sz w:val="21"/>
                <w:szCs w:val="21"/>
              </w:rPr>
              <w:t>DA007</w:t>
            </w:r>
            <w:r>
              <w:rPr>
                <w:rFonts w:hint="eastAsia"/>
                <w:b w:val="0"/>
                <w:bCs w:val="0"/>
                <w:color w:val="auto"/>
                <w:sz w:val="21"/>
                <w:szCs w:val="21"/>
                <w:lang w:val="en-US" w:eastAsia="zh-CN"/>
              </w:rPr>
              <w:t>）</w:t>
            </w:r>
          </w:p>
        </w:tc>
        <w:tc>
          <w:tcPr>
            <w:tcW w:w="574" w:type="pct"/>
            <w:tcBorders>
              <w:tl2br w:val="nil"/>
              <w:tr2bl w:val="nil"/>
            </w:tcBorders>
            <w:vAlign w:val="center"/>
          </w:tcPr>
          <w:p w14:paraId="556A1807">
            <w:pPr>
              <w:jc w:val="center"/>
              <w:rPr>
                <w:b w:val="0"/>
                <w:bCs w:val="0"/>
                <w:color w:val="auto"/>
                <w:sz w:val="21"/>
                <w:szCs w:val="21"/>
              </w:rPr>
            </w:pPr>
            <w:r>
              <w:rPr>
                <w:b w:val="0"/>
                <w:bCs w:val="0"/>
                <w:color w:val="auto"/>
                <w:sz w:val="21"/>
                <w:szCs w:val="21"/>
              </w:rPr>
              <w:t>124°36′26.57″</w:t>
            </w:r>
          </w:p>
        </w:tc>
        <w:tc>
          <w:tcPr>
            <w:tcW w:w="535" w:type="pct"/>
            <w:tcBorders>
              <w:tl2br w:val="nil"/>
              <w:tr2bl w:val="nil"/>
            </w:tcBorders>
            <w:vAlign w:val="center"/>
          </w:tcPr>
          <w:p w14:paraId="785FD7FA">
            <w:pPr>
              <w:jc w:val="center"/>
              <w:rPr>
                <w:b w:val="0"/>
                <w:bCs w:val="0"/>
                <w:color w:val="auto"/>
                <w:sz w:val="21"/>
                <w:szCs w:val="21"/>
              </w:rPr>
            </w:pPr>
            <w:r>
              <w:rPr>
                <w:b w:val="0"/>
                <w:bCs w:val="0"/>
                <w:color w:val="auto"/>
                <w:sz w:val="21"/>
                <w:szCs w:val="21"/>
              </w:rPr>
              <w:t>48°12′53.35″</w:t>
            </w:r>
          </w:p>
        </w:tc>
        <w:tc>
          <w:tcPr>
            <w:tcW w:w="383" w:type="pct"/>
            <w:tcBorders>
              <w:tl2br w:val="nil"/>
              <w:tr2bl w:val="nil"/>
            </w:tcBorders>
            <w:shd w:val="clear" w:color="auto" w:fill="auto"/>
            <w:vAlign w:val="center"/>
          </w:tcPr>
          <w:p w14:paraId="2473D58B">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38E04CBC">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08D21DAE">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71F058F9">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49BE426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50A59A5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1869722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681176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7787598">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7E08E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638A89F1">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4（</w:t>
            </w:r>
            <w:r>
              <w:rPr>
                <w:b w:val="0"/>
                <w:bCs w:val="0"/>
                <w:color w:val="auto"/>
                <w:sz w:val="21"/>
                <w:szCs w:val="21"/>
              </w:rPr>
              <w:t>DA008</w:t>
            </w:r>
            <w:r>
              <w:rPr>
                <w:rFonts w:hint="eastAsia"/>
                <w:b w:val="0"/>
                <w:bCs w:val="0"/>
                <w:color w:val="auto"/>
                <w:sz w:val="21"/>
                <w:szCs w:val="21"/>
                <w:lang w:val="en-US" w:eastAsia="zh-CN"/>
              </w:rPr>
              <w:t>）</w:t>
            </w:r>
          </w:p>
        </w:tc>
        <w:tc>
          <w:tcPr>
            <w:tcW w:w="574" w:type="pct"/>
            <w:tcBorders>
              <w:tl2br w:val="nil"/>
              <w:tr2bl w:val="nil"/>
            </w:tcBorders>
            <w:vAlign w:val="center"/>
          </w:tcPr>
          <w:p w14:paraId="68F6598B">
            <w:pPr>
              <w:jc w:val="center"/>
              <w:rPr>
                <w:b w:val="0"/>
                <w:bCs w:val="0"/>
                <w:color w:val="auto"/>
                <w:sz w:val="21"/>
                <w:szCs w:val="21"/>
              </w:rPr>
            </w:pPr>
            <w:r>
              <w:rPr>
                <w:b w:val="0"/>
                <w:bCs w:val="0"/>
                <w:color w:val="auto"/>
                <w:sz w:val="21"/>
                <w:szCs w:val="21"/>
              </w:rPr>
              <w:t>124°36′27.29″</w:t>
            </w:r>
          </w:p>
        </w:tc>
        <w:tc>
          <w:tcPr>
            <w:tcW w:w="535" w:type="pct"/>
            <w:tcBorders>
              <w:tl2br w:val="nil"/>
              <w:tr2bl w:val="nil"/>
            </w:tcBorders>
            <w:vAlign w:val="center"/>
          </w:tcPr>
          <w:p w14:paraId="3882303F">
            <w:pPr>
              <w:jc w:val="center"/>
              <w:rPr>
                <w:b w:val="0"/>
                <w:bCs w:val="0"/>
                <w:color w:val="auto"/>
                <w:sz w:val="21"/>
                <w:szCs w:val="21"/>
              </w:rPr>
            </w:pPr>
            <w:r>
              <w:rPr>
                <w:b w:val="0"/>
                <w:bCs w:val="0"/>
                <w:color w:val="auto"/>
                <w:sz w:val="21"/>
                <w:szCs w:val="21"/>
              </w:rPr>
              <w:t>48°12′53.39″</w:t>
            </w:r>
          </w:p>
        </w:tc>
        <w:tc>
          <w:tcPr>
            <w:tcW w:w="383" w:type="pct"/>
            <w:tcBorders>
              <w:tl2br w:val="nil"/>
              <w:tr2bl w:val="nil"/>
            </w:tcBorders>
            <w:shd w:val="clear" w:color="auto" w:fill="auto"/>
            <w:vAlign w:val="center"/>
          </w:tcPr>
          <w:p w14:paraId="33C0190D">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345D2E23">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424A7FFB">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46298523">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49F1F64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68F1B11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60C62F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A4FB5C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BB80DA0">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7770C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31D7543A">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5（</w:t>
            </w:r>
            <w:r>
              <w:rPr>
                <w:b w:val="0"/>
                <w:bCs w:val="0"/>
                <w:color w:val="auto"/>
                <w:sz w:val="21"/>
                <w:szCs w:val="21"/>
              </w:rPr>
              <w:t>DA009</w:t>
            </w:r>
            <w:r>
              <w:rPr>
                <w:rFonts w:hint="eastAsia"/>
                <w:b w:val="0"/>
                <w:bCs w:val="0"/>
                <w:color w:val="auto"/>
                <w:sz w:val="21"/>
                <w:szCs w:val="21"/>
                <w:lang w:val="en-US" w:eastAsia="zh-CN"/>
              </w:rPr>
              <w:t>）</w:t>
            </w:r>
          </w:p>
        </w:tc>
        <w:tc>
          <w:tcPr>
            <w:tcW w:w="574" w:type="pct"/>
            <w:tcBorders>
              <w:tl2br w:val="nil"/>
              <w:tr2bl w:val="nil"/>
            </w:tcBorders>
            <w:vAlign w:val="center"/>
          </w:tcPr>
          <w:p w14:paraId="737F8517">
            <w:pPr>
              <w:jc w:val="center"/>
              <w:rPr>
                <w:b w:val="0"/>
                <w:bCs w:val="0"/>
                <w:color w:val="auto"/>
                <w:sz w:val="21"/>
                <w:szCs w:val="21"/>
              </w:rPr>
            </w:pPr>
            <w:r>
              <w:rPr>
                <w:b w:val="0"/>
                <w:bCs w:val="0"/>
                <w:color w:val="auto"/>
                <w:sz w:val="21"/>
                <w:szCs w:val="21"/>
              </w:rPr>
              <w:t>124°36′26.06″</w:t>
            </w:r>
          </w:p>
        </w:tc>
        <w:tc>
          <w:tcPr>
            <w:tcW w:w="535" w:type="pct"/>
            <w:tcBorders>
              <w:tl2br w:val="nil"/>
              <w:tr2bl w:val="nil"/>
            </w:tcBorders>
            <w:vAlign w:val="center"/>
          </w:tcPr>
          <w:p w14:paraId="4D2AD66E">
            <w:pPr>
              <w:jc w:val="center"/>
              <w:rPr>
                <w:b w:val="0"/>
                <w:bCs w:val="0"/>
                <w:color w:val="auto"/>
                <w:sz w:val="21"/>
                <w:szCs w:val="21"/>
              </w:rPr>
            </w:pPr>
            <w:r>
              <w:rPr>
                <w:b w:val="0"/>
                <w:bCs w:val="0"/>
                <w:color w:val="auto"/>
                <w:sz w:val="21"/>
                <w:szCs w:val="21"/>
              </w:rPr>
              <w:t>48°12′53.50″</w:t>
            </w:r>
          </w:p>
        </w:tc>
        <w:tc>
          <w:tcPr>
            <w:tcW w:w="383" w:type="pct"/>
            <w:tcBorders>
              <w:tl2br w:val="nil"/>
              <w:tr2bl w:val="nil"/>
            </w:tcBorders>
            <w:shd w:val="clear" w:color="auto" w:fill="auto"/>
            <w:vAlign w:val="center"/>
          </w:tcPr>
          <w:p w14:paraId="5C333FDB">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5BB74B63">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654E2F10">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17541806">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028F71C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3972401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02D022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4E0B38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AE4FFB9">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79064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66030DCE">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6（</w:t>
            </w:r>
            <w:r>
              <w:rPr>
                <w:b w:val="0"/>
                <w:bCs w:val="0"/>
                <w:color w:val="auto"/>
                <w:sz w:val="21"/>
                <w:szCs w:val="21"/>
              </w:rPr>
              <w:t>DA010</w:t>
            </w:r>
            <w:r>
              <w:rPr>
                <w:rFonts w:hint="eastAsia"/>
                <w:b w:val="0"/>
                <w:bCs w:val="0"/>
                <w:color w:val="auto"/>
                <w:sz w:val="21"/>
                <w:szCs w:val="21"/>
                <w:lang w:val="en-US" w:eastAsia="zh-CN"/>
              </w:rPr>
              <w:t>）</w:t>
            </w:r>
          </w:p>
        </w:tc>
        <w:tc>
          <w:tcPr>
            <w:tcW w:w="574" w:type="pct"/>
            <w:tcBorders>
              <w:tl2br w:val="nil"/>
              <w:tr2bl w:val="nil"/>
            </w:tcBorders>
            <w:vAlign w:val="center"/>
          </w:tcPr>
          <w:p w14:paraId="7650C997">
            <w:pPr>
              <w:jc w:val="center"/>
              <w:rPr>
                <w:b w:val="0"/>
                <w:bCs w:val="0"/>
                <w:color w:val="auto"/>
                <w:sz w:val="21"/>
                <w:szCs w:val="21"/>
              </w:rPr>
            </w:pPr>
            <w:r>
              <w:rPr>
                <w:b w:val="0"/>
                <w:bCs w:val="0"/>
                <w:color w:val="auto"/>
                <w:sz w:val="21"/>
                <w:szCs w:val="21"/>
              </w:rPr>
              <w:t>124°36′27.04″</w:t>
            </w:r>
          </w:p>
        </w:tc>
        <w:tc>
          <w:tcPr>
            <w:tcW w:w="535" w:type="pct"/>
            <w:tcBorders>
              <w:tl2br w:val="nil"/>
              <w:tr2bl w:val="nil"/>
            </w:tcBorders>
            <w:vAlign w:val="center"/>
          </w:tcPr>
          <w:p w14:paraId="3EDE4C1A">
            <w:pPr>
              <w:jc w:val="center"/>
              <w:rPr>
                <w:b w:val="0"/>
                <w:bCs w:val="0"/>
                <w:color w:val="auto"/>
                <w:sz w:val="21"/>
                <w:szCs w:val="21"/>
              </w:rPr>
            </w:pPr>
            <w:r>
              <w:rPr>
                <w:b w:val="0"/>
                <w:bCs w:val="0"/>
                <w:color w:val="auto"/>
                <w:sz w:val="21"/>
                <w:szCs w:val="21"/>
              </w:rPr>
              <w:t>48°12′54.18″</w:t>
            </w:r>
          </w:p>
        </w:tc>
        <w:tc>
          <w:tcPr>
            <w:tcW w:w="383" w:type="pct"/>
            <w:tcBorders>
              <w:tl2br w:val="nil"/>
              <w:tr2bl w:val="nil"/>
            </w:tcBorders>
            <w:shd w:val="clear" w:color="auto" w:fill="auto"/>
            <w:vAlign w:val="center"/>
          </w:tcPr>
          <w:p w14:paraId="14207F5C">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vAlign w:val="center"/>
          </w:tcPr>
          <w:p w14:paraId="6CE56EE9">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62C06947">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7F1F02A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0F57A9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0ACF37E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08F93A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F27379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D1FACB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15CFE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vAlign w:val="center"/>
          </w:tcPr>
          <w:p w14:paraId="6C1A58F4">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7（</w:t>
            </w:r>
            <w:r>
              <w:rPr>
                <w:b w:val="0"/>
                <w:bCs w:val="0"/>
                <w:color w:val="auto"/>
                <w:sz w:val="21"/>
                <w:szCs w:val="21"/>
              </w:rPr>
              <w:t>DA01</w:t>
            </w:r>
            <w:r>
              <w:rPr>
                <w:rFonts w:hint="eastAsia"/>
                <w:b w:val="0"/>
                <w:bCs w:val="0"/>
                <w:color w:val="auto"/>
                <w:sz w:val="21"/>
                <w:szCs w:val="21"/>
                <w:lang w:val="en-US" w:eastAsia="zh-CN"/>
              </w:rPr>
              <w:t>4）</w:t>
            </w:r>
          </w:p>
        </w:tc>
        <w:tc>
          <w:tcPr>
            <w:tcW w:w="574" w:type="pct"/>
            <w:tcBorders>
              <w:tl2br w:val="nil"/>
              <w:tr2bl w:val="nil"/>
            </w:tcBorders>
            <w:vAlign w:val="center"/>
          </w:tcPr>
          <w:p w14:paraId="4808B326">
            <w:pPr>
              <w:jc w:val="center"/>
              <w:rPr>
                <w:b w:val="0"/>
                <w:bCs w:val="0"/>
                <w:color w:val="auto"/>
                <w:sz w:val="21"/>
                <w:szCs w:val="21"/>
              </w:rPr>
            </w:pPr>
            <w:r>
              <w:rPr>
                <w:b w:val="0"/>
                <w:bCs w:val="0"/>
                <w:color w:val="auto"/>
                <w:sz w:val="21"/>
                <w:szCs w:val="21"/>
              </w:rPr>
              <w:t>124°36′26.06″</w:t>
            </w:r>
          </w:p>
        </w:tc>
        <w:tc>
          <w:tcPr>
            <w:tcW w:w="535" w:type="pct"/>
            <w:tcBorders>
              <w:tl2br w:val="nil"/>
              <w:tr2bl w:val="nil"/>
            </w:tcBorders>
            <w:vAlign w:val="center"/>
          </w:tcPr>
          <w:p w14:paraId="04D84667">
            <w:pPr>
              <w:jc w:val="center"/>
              <w:rPr>
                <w:b w:val="0"/>
                <w:bCs w:val="0"/>
                <w:color w:val="auto"/>
                <w:sz w:val="21"/>
                <w:szCs w:val="21"/>
              </w:rPr>
            </w:pPr>
            <w:r>
              <w:rPr>
                <w:b w:val="0"/>
                <w:bCs w:val="0"/>
                <w:color w:val="auto"/>
                <w:sz w:val="21"/>
                <w:szCs w:val="21"/>
              </w:rPr>
              <w:t>48°12′54.22″</w:t>
            </w:r>
          </w:p>
        </w:tc>
        <w:tc>
          <w:tcPr>
            <w:tcW w:w="383" w:type="pct"/>
            <w:tcBorders>
              <w:tl2br w:val="nil"/>
              <w:tr2bl w:val="nil"/>
            </w:tcBorders>
            <w:shd w:val="clear" w:color="auto" w:fill="auto"/>
            <w:vAlign w:val="center"/>
          </w:tcPr>
          <w:p w14:paraId="08F27DA8">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vAlign w:val="center"/>
          </w:tcPr>
          <w:p w14:paraId="6523BD43">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0C315E4B">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37E0261E">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3F386B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34C5F63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C6E3D1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132FDF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4D39C7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59AF7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vAlign w:val="center"/>
          </w:tcPr>
          <w:p w14:paraId="5D229E46">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8（</w:t>
            </w:r>
            <w:r>
              <w:rPr>
                <w:b w:val="0"/>
                <w:bCs w:val="0"/>
                <w:color w:val="auto"/>
                <w:sz w:val="21"/>
                <w:szCs w:val="21"/>
              </w:rPr>
              <w:t>DA01</w:t>
            </w:r>
            <w:r>
              <w:rPr>
                <w:rFonts w:hint="eastAsia"/>
                <w:b w:val="0"/>
                <w:bCs w:val="0"/>
                <w:color w:val="auto"/>
                <w:sz w:val="21"/>
                <w:szCs w:val="21"/>
                <w:lang w:val="en-US" w:eastAsia="zh-CN"/>
              </w:rPr>
              <w:t>5）</w:t>
            </w:r>
          </w:p>
        </w:tc>
        <w:tc>
          <w:tcPr>
            <w:tcW w:w="574" w:type="pct"/>
            <w:tcBorders>
              <w:tl2br w:val="nil"/>
              <w:tr2bl w:val="nil"/>
            </w:tcBorders>
            <w:vAlign w:val="center"/>
          </w:tcPr>
          <w:p w14:paraId="3CB59E58">
            <w:pPr>
              <w:jc w:val="center"/>
              <w:rPr>
                <w:b w:val="0"/>
                <w:bCs w:val="0"/>
                <w:color w:val="auto"/>
                <w:sz w:val="21"/>
                <w:szCs w:val="21"/>
              </w:rPr>
            </w:pPr>
            <w:r>
              <w:rPr>
                <w:b w:val="0"/>
                <w:bCs w:val="0"/>
                <w:color w:val="auto"/>
                <w:sz w:val="21"/>
                <w:szCs w:val="21"/>
              </w:rPr>
              <w:t>124°36′26.32″</w:t>
            </w:r>
          </w:p>
        </w:tc>
        <w:tc>
          <w:tcPr>
            <w:tcW w:w="535" w:type="pct"/>
            <w:tcBorders>
              <w:tl2br w:val="nil"/>
              <w:tr2bl w:val="nil"/>
            </w:tcBorders>
            <w:vAlign w:val="center"/>
          </w:tcPr>
          <w:p w14:paraId="3FDAEA00">
            <w:pPr>
              <w:jc w:val="center"/>
              <w:rPr>
                <w:b w:val="0"/>
                <w:bCs w:val="0"/>
                <w:color w:val="auto"/>
                <w:sz w:val="21"/>
                <w:szCs w:val="21"/>
              </w:rPr>
            </w:pPr>
            <w:r>
              <w:rPr>
                <w:b w:val="0"/>
                <w:bCs w:val="0"/>
                <w:color w:val="auto"/>
                <w:sz w:val="21"/>
                <w:szCs w:val="21"/>
              </w:rPr>
              <w:t>48°12′54.22″</w:t>
            </w:r>
          </w:p>
        </w:tc>
        <w:tc>
          <w:tcPr>
            <w:tcW w:w="383" w:type="pct"/>
            <w:tcBorders>
              <w:tl2br w:val="nil"/>
              <w:tr2bl w:val="nil"/>
            </w:tcBorders>
            <w:shd w:val="clear" w:color="auto" w:fill="auto"/>
            <w:vAlign w:val="center"/>
          </w:tcPr>
          <w:p w14:paraId="3F9560B3">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1DE21B61">
            <w:pPr>
              <w:jc w:val="center"/>
              <w:rPr>
                <w:rFonts w:eastAsia="宋体"/>
                <w:b w:val="0"/>
                <w:bCs w:val="0"/>
                <w:color w:val="auto"/>
                <w:sz w:val="21"/>
                <w:szCs w:val="21"/>
                <w:lang w:val="en-US" w:eastAsia="en-US"/>
              </w:rPr>
            </w:pPr>
            <w:r>
              <w:rPr>
                <w:rFonts w:eastAsia="宋体"/>
                <w:b w:val="0"/>
                <w:bCs w:val="0"/>
                <w:color w:val="auto"/>
                <w:sz w:val="21"/>
                <w:szCs w:val="21"/>
              </w:rPr>
              <w:t>22.5</w:t>
            </w:r>
          </w:p>
        </w:tc>
        <w:tc>
          <w:tcPr>
            <w:tcW w:w="305" w:type="pct"/>
            <w:tcBorders>
              <w:tl2br w:val="nil"/>
              <w:tr2bl w:val="nil"/>
            </w:tcBorders>
            <w:shd w:val="clear" w:color="auto" w:fill="auto"/>
            <w:vAlign w:val="center"/>
          </w:tcPr>
          <w:p w14:paraId="26344CA0">
            <w:pPr>
              <w:jc w:val="center"/>
              <w:rPr>
                <w:rFonts w:eastAsia="宋体"/>
                <w:b w:val="0"/>
                <w:bCs w:val="0"/>
                <w:color w:val="auto"/>
                <w:sz w:val="21"/>
                <w:szCs w:val="21"/>
                <w:lang w:val="en-US" w:eastAsia="en-US"/>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29D843C5">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95E67B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4B617A0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346D3E6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92A504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547B96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71A4C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306A0D9D">
            <w:pPr>
              <w:jc w:val="center"/>
              <w:rPr>
                <w:rFonts w:hint="eastAsia" w:eastAsia="宋体"/>
                <w:b w:val="0"/>
                <w:bCs w:val="0"/>
                <w:color w:val="auto"/>
                <w:sz w:val="21"/>
                <w:szCs w:val="21"/>
                <w:lang w:val="en-US" w:eastAsia="zh-CN"/>
              </w:rPr>
            </w:pPr>
            <w:r>
              <w:rPr>
                <w:b w:val="0"/>
                <w:bCs w:val="0"/>
                <w:color w:val="auto"/>
                <w:sz w:val="21"/>
                <w:szCs w:val="21"/>
              </w:rPr>
              <w:t>粉碎风机排气筒10</w:t>
            </w:r>
            <w:r>
              <w:rPr>
                <w:rFonts w:hint="eastAsia"/>
                <w:b w:val="0"/>
                <w:bCs w:val="0"/>
                <w:color w:val="auto"/>
                <w:sz w:val="21"/>
                <w:szCs w:val="21"/>
                <w:lang w:eastAsia="zh-CN"/>
              </w:rPr>
              <w:t>（</w:t>
            </w:r>
            <w:r>
              <w:rPr>
                <w:b w:val="0"/>
                <w:bCs w:val="0"/>
                <w:color w:val="auto"/>
                <w:sz w:val="21"/>
                <w:szCs w:val="21"/>
              </w:rPr>
              <w:t>DA018</w:t>
            </w:r>
            <w:r>
              <w:rPr>
                <w:rFonts w:hint="eastAsia"/>
                <w:b w:val="0"/>
                <w:bCs w:val="0"/>
                <w:color w:val="auto"/>
                <w:sz w:val="21"/>
                <w:szCs w:val="21"/>
                <w:lang w:eastAsia="zh-CN"/>
              </w:rPr>
              <w:t>）</w:t>
            </w:r>
          </w:p>
        </w:tc>
        <w:tc>
          <w:tcPr>
            <w:tcW w:w="574" w:type="pct"/>
            <w:tcBorders>
              <w:tl2br w:val="nil"/>
              <w:tr2bl w:val="nil"/>
            </w:tcBorders>
            <w:vAlign w:val="center"/>
          </w:tcPr>
          <w:p w14:paraId="08C1AEA2">
            <w:pPr>
              <w:jc w:val="center"/>
              <w:rPr>
                <w:b w:val="0"/>
                <w:bCs w:val="0"/>
                <w:color w:val="auto"/>
                <w:sz w:val="21"/>
                <w:szCs w:val="21"/>
              </w:rPr>
            </w:pPr>
            <w:r>
              <w:rPr>
                <w:b w:val="0"/>
                <w:bCs w:val="0"/>
                <w:color w:val="auto"/>
                <w:sz w:val="21"/>
                <w:szCs w:val="21"/>
              </w:rPr>
              <w:t>124°36′26.21″</w:t>
            </w:r>
          </w:p>
        </w:tc>
        <w:tc>
          <w:tcPr>
            <w:tcW w:w="535" w:type="pct"/>
            <w:tcBorders>
              <w:tl2br w:val="nil"/>
              <w:tr2bl w:val="nil"/>
            </w:tcBorders>
            <w:vAlign w:val="center"/>
          </w:tcPr>
          <w:p w14:paraId="1CC1EB24">
            <w:pPr>
              <w:jc w:val="center"/>
              <w:rPr>
                <w:b w:val="0"/>
                <w:bCs w:val="0"/>
                <w:color w:val="auto"/>
                <w:sz w:val="21"/>
                <w:szCs w:val="21"/>
              </w:rPr>
            </w:pPr>
            <w:r>
              <w:rPr>
                <w:b w:val="0"/>
                <w:bCs w:val="0"/>
                <w:color w:val="auto"/>
                <w:sz w:val="21"/>
                <w:szCs w:val="21"/>
              </w:rPr>
              <w:t>48°12′56.09″</w:t>
            </w:r>
          </w:p>
        </w:tc>
        <w:tc>
          <w:tcPr>
            <w:tcW w:w="383" w:type="pct"/>
            <w:tcBorders>
              <w:tl2br w:val="nil"/>
              <w:tr2bl w:val="nil"/>
            </w:tcBorders>
            <w:shd w:val="clear" w:color="auto" w:fill="auto"/>
            <w:vAlign w:val="center"/>
          </w:tcPr>
          <w:p w14:paraId="42D5A471">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24F203D5">
            <w:pPr>
              <w:jc w:val="center"/>
              <w:rPr>
                <w:rFonts w:eastAsia="宋体"/>
                <w:b w:val="0"/>
                <w:bCs w:val="0"/>
                <w:color w:val="auto"/>
                <w:sz w:val="21"/>
                <w:szCs w:val="21"/>
                <w:lang w:val="en-US" w:eastAsia="en-US"/>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280F5210">
            <w:pPr>
              <w:jc w:val="center"/>
              <w:rPr>
                <w:rFonts w:eastAsia="宋体"/>
                <w:b w:val="0"/>
                <w:bCs w:val="0"/>
                <w:color w:val="auto"/>
                <w:sz w:val="21"/>
                <w:szCs w:val="21"/>
                <w:lang w:val="en-US" w:eastAsia="en-US"/>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27F1EB1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36F2321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5CBD5F8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16F6C47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8027CE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900F3B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73BCF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2ECC5CBB">
            <w:pPr>
              <w:jc w:val="center"/>
              <w:rPr>
                <w:rFonts w:hint="eastAsia" w:eastAsia="宋体"/>
                <w:b w:val="0"/>
                <w:bCs w:val="0"/>
                <w:color w:val="auto"/>
                <w:sz w:val="21"/>
                <w:szCs w:val="21"/>
                <w:lang w:val="en-US" w:eastAsia="zh-CN"/>
              </w:rPr>
            </w:pPr>
            <w:r>
              <w:rPr>
                <w:b w:val="0"/>
                <w:bCs w:val="0"/>
                <w:color w:val="auto"/>
                <w:sz w:val="21"/>
                <w:szCs w:val="21"/>
              </w:rPr>
              <w:t>粉碎风机排气筒20</w:t>
            </w:r>
            <w:r>
              <w:rPr>
                <w:rFonts w:hint="eastAsia"/>
                <w:b w:val="0"/>
                <w:bCs w:val="0"/>
                <w:color w:val="auto"/>
                <w:sz w:val="21"/>
                <w:szCs w:val="21"/>
                <w:lang w:eastAsia="zh-CN"/>
              </w:rPr>
              <w:t>（</w:t>
            </w:r>
            <w:r>
              <w:rPr>
                <w:b w:val="0"/>
                <w:bCs w:val="0"/>
                <w:color w:val="auto"/>
                <w:sz w:val="21"/>
                <w:szCs w:val="21"/>
              </w:rPr>
              <w:t>DA019</w:t>
            </w:r>
            <w:r>
              <w:rPr>
                <w:rFonts w:hint="eastAsia"/>
                <w:b w:val="0"/>
                <w:bCs w:val="0"/>
                <w:color w:val="auto"/>
                <w:sz w:val="21"/>
                <w:szCs w:val="21"/>
                <w:lang w:eastAsia="zh-CN"/>
              </w:rPr>
              <w:t>）</w:t>
            </w:r>
          </w:p>
        </w:tc>
        <w:tc>
          <w:tcPr>
            <w:tcW w:w="574" w:type="pct"/>
            <w:tcBorders>
              <w:tl2br w:val="nil"/>
              <w:tr2bl w:val="nil"/>
            </w:tcBorders>
            <w:vAlign w:val="center"/>
          </w:tcPr>
          <w:p w14:paraId="2010CDFA">
            <w:pPr>
              <w:jc w:val="center"/>
              <w:rPr>
                <w:b w:val="0"/>
                <w:bCs w:val="0"/>
                <w:color w:val="auto"/>
                <w:sz w:val="21"/>
                <w:szCs w:val="21"/>
              </w:rPr>
            </w:pPr>
            <w:r>
              <w:rPr>
                <w:b w:val="0"/>
                <w:bCs w:val="0"/>
                <w:color w:val="auto"/>
                <w:sz w:val="21"/>
                <w:szCs w:val="21"/>
              </w:rPr>
              <w:t>124°36′26.39″</w:t>
            </w:r>
          </w:p>
        </w:tc>
        <w:tc>
          <w:tcPr>
            <w:tcW w:w="535" w:type="pct"/>
            <w:tcBorders>
              <w:tl2br w:val="nil"/>
              <w:tr2bl w:val="nil"/>
            </w:tcBorders>
            <w:vAlign w:val="center"/>
          </w:tcPr>
          <w:p w14:paraId="2C002618">
            <w:pPr>
              <w:jc w:val="center"/>
              <w:rPr>
                <w:b w:val="0"/>
                <w:bCs w:val="0"/>
                <w:color w:val="auto"/>
                <w:sz w:val="21"/>
                <w:szCs w:val="21"/>
              </w:rPr>
            </w:pPr>
            <w:r>
              <w:rPr>
                <w:b w:val="0"/>
                <w:bCs w:val="0"/>
                <w:color w:val="auto"/>
                <w:sz w:val="21"/>
                <w:szCs w:val="21"/>
              </w:rPr>
              <w:t>48°12′56.05″</w:t>
            </w:r>
          </w:p>
        </w:tc>
        <w:tc>
          <w:tcPr>
            <w:tcW w:w="383" w:type="pct"/>
            <w:tcBorders>
              <w:tl2br w:val="nil"/>
              <w:tr2bl w:val="nil"/>
            </w:tcBorders>
            <w:shd w:val="clear" w:color="auto" w:fill="auto"/>
            <w:vAlign w:val="center"/>
          </w:tcPr>
          <w:p w14:paraId="225B6FB2">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4DDEF820">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22BF5D2F">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2A1992BC">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B3F80A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49C7B9F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1986A1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4E1A73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407FE4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62A0D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7A381E61">
            <w:pPr>
              <w:jc w:val="center"/>
              <w:rPr>
                <w:rFonts w:hint="eastAsia" w:eastAsia="宋体"/>
                <w:b w:val="0"/>
                <w:bCs w:val="0"/>
                <w:color w:val="auto"/>
                <w:sz w:val="21"/>
                <w:szCs w:val="21"/>
                <w:lang w:val="en-US" w:eastAsia="zh-CN"/>
              </w:rPr>
            </w:pPr>
            <w:r>
              <w:rPr>
                <w:b w:val="0"/>
                <w:bCs w:val="0"/>
                <w:color w:val="auto"/>
                <w:sz w:val="21"/>
                <w:szCs w:val="21"/>
              </w:rPr>
              <w:t>粉碎风机排气筒11</w:t>
            </w:r>
            <w:r>
              <w:rPr>
                <w:rFonts w:hint="eastAsia"/>
                <w:b w:val="0"/>
                <w:bCs w:val="0"/>
                <w:color w:val="auto"/>
                <w:sz w:val="21"/>
                <w:szCs w:val="21"/>
                <w:lang w:eastAsia="zh-CN"/>
              </w:rPr>
              <w:t>（</w:t>
            </w:r>
            <w:r>
              <w:rPr>
                <w:b w:val="0"/>
                <w:bCs w:val="0"/>
                <w:color w:val="auto"/>
                <w:sz w:val="21"/>
                <w:szCs w:val="21"/>
              </w:rPr>
              <w:t>DA020</w:t>
            </w:r>
            <w:r>
              <w:rPr>
                <w:rFonts w:hint="eastAsia"/>
                <w:b w:val="0"/>
                <w:bCs w:val="0"/>
                <w:color w:val="auto"/>
                <w:sz w:val="21"/>
                <w:szCs w:val="21"/>
                <w:lang w:eastAsia="zh-CN"/>
              </w:rPr>
              <w:t>）</w:t>
            </w:r>
          </w:p>
        </w:tc>
        <w:tc>
          <w:tcPr>
            <w:tcW w:w="574" w:type="pct"/>
            <w:tcBorders>
              <w:tl2br w:val="nil"/>
              <w:tr2bl w:val="nil"/>
            </w:tcBorders>
            <w:vAlign w:val="center"/>
          </w:tcPr>
          <w:p w14:paraId="3C3DAFCB">
            <w:pPr>
              <w:jc w:val="center"/>
              <w:rPr>
                <w:b w:val="0"/>
                <w:bCs w:val="0"/>
                <w:color w:val="auto"/>
                <w:sz w:val="21"/>
                <w:szCs w:val="21"/>
              </w:rPr>
            </w:pPr>
            <w:r>
              <w:rPr>
                <w:b w:val="0"/>
                <w:bCs w:val="0"/>
                <w:color w:val="auto"/>
                <w:sz w:val="21"/>
                <w:szCs w:val="21"/>
              </w:rPr>
              <w:t>124°36′26.60″</w:t>
            </w:r>
          </w:p>
        </w:tc>
        <w:tc>
          <w:tcPr>
            <w:tcW w:w="535" w:type="pct"/>
            <w:tcBorders>
              <w:tl2br w:val="nil"/>
              <w:tr2bl w:val="nil"/>
            </w:tcBorders>
            <w:vAlign w:val="center"/>
          </w:tcPr>
          <w:p w14:paraId="02556381">
            <w:pPr>
              <w:jc w:val="center"/>
              <w:rPr>
                <w:b w:val="0"/>
                <w:bCs w:val="0"/>
                <w:color w:val="auto"/>
                <w:sz w:val="21"/>
                <w:szCs w:val="21"/>
              </w:rPr>
            </w:pPr>
            <w:r>
              <w:rPr>
                <w:b w:val="0"/>
                <w:bCs w:val="0"/>
                <w:color w:val="auto"/>
                <w:sz w:val="21"/>
                <w:szCs w:val="21"/>
              </w:rPr>
              <w:t>48°12′56.09″</w:t>
            </w:r>
          </w:p>
        </w:tc>
        <w:tc>
          <w:tcPr>
            <w:tcW w:w="383" w:type="pct"/>
            <w:tcBorders>
              <w:tl2br w:val="nil"/>
              <w:tr2bl w:val="nil"/>
            </w:tcBorders>
            <w:shd w:val="clear" w:color="auto" w:fill="auto"/>
            <w:vAlign w:val="center"/>
          </w:tcPr>
          <w:p w14:paraId="10461209">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3C574BDE">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232E4535">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717BA77B">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ADD51A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2B24930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3687DB2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3C8D32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CEE05D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31FA7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75A3BED0">
            <w:pPr>
              <w:jc w:val="center"/>
              <w:rPr>
                <w:rFonts w:hint="eastAsia" w:eastAsia="宋体"/>
                <w:b w:val="0"/>
                <w:bCs w:val="0"/>
                <w:color w:val="auto"/>
                <w:sz w:val="21"/>
                <w:szCs w:val="21"/>
                <w:lang w:val="en-US" w:eastAsia="zh-CN"/>
              </w:rPr>
            </w:pPr>
            <w:r>
              <w:rPr>
                <w:b w:val="0"/>
                <w:bCs w:val="0"/>
                <w:color w:val="auto"/>
                <w:sz w:val="21"/>
                <w:szCs w:val="21"/>
              </w:rPr>
              <w:t>粉碎风机排气筒9</w:t>
            </w:r>
            <w:r>
              <w:rPr>
                <w:rFonts w:hint="eastAsia"/>
                <w:b w:val="0"/>
                <w:bCs w:val="0"/>
                <w:color w:val="auto"/>
                <w:sz w:val="21"/>
                <w:szCs w:val="21"/>
                <w:lang w:eastAsia="zh-CN"/>
              </w:rPr>
              <w:t>（</w:t>
            </w:r>
            <w:r>
              <w:rPr>
                <w:b w:val="0"/>
                <w:bCs w:val="0"/>
                <w:color w:val="auto"/>
                <w:sz w:val="21"/>
                <w:szCs w:val="21"/>
              </w:rPr>
              <w:t>DA021</w:t>
            </w:r>
            <w:r>
              <w:rPr>
                <w:rFonts w:hint="eastAsia"/>
                <w:b w:val="0"/>
                <w:bCs w:val="0"/>
                <w:color w:val="auto"/>
                <w:sz w:val="21"/>
                <w:szCs w:val="21"/>
                <w:lang w:eastAsia="zh-CN"/>
              </w:rPr>
              <w:t>）</w:t>
            </w:r>
          </w:p>
        </w:tc>
        <w:tc>
          <w:tcPr>
            <w:tcW w:w="574" w:type="pct"/>
            <w:tcBorders>
              <w:tl2br w:val="nil"/>
              <w:tr2bl w:val="nil"/>
            </w:tcBorders>
            <w:vAlign w:val="center"/>
          </w:tcPr>
          <w:p w14:paraId="38070B19">
            <w:pPr>
              <w:jc w:val="center"/>
              <w:rPr>
                <w:b w:val="0"/>
                <w:bCs w:val="0"/>
                <w:color w:val="auto"/>
                <w:sz w:val="21"/>
                <w:szCs w:val="21"/>
              </w:rPr>
            </w:pPr>
            <w:r>
              <w:rPr>
                <w:b w:val="0"/>
                <w:bCs w:val="0"/>
                <w:color w:val="auto"/>
                <w:sz w:val="21"/>
                <w:szCs w:val="21"/>
              </w:rPr>
              <w:t>124°36′26.86″</w:t>
            </w:r>
          </w:p>
        </w:tc>
        <w:tc>
          <w:tcPr>
            <w:tcW w:w="535" w:type="pct"/>
            <w:tcBorders>
              <w:tl2br w:val="nil"/>
              <w:tr2bl w:val="nil"/>
            </w:tcBorders>
            <w:vAlign w:val="center"/>
          </w:tcPr>
          <w:p w14:paraId="495CFBED">
            <w:pPr>
              <w:jc w:val="center"/>
              <w:rPr>
                <w:b w:val="0"/>
                <w:bCs w:val="0"/>
                <w:color w:val="auto"/>
                <w:sz w:val="21"/>
                <w:szCs w:val="21"/>
              </w:rPr>
            </w:pPr>
            <w:r>
              <w:rPr>
                <w:b w:val="0"/>
                <w:bCs w:val="0"/>
                <w:color w:val="auto"/>
                <w:sz w:val="21"/>
                <w:szCs w:val="21"/>
              </w:rPr>
              <w:t>48°12′56.12″</w:t>
            </w:r>
          </w:p>
        </w:tc>
        <w:tc>
          <w:tcPr>
            <w:tcW w:w="383" w:type="pct"/>
            <w:tcBorders>
              <w:tl2br w:val="nil"/>
              <w:tr2bl w:val="nil"/>
            </w:tcBorders>
            <w:shd w:val="clear" w:color="auto" w:fill="auto"/>
            <w:vAlign w:val="center"/>
          </w:tcPr>
          <w:p w14:paraId="1BF5DBD0">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3BFF9137">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2F9FF355">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431B124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FB594E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499F5CA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0B340D1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7D1902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5B1A3E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6265E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28038D0B">
            <w:pPr>
              <w:jc w:val="center"/>
              <w:rPr>
                <w:rFonts w:hint="default" w:eastAsia="宋体"/>
                <w:b w:val="0"/>
                <w:bCs w:val="0"/>
                <w:color w:val="auto"/>
                <w:sz w:val="21"/>
                <w:szCs w:val="21"/>
                <w:lang w:val="en-US" w:eastAsia="zh-CN"/>
              </w:rPr>
            </w:pPr>
            <w:r>
              <w:rPr>
                <w:b w:val="0"/>
                <w:bCs w:val="0"/>
                <w:color w:val="auto"/>
                <w:sz w:val="21"/>
                <w:szCs w:val="21"/>
              </w:rPr>
              <w:t>粉碎风机排气筒14</w:t>
            </w:r>
            <w:r>
              <w:rPr>
                <w:rFonts w:hint="eastAsia"/>
                <w:b w:val="0"/>
                <w:bCs w:val="0"/>
                <w:color w:val="auto"/>
                <w:sz w:val="21"/>
                <w:szCs w:val="21"/>
                <w:lang w:eastAsia="zh-CN"/>
              </w:rPr>
              <w:t>（</w:t>
            </w:r>
            <w:r>
              <w:rPr>
                <w:b w:val="0"/>
                <w:bCs w:val="0"/>
                <w:color w:val="auto"/>
                <w:sz w:val="21"/>
                <w:szCs w:val="21"/>
              </w:rPr>
              <w:t>DA022</w:t>
            </w:r>
            <w:r>
              <w:rPr>
                <w:rFonts w:hint="eastAsia"/>
                <w:b w:val="0"/>
                <w:bCs w:val="0"/>
                <w:color w:val="auto"/>
                <w:sz w:val="21"/>
                <w:szCs w:val="21"/>
                <w:lang w:eastAsia="zh-CN"/>
              </w:rPr>
              <w:t>）</w:t>
            </w:r>
          </w:p>
        </w:tc>
        <w:tc>
          <w:tcPr>
            <w:tcW w:w="574" w:type="pct"/>
            <w:tcBorders>
              <w:tl2br w:val="nil"/>
              <w:tr2bl w:val="nil"/>
            </w:tcBorders>
            <w:vAlign w:val="center"/>
          </w:tcPr>
          <w:p w14:paraId="1D2D7F1C">
            <w:pPr>
              <w:jc w:val="center"/>
              <w:rPr>
                <w:b w:val="0"/>
                <w:bCs w:val="0"/>
                <w:color w:val="auto"/>
                <w:sz w:val="21"/>
                <w:szCs w:val="21"/>
              </w:rPr>
            </w:pPr>
            <w:r>
              <w:rPr>
                <w:b w:val="0"/>
                <w:bCs w:val="0"/>
                <w:color w:val="auto"/>
                <w:sz w:val="21"/>
                <w:szCs w:val="21"/>
              </w:rPr>
              <w:t>124°36′27.22″</w:t>
            </w:r>
          </w:p>
        </w:tc>
        <w:tc>
          <w:tcPr>
            <w:tcW w:w="535" w:type="pct"/>
            <w:tcBorders>
              <w:tl2br w:val="nil"/>
              <w:tr2bl w:val="nil"/>
            </w:tcBorders>
            <w:vAlign w:val="center"/>
          </w:tcPr>
          <w:p w14:paraId="19F2CFD5">
            <w:pPr>
              <w:jc w:val="center"/>
              <w:rPr>
                <w:b w:val="0"/>
                <w:bCs w:val="0"/>
                <w:color w:val="auto"/>
                <w:sz w:val="21"/>
                <w:szCs w:val="21"/>
              </w:rPr>
            </w:pPr>
            <w:r>
              <w:rPr>
                <w:b w:val="0"/>
                <w:bCs w:val="0"/>
                <w:color w:val="auto"/>
                <w:sz w:val="21"/>
                <w:szCs w:val="21"/>
              </w:rPr>
              <w:t>48°12′56.05″</w:t>
            </w:r>
          </w:p>
        </w:tc>
        <w:tc>
          <w:tcPr>
            <w:tcW w:w="383" w:type="pct"/>
            <w:tcBorders>
              <w:tl2br w:val="nil"/>
              <w:tr2bl w:val="nil"/>
            </w:tcBorders>
            <w:shd w:val="clear" w:color="auto" w:fill="auto"/>
            <w:vAlign w:val="center"/>
          </w:tcPr>
          <w:p w14:paraId="645E2C0E">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239950CA">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6C5FA34C">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324401ED">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479A504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00A6187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769F7E3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48C322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7DA0EE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6A94D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71CFEB98">
            <w:pPr>
              <w:jc w:val="center"/>
              <w:rPr>
                <w:rFonts w:hint="default" w:eastAsia="宋体"/>
                <w:b w:val="0"/>
                <w:bCs w:val="0"/>
                <w:color w:val="auto"/>
                <w:sz w:val="21"/>
                <w:szCs w:val="21"/>
                <w:lang w:val="en-US" w:eastAsia="zh-CN"/>
              </w:rPr>
            </w:pPr>
            <w:r>
              <w:rPr>
                <w:b w:val="0"/>
                <w:bCs w:val="0"/>
                <w:color w:val="auto"/>
                <w:sz w:val="21"/>
                <w:szCs w:val="21"/>
              </w:rPr>
              <w:t>粉碎风机排气筒12</w:t>
            </w:r>
            <w:r>
              <w:rPr>
                <w:rFonts w:hint="eastAsia"/>
                <w:b w:val="0"/>
                <w:bCs w:val="0"/>
                <w:color w:val="auto"/>
                <w:sz w:val="21"/>
                <w:szCs w:val="21"/>
                <w:lang w:eastAsia="zh-CN"/>
              </w:rPr>
              <w:t>（</w:t>
            </w:r>
            <w:r>
              <w:rPr>
                <w:b w:val="0"/>
                <w:bCs w:val="0"/>
                <w:color w:val="auto"/>
                <w:sz w:val="21"/>
                <w:szCs w:val="21"/>
              </w:rPr>
              <w:t>DA023</w:t>
            </w:r>
            <w:r>
              <w:rPr>
                <w:rFonts w:hint="eastAsia"/>
                <w:b w:val="0"/>
                <w:bCs w:val="0"/>
                <w:color w:val="auto"/>
                <w:sz w:val="21"/>
                <w:szCs w:val="21"/>
                <w:lang w:eastAsia="zh-CN"/>
              </w:rPr>
              <w:t>）</w:t>
            </w:r>
          </w:p>
        </w:tc>
        <w:tc>
          <w:tcPr>
            <w:tcW w:w="574" w:type="pct"/>
            <w:tcBorders>
              <w:tl2br w:val="nil"/>
              <w:tr2bl w:val="nil"/>
            </w:tcBorders>
            <w:vAlign w:val="center"/>
          </w:tcPr>
          <w:p w14:paraId="70A5B672">
            <w:pPr>
              <w:jc w:val="center"/>
              <w:rPr>
                <w:b w:val="0"/>
                <w:bCs w:val="0"/>
                <w:color w:val="auto"/>
                <w:sz w:val="21"/>
                <w:szCs w:val="21"/>
              </w:rPr>
            </w:pPr>
            <w:r>
              <w:rPr>
                <w:b w:val="0"/>
                <w:bCs w:val="0"/>
                <w:color w:val="auto"/>
                <w:sz w:val="21"/>
                <w:szCs w:val="21"/>
              </w:rPr>
              <w:t>124°36′27.40″</w:t>
            </w:r>
          </w:p>
        </w:tc>
        <w:tc>
          <w:tcPr>
            <w:tcW w:w="535" w:type="pct"/>
            <w:tcBorders>
              <w:tl2br w:val="nil"/>
              <w:tr2bl w:val="nil"/>
            </w:tcBorders>
            <w:vAlign w:val="center"/>
          </w:tcPr>
          <w:p w14:paraId="5D622E94">
            <w:pPr>
              <w:jc w:val="center"/>
              <w:rPr>
                <w:b w:val="0"/>
                <w:bCs w:val="0"/>
                <w:color w:val="auto"/>
                <w:sz w:val="21"/>
                <w:szCs w:val="21"/>
              </w:rPr>
            </w:pPr>
            <w:r>
              <w:rPr>
                <w:b w:val="0"/>
                <w:bCs w:val="0"/>
                <w:color w:val="auto"/>
                <w:sz w:val="21"/>
                <w:szCs w:val="21"/>
              </w:rPr>
              <w:t>48°12′56.09″</w:t>
            </w:r>
          </w:p>
        </w:tc>
        <w:tc>
          <w:tcPr>
            <w:tcW w:w="383" w:type="pct"/>
            <w:tcBorders>
              <w:tl2br w:val="nil"/>
              <w:tr2bl w:val="nil"/>
            </w:tcBorders>
            <w:shd w:val="clear" w:color="auto" w:fill="auto"/>
            <w:vAlign w:val="center"/>
          </w:tcPr>
          <w:p w14:paraId="6CC6B3F0">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1667486C">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7087CEEC">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5239E1A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8B0F7B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04EECC7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55948F9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CB27D7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437F35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222B1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55EDAC0E">
            <w:pPr>
              <w:jc w:val="center"/>
              <w:rPr>
                <w:rFonts w:hint="eastAsia" w:eastAsia="宋体"/>
                <w:b w:val="0"/>
                <w:bCs w:val="0"/>
                <w:color w:val="auto"/>
                <w:sz w:val="21"/>
                <w:szCs w:val="21"/>
                <w:lang w:val="en-US" w:eastAsia="zh-CN"/>
              </w:rPr>
            </w:pPr>
            <w:r>
              <w:rPr>
                <w:b w:val="0"/>
                <w:bCs w:val="0"/>
                <w:color w:val="auto"/>
                <w:sz w:val="21"/>
                <w:szCs w:val="21"/>
              </w:rPr>
              <w:t>粉碎风机排气筒16</w:t>
            </w:r>
            <w:r>
              <w:rPr>
                <w:rFonts w:hint="eastAsia"/>
                <w:b w:val="0"/>
                <w:bCs w:val="0"/>
                <w:color w:val="auto"/>
                <w:sz w:val="21"/>
                <w:szCs w:val="21"/>
                <w:lang w:eastAsia="zh-CN"/>
              </w:rPr>
              <w:t>（</w:t>
            </w:r>
            <w:r>
              <w:rPr>
                <w:b w:val="0"/>
                <w:bCs w:val="0"/>
                <w:color w:val="auto"/>
                <w:sz w:val="21"/>
                <w:szCs w:val="21"/>
              </w:rPr>
              <w:t>DA024</w:t>
            </w:r>
            <w:r>
              <w:rPr>
                <w:rFonts w:hint="eastAsia"/>
                <w:b w:val="0"/>
                <w:bCs w:val="0"/>
                <w:color w:val="auto"/>
                <w:sz w:val="21"/>
                <w:szCs w:val="21"/>
                <w:lang w:eastAsia="zh-CN"/>
              </w:rPr>
              <w:t>）</w:t>
            </w:r>
          </w:p>
        </w:tc>
        <w:tc>
          <w:tcPr>
            <w:tcW w:w="574" w:type="pct"/>
            <w:tcBorders>
              <w:tl2br w:val="nil"/>
              <w:tr2bl w:val="nil"/>
            </w:tcBorders>
            <w:vAlign w:val="center"/>
          </w:tcPr>
          <w:p w14:paraId="21F82DF5">
            <w:pPr>
              <w:jc w:val="center"/>
              <w:rPr>
                <w:b w:val="0"/>
                <w:bCs w:val="0"/>
                <w:color w:val="auto"/>
                <w:sz w:val="21"/>
                <w:szCs w:val="21"/>
              </w:rPr>
            </w:pPr>
            <w:r>
              <w:rPr>
                <w:b w:val="0"/>
                <w:bCs w:val="0"/>
                <w:color w:val="auto"/>
                <w:sz w:val="21"/>
                <w:szCs w:val="21"/>
              </w:rPr>
              <w:t>124°36′26.24″</w:t>
            </w:r>
          </w:p>
        </w:tc>
        <w:tc>
          <w:tcPr>
            <w:tcW w:w="535" w:type="pct"/>
            <w:tcBorders>
              <w:tl2br w:val="nil"/>
              <w:tr2bl w:val="nil"/>
            </w:tcBorders>
            <w:vAlign w:val="center"/>
          </w:tcPr>
          <w:p w14:paraId="747D511A">
            <w:pPr>
              <w:jc w:val="center"/>
              <w:rPr>
                <w:b w:val="0"/>
                <w:bCs w:val="0"/>
                <w:color w:val="auto"/>
                <w:sz w:val="21"/>
                <w:szCs w:val="21"/>
              </w:rPr>
            </w:pPr>
            <w:r>
              <w:rPr>
                <w:b w:val="0"/>
                <w:bCs w:val="0"/>
                <w:color w:val="auto"/>
                <w:sz w:val="21"/>
                <w:szCs w:val="21"/>
              </w:rPr>
              <w:t>48°12′56.81″</w:t>
            </w:r>
          </w:p>
        </w:tc>
        <w:tc>
          <w:tcPr>
            <w:tcW w:w="383" w:type="pct"/>
            <w:tcBorders>
              <w:tl2br w:val="nil"/>
              <w:tr2bl w:val="nil"/>
            </w:tcBorders>
            <w:shd w:val="clear" w:color="auto" w:fill="auto"/>
            <w:vAlign w:val="center"/>
          </w:tcPr>
          <w:p w14:paraId="3BC65F2E">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4729DB57">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0B05CBE2">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45FDC4D6">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95AEA7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4B009E4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ACBA27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142ED0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74E700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29BFD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641236F">
            <w:pPr>
              <w:jc w:val="center"/>
              <w:rPr>
                <w:rFonts w:hint="default" w:eastAsia="宋体"/>
                <w:b w:val="0"/>
                <w:bCs w:val="0"/>
                <w:color w:val="auto"/>
                <w:sz w:val="21"/>
                <w:szCs w:val="21"/>
                <w:lang w:val="en-US" w:eastAsia="zh-CN"/>
              </w:rPr>
            </w:pPr>
            <w:r>
              <w:rPr>
                <w:b w:val="0"/>
                <w:bCs w:val="0"/>
                <w:color w:val="auto"/>
                <w:sz w:val="21"/>
                <w:szCs w:val="21"/>
              </w:rPr>
              <w:t>粉碎风机排气筒17</w:t>
            </w:r>
            <w:r>
              <w:rPr>
                <w:rFonts w:hint="eastAsia"/>
                <w:b w:val="0"/>
                <w:bCs w:val="0"/>
                <w:color w:val="auto"/>
                <w:sz w:val="21"/>
                <w:szCs w:val="21"/>
                <w:lang w:eastAsia="zh-CN"/>
              </w:rPr>
              <w:t>（</w:t>
            </w:r>
            <w:r>
              <w:rPr>
                <w:b w:val="0"/>
                <w:bCs w:val="0"/>
                <w:color w:val="auto"/>
                <w:sz w:val="21"/>
                <w:szCs w:val="21"/>
              </w:rPr>
              <w:t>DA025</w:t>
            </w:r>
            <w:r>
              <w:rPr>
                <w:rFonts w:hint="eastAsia"/>
                <w:b w:val="0"/>
                <w:bCs w:val="0"/>
                <w:color w:val="auto"/>
                <w:sz w:val="21"/>
                <w:szCs w:val="21"/>
                <w:lang w:eastAsia="zh-CN"/>
              </w:rPr>
              <w:t>）</w:t>
            </w:r>
          </w:p>
        </w:tc>
        <w:tc>
          <w:tcPr>
            <w:tcW w:w="574" w:type="pct"/>
            <w:tcBorders>
              <w:tl2br w:val="nil"/>
              <w:tr2bl w:val="nil"/>
            </w:tcBorders>
            <w:vAlign w:val="center"/>
          </w:tcPr>
          <w:p w14:paraId="2D45F383">
            <w:pPr>
              <w:jc w:val="center"/>
              <w:rPr>
                <w:b w:val="0"/>
                <w:bCs w:val="0"/>
                <w:color w:val="auto"/>
                <w:sz w:val="21"/>
                <w:szCs w:val="21"/>
              </w:rPr>
            </w:pPr>
            <w:r>
              <w:rPr>
                <w:b w:val="0"/>
                <w:bCs w:val="0"/>
                <w:color w:val="auto"/>
                <w:sz w:val="21"/>
                <w:szCs w:val="21"/>
              </w:rPr>
              <w:t>124°36′26.39″</w:t>
            </w:r>
          </w:p>
        </w:tc>
        <w:tc>
          <w:tcPr>
            <w:tcW w:w="535" w:type="pct"/>
            <w:tcBorders>
              <w:tl2br w:val="nil"/>
              <w:tr2bl w:val="nil"/>
            </w:tcBorders>
            <w:vAlign w:val="center"/>
          </w:tcPr>
          <w:p w14:paraId="161DC5E4">
            <w:pPr>
              <w:jc w:val="center"/>
              <w:rPr>
                <w:b w:val="0"/>
                <w:bCs w:val="0"/>
                <w:color w:val="auto"/>
                <w:sz w:val="21"/>
                <w:szCs w:val="21"/>
              </w:rPr>
            </w:pPr>
            <w:r>
              <w:rPr>
                <w:b w:val="0"/>
                <w:bCs w:val="0"/>
                <w:color w:val="auto"/>
                <w:sz w:val="21"/>
                <w:szCs w:val="21"/>
              </w:rPr>
              <w:t>48°12′56.84″</w:t>
            </w:r>
          </w:p>
        </w:tc>
        <w:tc>
          <w:tcPr>
            <w:tcW w:w="383" w:type="pct"/>
            <w:tcBorders>
              <w:tl2br w:val="nil"/>
              <w:tr2bl w:val="nil"/>
            </w:tcBorders>
            <w:shd w:val="clear" w:color="auto" w:fill="auto"/>
            <w:vAlign w:val="center"/>
          </w:tcPr>
          <w:p w14:paraId="36D0469C">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1E3E8C9C">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711437EF">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1BC4922C">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2F20DF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11E5039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ED956A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29BC68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096759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0DAE3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04BABE50">
            <w:pPr>
              <w:jc w:val="center"/>
              <w:rPr>
                <w:rFonts w:hint="eastAsia" w:eastAsia="宋体"/>
                <w:b w:val="0"/>
                <w:bCs w:val="0"/>
                <w:color w:val="auto"/>
                <w:sz w:val="21"/>
                <w:szCs w:val="21"/>
                <w:lang w:val="en-US" w:eastAsia="zh-CN"/>
              </w:rPr>
            </w:pPr>
            <w:r>
              <w:rPr>
                <w:b w:val="0"/>
                <w:bCs w:val="0"/>
                <w:color w:val="auto"/>
                <w:sz w:val="21"/>
                <w:szCs w:val="21"/>
              </w:rPr>
              <w:t>粉碎风机排气筒15</w:t>
            </w:r>
            <w:r>
              <w:rPr>
                <w:rFonts w:hint="eastAsia"/>
                <w:b w:val="0"/>
                <w:bCs w:val="0"/>
                <w:color w:val="auto"/>
                <w:sz w:val="21"/>
                <w:szCs w:val="21"/>
                <w:lang w:eastAsia="zh-CN"/>
              </w:rPr>
              <w:t>（</w:t>
            </w:r>
            <w:r>
              <w:rPr>
                <w:b w:val="0"/>
                <w:bCs w:val="0"/>
                <w:color w:val="auto"/>
                <w:sz w:val="21"/>
                <w:szCs w:val="21"/>
              </w:rPr>
              <w:t>DA026</w:t>
            </w:r>
            <w:r>
              <w:rPr>
                <w:rFonts w:hint="eastAsia"/>
                <w:b w:val="0"/>
                <w:bCs w:val="0"/>
                <w:color w:val="auto"/>
                <w:sz w:val="21"/>
                <w:szCs w:val="21"/>
                <w:lang w:eastAsia="zh-CN"/>
              </w:rPr>
              <w:t>）</w:t>
            </w:r>
          </w:p>
        </w:tc>
        <w:tc>
          <w:tcPr>
            <w:tcW w:w="574" w:type="pct"/>
            <w:tcBorders>
              <w:tl2br w:val="nil"/>
              <w:tr2bl w:val="nil"/>
            </w:tcBorders>
            <w:vAlign w:val="center"/>
          </w:tcPr>
          <w:p w14:paraId="0FD5C6CA">
            <w:pPr>
              <w:jc w:val="center"/>
              <w:rPr>
                <w:rFonts w:hint="eastAsia"/>
                <w:b w:val="0"/>
                <w:bCs w:val="0"/>
                <w:color w:val="auto"/>
                <w:sz w:val="21"/>
                <w:szCs w:val="21"/>
                <w:lang w:eastAsia="zh-CN"/>
              </w:rPr>
            </w:pPr>
            <w:r>
              <w:rPr>
                <w:rFonts w:hint="eastAsia"/>
                <w:b w:val="0"/>
                <w:bCs w:val="0"/>
                <w:color w:val="auto"/>
                <w:sz w:val="21"/>
                <w:szCs w:val="21"/>
                <w:lang w:val="en-US" w:eastAsia="zh-CN"/>
              </w:rPr>
              <w:t>1</w:t>
            </w:r>
            <w:r>
              <w:rPr>
                <w:b w:val="0"/>
                <w:bCs w:val="0"/>
                <w:color w:val="auto"/>
                <w:sz w:val="21"/>
                <w:szCs w:val="21"/>
              </w:rPr>
              <w:t>24°36′26.68</w:t>
            </w:r>
            <w:r>
              <w:rPr>
                <w:rFonts w:hint="eastAsia"/>
                <w:b w:val="0"/>
                <w:bCs w:val="0"/>
                <w:color w:val="auto"/>
                <w:sz w:val="21"/>
                <w:szCs w:val="21"/>
                <w:lang w:eastAsia="zh-CN"/>
              </w:rPr>
              <w:t>″</w:t>
            </w:r>
          </w:p>
        </w:tc>
        <w:tc>
          <w:tcPr>
            <w:tcW w:w="535" w:type="pct"/>
            <w:tcBorders>
              <w:tl2br w:val="nil"/>
              <w:tr2bl w:val="nil"/>
            </w:tcBorders>
            <w:vAlign w:val="center"/>
          </w:tcPr>
          <w:p w14:paraId="1F7C5665">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′56.8l</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679E82E6">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38BADEA6">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171DEFF0">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32A68F27">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318ADD9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097EA0D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050A30D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AABE7B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5CB1C2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2145E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0F970BFB">
            <w:pPr>
              <w:jc w:val="center"/>
              <w:rPr>
                <w:rFonts w:hint="eastAsia"/>
                <w:b w:val="0"/>
                <w:bCs w:val="0"/>
                <w:color w:val="auto"/>
                <w:sz w:val="21"/>
                <w:szCs w:val="21"/>
                <w:lang w:val="en-US" w:eastAsia="zh-CN"/>
              </w:rPr>
            </w:pPr>
            <w:r>
              <w:rPr>
                <w:b w:val="0"/>
                <w:bCs w:val="0"/>
                <w:color w:val="auto"/>
                <w:sz w:val="21"/>
                <w:szCs w:val="21"/>
              </w:rPr>
              <w:t>粉碎风机排气筒18</w:t>
            </w:r>
            <w:r>
              <w:rPr>
                <w:rFonts w:hint="eastAsia"/>
                <w:b w:val="0"/>
                <w:bCs w:val="0"/>
                <w:color w:val="auto"/>
                <w:sz w:val="21"/>
                <w:szCs w:val="21"/>
                <w:lang w:eastAsia="zh-CN"/>
              </w:rPr>
              <w:t>（</w:t>
            </w:r>
            <w:r>
              <w:rPr>
                <w:b w:val="0"/>
                <w:bCs w:val="0"/>
                <w:color w:val="auto"/>
                <w:sz w:val="21"/>
                <w:szCs w:val="21"/>
              </w:rPr>
              <w:t>DA027</w:t>
            </w:r>
            <w:r>
              <w:rPr>
                <w:rFonts w:hint="eastAsia"/>
                <w:b w:val="0"/>
                <w:bCs w:val="0"/>
                <w:color w:val="auto"/>
                <w:sz w:val="21"/>
                <w:szCs w:val="21"/>
                <w:lang w:eastAsia="zh-CN"/>
              </w:rPr>
              <w:t>）</w:t>
            </w:r>
          </w:p>
        </w:tc>
        <w:tc>
          <w:tcPr>
            <w:tcW w:w="574" w:type="pct"/>
            <w:tcBorders>
              <w:tl2br w:val="nil"/>
              <w:tr2bl w:val="nil"/>
            </w:tcBorders>
            <w:vAlign w:val="center"/>
          </w:tcPr>
          <w:p w14:paraId="71E65C2A">
            <w:pPr>
              <w:jc w:val="center"/>
              <w:rPr>
                <w:rFonts w:hint="eastAsia"/>
                <w:b w:val="0"/>
                <w:bCs w:val="0"/>
                <w:color w:val="auto"/>
                <w:sz w:val="21"/>
                <w:szCs w:val="21"/>
                <w:lang w:eastAsia="zh-CN"/>
              </w:rPr>
            </w:pPr>
            <w:r>
              <w:rPr>
                <w:rFonts w:hint="eastAsia"/>
                <w:b w:val="0"/>
                <w:bCs w:val="0"/>
                <w:color w:val="auto"/>
                <w:sz w:val="21"/>
                <w:szCs w:val="21"/>
                <w:lang w:val="en-US" w:eastAsia="zh-CN"/>
              </w:rPr>
              <w:t>1</w:t>
            </w:r>
            <w:r>
              <w:rPr>
                <w:b w:val="0"/>
                <w:bCs w:val="0"/>
                <w:color w:val="auto"/>
                <w:sz w:val="21"/>
                <w:szCs w:val="21"/>
              </w:rPr>
              <w:t>24°36′26.96</w:t>
            </w:r>
            <w:r>
              <w:rPr>
                <w:rFonts w:hint="eastAsia"/>
                <w:b w:val="0"/>
                <w:bCs w:val="0"/>
                <w:color w:val="auto"/>
                <w:sz w:val="21"/>
                <w:szCs w:val="21"/>
                <w:lang w:eastAsia="zh-CN"/>
              </w:rPr>
              <w:t>″</w:t>
            </w:r>
          </w:p>
        </w:tc>
        <w:tc>
          <w:tcPr>
            <w:tcW w:w="535" w:type="pct"/>
            <w:tcBorders>
              <w:tl2br w:val="nil"/>
              <w:tr2bl w:val="nil"/>
            </w:tcBorders>
            <w:vAlign w:val="center"/>
          </w:tcPr>
          <w:p w14:paraId="3441BC75">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′56.84</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2479A82F">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6B6F07C7">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22264C04">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3F92CB7B">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10A4C5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4F18EC7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9D17F0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1B3FE4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452E4F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142CE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3815667A">
            <w:pPr>
              <w:jc w:val="center"/>
              <w:rPr>
                <w:rFonts w:hint="eastAsia"/>
                <w:b w:val="0"/>
                <w:bCs w:val="0"/>
                <w:color w:val="auto"/>
                <w:sz w:val="21"/>
                <w:szCs w:val="21"/>
                <w:lang w:val="en-US" w:eastAsia="zh-CN"/>
              </w:rPr>
            </w:pPr>
            <w:r>
              <w:rPr>
                <w:b w:val="0"/>
                <w:bCs w:val="0"/>
                <w:color w:val="auto"/>
                <w:sz w:val="21"/>
                <w:szCs w:val="21"/>
              </w:rPr>
              <w:t>粉碎风机排气筒13</w:t>
            </w:r>
            <w:r>
              <w:rPr>
                <w:rFonts w:hint="eastAsia"/>
                <w:b w:val="0"/>
                <w:bCs w:val="0"/>
                <w:color w:val="auto"/>
                <w:sz w:val="21"/>
                <w:szCs w:val="21"/>
                <w:lang w:eastAsia="zh-CN"/>
              </w:rPr>
              <w:t>（</w:t>
            </w:r>
            <w:r>
              <w:rPr>
                <w:b w:val="0"/>
                <w:bCs w:val="0"/>
                <w:color w:val="auto"/>
                <w:sz w:val="21"/>
                <w:szCs w:val="21"/>
              </w:rPr>
              <w:t>DA028</w:t>
            </w:r>
            <w:r>
              <w:rPr>
                <w:rFonts w:hint="eastAsia"/>
                <w:b w:val="0"/>
                <w:bCs w:val="0"/>
                <w:color w:val="auto"/>
                <w:sz w:val="21"/>
                <w:szCs w:val="21"/>
                <w:lang w:eastAsia="zh-CN"/>
              </w:rPr>
              <w:t>）</w:t>
            </w:r>
          </w:p>
        </w:tc>
        <w:tc>
          <w:tcPr>
            <w:tcW w:w="574" w:type="pct"/>
            <w:tcBorders>
              <w:tl2br w:val="nil"/>
              <w:tr2bl w:val="nil"/>
            </w:tcBorders>
            <w:vAlign w:val="center"/>
          </w:tcPr>
          <w:p w14:paraId="0AF103BF">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°36′27.25</w:t>
            </w:r>
            <w:r>
              <w:rPr>
                <w:rFonts w:hint="eastAsia"/>
                <w:b w:val="0"/>
                <w:bCs w:val="0"/>
                <w:color w:val="auto"/>
                <w:sz w:val="21"/>
                <w:szCs w:val="21"/>
                <w:lang w:eastAsia="zh-CN"/>
              </w:rPr>
              <w:t>″</w:t>
            </w:r>
          </w:p>
        </w:tc>
        <w:tc>
          <w:tcPr>
            <w:tcW w:w="535" w:type="pct"/>
            <w:tcBorders>
              <w:tl2br w:val="nil"/>
              <w:tr2bl w:val="nil"/>
            </w:tcBorders>
            <w:vAlign w:val="center"/>
          </w:tcPr>
          <w:p w14:paraId="7FBD6DB3">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′56.8l</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0E8B13E1">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38AF5564">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2032EEBB">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30C3B84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0F6E204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28BA7BF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F95074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239F68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852703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65848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pct"/>
            <w:tcBorders>
              <w:tl2br w:val="nil"/>
              <w:tr2bl w:val="nil"/>
            </w:tcBorders>
            <w:shd w:val="clear" w:color="auto" w:fill="auto"/>
            <w:vAlign w:val="center"/>
          </w:tcPr>
          <w:p w14:paraId="48921749">
            <w:pPr>
              <w:jc w:val="center"/>
              <w:rPr>
                <w:rFonts w:hint="eastAsia"/>
                <w:b w:val="0"/>
                <w:bCs w:val="0"/>
                <w:color w:val="auto"/>
                <w:sz w:val="21"/>
                <w:szCs w:val="21"/>
                <w:lang w:val="en-US" w:eastAsia="zh-CN"/>
              </w:rPr>
            </w:pPr>
            <w:r>
              <w:rPr>
                <w:b w:val="0"/>
                <w:bCs w:val="0"/>
                <w:color w:val="auto"/>
                <w:sz w:val="21"/>
                <w:szCs w:val="21"/>
              </w:rPr>
              <w:t>粉碎风机排气筒19</w:t>
            </w:r>
            <w:r>
              <w:rPr>
                <w:rFonts w:hint="eastAsia"/>
                <w:b w:val="0"/>
                <w:bCs w:val="0"/>
                <w:color w:val="auto"/>
                <w:sz w:val="21"/>
                <w:szCs w:val="21"/>
                <w:lang w:eastAsia="zh-CN"/>
              </w:rPr>
              <w:t>（</w:t>
            </w:r>
            <w:r>
              <w:rPr>
                <w:b w:val="0"/>
                <w:bCs w:val="0"/>
                <w:color w:val="auto"/>
                <w:sz w:val="21"/>
                <w:szCs w:val="21"/>
              </w:rPr>
              <w:t>DA029</w:t>
            </w:r>
            <w:r>
              <w:rPr>
                <w:rFonts w:hint="eastAsia"/>
                <w:b w:val="0"/>
                <w:bCs w:val="0"/>
                <w:color w:val="auto"/>
                <w:sz w:val="21"/>
                <w:szCs w:val="21"/>
                <w:lang w:eastAsia="zh-CN"/>
              </w:rPr>
              <w:t>）</w:t>
            </w:r>
          </w:p>
        </w:tc>
        <w:tc>
          <w:tcPr>
            <w:tcW w:w="574" w:type="pct"/>
            <w:tcBorders>
              <w:tl2br w:val="nil"/>
              <w:tr2bl w:val="nil"/>
            </w:tcBorders>
            <w:vAlign w:val="center"/>
          </w:tcPr>
          <w:p w14:paraId="4BC97331">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°36′27.54</w:t>
            </w:r>
            <w:r>
              <w:rPr>
                <w:rFonts w:hint="eastAsia"/>
                <w:b w:val="0"/>
                <w:bCs w:val="0"/>
                <w:color w:val="auto"/>
                <w:sz w:val="21"/>
                <w:szCs w:val="21"/>
                <w:lang w:eastAsia="zh-CN"/>
              </w:rPr>
              <w:t>″</w:t>
            </w:r>
          </w:p>
        </w:tc>
        <w:tc>
          <w:tcPr>
            <w:tcW w:w="535" w:type="pct"/>
            <w:tcBorders>
              <w:tl2br w:val="nil"/>
              <w:tr2bl w:val="nil"/>
            </w:tcBorders>
            <w:vAlign w:val="center"/>
          </w:tcPr>
          <w:p w14:paraId="18603C1D">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′56.77</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7DC9BD8A">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74E40534">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4A8370D1">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1835A965">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4902930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2DD7A05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0B20F53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4242E4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83EBD1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22998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2B88A1F3">
            <w:pPr>
              <w:jc w:val="center"/>
              <w:rPr>
                <w:b w:val="0"/>
                <w:bCs w:val="0"/>
                <w:color w:val="auto"/>
                <w:sz w:val="21"/>
                <w:szCs w:val="21"/>
              </w:rPr>
            </w:pPr>
            <w:r>
              <w:rPr>
                <w:b w:val="0"/>
                <w:bCs w:val="0"/>
                <w:color w:val="auto"/>
                <w:sz w:val="21"/>
                <w:szCs w:val="21"/>
              </w:rPr>
              <w:t>粉碎风机排气筒22</w:t>
            </w:r>
            <w:r>
              <w:rPr>
                <w:rFonts w:hint="eastAsia"/>
                <w:b w:val="0"/>
                <w:bCs w:val="0"/>
                <w:color w:val="auto"/>
                <w:sz w:val="21"/>
                <w:szCs w:val="21"/>
                <w:lang w:eastAsia="zh-CN"/>
              </w:rPr>
              <w:t>（</w:t>
            </w:r>
            <w:r>
              <w:rPr>
                <w:b w:val="0"/>
                <w:bCs w:val="0"/>
                <w:color w:val="auto"/>
                <w:sz w:val="21"/>
                <w:szCs w:val="21"/>
              </w:rPr>
              <w:t>DA035</w:t>
            </w:r>
            <w:r>
              <w:rPr>
                <w:rFonts w:hint="eastAsia"/>
                <w:b w:val="0"/>
                <w:bCs w:val="0"/>
                <w:color w:val="auto"/>
                <w:sz w:val="21"/>
                <w:szCs w:val="21"/>
                <w:lang w:eastAsia="zh-CN"/>
              </w:rPr>
              <w:t>）</w:t>
            </w:r>
          </w:p>
        </w:tc>
        <w:tc>
          <w:tcPr>
            <w:tcW w:w="574" w:type="pct"/>
            <w:tcBorders>
              <w:tl2br w:val="nil"/>
              <w:tr2bl w:val="nil"/>
            </w:tcBorders>
            <w:vAlign w:val="center"/>
          </w:tcPr>
          <w:p w14:paraId="76819008">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°36′26.7l</w:t>
            </w:r>
            <w:r>
              <w:rPr>
                <w:rFonts w:hint="eastAsia"/>
                <w:b w:val="0"/>
                <w:bCs w:val="0"/>
                <w:color w:val="auto"/>
                <w:sz w:val="21"/>
                <w:szCs w:val="21"/>
                <w:lang w:eastAsia="zh-CN"/>
              </w:rPr>
              <w:t>″</w:t>
            </w:r>
          </w:p>
        </w:tc>
        <w:tc>
          <w:tcPr>
            <w:tcW w:w="535" w:type="pct"/>
            <w:tcBorders>
              <w:tl2br w:val="nil"/>
              <w:tr2bl w:val="nil"/>
            </w:tcBorders>
            <w:vAlign w:val="center"/>
          </w:tcPr>
          <w:p w14:paraId="22066080">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′54.40</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776AC5BE">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674C3555">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6C9A9BC2">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5DA7B13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13D48BCB">
            <w:pPr>
              <w:jc w:val="center"/>
              <w:rPr>
                <w:rFonts w:eastAsia="宋体"/>
                <w:b w:val="0"/>
                <w:bCs w:val="0"/>
                <w:color w:val="auto"/>
                <w:sz w:val="21"/>
                <w:szCs w:val="21"/>
                <w:lang w:val="en-US" w:eastAsia="zh-CN"/>
              </w:rPr>
            </w:pPr>
            <w:r>
              <w:rPr>
                <w:rFonts w:eastAsia="宋体"/>
                <w:b w:val="0"/>
                <w:bCs w:val="0"/>
                <w:color w:val="auto"/>
                <w:sz w:val="21"/>
                <w:szCs w:val="21"/>
              </w:rPr>
              <w:t>28.2</w:t>
            </w:r>
          </w:p>
        </w:tc>
        <w:tc>
          <w:tcPr>
            <w:tcW w:w="305" w:type="pct"/>
            <w:tcBorders>
              <w:tl2br w:val="nil"/>
              <w:tr2bl w:val="nil"/>
            </w:tcBorders>
            <w:shd w:val="clear" w:color="auto" w:fill="auto"/>
            <w:vAlign w:val="center"/>
          </w:tcPr>
          <w:p w14:paraId="4B28BA2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7F67285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D007B4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026173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038F5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5119858D">
            <w:pPr>
              <w:jc w:val="center"/>
              <w:rPr>
                <w:b w:val="0"/>
                <w:bCs w:val="0"/>
                <w:color w:val="auto"/>
                <w:sz w:val="21"/>
                <w:szCs w:val="21"/>
              </w:rPr>
            </w:pPr>
            <w:r>
              <w:rPr>
                <w:b w:val="0"/>
                <w:bCs w:val="0"/>
                <w:color w:val="auto"/>
                <w:sz w:val="21"/>
                <w:szCs w:val="21"/>
              </w:rPr>
              <w:t>粉碎风机排气筒21</w:t>
            </w:r>
            <w:r>
              <w:rPr>
                <w:rFonts w:hint="eastAsia"/>
                <w:b w:val="0"/>
                <w:bCs w:val="0"/>
                <w:color w:val="auto"/>
                <w:sz w:val="21"/>
                <w:szCs w:val="21"/>
                <w:lang w:eastAsia="zh-CN"/>
              </w:rPr>
              <w:t>（</w:t>
            </w:r>
            <w:r>
              <w:rPr>
                <w:b w:val="0"/>
                <w:bCs w:val="0"/>
                <w:color w:val="auto"/>
                <w:sz w:val="21"/>
                <w:szCs w:val="21"/>
              </w:rPr>
              <w:t>DA040</w:t>
            </w:r>
            <w:r>
              <w:rPr>
                <w:rFonts w:hint="eastAsia"/>
                <w:b w:val="0"/>
                <w:bCs w:val="0"/>
                <w:color w:val="auto"/>
                <w:sz w:val="21"/>
                <w:szCs w:val="21"/>
                <w:lang w:eastAsia="zh-CN"/>
              </w:rPr>
              <w:t>）</w:t>
            </w:r>
          </w:p>
        </w:tc>
        <w:tc>
          <w:tcPr>
            <w:tcW w:w="574" w:type="pct"/>
            <w:tcBorders>
              <w:tl2br w:val="nil"/>
              <w:tr2bl w:val="nil"/>
            </w:tcBorders>
            <w:vAlign w:val="center"/>
          </w:tcPr>
          <w:p w14:paraId="1AE14AAA">
            <w:pPr>
              <w:jc w:val="center"/>
              <w:rPr>
                <w:b w:val="0"/>
                <w:bCs w:val="0"/>
                <w:color w:val="auto"/>
                <w:sz w:val="21"/>
                <w:szCs w:val="21"/>
              </w:rPr>
            </w:pPr>
            <w:r>
              <w:rPr>
                <w:b w:val="0"/>
                <w:bCs w:val="0"/>
                <w:color w:val="auto"/>
                <w:sz w:val="21"/>
                <w:szCs w:val="21"/>
              </w:rPr>
              <w:t>124°36′26.89″</w:t>
            </w:r>
          </w:p>
        </w:tc>
        <w:tc>
          <w:tcPr>
            <w:tcW w:w="535" w:type="pct"/>
            <w:tcBorders>
              <w:tl2br w:val="nil"/>
              <w:tr2bl w:val="nil"/>
            </w:tcBorders>
            <w:vAlign w:val="center"/>
          </w:tcPr>
          <w:p w14:paraId="1F903E69">
            <w:pPr>
              <w:jc w:val="center"/>
              <w:rPr>
                <w:b w:val="0"/>
                <w:bCs w:val="0"/>
                <w:color w:val="auto"/>
                <w:sz w:val="21"/>
                <w:szCs w:val="21"/>
              </w:rPr>
            </w:pPr>
            <w:r>
              <w:rPr>
                <w:b w:val="0"/>
                <w:bCs w:val="0"/>
                <w:color w:val="auto"/>
                <w:sz w:val="21"/>
                <w:szCs w:val="21"/>
              </w:rPr>
              <w:t>48°12′53.42″</w:t>
            </w:r>
          </w:p>
        </w:tc>
        <w:tc>
          <w:tcPr>
            <w:tcW w:w="383" w:type="pct"/>
            <w:tcBorders>
              <w:tl2br w:val="nil"/>
              <w:tr2bl w:val="nil"/>
            </w:tcBorders>
            <w:shd w:val="clear" w:color="auto" w:fill="auto"/>
            <w:vAlign w:val="center"/>
          </w:tcPr>
          <w:p w14:paraId="57EDDCEC">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shd w:val="clear" w:color="auto" w:fill="auto"/>
            <w:vAlign w:val="center"/>
          </w:tcPr>
          <w:p w14:paraId="78722203">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shd w:val="clear" w:color="auto" w:fill="auto"/>
            <w:vAlign w:val="center"/>
          </w:tcPr>
          <w:p w14:paraId="0F372A8E">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5DE8F8DD">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A504E81">
            <w:pPr>
              <w:jc w:val="center"/>
              <w:rPr>
                <w:rFonts w:eastAsia="宋体"/>
                <w:b w:val="0"/>
                <w:bCs w:val="0"/>
                <w:color w:val="auto"/>
                <w:sz w:val="21"/>
                <w:szCs w:val="21"/>
                <w:lang w:val="en-US" w:eastAsia="zh-CN"/>
              </w:rPr>
            </w:pPr>
            <w:r>
              <w:rPr>
                <w:rFonts w:eastAsia="宋体"/>
                <w:b w:val="0"/>
                <w:bCs w:val="0"/>
                <w:color w:val="auto"/>
                <w:sz w:val="21"/>
                <w:szCs w:val="21"/>
              </w:rPr>
              <w:t>28.2</w:t>
            </w:r>
          </w:p>
        </w:tc>
        <w:tc>
          <w:tcPr>
            <w:tcW w:w="305" w:type="pct"/>
            <w:tcBorders>
              <w:tl2br w:val="nil"/>
              <w:tr2bl w:val="nil"/>
            </w:tcBorders>
            <w:shd w:val="clear" w:color="auto" w:fill="auto"/>
            <w:vAlign w:val="center"/>
          </w:tcPr>
          <w:p w14:paraId="2982FF3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73B87ED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F8655A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7287A3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04DE5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0E1BEDFB">
            <w:pPr>
              <w:jc w:val="center"/>
              <w:rPr>
                <w:rFonts w:hint="eastAsia"/>
                <w:b w:val="0"/>
                <w:bCs w:val="0"/>
                <w:color w:val="auto"/>
                <w:sz w:val="21"/>
                <w:szCs w:val="21"/>
                <w:lang w:val="en-US" w:eastAsia="zh-CN"/>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w:t>
            </w:r>
            <w:r>
              <w:rPr>
                <w:rFonts w:hint="eastAsia"/>
                <w:b w:val="0"/>
                <w:bCs w:val="0"/>
                <w:color w:val="auto"/>
                <w:sz w:val="21"/>
                <w:szCs w:val="21"/>
                <w:lang w:val="en-US" w:eastAsia="zh-CN"/>
              </w:rPr>
              <w:t>1</w:t>
            </w:r>
            <w:r>
              <w:rPr>
                <w:rFonts w:hint="eastAsia"/>
                <w:b w:val="0"/>
                <w:bCs w:val="0"/>
                <w:color w:val="auto"/>
                <w:sz w:val="21"/>
                <w:szCs w:val="21"/>
                <w:lang w:eastAsia="zh-CN"/>
              </w:rPr>
              <w:t>（</w:t>
            </w:r>
            <w:r>
              <w:rPr>
                <w:rFonts w:hint="eastAsia"/>
                <w:b w:val="0"/>
                <w:bCs w:val="0"/>
                <w:color w:val="auto"/>
                <w:sz w:val="21"/>
                <w:szCs w:val="21"/>
                <w:lang w:val="en-US" w:eastAsia="zh-CN"/>
              </w:rPr>
              <w:t>DA002</w:t>
            </w:r>
            <w:r>
              <w:rPr>
                <w:rFonts w:hint="eastAsia"/>
                <w:b w:val="0"/>
                <w:bCs w:val="0"/>
                <w:color w:val="auto"/>
                <w:sz w:val="21"/>
                <w:szCs w:val="21"/>
                <w:lang w:eastAsia="zh-CN"/>
              </w:rPr>
              <w:t>）</w:t>
            </w:r>
          </w:p>
        </w:tc>
        <w:tc>
          <w:tcPr>
            <w:tcW w:w="574" w:type="pct"/>
            <w:tcBorders>
              <w:tl2br w:val="nil"/>
              <w:tr2bl w:val="nil"/>
            </w:tcBorders>
            <w:vAlign w:val="center"/>
          </w:tcPr>
          <w:p w14:paraId="01E23810">
            <w:pPr>
              <w:jc w:val="center"/>
              <w:rPr>
                <w:b w:val="0"/>
                <w:bCs w:val="0"/>
                <w:color w:val="auto"/>
                <w:sz w:val="21"/>
                <w:szCs w:val="21"/>
              </w:rPr>
            </w:pPr>
            <w:r>
              <w:rPr>
                <w:b w:val="0"/>
                <w:bCs w:val="0"/>
                <w:color w:val="auto"/>
                <w:sz w:val="21"/>
                <w:szCs w:val="21"/>
              </w:rPr>
              <w:t>124°36′</w:t>
            </w:r>
            <w:r>
              <w:rPr>
                <w:rFonts w:hint="eastAsia"/>
                <w:b w:val="0"/>
                <w:bCs w:val="0"/>
                <w:color w:val="auto"/>
                <w:sz w:val="21"/>
                <w:szCs w:val="21"/>
                <w:lang w:val="en-US" w:eastAsia="zh-CN"/>
              </w:rPr>
              <w:t>24.98</w:t>
            </w:r>
            <w:r>
              <w:rPr>
                <w:b w:val="0"/>
                <w:bCs w:val="0"/>
                <w:color w:val="auto"/>
                <w:sz w:val="21"/>
                <w:szCs w:val="21"/>
              </w:rPr>
              <w:t>″</w:t>
            </w:r>
          </w:p>
        </w:tc>
        <w:tc>
          <w:tcPr>
            <w:tcW w:w="535" w:type="pct"/>
            <w:tcBorders>
              <w:tl2br w:val="nil"/>
              <w:tr2bl w:val="nil"/>
            </w:tcBorders>
            <w:vAlign w:val="center"/>
          </w:tcPr>
          <w:p w14:paraId="62E06380">
            <w:pPr>
              <w:jc w:val="center"/>
              <w:rPr>
                <w:b w:val="0"/>
                <w:bCs w:val="0"/>
                <w:color w:val="auto"/>
                <w:sz w:val="21"/>
                <w:szCs w:val="21"/>
              </w:rPr>
            </w:pPr>
            <w:r>
              <w:rPr>
                <w:b w:val="0"/>
                <w:bCs w:val="0"/>
                <w:color w:val="auto"/>
                <w:sz w:val="21"/>
                <w:szCs w:val="21"/>
              </w:rPr>
              <w:t>48°12′5</w:t>
            </w:r>
            <w:r>
              <w:rPr>
                <w:rFonts w:hint="eastAsia"/>
                <w:b w:val="0"/>
                <w:bCs w:val="0"/>
                <w:color w:val="auto"/>
                <w:sz w:val="21"/>
                <w:szCs w:val="21"/>
                <w:lang w:val="en-US" w:eastAsia="zh-CN"/>
              </w:rPr>
              <w:t>2.31</w:t>
            </w:r>
            <w:r>
              <w:rPr>
                <w:b w:val="0"/>
                <w:bCs w:val="0"/>
                <w:color w:val="auto"/>
                <w:sz w:val="21"/>
                <w:szCs w:val="21"/>
              </w:rPr>
              <w:t>″</w:t>
            </w:r>
          </w:p>
        </w:tc>
        <w:tc>
          <w:tcPr>
            <w:tcW w:w="383" w:type="pct"/>
            <w:tcBorders>
              <w:tl2br w:val="nil"/>
              <w:tr2bl w:val="nil"/>
            </w:tcBorders>
            <w:shd w:val="clear" w:color="auto" w:fill="auto"/>
            <w:vAlign w:val="center"/>
          </w:tcPr>
          <w:p w14:paraId="03BA39FD">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shd w:val="clear" w:color="auto" w:fill="auto"/>
            <w:vAlign w:val="center"/>
          </w:tcPr>
          <w:p w14:paraId="760DAC63">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3C4350DE">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1E2250A6">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0BB2D64">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2017D9C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5F5E003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2B3687E">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7FC107E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1AC51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A19C098">
            <w:pPr>
              <w:jc w:val="center"/>
              <w:rPr>
                <w:rFonts w:hint="eastAsia"/>
                <w:b w:val="0"/>
                <w:bCs w:val="0"/>
                <w:color w:val="auto"/>
                <w:sz w:val="21"/>
                <w:szCs w:val="21"/>
                <w:lang w:val="en-US" w:eastAsia="zh-CN"/>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w:t>
            </w:r>
            <w:r>
              <w:rPr>
                <w:rFonts w:hint="eastAsia"/>
                <w:b w:val="0"/>
                <w:bCs w:val="0"/>
                <w:color w:val="auto"/>
                <w:sz w:val="21"/>
                <w:szCs w:val="21"/>
                <w:lang w:val="en-US" w:eastAsia="zh-CN"/>
              </w:rPr>
              <w:t>2</w:t>
            </w:r>
            <w:r>
              <w:rPr>
                <w:rFonts w:hint="eastAsia"/>
                <w:b w:val="0"/>
                <w:bCs w:val="0"/>
                <w:color w:val="auto"/>
                <w:sz w:val="21"/>
                <w:szCs w:val="21"/>
                <w:lang w:eastAsia="zh-CN"/>
              </w:rPr>
              <w:t>（</w:t>
            </w:r>
            <w:r>
              <w:rPr>
                <w:b w:val="0"/>
                <w:bCs w:val="0"/>
                <w:color w:val="auto"/>
                <w:sz w:val="21"/>
                <w:szCs w:val="21"/>
              </w:rPr>
              <w:t>DA032</w:t>
            </w:r>
            <w:r>
              <w:rPr>
                <w:rFonts w:hint="eastAsia"/>
                <w:b w:val="0"/>
                <w:bCs w:val="0"/>
                <w:color w:val="auto"/>
                <w:sz w:val="21"/>
                <w:szCs w:val="21"/>
                <w:lang w:eastAsia="zh-CN"/>
              </w:rPr>
              <w:t>）</w:t>
            </w:r>
          </w:p>
        </w:tc>
        <w:tc>
          <w:tcPr>
            <w:tcW w:w="574" w:type="pct"/>
            <w:tcBorders>
              <w:tl2br w:val="nil"/>
              <w:tr2bl w:val="nil"/>
            </w:tcBorders>
            <w:vAlign w:val="center"/>
          </w:tcPr>
          <w:p w14:paraId="3994204C">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°36′24.55</w:t>
            </w:r>
            <w:r>
              <w:rPr>
                <w:rFonts w:hint="eastAsia"/>
                <w:b w:val="0"/>
                <w:bCs w:val="0"/>
                <w:color w:val="auto"/>
                <w:sz w:val="21"/>
                <w:szCs w:val="21"/>
                <w:lang w:eastAsia="zh-CN"/>
              </w:rPr>
              <w:t>″</w:t>
            </w:r>
          </w:p>
        </w:tc>
        <w:tc>
          <w:tcPr>
            <w:tcW w:w="535" w:type="pct"/>
            <w:tcBorders>
              <w:tl2br w:val="nil"/>
              <w:tr2bl w:val="nil"/>
            </w:tcBorders>
            <w:vAlign w:val="center"/>
          </w:tcPr>
          <w:p w14:paraId="1E41F612">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′58.64</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448984BC">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0DB0EB49">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3CDF35B8">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7EC9B49E">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F45EED8">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3AF8BB4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C49A4A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D60EDF1">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056BDAA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4B2F2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40651D0C">
            <w:pPr>
              <w:jc w:val="center"/>
              <w:rPr>
                <w:b w:val="0"/>
                <w:bCs w:val="0"/>
                <w:color w:val="auto"/>
                <w:sz w:val="21"/>
                <w:szCs w:val="21"/>
                <w:lang w:val="en-US" w:eastAsia="en-US"/>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洗涤塔排气筒3</w:t>
            </w:r>
            <w:r>
              <w:rPr>
                <w:rFonts w:hint="eastAsia"/>
                <w:b w:val="0"/>
                <w:bCs w:val="0"/>
                <w:color w:val="auto"/>
                <w:sz w:val="21"/>
                <w:szCs w:val="21"/>
                <w:lang w:eastAsia="zh-CN"/>
              </w:rPr>
              <w:t>（</w:t>
            </w:r>
            <w:r>
              <w:rPr>
                <w:b w:val="0"/>
                <w:bCs w:val="0"/>
                <w:color w:val="auto"/>
                <w:sz w:val="21"/>
                <w:szCs w:val="21"/>
              </w:rPr>
              <w:t>DA041</w:t>
            </w:r>
            <w:r>
              <w:rPr>
                <w:rFonts w:hint="eastAsia"/>
                <w:b w:val="0"/>
                <w:bCs w:val="0"/>
                <w:color w:val="auto"/>
                <w:sz w:val="21"/>
                <w:szCs w:val="21"/>
                <w:lang w:eastAsia="zh-CN"/>
              </w:rPr>
              <w:t>）</w:t>
            </w:r>
          </w:p>
        </w:tc>
        <w:tc>
          <w:tcPr>
            <w:tcW w:w="574" w:type="pct"/>
            <w:tcBorders>
              <w:tl2br w:val="nil"/>
              <w:tr2bl w:val="nil"/>
            </w:tcBorders>
            <w:vAlign w:val="center"/>
          </w:tcPr>
          <w:p w14:paraId="7044FAF9">
            <w:pPr>
              <w:jc w:val="center"/>
              <w:rPr>
                <w:b w:val="0"/>
                <w:bCs w:val="0"/>
                <w:color w:val="auto"/>
                <w:sz w:val="21"/>
                <w:szCs w:val="21"/>
              </w:rPr>
            </w:pPr>
            <w:r>
              <w:rPr>
                <w:b w:val="0"/>
                <w:bCs w:val="0"/>
                <w:color w:val="auto"/>
                <w:sz w:val="21"/>
                <w:szCs w:val="21"/>
              </w:rPr>
              <w:t>124°36′25.38″</w:t>
            </w:r>
          </w:p>
        </w:tc>
        <w:tc>
          <w:tcPr>
            <w:tcW w:w="535" w:type="pct"/>
            <w:tcBorders>
              <w:tl2br w:val="nil"/>
              <w:tr2bl w:val="nil"/>
            </w:tcBorders>
            <w:vAlign w:val="center"/>
          </w:tcPr>
          <w:p w14:paraId="497CA4D9">
            <w:pPr>
              <w:jc w:val="center"/>
              <w:rPr>
                <w:b w:val="0"/>
                <w:bCs w:val="0"/>
                <w:color w:val="auto"/>
                <w:sz w:val="21"/>
                <w:szCs w:val="21"/>
              </w:rPr>
            </w:pPr>
            <w:r>
              <w:rPr>
                <w:b w:val="0"/>
                <w:bCs w:val="0"/>
                <w:color w:val="auto"/>
                <w:sz w:val="21"/>
                <w:szCs w:val="21"/>
              </w:rPr>
              <w:t>48°12′51.95″</w:t>
            </w:r>
          </w:p>
        </w:tc>
        <w:tc>
          <w:tcPr>
            <w:tcW w:w="383" w:type="pct"/>
            <w:tcBorders>
              <w:tl2br w:val="nil"/>
              <w:tr2bl w:val="nil"/>
            </w:tcBorders>
            <w:shd w:val="clear" w:color="auto" w:fill="auto"/>
            <w:vAlign w:val="center"/>
          </w:tcPr>
          <w:p w14:paraId="2BD7B3BB">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shd w:val="clear" w:color="auto" w:fill="auto"/>
            <w:vAlign w:val="center"/>
          </w:tcPr>
          <w:p w14:paraId="306CF145">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485F20B1">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2D417C29">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8E2A077">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402DE99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3CE6668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310B546">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5F07C12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6F2D77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767" w:type="pct"/>
            <w:tcBorders>
              <w:tl2br w:val="nil"/>
              <w:tr2bl w:val="nil"/>
            </w:tcBorders>
            <w:shd w:val="clear" w:color="auto" w:fill="auto"/>
            <w:vAlign w:val="center"/>
          </w:tcPr>
          <w:p w14:paraId="72AB1BD0">
            <w:pPr>
              <w:jc w:val="center"/>
              <w:rPr>
                <w:b w:val="0"/>
                <w:bCs w:val="0"/>
                <w:color w:val="auto"/>
                <w:sz w:val="21"/>
                <w:szCs w:val="21"/>
                <w:lang w:val="en-US" w:eastAsia="en-US"/>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洗涤塔排气筒4</w:t>
            </w:r>
            <w:r>
              <w:rPr>
                <w:rFonts w:hint="eastAsia"/>
                <w:b w:val="0"/>
                <w:bCs w:val="0"/>
                <w:color w:val="auto"/>
                <w:sz w:val="21"/>
                <w:szCs w:val="21"/>
                <w:lang w:eastAsia="zh-CN"/>
              </w:rPr>
              <w:t>（</w:t>
            </w:r>
            <w:r>
              <w:rPr>
                <w:b w:val="0"/>
                <w:bCs w:val="0"/>
                <w:color w:val="auto"/>
                <w:sz w:val="21"/>
                <w:szCs w:val="21"/>
              </w:rPr>
              <w:t>DA042</w:t>
            </w:r>
            <w:r>
              <w:rPr>
                <w:rFonts w:hint="eastAsia"/>
                <w:b w:val="0"/>
                <w:bCs w:val="0"/>
                <w:color w:val="auto"/>
                <w:sz w:val="21"/>
                <w:szCs w:val="21"/>
                <w:lang w:eastAsia="zh-CN"/>
              </w:rPr>
              <w:t>）</w:t>
            </w:r>
          </w:p>
        </w:tc>
        <w:tc>
          <w:tcPr>
            <w:tcW w:w="574" w:type="pct"/>
            <w:tcBorders>
              <w:tl2br w:val="nil"/>
              <w:tr2bl w:val="nil"/>
            </w:tcBorders>
            <w:vAlign w:val="center"/>
          </w:tcPr>
          <w:p w14:paraId="7090BB80">
            <w:pPr>
              <w:jc w:val="center"/>
              <w:rPr>
                <w:b w:val="0"/>
                <w:bCs w:val="0"/>
                <w:color w:val="auto"/>
                <w:sz w:val="21"/>
                <w:szCs w:val="21"/>
              </w:rPr>
            </w:pPr>
            <w:r>
              <w:rPr>
                <w:b w:val="0"/>
                <w:bCs w:val="0"/>
                <w:color w:val="auto"/>
                <w:sz w:val="21"/>
                <w:szCs w:val="21"/>
              </w:rPr>
              <w:t>124°36′25.02″</w:t>
            </w:r>
          </w:p>
        </w:tc>
        <w:tc>
          <w:tcPr>
            <w:tcW w:w="535" w:type="pct"/>
            <w:tcBorders>
              <w:tl2br w:val="nil"/>
              <w:tr2bl w:val="nil"/>
            </w:tcBorders>
            <w:vAlign w:val="center"/>
          </w:tcPr>
          <w:p w14:paraId="68488E18">
            <w:pPr>
              <w:jc w:val="center"/>
              <w:rPr>
                <w:b w:val="0"/>
                <w:bCs w:val="0"/>
                <w:color w:val="auto"/>
                <w:sz w:val="21"/>
                <w:szCs w:val="21"/>
              </w:rPr>
            </w:pPr>
            <w:r>
              <w:rPr>
                <w:b w:val="0"/>
                <w:bCs w:val="0"/>
                <w:color w:val="auto"/>
                <w:sz w:val="21"/>
                <w:szCs w:val="21"/>
              </w:rPr>
              <w:t>48°12′59.44″</w:t>
            </w:r>
          </w:p>
        </w:tc>
        <w:tc>
          <w:tcPr>
            <w:tcW w:w="383" w:type="pct"/>
            <w:tcBorders>
              <w:tl2br w:val="nil"/>
              <w:tr2bl w:val="nil"/>
            </w:tcBorders>
            <w:shd w:val="clear" w:color="auto" w:fill="auto"/>
            <w:vAlign w:val="center"/>
          </w:tcPr>
          <w:p w14:paraId="04852459">
            <w:pPr>
              <w:jc w:val="center"/>
              <w:rPr>
                <w:rFonts w:hint="eastAsia" w:eastAsia="宋体"/>
                <w:b w:val="0"/>
                <w:bCs w:val="0"/>
                <w:color w:val="auto"/>
                <w:sz w:val="21"/>
                <w:szCs w:val="21"/>
                <w:lang w:val="en-US" w:eastAsia="zh-CN"/>
              </w:rPr>
            </w:pPr>
            <w:r>
              <w:rPr>
                <w:rFonts w:eastAsia="宋体"/>
                <w:b w:val="0"/>
                <w:bCs w:val="0"/>
                <w:color w:val="auto"/>
                <w:sz w:val="21"/>
                <w:szCs w:val="21"/>
              </w:rPr>
              <w:t>177</w:t>
            </w:r>
          </w:p>
        </w:tc>
        <w:tc>
          <w:tcPr>
            <w:tcW w:w="339" w:type="pct"/>
            <w:tcBorders>
              <w:tl2br w:val="nil"/>
              <w:tr2bl w:val="nil"/>
            </w:tcBorders>
            <w:shd w:val="clear" w:color="auto" w:fill="auto"/>
            <w:vAlign w:val="center"/>
          </w:tcPr>
          <w:p w14:paraId="049AA74B">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0FCCFFB8">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087DACCC">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E9A5D70">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5A2B86A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14DEE3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78B7F99">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0738165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bl>
    <w:p w14:paraId="7371F2E8">
      <w:pPr>
        <w:rPr>
          <w:b/>
          <w:bCs/>
          <w:color w:val="auto"/>
          <w:szCs w:val="32"/>
        </w:rPr>
      </w:pPr>
      <w:r>
        <w:rPr>
          <w:b/>
          <w:bCs/>
          <w:color w:val="auto"/>
          <w:szCs w:val="32"/>
        </w:rPr>
        <w:br w:type="page"/>
      </w:r>
    </w:p>
    <w:p w14:paraId="07859E48">
      <w:pPr>
        <w:adjustRightInd w:val="0"/>
        <w:snapToGrid w:val="0"/>
        <w:spacing w:line="360" w:lineRule="auto"/>
        <w:jc w:val="center"/>
        <w:rPr>
          <w:b/>
          <w:bCs/>
          <w:color w:val="auto"/>
          <w:szCs w:val="32"/>
        </w:rPr>
        <w:sectPr>
          <w:pgSz w:w="16840" w:h="11907" w:orient="landscape"/>
          <w:pgMar w:top="1440" w:right="1440" w:bottom="1440" w:left="1440" w:header="851" w:footer="992" w:gutter="0"/>
          <w:pgBorders>
            <w:top w:val="none" w:sz="0" w:space="0"/>
            <w:left w:val="none" w:sz="0" w:space="0"/>
            <w:bottom w:val="none" w:sz="0" w:space="0"/>
            <w:right w:val="none" w:sz="0" w:space="0"/>
          </w:pgBorders>
          <w:cols w:space="0" w:num="1"/>
          <w:rtlGutter w:val="0"/>
          <w:docGrid w:linePitch="312" w:charSpace="0"/>
        </w:sectPr>
      </w:pPr>
    </w:p>
    <w:p w14:paraId="6EFA0B17">
      <w:pPr>
        <w:adjustRightInd w:val="0"/>
        <w:snapToGrid w:val="0"/>
        <w:spacing w:line="360" w:lineRule="auto"/>
        <w:jc w:val="center"/>
        <w:rPr>
          <w:b/>
          <w:bCs/>
          <w:color w:val="auto"/>
          <w:szCs w:val="32"/>
        </w:rPr>
      </w:pPr>
      <w:r>
        <w:rPr>
          <w:b/>
          <w:bCs/>
          <w:color w:val="auto"/>
          <w:szCs w:val="32"/>
        </w:rPr>
        <w:t>表2.4-</w:t>
      </w:r>
      <w:r>
        <w:rPr>
          <w:rFonts w:hint="eastAsia"/>
          <w:b/>
          <w:bCs/>
          <w:color w:val="auto"/>
          <w:szCs w:val="32"/>
          <w:lang w:val="en-US" w:eastAsia="zh-CN"/>
        </w:rPr>
        <w:t>7</w:t>
      </w:r>
      <w:r>
        <w:rPr>
          <w:b/>
          <w:bCs/>
          <w:color w:val="auto"/>
          <w:szCs w:val="32"/>
        </w:rPr>
        <w:t xml:space="preserve">  主要污染源估算模型计算结果表</w:t>
      </w:r>
    </w:p>
    <w:tbl>
      <w:tblPr>
        <w:tblStyle w:val="53"/>
        <w:tblW w:w="8782"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autofit"/>
        <w:tblCellMar>
          <w:top w:w="0" w:type="dxa"/>
          <w:left w:w="108" w:type="dxa"/>
          <w:bottom w:w="0" w:type="dxa"/>
          <w:right w:w="108" w:type="dxa"/>
        </w:tblCellMar>
      </w:tblPr>
      <w:tblGrid>
        <w:gridCol w:w="1855"/>
        <w:gridCol w:w="1251"/>
        <w:gridCol w:w="1269"/>
        <w:gridCol w:w="1648"/>
        <w:gridCol w:w="1522"/>
        <w:gridCol w:w="1237"/>
      </w:tblGrid>
      <w:tr w14:paraId="2072F3A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29" w:hRule="atLeast"/>
          <w:jc w:val="center"/>
        </w:trPr>
        <w:tc>
          <w:tcPr>
            <w:tcW w:w="1855" w:type="dxa"/>
            <w:vAlign w:val="center"/>
          </w:tcPr>
          <w:p w14:paraId="0A67848F">
            <w:pPr>
              <w:jc w:val="center"/>
              <w:rPr>
                <w:rFonts w:eastAsia="宋体"/>
                <w:b w:val="0"/>
                <w:bCs w:val="0"/>
                <w:color w:val="auto"/>
                <w:sz w:val="21"/>
                <w:szCs w:val="21"/>
              </w:rPr>
            </w:pPr>
            <w:r>
              <w:rPr>
                <w:rFonts w:eastAsia="宋体"/>
                <w:b w:val="0"/>
                <w:bCs w:val="0"/>
                <w:color w:val="auto"/>
                <w:sz w:val="21"/>
                <w:szCs w:val="21"/>
              </w:rPr>
              <w:t>污染源名称</w:t>
            </w:r>
          </w:p>
        </w:tc>
        <w:tc>
          <w:tcPr>
            <w:tcW w:w="1251" w:type="dxa"/>
            <w:vAlign w:val="center"/>
          </w:tcPr>
          <w:p w14:paraId="34144F96">
            <w:pPr>
              <w:jc w:val="center"/>
              <w:rPr>
                <w:rFonts w:eastAsia="宋体"/>
                <w:b w:val="0"/>
                <w:bCs w:val="0"/>
                <w:color w:val="auto"/>
                <w:sz w:val="21"/>
                <w:szCs w:val="21"/>
              </w:rPr>
            </w:pPr>
            <w:r>
              <w:rPr>
                <w:rFonts w:eastAsia="宋体"/>
                <w:b w:val="0"/>
                <w:bCs w:val="0"/>
                <w:color w:val="auto"/>
                <w:sz w:val="21"/>
                <w:szCs w:val="21"/>
              </w:rPr>
              <w:t>评价因子</w:t>
            </w:r>
          </w:p>
        </w:tc>
        <w:tc>
          <w:tcPr>
            <w:tcW w:w="1269" w:type="dxa"/>
            <w:vAlign w:val="center"/>
          </w:tcPr>
          <w:p w14:paraId="5B41F848">
            <w:pPr>
              <w:jc w:val="center"/>
              <w:rPr>
                <w:rFonts w:eastAsia="宋体"/>
                <w:b w:val="0"/>
                <w:bCs w:val="0"/>
                <w:color w:val="auto"/>
                <w:sz w:val="21"/>
                <w:szCs w:val="21"/>
              </w:rPr>
            </w:pPr>
            <w:r>
              <w:rPr>
                <w:rFonts w:eastAsia="宋体"/>
                <w:b w:val="0"/>
                <w:bCs w:val="0"/>
                <w:color w:val="auto"/>
                <w:sz w:val="21"/>
                <w:szCs w:val="21"/>
              </w:rPr>
              <w:t>评价标准(μg/m³)</w:t>
            </w:r>
          </w:p>
        </w:tc>
        <w:tc>
          <w:tcPr>
            <w:tcW w:w="1648" w:type="dxa"/>
            <w:vAlign w:val="center"/>
          </w:tcPr>
          <w:p w14:paraId="78750336">
            <w:pPr>
              <w:jc w:val="center"/>
              <w:rPr>
                <w:rFonts w:eastAsia="宋体"/>
                <w:b w:val="0"/>
                <w:bCs w:val="0"/>
                <w:color w:val="auto"/>
                <w:sz w:val="21"/>
                <w:szCs w:val="21"/>
              </w:rPr>
            </w:pPr>
            <w:r>
              <w:rPr>
                <w:rFonts w:eastAsia="宋体"/>
                <w:b w:val="0"/>
                <w:bCs w:val="0"/>
                <w:color w:val="auto"/>
                <w:sz w:val="21"/>
                <w:szCs w:val="21"/>
              </w:rPr>
              <w:t>Cmax(μg/m³)</w:t>
            </w:r>
          </w:p>
        </w:tc>
        <w:tc>
          <w:tcPr>
            <w:tcW w:w="1522" w:type="dxa"/>
            <w:vAlign w:val="center"/>
          </w:tcPr>
          <w:p w14:paraId="23CA33CF">
            <w:pPr>
              <w:jc w:val="center"/>
              <w:rPr>
                <w:rFonts w:eastAsia="宋体"/>
                <w:b w:val="0"/>
                <w:bCs w:val="0"/>
                <w:color w:val="auto"/>
                <w:sz w:val="21"/>
                <w:szCs w:val="21"/>
              </w:rPr>
            </w:pPr>
            <w:r>
              <w:rPr>
                <w:rFonts w:eastAsia="宋体"/>
                <w:b w:val="0"/>
                <w:bCs w:val="0"/>
                <w:color w:val="auto"/>
                <w:sz w:val="21"/>
                <w:szCs w:val="21"/>
              </w:rPr>
              <w:t>Pmax(%)</w:t>
            </w:r>
          </w:p>
        </w:tc>
        <w:tc>
          <w:tcPr>
            <w:tcW w:w="1237" w:type="dxa"/>
            <w:vAlign w:val="center"/>
          </w:tcPr>
          <w:p w14:paraId="035AE904">
            <w:pPr>
              <w:jc w:val="center"/>
              <w:rPr>
                <w:rFonts w:eastAsia="宋体"/>
                <w:b w:val="0"/>
                <w:bCs w:val="0"/>
                <w:color w:val="auto"/>
                <w:sz w:val="21"/>
                <w:szCs w:val="21"/>
              </w:rPr>
            </w:pPr>
            <w:r>
              <w:rPr>
                <w:rFonts w:eastAsia="宋体"/>
                <w:b w:val="0"/>
                <w:bCs w:val="0"/>
                <w:color w:val="auto"/>
                <w:sz w:val="21"/>
                <w:szCs w:val="21"/>
              </w:rPr>
              <w:t>D10%(m)</w:t>
            </w:r>
          </w:p>
        </w:tc>
      </w:tr>
      <w:tr w14:paraId="4E9B185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163E3359">
            <w:pPr>
              <w:jc w:val="center"/>
              <w:rPr>
                <w:rFonts w:eastAsia="宋体"/>
                <w:b w:val="0"/>
                <w:bCs w:val="0"/>
                <w:color w:val="auto"/>
                <w:sz w:val="21"/>
                <w:szCs w:val="21"/>
              </w:rPr>
            </w:pPr>
            <w:r>
              <w:rPr>
                <w:rFonts w:eastAsia="宋体"/>
                <w:b w:val="0"/>
                <w:bCs w:val="0"/>
                <w:color w:val="auto"/>
                <w:sz w:val="21"/>
                <w:szCs w:val="21"/>
              </w:rPr>
              <w:t>粉碎风机排气筒6（DA010）</w:t>
            </w:r>
          </w:p>
        </w:tc>
        <w:tc>
          <w:tcPr>
            <w:tcW w:w="1251" w:type="dxa"/>
            <w:vAlign w:val="center"/>
          </w:tcPr>
          <w:p w14:paraId="3972ED69">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74806430">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0D85605F">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0BCD6272">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5FD5015C">
            <w:pPr>
              <w:jc w:val="center"/>
              <w:rPr>
                <w:rFonts w:eastAsia="宋体"/>
                <w:b w:val="0"/>
                <w:bCs w:val="0"/>
                <w:color w:val="auto"/>
                <w:sz w:val="21"/>
                <w:szCs w:val="21"/>
              </w:rPr>
            </w:pPr>
            <w:r>
              <w:rPr>
                <w:rFonts w:eastAsia="宋体"/>
                <w:b w:val="0"/>
                <w:bCs w:val="0"/>
                <w:color w:val="auto"/>
                <w:sz w:val="21"/>
                <w:szCs w:val="21"/>
              </w:rPr>
              <w:t>/</w:t>
            </w:r>
          </w:p>
        </w:tc>
      </w:tr>
      <w:tr w14:paraId="2E91EF4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24A6803A">
            <w:pPr>
              <w:jc w:val="center"/>
              <w:rPr>
                <w:rFonts w:eastAsia="宋体"/>
                <w:b w:val="0"/>
                <w:bCs w:val="0"/>
                <w:color w:val="auto"/>
                <w:sz w:val="21"/>
                <w:szCs w:val="21"/>
              </w:rPr>
            </w:pPr>
            <w:r>
              <w:rPr>
                <w:rFonts w:eastAsia="宋体"/>
                <w:b w:val="0"/>
                <w:bCs w:val="0"/>
                <w:color w:val="auto"/>
                <w:sz w:val="21"/>
                <w:szCs w:val="21"/>
              </w:rPr>
              <w:t>粉碎风机排气筒20（DA019）</w:t>
            </w:r>
          </w:p>
        </w:tc>
        <w:tc>
          <w:tcPr>
            <w:tcW w:w="1251" w:type="dxa"/>
            <w:vAlign w:val="center"/>
          </w:tcPr>
          <w:p w14:paraId="0252BEFC">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2891130E">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2BECD1FD">
            <w:pPr>
              <w:jc w:val="center"/>
              <w:rPr>
                <w:rFonts w:eastAsia="宋体"/>
                <w:b w:val="0"/>
                <w:bCs w:val="0"/>
                <w:color w:val="auto"/>
                <w:sz w:val="21"/>
                <w:szCs w:val="21"/>
              </w:rPr>
            </w:pPr>
            <w:r>
              <w:rPr>
                <w:rFonts w:eastAsia="宋体"/>
                <w:b w:val="0"/>
                <w:bCs w:val="0"/>
                <w:color w:val="auto"/>
                <w:sz w:val="21"/>
                <w:szCs w:val="21"/>
              </w:rPr>
              <w:t>18.240</w:t>
            </w:r>
          </w:p>
        </w:tc>
        <w:tc>
          <w:tcPr>
            <w:tcW w:w="1522" w:type="dxa"/>
            <w:vAlign w:val="center"/>
          </w:tcPr>
          <w:p w14:paraId="7B61128F">
            <w:pPr>
              <w:jc w:val="center"/>
              <w:rPr>
                <w:rFonts w:eastAsia="宋体"/>
                <w:b w:val="0"/>
                <w:bCs w:val="0"/>
                <w:color w:val="auto"/>
                <w:sz w:val="21"/>
                <w:szCs w:val="21"/>
              </w:rPr>
            </w:pPr>
            <w:r>
              <w:rPr>
                <w:rFonts w:eastAsia="宋体"/>
                <w:b w:val="0"/>
                <w:bCs w:val="0"/>
                <w:color w:val="auto"/>
                <w:sz w:val="21"/>
                <w:szCs w:val="21"/>
              </w:rPr>
              <w:t>5.067</w:t>
            </w:r>
          </w:p>
        </w:tc>
        <w:tc>
          <w:tcPr>
            <w:tcW w:w="1237" w:type="dxa"/>
            <w:vAlign w:val="center"/>
          </w:tcPr>
          <w:p w14:paraId="3B192F95">
            <w:pPr>
              <w:jc w:val="center"/>
              <w:rPr>
                <w:rFonts w:eastAsia="宋体"/>
                <w:b w:val="0"/>
                <w:bCs w:val="0"/>
                <w:color w:val="auto"/>
                <w:sz w:val="21"/>
                <w:szCs w:val="21"/>
              </w:rPr>
            </w:pPr>
            <w:r>
              <w:rPr>
                <w:rFonts w:eastAsia="宋体"/>
                <w:b w:val="0"/>
                <w:bCs w:val="0"/>
                <w:color w:val="auto"/>
                <w:sz w:val="21"/>
                <w:szCs w:val="21"/>
              </w:rPr>
              <w:t>/</w:t>
            </w:r>
          </w:p>
        </w:tc>
      </w:tr>
      <w:tr w14:paraId="3AAFFB0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0FDF4A15">
            <w:pPr>
              <w:jc w:val="center"/>
              <w:rPr>
                <w:rFonts w:eastAsia="宋体"/>
                <w:b w:val="0"/>
                <w:bCs w:val="0"/>
                <w:color w:val="auto"/>
                <w:sz w:val="21"/>
                <w:szCs w:val="21"/>
              </w:rPr>
            </w:pPr>
            <w:r>
              <w:rPr>
                <w:rFonts w:eastAsia="宋体"/>
                <w:b w:val="0"/>
                <w:bCs w:val="0"/>
                <w:color w:val="auto"/>
                <w:sz w:val="21"/>
                <w:szCs w:val="21"/>
              </w:rPr>
              <w:t>CO2洗涤塔排气筒3（DA041）</w:t>
            </w:r>
          </w:p>
        </w:tc>
        <w:tc>
          <w:tcPr>
            <w:tcW w:w="1251" w:type="dxa"/>
            <w:vAlign w:val="center"/>
          </w:tcPr>
          <w:p w14:paraId="53ED7741">
            <w:pPr>
              <w:jc w:val="center"/>
              <w:rPr>
                <w:rFonts w:eastAsia="宋体"/>
                <w:b w:val="0"/>
                <w:bCs w:val="0"/>
                <w:color w:val="auto"/>
                <w:sz w:val="21"/>
                <w:szCs w:val="21"/>
              </w:rPr>
            </w:pPr>
            <w:r>
              <w:rPr>
                <w:rFonts w:eastAsia="宋体"/>
                <w:b w:val="0"/>
                <w:bCs w:val="0"/>
                <w:color w:val="auto"/>
                <w:sz w:val="21"/>
                <w:szCs w:val="21"/>
              </w:rPr>
              <w:t>NMHC</w:t>
            </w:r>
          </w:p>
        </w:tc>
        <w:tc>
          <w:tcPr>
            <w:tcW w:w="1269" w:type="dxa"/>
            <w:vAlign w:val="center"/>
          </w:tcPr>
          <w:p w14:paraId="618A5CEE">
            <w:pPr>
              <w:jc w:val="center"/>
              <w:rPr>
                <w:rFonts w:eastAsia="宋体"/>
                <w:b w:val="0"/>
                <w:bCs w:val="0"/>
                <w:color w:val="auto"/>
                <w:sz w:val="21"/>
                <w:szCs w:val="21"/>
              </w:rPr>
            </w:pPr>
            <w:r>
              <w:rPr>
                <w:rFonts w:eastAsia="宋体"/>
                <w:b w:val="0"/>
                <w:bCs w:val="0"/>
                <w:color w:val="auto"/>
                <w:sz w:val="21"/>
                <w:szCs w:val="21"/>
              </w:rPr>
              <w:t>2000.0</w:t>
            </w:r>
          </w:p>
        </w:tc>
        <w:tc>
          <w:tcPr>
            <w:tcW w:w="1648" w:type="dxa"/>
            <w:vAlign w:val="center"/>
          </w:tcPr>
          <w:p w14:paraId="551E1843">
            <w:pPr>
              <w:jc w:val="center"/>
              <w:rPr>
                <w:rFonts w:eastAsia="宋体"/>
                <w:b w:val="0"/>
                <w:bCs w:val="0"/>
                <w:color w:val="auto"/>
                <w:sz w:val="21"/>
                <w:szCs w:val="21"/>
              </w:rPr>
            </w:pPr>
            <w:r>
              <w:rPr>
                <w:rFonts w:eastAsia="宋体"/>
                <w:b w:val="0"/>
                <w:bCs w:val="0"/>
                <w:color w:val="auto"/>
                <w:sz w:val="21"/>
                <w:szCs w:val="21"/>
              </w:rPr>
              <w:t>262.980</w:t>
            </w:r>
          </w:p>
        </w:tc>
        <w:tc>
          <w:tcPr>
            <w:tcW w:w="1522" w:type="dxa"/>
            <w:vAlign w:val="center"/>
          </w:tcPr>
          <w:p w14:paraId="7FE87EB8">
            <w:pPr>
              <w:jc w:val="center"/>
              <w:rPr>
                <w:rFonts w:eastAsia="宋体"/>
                <w:b w:val="0"/>
                <w:bCs w:val="0"/>
                <w:color w:val="auto"/>
                <w:sz w:val="21"/>
                <w:szCs w:val="21"/>
              </w:rPr>
            </w:pPr>
            <w:r>
              <w:rPr>
                <w:rFonts w:eastAsia="宋体"/>
                <w:b w:val="0"/>
                <w:bCs w:val="0"/>
                <w:color w:val="auto"/>
                <w:sz w:val="21"/>
                <w:szCs w:val="21"/>
              </w:rPr>
              <w:t>13.149</w:t>
            </w:r>
          </w:p>
        </w:tc>
        <w:tc>
          <w:tcPr>
            <w:tcW w:w="1237" w:type="dxa"/>
            <w:vAlign w:val="center"/>
          </w:tcPr>
          <w:p w14:paraId="393B489C">
            <w:pPr>
              <w:jc w:val="center"/>
              <w:rPr>
                <w:rFonts w:eastAsia="宋体"/>
                <w:b w:val="0"/>
                <w:bCs w:val="0"/>
                <w:color w:val="auto"/>
                <w:sz w:val="21"/>
                <w:szCs w:val="21"/>
              </w:rPr>
            </w:pPr>
            <w:r>
              <w:rPr>
                <w:rFonts w:eastAsia="宋体"/>
                <w:b w:val="0"/>
                <w:bCs w:val="0"/>
                <w:color w:val="auto"/>
                <w:sz w:val="21"/>
                <w:szCs w:val="21"/>
              </w:rPr>
              <w:t>750.0</w:t>
            </w:r>
          </w:p>
        </w:tc>
      </w:tr>
      <w:tr w14:paraId="0F216D1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11F18C5A">
            <w:pPr>
              <w:jc w:val="center"/>
              <w:rPr>
                <w:rFonts w:eastAsia="宋体"/>
                <w:b w:val="0"/>
                <w:bCs w:val="0"/>
                <w:color w:val="auto"/>
                <w:sz w:val="21"/>
                <w:szCs w:val="21"/>
              </w:rPr>
            </w:pPr>
            <w:r>
              <w:rPr>
                <w:rFonts w:eastAsia="宋体"/>
                <w:b w:val="0"/>
                <w:bCs w:val="0"/>
                <w:color w:val="auto"/>
                <w:sz w:val="21"/>
                <w:szCs w:val="21"/>
              </w:rPr>
              <w:t>污水处理站排气筒（DA011）</w:t>
            </w:r>
          </w:p>
        </w:tc>
        <w:tc>
          <w:tcPr>
            <w:tcW w:w="1251" w:type="dxa"/>
            <w:vAlign w:val="center"/>
          </w:tcPr>
          <w:p w14:paraId="7580F097">
            <w:pPr>
              <w:jc w:val="center"/>
              <w:rPr>
                <w:rFonts w:eastAsia="宋体"/>
                <w:b w:val="0"/>
                <w:bCs w:val="0"/>
                <w:color w:val="auto"/>
                <w:sz w:val="21"/>
                <w:szCs w:val="21"/>
              </w:rPr>
            </w:pPr>
            <w:r>
              <w:rPr>
                <w:rFonts w:eastAsia="宋体"/>
                <w:b w:val="0"/>
                <w:bCs w:val="0"/>
                <w:color w:val="auto"/>
                <w:sz w:val="21"/>
                <w:szCs w:val="21"/>
              </w:rPr>
              <w:t>NH3</w:t>
            </w:r>
          </w:p>
        </w:tc>
        <w:tc>
          <w:tcPr>
            <w:tcW w:w="1269" w:type="dxa"/>
            <w:vAlign w:val="center"/>
          </w:tcPr>
          <w:p w14:paraId="698F4ECF">
            <w:pPr>
              <w:jc w:val="center"/>
              <w:rPr>
                <w:rFonts w:eastAsia="宋体"/>
                <w:b w:val="0"/>
                <w:bCs w:val="0"/>
                <w:color w:val="auto"/>
                <w:sz w:val="21"/>
                <w:szCs w:val="21"/>
              </w:rPr>
            </w:pPr>
            <w:r>
              <w:rPr>
                <w:rFonts w:eastAsia="宋体"/>
                <w:b w:val="0"/>
                <w:bCs w:val="0"/>
                <w:color w:val="auto"/>
                <w:sz w:val="21"/>
                <w:szCs w:val="21"/>
              </w:rPr>
              <w:t>200.0</w:t>
            </w:r>
          </w:p>
        </w:tc>
        <w:tc>
          <w:tcPr>
            <w:tcW w:w="1648" w:type="dxa"/>
            <w:vAlign w:val="center"/>
          </w:tcPr>
          <w:p w14:paraId="314C97AE">
            <w:pPr>
              <w:jc w:val="center"/>
              <w:rPr>
                <w:rFonts w:eastAsia="宋体"/>
                <w:b w:val="0"/>
                <w:bCs w:val="0"/>
                <w:color w:val="auto"/>
                <w:sz w:val="21"/>
                <w:szCs w:val="21"/>
              </w:rPr>
            </w:pPr>
            <w:r>
              <w:rPr>
                <w:rFonts w:eastAsia="宋体"/>
                <w:b w:val="0"/>
                <w:bCs w:val="0"/>
                <w:color w:val="auto"/>
                <w:sz w:val="21"/>
                <w:szCs w:val="21"/>
              </w:rPr>
              <w:t>10.092</w:t>
            </w:r>
          </w:p>
        </w:tc>
        <w:tc>
          <w:tcPr>
            <w:tcW w:w="1522" w:type="dxa"/>
            <w:vAlign w:val="center"/>
          </w:tcPr>
          <w:p w14:paraId="6AF058DD">
            <w:pPr>
              <w:jc w:val="center"/>
              <w:rPr>
                <w:rFonts w:eastAsia="宋体"/>
                <w:b w:val="0"/>
                <w:bCs w:val="0"/>
                <w:color w:val="auto"/>
                <w:sz w:val="21"/>
                <w:szCs w:val="21"/>
              </w:rPr>
            </w:pPr>
            <w:r>
              <w:rPr>
                <w:rFonts w:eastAsia="宋体"/>
                <w:b w:val="0"/>
                <w:bCs w:val="0"/>
                <w:color w:val="auto"/>
                <w:sz w:val="21"/>
                <w:szCs w:val="21"/>
              </w:rPr>
              <w:t>5.046</w:t>
            </w:r>
          </w:p>
        </w:tc>
        <w:tc>
          <w:tcPr>
            <w:tcW w:w="1237" w:type="dxa"/>
            <w:vAlign w:val="center"/>
          </w:tcPr>
          <w:p w14:paraId="5CB4E202">
            <w:pPr>
              <w:jc w:val="center"/>
              <w:rPr>
                <w:rFonts w:eastAsia="宋体"/>
                <w:b w:val="0"/>
                <w:bCs w:val="0"/>
                <w:color w:val="auto"/>
                <w:sz w:val="21"/>
                <w:szCs w:val="21"/>
              </w:rPr>
            </w:pPr>
            <w:r>
              <w:rPr>
                <w:rFonts w:eastAsia="宋体"/>
                <w:b w:val="0"/>
                <w:bCs w:val="0"/>
                <w:color w:val="auto"/>
                <w:sz w:val="21"/>
                <w:szCs w:val="21"/>
              </w:rPr>
              <w:t>/</w:t>
            </w:r>
          </w:p>
        </w:tc>
      </w:tr>
      <w:tr w14:paraId="490FCFF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48B997DD">
            <w:pPr>
              <w:jc w:val="center"/>
              <w:rPr>
                <w:rFonts w:eastAsia="宋体"/>
                <w:b w:val="0"/>
                <w:bCs w:val="0"/>
                <w:color w:val="auto"/>
                <w:sz w:val="21"/>
                <w:szCs w:val="21"/>
              </w:rPr>
            </w:pPr>
            <w:r>
              <w:rPr>
                <w:rFonts w:eastAsia="宋体"/>
                <w:b w:val="0"/>
                <w:bCs w:val="0"/>
                <w:color w:val="auto"/>
                <w:sz w:val="21"/>
                <w:szCs w:val="21"/>
              </w:rPr>
              <w:t>污水处理站排气筒（DA011）</w:t>
            </w:r>
          </w:p>
        </w:tc>
        <w:tc>
          <w:tcPr>
            <w:tcW w:w="1251" w:type="dxa"/>
            <w:vAlign w:val="center"/>
          </w:tcPr>
          <w:p w14:paraId="0C8FDE08">
            <w:pPr>
              <w:jc w:val="center"/>
              <w:rPr>
                <w:rFonts w:eastAsia="宋体"/>
                <w:b w:val="0"/>
                <w:bCs w:val="0"/>
                <w:color w:val="auto"/>
                <w:sz w:val="21"/>
                <w:szCs w:val="21"/>
              </w:rPr>
            </w:pPr>
            <w:r>
              <w:rPr>
                <w:rFonts w:eastAsia="宋体"/>
                <w:b w:val="0"/>
                <w:bCs w:val="0"/>
                <w:color w:val="auto"/>
                <w:sz w:val="21"/>
                <w:szCs w:val="21"/>
              </w:rPr>
              <w:t>H2S</w:t>
            </w:r>
          </w:p>
        </w:tc>
        <w:tc>
          <w:tcPr>
            <w:tcW w:w="1269" w:type="dxa"/>
            <w:vAlign w:val="center"/>
          </w:tcPr>
          <w:p w14:paraId="73D896B5">
            <w:pPr>
              <w:jc w:val="center"/>
              <w:rPr>
                <w:rFonts w:eastAsia="宋体"/>
                <w:b w:val="0"/>
                <w:bCs w:val="0"/>
                <w:color w:val="auto"/>
                <w:sz w:val="21"/>
                <w:szCs w:val="21"/>
              </w:rPr>
            </w:pPr>
            <w:r>
              <w:rPr>
                <w:rFonts w:eastAsia="宋体"/>
                <w:b w:val="0"/>
                <w:bCs w:val="0"/>
                <w:color w:val="auto"/>
                <w:sz w:val="21"/>
                <w:szCs w:val="21"/>
              </w:rPr>
              <w:t>10.0</w:t>
            </w:r>
          </w:p>
        </w:tc>
        <w:tc>
          <w:tcPr>
            <w:tcW w:w="1648" w:type="dxa"/>
            <w:vAlign w:val="center"/>
          </w:tcPr>
          <w:p w14:paraId="6E43BC5F">
            <w:pPr>
              <w:jc w:val="center"/>
              <w:rPr>
                <w:rFonts w:eastAsia="宋体"/>
                <w:b w:val="0"/>
                <w:bCs w:val="0"/>
                <w:color w:val="auto"/>
                <w:sz w:val="21"/>
                <w:szCs w:val="21"/>
              </w:rPr>
            </w:pPr>
            <w:r>
              <w:rPr>
                <w:rFonts w:eastAsia="宋体"/>
                <w:b w:val="0"/>
                <w:bCs w:val="0"/>
                <w:color w:val="auto"/>
                <w:sz w:val="21"/>
                <w:szCs w:val="21"/>
              </w:rPr>
              <w:t>0.890</w:t>
            </w:r>
          </w:p>
        </w:tc>
        <w:tc>
          <w:tcPr>
            <w:tcW w:w="1522" w:type="dxa"/>
            <w:vAlign w:val="center"/>
          </w:tcPr>
          <w:p w14:paraId="7FF4DCE4">
            <w:pPr>
              <w:jc w:val="center"/>
              <w:rPr>
                <w:rFonts w:eastAsia="宋体"/>
                <w:b w:val="0"/>
                <w:bCs w:val="0"/>
                <w:color w:val="auto"/>
                <w:sz w:val="21"/>
                <w:szCs w:val="21"/>
              </w:rPr>
            </w:pPr>
            <w:r>
              <w:rPr>
                <w:rFonts w:eastAsia="宋体"/>
                <w:b w:val="0"/>
                <w:bCs w:val="0"/>
                <w:color w:val="auto"/>
                <w:sz w:val="21"/>
                <w:szCs w:val="21"/>
              </w:rPr>
              <w:t>8.905</w:t>
            </w:r>
          </w:p>
        </w:tc>
        <w:tc>
          <w:tcPr>
            <w:tcW w:w="1237" w:type="dxa"/>
            <w:vAlign w:val="center"/>
          </w:tcPr>
          <w:p w14:paraId="1FD9E881">
            <w:pPr>
              <w:jc w:val="center"/>
              <w:rPr>
                <w:rFonts w:eastAsia="宋体"/>
                <w:b w:val="0"/>
                <w:bCs w:val="0"/>
                <w:color w:val="auto"/>
                <w:sz w:val="21"/>
                <w:szCs w:val="21"/>
              </w:rPr>
            </w:pPr>
            <w:r>
              <w:rPr>
                <w:rFonts w:eastAsia="宋体"/>
                <w:b w:val="0"/>
                <w:bCs w:val="0"/>
                <w:color w:val="auto"/>
                <w:sz w:val="21"/>
                <w:szCs w:val="21"/>
              </w:rPr>
              <w:t>/</w:t>
            </w:r>
          </w:p>
        </w:tc>
      </w:tr>
      <w:tr w14:paraId="02136C3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0059C00F">
            <w:pPr>
              <w:jc w:val="center"/>
              <w:rPr>
                <w:rFonts w:eastAsia="宋体"/>
                <w:b w:val="0"/>
                <w:bCs w:val="0"/>
                <w:color w:val="auto"/>
                <w:sz w:val="21"/>
                <w:szCs w:val="21"/>
              </w:rPr>
            </w:pPr>
            <w:r>
              <w:rPr>
                <w:rFonts w:eastAsia="宋体"/>
                <w:b w:val="0"/>
                <w:bCs w:val="0"/>
                <w:color w:val="auto"/>
                <w:sz w:val="21"/>
                <w:szCs w:val="21"/>
              </w:rPr>
              <w:t>粉碎风机排气筒12（DA023）</w:t>
            </w:r>
          </w:p>
        </w:tc>
        <w:tc>
          <w:tcPr>
            <w:tcW w:w="1251" w:type="dxa"/>
            <w:vAlign w:val="center"/>
          </w:tcPr>
          <w:p w14:paraId="2CACCD33">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3D3E1820">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32B41398">
            <w:pPr>
              <w:jc w:val="center"/>
              <w:rPr>
                <w:rFonts w:eastAsia="宋体"/>
                <w:b w:val="0"/>
                <w:bCs w:val="0"/>
                <w:color w:val="auto"/>
                <w:sz w:val="21"/>
                <w:szCs w:val="21"/>
              </w:rPr>
            </w:pPr>
            <w:r>
              <w:rPr>
                <w:rFonts w:eastAsia="宋体"/>
                <w:b w:val="0"/>
                <w:bCs w:val="0"/>
                <w:color w:val="auto"/>
                <w:sz w:val="21"/>
                <w:szCs w:val="21"/>
              </w:rPr>
              <w:t>18.240</w:t>
            </w:r>
          </w:p>
        </w:tc>
        <w:tc>
          <w:tcPr>
            <w:tcW w:w="1522" w:type="dxa"/>
            <w:vAlign w:val="center"/>
          </w:tcPr>
          <w:p w14:paraId="693F7DC2">
            <w:pPr>
              <w:jc w:val="center"/>
              <w:rPr>
                <w:rFonts w:eastAsia="宋体"/>
                <w:b w:val="0"/>
                <w:bCs w:val="0"/>
                <w:color w:val="auto"/>
                <w:sz w:val="21"/>
                <w:szCs w:val="21"/>
              </w:rPr>
            </w:pPr>
            <w:r>
              <w:rPr>
                <w:rFonts w:eastAsia="宋体"/>
                <w:b w:val="0"/>
                <w:bCs w:val="0"/>
                <w:color w:val="auto"/>
                <w:sz w:val="21"/>
                <w:szCs w:val="21"/>
              </w:rPr>
              <w:t>5.067</w:t>
            </w:r>
          </w:p>
        </w:tc>
        <w:tc>
          <w:tcPr>
            <w:tcW w:w="1237" w:type="dxa"/>
            <w:vAlign w:val="center"/>
          </w:tcPr>
          <w:p w14:paraId="09B16E60">
            <w:pPr>
              <w:jc w:val="center"/>
              <w:rPr>
                <w:rFonts w:eastAsia="宋体"/>
                <w:b w:val="0"/>
                <w:bCs w:val="0"/>
                <w:color w:val="auto"/>
                <w:sz w:val="21"/>
                <w:szCs w:val="21"/>
              </w:rPr>
            </w:pPr>
            <w:r>
              <w:rPr>
                <w:rFonts w:eastAsia="宋体"/>
                <w:b w:val="0"/>
                <w:bCs w:val="0"/>
                <w:color w:val="auto"/>
                <w:sz w:val="21"/>
                <w:szCs w:val="21"/>
              </w:rPr>
              <w:t>/</w:t>
            </w:r>
          </w:p>
        </w:tc>
      </w:tr>
      <w:tr w14:paraId="7731362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01538C8D">
            <w:pPr>
              <w:jc w:val="center"/>
              <w:rPr>
                <w:rFonts w:eastAsia="宋体"/>
                <w:b w:val="0"/>
                <w:bCs w:val="0"/>
                <w:color w:val="auto"/>
                <w:sz w:val="21"/>
                <w:szCs w:val="21"/>
              </w:rPr>
            </w:pPr>
            <w:r>
              <w:rPr>
                <w:rFonts w:eastAsia="宋体"/>
                <w:b w:val="0"/>
                <w:bCs w:val="0"/>
                <w:color w:val="auto"/>
                <w:sz w:val="21"/>
                <w:szCs w:val="21"/>
              </w:rPr>
              <w:t>粉碎风机排气筒16（DA024）</w:t>
            </w:r>
          </w:p>
        </w:tc>
        <w:tc>
          <w:tcPr>
            <w:tcW w:w="1251" w:type="dxa"/>
            <w:vAlign w:val="center"/>
          </w:tcPr>
          <w:p w14:paraId="6A3993DB">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27CF082E">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16C14B46">
            <w:pPr>
              <w:jc w:val="center"/>
              <w:rPr>
                <w:rFonts w:eastAsia="宋体"/>
                <w:b w:val="0"/>
                <w:bCs w:val="0"/>
                <w:color w:val="auto"/>
                <w:sz w:val="21"/>
                <w:szCs w:val="21"/>
              </w:rPr>
            </w:pPr>
            <w:r>
              <w:rPr>
                <w:rFonts w:eastAsia="宋体"/>
                <w:b w:val="0"/>
                <w:bCs w:val="0"/>
                <w:color w:val="auto"/>
                <w:sz w:val="21"/>
                <w:szCs w:val="21"/>
              </w:rPr>
              <w:t>19.205</w:t>
            </w:r>
          </w:p>
        </w:tc>
        <w:tc>
          <w:tcPr>
            <w:tcW w:w="1522" w:type="dxa"/>
            <w:vAlign w:val="center"/>
          </w:tcPr>
          <w:p w14:paraId="01A2D58B">
            <w:pPr>
              <w:jc w:val="center"/>
              <w:rPr>
                <w:rFonts w:eastAsia="宋体"/>
                <w:b w:val="0"/>
                <w:bCs w:val="0"/>
                <w:color w:val="auto"/>
                <w:sz w:val="21"/>
                <w:szCs w:val="21"/>
              </w:rPr>
            </w:pPr>
            <w:r>
              <w:rPr>
                <w:rFonts w:eastAsia="宋体"/>
                <w:b w:val="0"/>
                <w:bCs w:val="0"/>
                <w:color w:val="auto"/>
                <w:sz w:val="21"/>
                <w:szCs w:val="21"/>
              </w:rPr>
              <w:t>5.335</w:t>
            </w:r>
          </w:p>
        </w:tc>
        <w:tc>
          <w:tcPr>
            <w:tcW w:w="1237" w:type="dxa"/>
            <w:vAlign w:val="center"/>
          </w:tcPr>
          <w:p w14:paraId="3E1D6FD6">
            <w:pPr>
              <w:jc w:val="center"/>
              <w:rPr>
                <w:rFonts w:eastAsia="宋体"/>
                <w:b w:val="0"/>
                <w:bCs w:val="0"/>
                <w:color w:val="auto"/>
                <w:sz w:val="21"/>
                <w:szCs w:val="21"/>
              </w:rPr>
            </w:pPr>
            <w:r>
              <w:rPr>
                <w:rFonts w:eastAsia="宋体"/>
                <w:b w:val="0"/>
                <w:bCs w:val="0"/>
                <w:color w:val="auto"/>
                <w:sz w:val="21"/>
                <w:szCs w:val="21"/>
              </w:rPr>
              <w:t>/</w:t>
            </w:r>
          </w:p>
        </w:tc>
      </w:tr>
      <w:tr w14:paraId="32B331A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11674B4D">
            <w:pPr>
              <w:jc w:val="center"/>
              <w:rPr>
                <w:rFonts w:eastAsia="宋体"/>
                <w:b w:val="0"/>
                <w:bCs w:val="0"/>
                <w:color w:val="auto"/>
                <w:sz w:val="21"/>
                <w:szCs w:val="21"/>
              </w:rPr>
            </w:pPr>
            <w:r>
              <w:rPr>
                <w:rFonts w:eastAsia="宋体"/>
                <w:b w:val="0"/>
                <w:bCs w:val="0"/>
                <w:color w:val="auto"/>
                <w:sz w:val="21"/>
                <w:szCs w:val="21"/>
              </w:rPr>
              <w:t>粉碎风机排气筒11（DA020）</w:t>
            </w:r>
          </w:p>
        </w:tc>
        <w:tc>
          <w:tcPr>
            <w:tcW w:w="1251" w:type="dxa"/>
            <w:vAlign w:val="center"/>
          </w:tcPr>
          <w:p w14:paraId="43E73918">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29FD7E98">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25F0375A">
            <w:pPr>
              <w:jc w:val="center"/>
              <w:rPr>
                <w:rFonts w:eastAsia="宋体"/>
                <w:b w:val="0"/>
                <w:bCs w:val="0"/>
                <w:color w:val="auto"/>
                <w:sz w:val="21"/>
                <w:szCs w:val="21"/>
              </w:rPr>
            </w:pPr>
            <w:r>
              <w:rPr>
                <w:rFonts w:eastAsia="宋体"/>
                <w:b w:val="0"/>
                <w:bCs w:val="0"/>
                <w:color w:val="auto"/>
                <w:sz w:val="21"/>
                <w:szCs w:val="21"/>
              </w:rPr>
              <w:t>18.240</w:t>
            </w:r>
          </w:p>
        </w:tc>
        <w:tc>
          <w:tcPr>
            <w:tcW w:w="1522" w:type="dxa"/>
            <w:vAlign w:val="center"/>
          </w:tcPr>
          <w:p w14:paraId="383E767E">
            <w:pPr>
              <w:jc w:val="center"/>
              <w:rPr>
                <w:rFonts w:eastAsia="宋体"/>
                <w:b w:val="0"/>
                <w:bCs w:val="0"/>
                <w:color w:val="auto"/>
                <w:sz w:val="21"/>
                <w:szCs w:val="21"/>
              </w:rPr>
            </w:pPr>
            <w:r>
              <w:rPr>
                <w:rFonts w:eastAsia="宋体"/>
                <w:b w:val="0"/>
                <w:bCs w:val="0"/>
                <w:color w:val="auto"/>
                <w:sz w:val="21"/>
                <w:szCs w:val="21"/>
              </w:rPr>
              <w:t>5.067</w:t>
            </w:r>
          </w:p>
        </w:tc>
        <w:tc>
          <w:tcPr>
            <w:tcW w:w="1237" w:type="dxa"/>
            <w:vAlign w:val="center"/>
          </w:tcPr>
          <w:p w14:paraId="1573E3CF">
            <w:pPr>
              <w:jc w:val="center"/>
              <w:rPr>
                <w:rFonts w:eastAsia="宋体"/>
                <w:b w:val="0"/>
                <w:bCs w:val="0"/>
                <w:color w:val="auto"/>
                <w:sz w:val="21"/>
                <w:szCs w:val="21"/>
              </w:rPr>
            </w:pPr>
            <w:r>
              <w:rPr>
                <w:rFonts w:eastAsia="宋体"/>
                <w:b w:val="0"/>
                <w:bCs w:val="0"/>
                <w:color w:val="auto"/>
                <w:sz w:val="21"/>
                <w:szCs w:val="21"/>
              </w:rPr>
              <w:t>/</w:t>
            </w:r>
          </w:p>
        </w:tc>
      </w:tr>
      <w:tr w14:paraId="71FF41C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71B1B996">
            <w:pPr>
              <w:jc w:val="center"/>
              <w:rPr>
                <w:rFonts w:eastAsia="宋体"/>
                <w:b w:val="0"/>
                <w:bCs w:val="0"/>
                <w:color w:val="auto"/>
                <w:sz w:val="21"/>
                <w:szCs w:val="21"/>
              </w:rPr>
            </w:pPr>
            <w:r>
              <w:rPr>
                <w:rFonts w:eastAsia="宋体"/>
                <w:b w:val="0"/>
                <w:bCs w:val="0"/>
                <w:color w:val="auto"/>
                <w:sz w:val="21"/>
                <w:szCs w:val="21"/>
              </w:rPr>
              <w:t>粉碎风机排气筒21（DA040）</w:t>
            </w:r>
          </w:p>
        </w:tc>
        <w:tc>
          <w:tcPr>
            <w:tcW w:w="1251" w:type="dxa"/>
            <w:vAlign w:val="center"/>
          </w:tcPr>
          <w:p w14:paraId="763F641B">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7067F63A">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3DBC9BE7">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5794F48C">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19104DBF">
            <w:pPr>
              <w:jc w:val="center"/>
              <w:rPr>
                <w:rFonts w:eastAsia="宋体"/>
                <w:b w:val="0"/>
                <w:bCs w:val="0"/>
                <w:color w:val="auto"/>
                <w:sz w:val="21"/>
                <w:szCs w:val="21"/>
              </w:rPr>
            </w:pPr>
            <w:r>
              <w:rPr>
                <w:rFonts w:eastAsia="宋体"/>
                <w:b w:val="0"/>
                <w:bCs w:val="0"/>
                <w:color w:val="auto"/>
                <w:sz w:val="21"/>
                <w:szCs w:val="21"/>
              </w:rPr>
              <w:t>/</w:t>
            </w:r>
          </w:p>
        </w:tc>
      </w:tr>
      <w:tr w14:paraId="0F086C3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16CF9894">
            <w:pPr>
              <w:jc w:val="center"/>
              <w:rPr>
                <w:rFonts w:eastAsia="宋体"/>
                <w:b w:val="0"/>
                <w:bCs w:val="0"/>
                <w:color w:val="auto"/>
                <w:sz w:val="21"/>
                <w:szCs w:val="21"/>
              </w:rPr>
            </w:pPr>
            <w:r>
              <w:rPr>
                <w:rFonts w:eastAsia="宋体"/>
                <w:b w:val="0"/>
                <w:bCs w:val="0"/>
                <w:color w:val="auto"/>
                <w:sz w:val="21"/>
                <w:szCs w:val="21"/>
              </w:rPr>
              <w:t>粉碎风机排气筒4（DA008）</w:t>
            </w:r>
          </w:p>
        </w:tc>
        <w:tc>
          <w:tcPr>
            <w:tcW w:w="1251" w:type="dxa"/>
            <w:vAlign w:val="center"/>
          </w:tcPr>
          <w:p w14:paraId="619F00C0">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2AAB22BF">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0BB55795">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5D51CCDD">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7153BDCB">
            <w:pPr>
              <w:jc w:val="center"/>
              <w:rPr>
                <w:rFonts w:eastAsia="宋体"/>
                <w:b w:val="0"/>
                <w:bCs w:val="0"/>
                <w:color w:val="auto"/>
                <w:sz w:val="21"/>
                <w:szCs w:val="21"/>
              </w:rPr>
            </w:pPr>
            <w:r>
              <w:rPr>
                <w:rFonts w:eastAsia="宋体"/>
                <w:b w:val="0"/>
                <w:bCs w:val="0"/>
                <w:color w:val="auto"/>
                <w:sz w:val="21"/>
                <w:szCs w:val="21"/>
              </w:rPr>
              <w:t>/</w:t>
            </w:r>
          </w:p>
        </w:tc>
      </w:tr>
      <w:tr w14:paraId="42E1109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6EB03074">
            <w:pPr>
              <w:jc w:val="center"/>
              <w:rPr>
                <w:rFonts w:eastAsia="宋体"/>
                <w:b w:val="0"/>
                <w:bCs w:val="0"/>
                <w:color w:val="auto"/>
                <w:sz w:val="21"/>
                <w:szCs w:val="21"/>
              </w:rPr>
            </w:pPr>
            <w:r>
              <w:rPr>
                <w:rFonts w:eastAsia="宋体"/>
                <w:b w:val="0"/>
                <w:bCs w:val="0"/>
                <w:color w:val="auto"/>
                <w:sz w:val="21"/>
                <w:szCs w:val="21"/>
              </w:rPr>
              <w:t>粉碎风机排气筒8（DA015）</w:t>
            </w:r>
          </w:p>
        </w:tc>
        <w:tc>
          <w:tcPr>
            <w:tcW w:w="1251" w:type="dxa"/>
            <w:vAlign w:val="center"/>
          </w:tcPr>
          <w:p w14:paraId="2AD98173">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71389EB6">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17EF7756">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6D23C59B">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426AE233">
            <w:pPr>
              <w:jc w:val="center"/>
              <w:rPr>
                <w:rFonts w:eastAsia="宋体"/>
                <w:b w:val="0"/>
                <w:bCs w:val="0"/>
                <w:color w:val="auto"/>
                <w:sz w:val="21"/>
                <w:szCs w:val="21"/>
              </w:rPr>
            </w:pPr>
            <w:r>
              <w:rPr>
                <w:rFonts w:eastAsia="宋体"/>
                <w:b w:val="0"/>
                <w:bCs w:val="0"/>
                <w:color w:val="auto"/>
                <w:sz w:val="21"/>
                <w:szCs w:val="21"/>
              </w:rPr>
              <w:t>/</w:t>
            </w:r>
          </w:p>
        </w:tc>
      </w:tr>
      <w:tr w14:paraId="4762E23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7785B6CB">
            <w:pPr>
              <w:jc w:val="center"/>
              <w:rPr>
                <w:rFonts w:eastAsia="宋体"/>
                <w:b w:val="0"/>
                <w:bCs w:val="0"/>
                <w:color w:val="auto"/>
                <w:sz w:val="21"/>
                <w:szCs w:val="21"/>
              </w:rPr>
            </w:pPr>
            <w:r>
              <w:rPr>
                <w:rFonts w:eastAsia="宋体"/>
                <w:b w:val="0"/>
                <w:bCs w:val="0"/>
                <w:color w:val="auto"/>
                <w:sz w:val="21"/>
                <w:szCs w:val="21"/>
              </w:rPr>
              <w:t>粉碎风机排气筒22（DA035）</w:t>
            </w:r>
          </w:p>
        </w:tc>
        <w:tc>
          <w:tcPr>
            <w:tcW w:w="1251" w:type="dxa"/>
            <w:vAlign w:val="center"/>
          </w:tcPr>
          <w:p w14:paraId="2AEC3AFA">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5AE858FA">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7A9B90DF">
            <w:pPr>
              <w:jc w:val="center"/>
              <w:rPr>
                <w:rFonts w:eastAsia="宋体"/>
                <w:b w:val="0"/>
                <w:bCs w:val="0"/>
                <w:color w:val="auto"/>
                <w:sz w:val="21"/>
                <w:szCs w:val="21"/>
              </w:rPr>
            </w:pPr>
            <w:r>
              <w:rPr>
                <w:rFonts w:eastAsia="宋体"/>
                <w:b w:val="0"/>
                <w:bCs w:val="0"/>
                <w:color w:val="auto"/>
                <w:sz w:val="21"/>
                <w:szCs w:val="21"/>
              </w:rPr>
              <w:t>18.599</w:t>
            </w:r>
          </w:p>
        </w:tc>
        <w:tc>
          <w:tcPr>
            <w:tcW w:w="1522" w:type="dxa"/>
            <w:vAlign w:val="center"/>
          </w:tcPr>
          <w:p w14:paraId="7D2510C7">
            <w:pPr>
              <w:jc w:val="center"/>
              <w:rPr>
                <w:rFonts w:eastAsia="宋体"/>
                <w:b w:val="0"/>
                <w:bCs w:val="0"/>
                <w:color w:val="auto"/>
                <w:sz w:val="21"/>
                <w:szCs w:val="21"/>
              </w:rPr>
            </w:pPr>
            <w:r>
              <w:rPr>
                <w:rFonts w:eastAsia="宋体"/>
                <w:b w:val="0"/>
                <w:bCs w:val="0"/>
                <w:color w:val="auto"/>
                <w:sz w:val="21"/>
                <w:szCs w:val="21"/>
              </w:rPr>
              <w:t>5.166</w:t>
            </w:r>
          </w:p>
        </w:tc>
        <w:tc>
          <w:tcPr>
            <w:tcW w:w="1237" w:type="dxa"/>
            <w:vAlign w:val="center"/>
          </w:tcPr>
          <w:p w14:paraId="01631DEE">
            <w:pPr>
              <w:jc w:val="center"/>
              <w:rPr>
                <w:rFonts w:eastAsia="宋体"/>
                <w:b w:val="0"/>
                <w:bCs w:val="0"/>
                <w:color w:val="auto"/>
                <w:sz w:val="21"/>
                <w:szCs w:val="21"/>
              </w:rPr>
            </w:pPr>
            <w:r>
              <w:rPr>
                <w:rFonts w:eastAsia="宋体"/>
                <w:b w:val="0"/>
                <w:bCs w:val="0"/>
                <w:color w:val="auto"/>
                <w:sz w:val="21"/>
                <w:szCs w:val="21"/>
              </w:rPr>
              <w:t>/</w:t>
            </w:r>
          </w:p>
        </w:tc>
      </w:tr>
      <w:tr w14:paraId="46CDD6C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46617A53">
            <w:pPr>
              <w:jc w:val="center"/>
              <w:rPr>
                <w:rFonts w:eastAsia="宋体"/>
                <w:b w:val="0"/>
                <w:bCs w:val="0"/>
                <w:color w:val="auto"/>
                <w:sz w:val="21"/>
                <w:szCs w:val="21"/>
              </w:rPr>
            </w:pPr>
            <w:r>
              <w:rPr>
                <w:rFonts w:eastAsia="宋体"/>
                <w:b w:val="0"/>
                <w:bCs w:val="0"/>
                <w:color w:val="auto"/>
                <w:sz w:val="21"/>
                <w:szCs w:val="21"/>
              </w:rPr>
              <w:t>CO2洗涤塔排气筒4（DA042）</w:t>
            </w:r>
          </w:p>
        </w:tc>
        <w:tc>
          <w:tcPr>
            <w:tcW w:w="1251" w:type="dxa"/>
            <w:vAlign w:val="center"/>
          </w:tcPr>
          <w:p w14:paraId="197CA96E">
            <w:pPr>
              <w:jc w:val="center"/>
              <w:rPr>
                <w:rFonts w:eastAsia="宋体"/>
                <w:b w:val="0"/>
                <w:bCs w:val="0"/>
                <w:color w:val="auto"/>
                <w:sz w:val="21"/>
                <w:szCs w:val="21"/>
              </w:rPr>
            </w:pPr>
            <w:r>
              <w:rPr>
                <w:rFonts w:eastAsia="宋体"/>
                <w:b w:val="0"/>
                <w:bCs w:val="0"/>
                <w:color w:val="auto"/>
                <w:sz w:val="21"/>
                <w:szCs w:val="21"/>
              </w:rPr>
              <w:t>NMHC</w:t>
            </w:r>
          </w:p>
        </w:tc>
        <w:tc>
          <w:tcPr>
            <w:tcW w:w="1269" w:type="dxa"/>
            <w:vAlign w:val="center"/>
          </w:tcPr>
          <w:p w14:paraId="5D6CC468">
            <w:pPr>
              <w:jc w:val="center"/>
              <w:rPr>
                <w:rFonts w:eastAsia="宋体"/>
                <w:b w:val="0"/>
                <w:bCs w:val="0"/>
                <w:color w:val="auto"/>
                <w:sz w:val="21"/>
                <w:szCs w:val="21"/>
              </w:rPr>
            </w:pPr>
            <w:r>
              <w:rPr>
                <w:rFonts w:eastAsia="宋体"/>
                <w:b w:val="0"/>
                <w:bCs w:val="0"/>
                <w:color w:val="auto"/>
                <w:sz w:val="21"/>
                <w:szCs w:val="21"/>
              </w:rPr>
              <w:t>2000.0</w:t>
            </w:r>
          </w:p>
        </w:tc>
        <w:tc>
          <w:tcPr>
            <w:tcW w:w="1648" w:type="dxa"/>
            <w:vAlign w:val="center"/>
          </w:tcPr>
          <w:p w14:paraId="740E5FF7">
            <w:pPr>
              <w:jc w:val="center"/>
              <w:rPr>
                <w:rFonts w:eastAsia="宋体"/>
                <w:b w:val="0"/>
                <w:bCs w:val="0"/>
                <w:color w:val="auto"/>
                <w:sz w:val="21"/>
                <w:szCs w:val="21"/>
              </w:rPr>
            </w:pPr>
            <w:r>
              <w:rPr>
                <w:rFonts w:eastAsia="宋体"/>
                <w:b w:val="0"/>
                <w:bCs w:val="0"/>
                <w:color w:val="auto"/>
                <w:sz w:val="21"/>
                <w:szCs w:val="21"/>
              </w:rPr>
              <w:t>335.170</w:t>
            </w:r>
          </w:p>
        </w:tc>
        <w:tc>
          <w:tcPr>
            <w:tcW w:w="1522" w:type="dxa"/>
            <w:vAlign w:val="center"/>
          </w:tcPr>
          <w:p w14:paraId="29EFFDC2">
            <w:pPr>
              <w:jc w:val="center"/>
              <w:rPr>
                <w:rFonts w:eastAsia="宋体"/>
                <w:b w:val="0"/>
                <w:bCs w:val="0"/>
                <w:color w:val="auto"/>
                <w:sz w:val="21"/>
                <w:szCs w:val="21"/>
              </w:rPr>
            </w:pPr>
            <w:r>
              <w:rPr>
                <w:rFonts w:eastAsia="宋体"/>
                <w:b w:val="0"/>
                <w:bCs w:val="0"/>
                <w:color w:val="auto"/>
                <w:sz w:val="21"/>
                <w:szCs w:val="21"/>
              </w:rPr>
              <w:t>16.759</w:t>
            </w:r>
          </w:p>
        </w:tc>
        <w:tc>
          <w:tcPr>
            <w:tcW w:w="1237" w:type="dxa"/>
            <w:vAlign w:val="center"/>
          </w:tcPr>
          <w:p w14:paraId="6B1D9E6D">
            <w:pPr>
              <w:jc w:val="center"/>
              <w:rPr>
                <w:rFonts w:eastAsia="宋体"/>
                <w:b w:val="0"/>
                <w:bCs w:val="0"/>
                <w:color w:val="auto"/>
                <w:sz w:val="21"/>
                <w:szCs w:val="21"/>
              </w:rPr>
            </w:pPr>
            <w:r>
              <w:rPr>
                <w:rFonts w:eastAsia="宋体"/>
                <w:b w:val="0"/>
                <w:bCs w:val="0"/>
                <w:color w:val="auto"/>
                <w:sz w:val="21"/>
                <w:szCs w:val="21"/>
              </w:rPr>
              <w:t>750.0</w:t>
            </w:r>
          </w:p>
        </w:tc>
      </w:tr>
      <w:tr w14:paraId="1B7AEF2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52D33F9D">
            <w:pPr>
              <w:jc w:val="center"/>
              <w:rPr>
                <w:rFonts w:eastAsia="宋体"/>
                <w:b w:val="0"/>
                <w:bCs w:val="0"/>
                <w:color w:val="auto"/>
                <w:sz w:val="21"/>
                <w:szCs w:val="21"/>
              </w:rPr>
            </w:pPr>
            <w:r>
              <w:rPr>
                <w:rFonts w:eastAsia="宋体"/>
                <w:b w:val="0"/>
                <w:bCs w:val="0"/>
                <w:color w:val="auto"/>
                <w:sz w:val="21"/>
                <w:szCs w:val="21"/>
              </w:rPr>
              <w:t>粉碎风机排气筒17（DA025）</w:t>
            </w:r>
          </w:p>
        </w:tc>
        <w:tc>
          <w:tcPr>
            <w:tcW w:w="1251" w:type="dxa"/>
            <w:vAlign w:val="center"/>
          </w:tcPr>
          <w:p w14:paraId="2B5F6785">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054E5F32">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75AC9D18">
            <w:pPr>
              <w:jc w:val="center"/>
              <w:rPr>
                <w:rFonts w:eastAsia="宋体"/>
                <w:b w:val="0"/>
                <w:bCs w:val="0"/>
                <w:color w:val="auto"/>
                <w:sz w:val="21"/>
                <w:szCs w:val="21"/>
              </w:rPr>
            </w:pPr>
            <w:r>
              <w:rPr>
                <w:rFonts w:eastAsia="宋体"/>
                <w:b w:val="0"/>
                <w:bCs w:val="0"/>
                <w:color w:val="auto"/>
                <w:sz w:val="21"/>
                <w:szCs w:val="21"/>
              </w:rPr>
              <w:t>19.201</w:t>
            </w:r>
          </w:p>
        </w:tc>
        <w:tc>
          <w:tcPr>
            <w:tcW w:w="1522" w:type="dxa"/>
            <w:vAlign w:val="center"/>
          </w:tcPr>
          <w:p w14:paraId="7C974556">
            <w:pPr>
              <w:jc w:val="center"/>
              <w:rPr>
                <w:rFonts w:eastAsia="宋体"/>
                <w:b w:val="0"/>
                <w:bCs w:val="0"/>
                <w:color w:val="auto"/>
                <w:sz w:val="21"/>
                <w:szCs w:val="21"/>
              </w:rPr>
            </w:pPr>
            <w:r>
              <w:rPr>
                <w:rFonts w:eastAsia="宋体"/>
                <w:b w:val="0"/>
                <w:bCs w:val="0"/>
                <w:color w:val="auto"/>
                <w:sz w:val="21"/>
                <w:szCs w:val="21"/>
              </w:rPr>
              <w:t>5.334</w:t>
            </w:r>
          </w:p>
        </w:tc>
        <w:tc>
          <w:tcPr>
            <w:tcW w:w="1237" w:type="dxa"/>
            <w:vAlign w:val="center"/>
          </w:tcPr>
          <w:p w14:paraId="5204E3F4">
            <w:pPr>
              <w:jc w:val="center"/>
              <w:rPr>
                <w:rFonts w:eastAsia="宋体"/>
                <w:b w:val="0"/>
                <w:bCs w:val="0"/>
                <w:color w:val="auto"/>
                <w:sz w:val="21"/>
                <w:szCs w:val="21"/>
              </w:rPr>
            </w:pPr>
            <w:r>
              <w:rPr>
                <w:rFonts w:eastAsia="宋体"/>
                <w:b w:val="0"/>
                <w:bCs w:val="0"/>
                <w:color w:val="auto"/>
                <w:sz w:val="21"/>
                <w:szCs w:val="21"/>
              </w:rPr>
              <w:t>/</w:t>
            </w:r>
          </w:p>
        </w:tc>
      </w:tr>
      <w:tr w14:paraId="796E2284">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46F9DB04">
            <w:pPr>
              <w:jc w:val="center"/>
              <w:rPr>
                <w:rFonts w:eastAsia="宋体"/>
                <w:b w:val="0"/>
                <w:bCs w:val="0"/>
                <w:color w:val="auto"/>
                <w:sz w:val="21"/>
                <w:szCs w:val="21"/>
              </w:rPr>
            </w:pPr>
            <w:r>
              <w:rPr>
                <w:rFonts w:eastAsia="宋体"/>
                <w:b w:val="0"/>
                <w:bCs w:val="0"/>
                <w:color w:val="auto"/>
                <w:sz w:val="21"/>
                <w:szCs w:val="21"/>
              </w:rPr>
              <w:t>粉碎风机排气筒13（DA028）</w:t>
            </w:r>
          </w:p>
        </w:tc>
        <w:tc>
          <w:tcPr>
            <w:tcW w:w="1251" w:type="dxa"/>
            <w:vAlign w:val="center"/>
          </w:tcPr>
          <w:p w14:paraId="35842616">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5C089234">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24DAC271">
            <w:pPr>
              <w:jc w:val="center"/>
              <w:rPr>
                <w:rFonts w:eastAsia="宋体"/>
                <w:b w:val="0"/>
                <w:bCs w:val="0"/>
                <w:color w:val="auto"/>
                <w:sz w:val="21"/>
                <w:szCs w:val="21"/>
              </w:rPr>
            </w:pPr>
            <w:r>
              <w:rPr>
                <w:rFonts w:eastAsia="宋体"/>
                <w:b w:val="0"/>
                <w:bCs w:val="0"/>
                <w:color w:val="auto"/>
                <w:sz w:val="21"/>
                <w:szCs w:val="21"/>
              </w:rPr>
              <w:t>19.205</w:t>
            </w:r>
          </w:p>
        </w:tc>
        <w:tc>
          <w:tcPr>
            <w:tcW w:w="1522" w:type="dxa"/>
            <w:vAlign w:val="center"/>
          </w:tcPr>
          <w:p w14:paraId="0029F956">
            <w:pPr>
              <w:jc w:val="center"/>
              <w:rPr>
                <w:rFonts w:eastAsia="宋体"/>
                <w:b w:val="0"/>
                <w:bCs w:val="0"/>
                <w:color w:val="auto"/>
                <w:sz w:val="21"/>
                <w:szCs w:val="21"/>
              </w:rPr>
            </w:pPr>
            <w:r>
              <w:rPr>
                <w:rFonts w:eastAsia="宋体"/>
                <w:b w:val="0"/>
                <w:bCs w:val="0"/>
                <w:color w:val="auto"/>
                <w:sz w:val="21"/>
                <w:szCs w:val="21"/>
              </w:rPr>
              <w:t>5.335</w:t>
            </w:r>
          </w:p>
        </w:tc>
        <w:tc>
          <w:tcPr>
            <w:tcW w:w="1237" w:type="dxa"/>
            <w:vAlign w:val="center"/>
          </w:tcPr>
          <w:p w14:paraId="79ED69D8">
            <w:pPr>
              <w:jc w:val="center"/>
              <w:rPr>
                <w:rFonts w:eastAsia="宋体"/>
                <w:b w:val="0"/>
                <w:bCs w:val="0"/>
                <w:color w:val="auto"/>
                <w:sz w:val="21"/>
                <w:szCs w:val="21"/>
              </w:rPr>
            </w:pPr>
            <w:r>
              <w:rPr>
                <w:rFonts w:eastAsia="宋体"/>
                <w:b w:val="0"/>
                <w:bCs w:val="0"/>
                <w:color w:val="auto"/>
                <w:sz w:val="21"/>
                <w:szCs w:val="21"/>
              </w:rPr>
              <w:t>/</w:t>
            </w:r>
          </w:p>
        </w:tc>
      </w:tr>
      <w:tr w14:paraId="142CC2D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4ACCFFE2">
            <w:pPr>
              <w:jc w:val="center"/>
              <w:rPr>
                <w:rFonts w:eastAsia="宋体"/>
                <w:b w:val="0"/>
                <w:bCs w:val="0"/>
                <w:color w:val="auto"/>
                <w:sz w:val="21"/>
                <w:szCs w:val="21"/>
              </w:rPr>
            </w:pPr>
            <w:r>
              <w:rPr>
                <w:rFonts w:eastAsia="宋体"/>
                <w:b w:val="0"/>
                <w:bCs w:val="0"/>
                <w:color w:val="auto"/>
                <w:sz w:val="21"/>
                <w:szCs w:val="21"/>
              </w:rPr>
              <w:t>CO2洗涤塔排气筒1（DA002）</w:t>
            </w:r>
          </w:p>
        </w:tc>
        <w:tc>
          <w:tcPr>
            <w:tcW w:w="1251" w:type="dxa"/>
            <w:vAlign w:val="center"/>
          </w:tcPr>
          <w:p w14:paraId="136EA89F">
            <w:pPr>
              <w:jc w:val="center"/>
              <w:rPr>
                <w:rFonts w:eastAsia="宋体"/>
                <w:b w:val="0"/>
                <w:bCs w:val="0"/>
                <w:color w:val="auto"/>
                <w:sz w:val="21"/>
                <w:szCs w:val="21"/>
              </w:rPr>
            </w:pPr>
            <w:r>
              <w:rPr>
                <w:rFonts w:eastAsia="宋体"/>
                <w:b w:val="0"/>
                <w:bCs w:val="0"/>
                <w:color w:val="auto"/>
                <w:sz w:val="21"/>
                <w:szCs w:val="21"/>
              </w:rPr>
              <w:t>NMHC</w:t>
            </w:r>
          </w:p>
        </w:tc>
        <w:tc>
          <w:tcPr>
            <w:tcW w:w="1269" w:type="dxa"/>
            <w:vAlign w:val="center"/>
          </w:tcPr>
          <w:p w14:paraId="6CC1CFEC">
            <w:pPr>
              <w:jc w:val="center"/>
              <w:rPr>
                <w:rFonts w:eastAsia="宋体"/>
                <w:b w:val="0"/>
                <w:bCs w:val="0"/>
                <w:color w:val="auto"/>
                <w:sz w:val="21"/>
                <w:szCs w:val="21"/>
              </w:rPr>
            </w:pPr>
            <w:r>
              <w:rPr>
                <w:rFonts w:eastAsia="宋体"/>
                <w:b w:val="0"/>
                <w:bCs w:val="0"/>
                <w:color w:val="auto"/>
                <w:sz w:val="21"/>
                <w:szCs w:val="21"/>
              </w:rPr>
              <w:t>2000.0</w:t>
            </w:r>
          </w:p>
        </w:tc>
        <w:tc>
          <w:tcPr>
            <w:tcW w:w="1648" w:type="dxa"/>
            <w:vAlign w:val="center"/>
          </w:tcPr>
          <w:p w14:paraId="6A7C7610">
            <w:pPr>
              <w:jc w:val="center"/>
              <w:rPr>
                <w:rFonts w:eastAsia="宋体"/>
                <w:b w:val="0"/>
                <w:bCs w:val="0"/>
                <w:color w:val="auto"/>
                <w:sz w:val="21"/>
                <w:szCs w:val="21"/>
              </w:rPr>
            </w:pPr>
            <w:r>
              <w:rPr>
                <w:rFonts w:eastAsia="宋体"/>
                <w:b w:val="0"/>
                <w:bCs w:val="0"/>
                <w:color w:val="auto"/>
                <w:sz w:val="21"/>
                <w:szCs w:val="21"/>
              </w:rPr>
              <w:t>262.980</w:t>
            </w:r>
          </w:p>
        </w:tc>
        <w:tc>
          <w:tcPr>
            <w:tcW w:w="1522" w:type="dxa"/>
            <w:vAlign w:val="center"/>
          </w:tcPr>
          <w:p w14:paraId="46FA93D1">
            <w:pPr>
              <w:jc w:val="center"/>
              <w:rPr>
                <w:rFonts w:eastAsia="宋体"/>
                <w:b w:val="0"/>
                <w:bCs w:val="0"/>
                <w:color w:val="auto"/>
                <w:sz w:val="21"/>
                <w:szCs w:val="21"/>
              </w:rPr>
            </w:pPr>
            <w:r>
              <w:rPr>
                <w:rFonts w:eastAsia="宋体"/>
                <w:b w:val="0"/>
                <w:bCs w:val="0"/>
                <w:color w:val="auto"/>
                <w:sz w:val="21"/>
                <w:szCs w:val="21"/>
              </w:rPr>
              <w:t>13.149</w:t>
            </w:r>
          </w:p>
        </w:tc>
        <w:tc>
          <w:tcPr>
            <w:tcW w:w="1237" w:type="dxa"/>
            <w:vAlign w:val="center"/>
          </w:tcPr>
          <w:p w14:paraId="5188CB34">
            <w:pPr>
              <w:jc w:val="center"/>
              <w:rPr>
                <w:rFonts w:eastAsia="宋体"/>
                <w:b w:val="0"/>
                <w:bCs w:val="0"/>
                <w:color w:val="auto"/>
                <w:sz w:val="21"/>
                <w:szCs w:val="21"/>
              </w:rPr>
            </w:pPr>
            <w:r>
              <w:rPr>
                <w:rFonts w:eastAsia="宋体"/>
                <w:b w:val="0"/>
                <w:bCs w:val="0"/>
                <w:color w:val="auto"/>
                <w:sz w:val="21"/>
                <w:szCs w:val="21"/>
              </w:rPr>
              <w:t>750.0</w:t>
            </w:r>
          </w:p>
        </w:tc>
      </w:tr>
      <w:tr w14:paraId="4EFD199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6AA5A68D">
            <w:pPr>
              <w:jc w:val="center"/>
              <w:rPr>
                <w:rFonts w:eastAsia="宋体"/>
                <w:b w:val="0"/>
                <w:bCs w:val="0"/>
                <w:color w:val="auto"/>
                <w:sz w:val="21"/>
                <w:szCs w:val="21"/>
              </w:rPr>
            </w:pPr>
            <w:r>
              <w:rPr>
                <w:rFonts w:eastAsia="宋体"/>
                <w:b w:val="0"/>
                <w:bCs w:val="0"/>
                <w:color w:val="auto"/>
                <w:sz w:val="21"/>
                <w:szCs w:val="21"/>
              </w:rPr>
              <w:t>粉碎风机排气筒18（DA027）</w:t>
            </w:r>
          </w:p>
        </w:tc>
        <w:tc>
          <w:tcPr>
            <w:tcW w:w="1251" w:type="dxa"/>
            <w:vAlign w:val="center"/>
          </w:tcPr>
          <w:p w14:paraId="0571680C">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1A6799CE">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3C3C1202">
            <w:pPr>
              <w:jc w:val="center"/>
              <w:rPr>
                <w:rFonts w:eastAsia="宋体"/>
                <w:b w:val="0"/>
                <w:bCs w:val="0"/>
                <w:color w:val="auto"/>
                <w:sz w:val="21"/>
                <w:szCs w:val="21"/>
              </w:rPr>
            </w:pPr>
            <w:r>
              <w:rPr>
                <w:rFonts w:eastAsia="宋体"/>
                <w:b w:val="0"/>
                <w:bCs w:val="0"/>
                <w:color w:val="auto"/>
                <w:sz w:val="21"/>
                <w:szCs w:val="21"/>
              </w:rPr>
              <w:t>19.205</w:t>
            </w:r>
          </w:p>
        </w:tc>
        <w:tc>
          <w:tcPr>
            <w:tcW w:w="1522" w:type="dxa"/>
            <w:vAlign w:val="center"/>
          </w:tcPr>
          <w:p w14:paraId="319F73F0">
            <w:pPr>
              <w:jc w:val="center"/>
              <w:rPr>
                <w:rFonts w:eastAsia="宋体"/>
                <w:b w:val="0"/>
                <w:bCs w:val="0"/>
                <w:color w:val="auto"/>
                <w:sz w:val="21"/>
                <w:szCs w:val="21"/>
              </w:rPr>
            </w:pPr>
            <w:r>
              <w:rPr>
                <w:rFonts w:eastAsia="宋体"/>
                <w:b w:val="0"/>
                <w:bCs w:val="0"/>
                <w:color w:val="auto"/>
                <w:sz w:val="21"/>
                <w:szCs w:val="21"/>
              </w:rPr>
              <w:t>5.335</w:t>
            </w:r>
          </w:p>
        </w:tc>
        <w:tc>
          <w:tcPr>
            <w:tcW w:w="1237" w:type="dxa"/>
            <w:vAlign w:val="center"/>
          </w:tcPr>
          <w:p w14:paraId="62DE72C7">
            <w:pPr>
              <w:jc w:val="center"/>
              <w:rPr>
                <w:rFonts w:eastAsia="宋体"/>
                <w:b w:val="0"/>
                <w:bCs w:val="0"/>
                <w:color w:val="auto"/>
                <w:sz w:val="21"/>
                <w:szCs w:val="21"/>
              </w:rPr>
            </w:pPr>
            <w:r>
              <w:rPr>
                <w:rFonts w:eastAsia="宋体"/>
                <w:b w:val="0"/>
                <w:bCs w:val="0"/>
                <w:color w:val="auto"/>
                <w:sz w:val="21"/>
                <w:szCs w:val="21"/>
              </w:rPr>
              <w:t>/</w:t>
            </w:r>
          </w:p>
        </w:tc>
      </w:tr>
      <w:tr w14:paraId="5B67E9F2">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7822606F">
            <w:pPr>
              <w:jc w:val="center"/>
              <w:rPr>
                <w:rFonts w:eastAsia="宋体"/>
                <w:b w:val="0"/>
                <w:bCs w:val="0"/>
                <w:color w:val="auto"/>
                <w:sz w:val="21"/>
                <w:szCs w:val="21"/>
              </w:rPr>
            </w:pPr>
            <w:r>
              <w:rPr>
                <w:rFonts w:eastAsia="宋体"/>
                <w:b w:val="0"/>
                <w:bCs w:val="0"/>
                <w:color w:val="auto"/>
                <w:sz w:val="21"/>
                <w:szCs w:val="21"/>
              </w:rPr>
              <w:t>粉碎风机排气筒10（DA018）</w:t>
            </w:r>
          </w:p>
        </w:tc>
        <w:tc>
          <w:tcPr>
            <w:tcW w:w="1251" w:type="dxa"/>
            <w:vAlign w:val="center"/>
          </w:tcPr>
          <w:p w14:paraId="4518ADEE">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356F1AD9">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3E050D99">
            <w:pPr>
              <w:jc w:val="center"/>
              <w:rPr>
                <w:rFonts w:eastAsia="宋体"/>
                <w:b w:val="0"/>
                <w:bCs w:val="0"/>
                <w:color w:val="auto"/>
                <w:sz w:val="21"/>
                <w:szCs w:val="21"/>
              </w:rPr>
            </w:pPr>
            <w:r>
              <w:rPr>
                <w:rFonts w:eastAsia="宋体"/>
                <w:b w:val="0"/>
                <w:bCs w:val="0"/>
                <w:color w:val="auto"/>
                <w:sz w:val="21"/>
                <w:szCs w:val="21"/>
              </w:rPr>
              <w:t>18.240</w:t>
            </w:r>
          </w:p>
        </w:tc>
        <w:tc>
          <w:tcPr>
            <w:tcW w:w="1522" w:type="dxa"/>
            <w:vAlign w:val="center"/>
          </w:tcPr>
          <w:p w14:paraId="19F2E24B">
            <w:pPr>
              <w:jc w:val="center"/>
              <w:rPr>
                <w:rFonts w:eastAsia="宋体"/>
                <w:b w:val="0"/>
                <w:bCs w:val="0"/>
                <w:color w:val="auto"/>
                <w:sz w:val="21"/>
                <w:szCs w:val="21"/>
              </w:rPr>
            </w:pPr>
            <w:r>
              <w:rPr>
                <w:rFonts w:eastAsia="宋体"/>
                <w:b w:val="0"/>
                <w:bCs w:val="0"/>
                <w:color w:val="auto"/>
                <w:sz w:val="21"/>
                <w:szCs w:val="21"/>
              </w:rPr>
              <w:t>5.067</w:t>
            </w:r>
          </w:p>
        </w:tc>
        <w:tc>
          <w:tcPr>
            <w:tcW w:w="1237" w:type="dxa"/>
            <w:vAlign w:val="center"/>
          </w:tcPr>
          <w:p w14:paraId="1588D70A">
            <w:pPr>
              <w:jc w:val="center"/>
              <w:rPr>
                <w:rFonts w:eastAsia="宋体"/>
                <w:b w:val="0"/>
                <w:bCs w:val="0"/>
                <w:color w:val="auto"/>
                <w:sz w:val="21"/>
                <w:szCs w:val="21"/>
              </w:rPr>
            </w:pPr>
            <w:r>
              <w:rPr>
                <w:rFonts w:eastAsia="宋体"/>
                <w:b w:val="0"/>
                <w:bCs w:val="0"/>
                <w:color w:val="auto"/>
                <w:sz w:val="21"/>
                <w:szCs w:val="21"/>
              </w:rPr>
              <w:t>/</w:t>
            </w:r>
          </w:p>
        </w:tc>
      </w:tr>
      <w:tr w14:paraId="0F7AA0C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1D76C4D7">
            <w:pPr>
              <w:jc w:val="center"/>
              <w:rPr>
                <w:rFonts w:eastAsia="宋体"/>
                <w:b w:val="0"/>
                <w:bCs w:val="0"/>
                <w:color w:val="auto"/>
                <w:sz w:val="21"/>
                <w:szCs w:val="21"/>
              </w:rPr>
            </w:pPr>
            <w:r>
              <w:rPr>
                <w:rFonts w:eastAsia="宋体"/>
                <w:b w:val="0"/>
                <w:bCs w:val="0"/>
                <w:color w:val="auto"/>
                <w:sz w:val="21"/>
                <w:szCs w:val="21"/>
              </w:rPr>
              <w:t>粉碎风机排气筒19（DA029）</w:t>
            </w:r>
          </w:p>
        </w:tc>
        <w:tc>
          <w:tcPr>
            <w:tcW w:w="1251" w:type="dxa"/>
            <w:vAlign w:val="center"/>
          </w:tcPr>
          <w:p w14:paraId="7C03243C">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087C9145">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7E043D70">
            <w:pPr>
              <w:jc w:val="center"/>
              <w:rPr>
                <w:rFonts w:eastAsia="宋体"/>
                <w:b w:val="0"/>
                <w:bCs w:val="0"/>
                <w:color w:val="auto"/>
                <w:sz w:val="21"/>
                <w:szCs w:val="21"/>
              </w:rPr>
            </w:pPr>
            <w:r>
              <w:rPr>
                <w:rFonts w:eastAsia="宋体"/>
                <w:b w:val="0"/>
                <w:bCs w:val="0"/>
                <w:color w:val="auto"/>
                <w:sz w:val="21"/>
                <w:szCs w:val="21"/>
              </w:rPr>
              <w:t>19.205</w:t>
            </w:r>
          </w:p>
        </w:tc>
        <w:tc>
          <w:tcPr>
            <w:tcW w:w="1522" w:type="dxa"/>
            <w:vAlign w:val="center"/>
          </w:tcPr>
          <w:p w14:paraId="253F4C06">
            <w:pPr>
              <w:jc w:val="center"/>
              <w:rPr>
                <w:rFonts w:eastAsia="宋体"/>
                <w:b w:val="0"/>
                <w:bCs w:val="0"/>
                <w:color w:val="auto"/>
                <w:sz w:val="21"/>
                <w:szCs w:val="21"/>
              </w:rPr>
            </w:pPr>
            <w:r>
              <w:rPr>
                <w:rFonts w:eastAsia="宋体"/>
                <w:b w:val="0"/>
                <w:bCs w:val="0"/>
                <w:color w:val="auto"/>
                <w:sz w:val="21"/>
                <w:szCs w:val="21"/>
              </w:rPr>
              <w:t>5.335</w:t>
            </w:r>
          </w:p>
        </w:tc>
        <w:tc>
          <w:tcPr>
            <w:tcW w:w="1237" w:type="dxa"/>
            <w:vAlign w:val="center"/>
          </w:tcPr>
          <w:p w14:paraId="7624533A">
            <w:pPr>
              <w:jc w:val="center"/>
              <w:rPr>
                <w:rFonts w:eastAsia="宋体"/>
                <w:b w:val="0"/>
                <w:bCs w:val="0"/>
                <w:color w:val="auto"/>
                <w:sz w:val="21"/>
                <w:szCs w:val="21"/>
              </w:rPr>
            </w:pPr>
            <w:r>
              <w:rPr>
                <w:rFonts w:eastAsia="宋体"/>
                <w:b w:val="0"/>
                <w:bCs w:val="0"/>
                <w:color w:val="auto"/>
                <w:sz w:val="21"/>
                <w:szCs w:val="21"/>
              </w:rPr>
              <w:t>/</w:t>
            </w:r>
          </w:p>
        </w:tc>
      </w:tr>
      <w:tr w14:paraId="317FEA0F">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0B270699">
            <w:pPr>
              <w:jc w:val="center"/>
              <w:rPr>
                <w:rFonts w:eastAsia="宋体"/>
                <w:b w:val="0"/>
                <w:bCs w:val="0"/>
                <w:color w:val="auto"/>
                <w:sz w:val="21"/>
                <w:szCs w:val="21"/>
              </w:rPr>
            </w:pPr>
            <w:r>
              <w:rPr>
                <w:rFonts w:eastAsia="宋体"/>
                <w:b w:val="0"/>
                <w:bCs w:val="0"/>
                <w:color w:val="auto"/>
                <w:sz w:val="21"/>
                <w:szCs w:val="21"/>
              </w:rPr>
              <w:t>粉碎风机排气筒1（DA005）</w:t>
            </w:r>
          </w:p>
        </w:tc>
        <w:tc>
          <w:tcPr>
            <w:tcW w:w="1251" w:type="dxa"/>
            <w:vAlign w:val="center"/>
          </w:tcPr>
          <w:p w14:paraId="3CE9F4B1">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7A0CCE50">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0EF8E1D1">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03355C59">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203586ED">
            <w:pPr>
              <w:jc w:val="center"/>
              <w:rPr>
                <w:rFonts w:eastAsia="宋体"/>
                <w:b w:val="0"/>
                <w:bCs w:val="0"/>
                <w:color w:val="auto"/>
                <w:sz w:val="21"/>
                <w:szCs w:val="21"/>
              </w:rPr>
            </w:pPr>
            <w:r>
              <w:rPr>
                <w:rFonts w:eastAsia="宋体"/>
                <w:b w:val="0"/>
                <w:bCs w:val="0"/>
                <w:color w:val="auto"/>
                <w:sz w:val="21"/>
                <w:szCs w:val="21"/>
              </w:rPr>
              <w:t>/</w:t>
            </w:r>
          </w:p>
        </w:tc>
      </w:tr>
      <w:tr w14:paraId="13C5B416">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7EC5F3C8">
            <w:pPr>
              <w:jc w:val="center"/>
              <w:rPr>
                <w:rFonts w:eastAsia="宋体"/>
                <w:b w:val="0"/>
                <w:bCs w:val="0"/>
                <w:color w:val="auto"/>
                <w:sz w:val="21"/>
                <w:szCs w:val="21"/>
              </w:rPr>
            </w:pPr>
            <w:r>
              <w:rPr>
                <w:rFonts w:eastAsia="宋体"/>
                <w:b w:val="0"/>
                <w:bCs w:val="0"/>
                <w:color w:val="auto"/>
                <w:sz w:val="21"/>
                <w:szCs w:val="21"/>
              </w:rPr>
              <w:t>粉碎风机排气筒14（DA022）</w:t>
            </w:r>
          </w:p>
        </w:tc>
        <w:tc>
          <w:tcPr>
            <w:tcW w:w="1251" w:type="dxa"/>
            <w:vAlign w:val="center"/>
          </w:tcPr>
          <w:p w14:paraId="2AFA5B04">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022360C5">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0257C7E6">
            <w:pPr>
              <w:jc w:val="center"/>
              <w:rPr>
                <w:rFonts w:eastAsia="宋体"/>
                <w:b w:val="0"/>
                <w:bCs w:val="0"/>
                <w:color w:val="auto"/>
                <w:sz w:val="21"/>
                <w:szCs w:val="21"/>
              </w:rPr>
            </w:pPr>
            <w:r>
              <w:rPr>
                <w:rFonts w:eastAsia="宋体"/>
                <w:b w:val="0"/>
                <w:bCs w:val="0"/>
                <w:color w:val="auto"/>
                <w:sz w:val="21"/>
                <w:szCs w:val="21"/>
              </w:rPr>
              <w:t>18.240</w:t>
            </w:r>
          </w:p>
        </w:tc>
        <w:tc>
          <w:tcPr>
            <w:tcW w:w="1522" w:type="dxa"/>
            <w:vAlign w:val="center"/>
          </w:tcPr>
          <w:p w14:paraId="3860D6B9">
            <w:pPr>
              <w:jc w:val="center"/>
              <w:rPr>
                <w:rFonts w:eastAsia="宋体"/>
                <w:b w:val="0"/>
                <w:bCs w:val="0"/>
                <w:color w:val="auto"/>
                <w:sz w:val="21"/>
                <w:szCs w:val="21"/>
              </w:rPr>
            </w:pPr>
            <w:r>
              <w:rPr>
                <w:rFonts w:eastAsia="宋体"/>
                <w:b w:val="0"/>
                <w:bCs w:val="0"/>
                <w:color w:val="auto"/>
                <w:sz w:val="21"/>
                <w:szCs w:val="21"/>
              </w:rPr>
              <w:t>5.067</w:t>
            </w:r>
          </w:p>
        </w:tc>
        <w:tc>
          <w:tcPr>
            <w:tcW w:w="1237" w:type="dxa"/>
            <w:vAlign w:val="center"/>
          </w:tcPr>
          <w:p w14:paraId="5456BC73">
            <w:pPr>
              <w:jc w:val="center"/>
              <w:rPr>
                <w:rFonts w:eastAsia="宋体"/>
                <w:b w:val="0"/>
                <w:bCs w:val="0"/>
                <w:color w:val="auto"/>
                <w:sz w:val="21"/>
                <w:szCs w:val="21"/>
              </w:rPr>
            </w:pPr>
            <w:r>
              <w:rPr>
                <w:rFonts w:eastAsia="宋体"/>
                <w:b w:val="0"/>
                <w:bCs w:val="0"/>
                <w:color w:val="auto"/>
                <w:sz w:val="21"/>
                <w:szCs w:val="21"/>
              </w:rPr>
              <w:t>/</w:t>
            </w:r>
          </w:p>
        </w:tc>
      </w:tr>
      <w:tr w14:paraId="1371102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7A9BF4C6">
            <w:pPr>
              <w:jc w:val="center"/>
              <w:rPr>
                <w:rFonts w:eastAsia="宋体"/>
                <w:b w:val="0"/>
                <w:bCs w:val="0"/>
                <w:color w:val="auto"/>
                <w:sz w:val="21"/>
                <w:szCs w:val="21"/>
              </w:rPr>
            </w:pPr>
            <w:r>
              <w:rPr>
                <w:rFonts w:eastAsia="宋体"/>
                <w:b w:val="0"/>
                <w:bCs w:val="0"/>
                <w:color w:val="auto"/>
                <w:sz w:val="21"/>
                <w:szCs w:val="21"/>
              </w:rPr>
              <w:t>粉碎风机排气筒7（DA014）</w:t>
            </w:r>
          </w:p>
        </w:tc>
        <w:tc>
          <w:tcPr>
            <w:tcW w:w="1251" w:type="dxa"/>
            <w:vAlign w:val="center"/>
          </w:tcPr>
          <w:p w14:paraId="76B894BA">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45246A37">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6E00F142">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6ACCE43D">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70B7C4DB">
            <w:pPr>
              <w:jc w:val="center"/>
              <w:rPr>
                <w:rFonts w:eastAsia="宋体"/>
                <w:b w:val="0"/>
                <w:bCs w:val="0"/>
                <w:color w:val="auto"/>
                <w:sz w:val="21"/>
                <w:szCs w:val="21"/>
              </w:rPr>
            </w:pPr>
            <w:r>
              <w:rPr>
                <w:rFonts w:eastAsia="宋体"/>
                <w:b w:val="0"/>
                <w:bCs w:val="0"/>
                <w:color w:val="auto"/>
                <w:sz w:val="21"/>
                <w:szCs w:val="21"/>
              </w:rPr>
              <w:t>/</w:t>
            </w:r>
          </w:p>
        </w:tc>
      </w:tr>
      <w:tr w14:paraId="6040548C">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3480C1B5">
            <w:pPr>
              <w:jc w:val="center"/>
              <w:rPr>
                <w:rFonts w:eastAsia="宋体"/>
                <w:b w:val="0"/>
                <w:bCs w:val="0"/>
                <w:color w:val="auto"/>
                <w:sz w:val="21"/>
                <w:szCs w:val="21"/>
              </w:rPr>
            </w:pPr>
            <w:r>
              <w:rPr>
                <w:rFonts w:eastAsia="宋体"/>
                <w:b w:val="0"/>
                <w:bCs w:val="0"/>
                <w:color w:val="auto"/>
                <w:sz w:val="21"/>
                <w:szCs w:val="21"/>
              </w:rPr>
              <w:t>粉碎风机排气筒15（DA026）</w:t>
            </w:r>
          </w:p>
        </w:tc>
        <w:tc>
          <w:tcPr>
            <w:tcW w:w="1251" w:type="dxa"/>
            <w:vAlign w:val="center"/>
          </w:tcPr>
          <w:p w14:paraId="6BCB3D45">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482D3EEB">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570CDF49">
            <w:pPr>
              <w:jc w:val="center"/>
              <w:rPr>
                <w:rFonts w:eastAsia="宋体"/>
                <w:b w:val="0"/>
                <w:bCs w:val="0"/>
                <w:color w:val="auto"/>
                <w:sz w:val="21"/>
                <w:szCs w:val="21"/>
              </w:rPr>
            </w:pPr>
            <w:r>
              <w:rPr>
                <w:rFonts w:eastAsia="宋体"/>
                <w:b w:val="0"/>
                <w:bCs w:val="0"/>
                <w:color w:val="auto"/>
                <w:sz w:val="21"/>
                <w:szCs w:val="21"/>
              </w:rPr>
              <w:t>19.208</w:t>
            </w:r>
          </w:p>
        </w:tc>
        <w:tc>
          <w:tcPr>
            <w:tcW w:w="1522" w:type="dxa"/>
            <w:vAlign w:val="center"/>
          </w:tcPr>
          <w:p w14:paraId="10FBC440">
            <w:pPr>
              <w:jc w:val="center"/>
              <w:rPr>
                <w:rFonts w:eastAsia="宋体"/>
                <w:b w:val="0"/>
                <w:bCs w:val="0"/>
                <w:color w:val="auto"/>
                <w:sz w:val="21"/>
                <w:szCs w:val="21"/>
              </w:rPr>
            </w:pPr>
            <w:r>
              <w:rPr>
                <w:rFonts w:eastAsia="宋体"/>
                <w:b w:val="0"/>
                <w:bCs w:val="0"/>
                <w:color w:val="auto"/>
                <w:sz w:val="21"/>
                <w:szCs w:val="21"/>
              </w:rPr>
              <w:t>5.336</w:t>
            </w:r>
          </w:p>
        </w:tc>
        <w:tc>
          <w:tcPr>
            <w:tcW w:w="1237" w:type="dxa"/>
            <w:vAlign w:val="center"/>
          </w:tcPr>
          <w:p w14:paraId="3685ACD5">
            <w:pPr>
              <w:jc w:val="center"/>
              <w:rPr>
                <w:rFonts w:eastAsia="宋体"/>
                <w:b w:val="0"/>
                <w:bCs w:val="0"/>
                <w:color w:val="auto"/>
                <w:sz w:val="21"/>
                <w:szCs w:val="21"/>
              </w:rPr>
            </w:pPr>
            <w:r>
              <w:rPr>
                <w:rFonts w:eastAsia="宋体"/>
                <w:b w:val="0"/>
                <w:bCs w:val="0"/>
                <w:color w:val="auto"/>
                <w:sz w:val="21"/>
                <w:szCs w:val="21"/>
              </w:rPr>
              <w:t>/</w:t>
            </w:r>
          </w:p>
        </w:tc>
      </w:tr>
      <w:tr w14:paraId="393FC7FE">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0242BB62">
            <w:pPr>
              <w:jc w:val="center"/>
              <w:rPr>
                <w:rFonts w:eastAsia="宋体"/>
                <w:b w:val="0"/>
                <w:bCs w:val="0"/>
                <w:color w:val="auto"/>
                <w:sz w:val="21"/>
                <w:szCs w:val="21"/>
              </w:rPr>
            </w:pPr>
            <w:r>
              <w:rPr>
                <w:rFonts w:eastAsia="宋体"/>
                <w:b w:val="0"/>
                <w:bCs w:val="0"/>
                <w:color w:val="auto"/>
                <w:sz w:val="21"/>
                <w:szCs w:val="21"/>
              </w:rPr>
              <w:t>CO2洗涤塔排气筒2（DA032）</w:t>
            </w:r>
          </w:p>
        </w:tc>
        <w:tc>
          <w:tcPr>
            <w:tcW w:w="1251" w:type="dxa"/>
            <w:vAlign w:val="center"/>
          </w:tcPr>
          <w:p w14:paraId="32156BCE">
            <w:pPr>
              <w:jc w:val="center"/>
              <w:rPr>
                <w:rFonts w:eastAsia="宋体"/>
                <w:b w:val="0"/>
                <w:bCs w:val="0"/>
                <w:color w:val="auto"/>
                <w:sz w:val="21"/>
                <w:szCs w:val="21"/>
              </w:rPr>
            </w:pPr>
            <w:r>
              <w:rPr>
                <w:rFonts w:eastAsia="宋体"/>
                <w:b w:val="0"/>
                <w:bCs w:val="0"/>
                <w:color w:val="auto"/>
                <w:sz w:val="21"/>
                <w:szCs w:val="21"/>
              </w:rPr>
              <w:t>NMHC</w:t>
            </w:r>
          </w:p>
        </w:tc>
        <w:tc>
          <w:tcPr>
            <w:tcW w:w="1269" w:type="dxa"/>
            <w:vAlign w:val="center"/>
          </w:tcPr>
          <w:p w14:paraId="005A9E42">
            <w:pPr>
              <w:jc w:val="center"/>
              <w:rPr>
                <w:rFonts w:eastAsia="宋体"/>
                <w:b w:val="0"/>
                <w:bCs w:val="0"/>
                <w:color w:val="auto"/>
                <w:sz w:val="21"/>
                <w:szCs w:val="21"/>
              </w:rPr>
            </w:pPr>
            <w:r>
              <w:rPr>
                <w:rFonts w:eastAsia="宋体"/>
                <w:b w:val="0"/>
                <w:bCs w:val="0"/>
                <w:color w:val="auto"/>
                <w:sz w:val="21"/>
                <w:szCs w:val="21"/>
              </w:rPr>
              <w:t>2000.0</w:t>
            </w:r>
          </w:p>
        </w:tc>
        <w:tc>
          <w:tcPr>
            <w:tcW w:w="1648" w:type="dxa"/>
            <w:vAlign w:val="center"/>
          </w:tcPr>
          <w:p w14:paraId="0AFB4D3E">
            <w:pPr>
              <w:jc w:val="center"/>
              <w:rPr>
                <w:rFonts w:eastAsia="宋体"/>
                <w:b w:val="0"/>
                <w:bCs w:val="0"/>
                <w:color w:val="auto"/>
                <w:sz w:val="21"/>
                <w:szCs w:val="21"/>
              </w:rPr>
            </w:pPr>
            <w:r>
              <w:rPr>
                <w:rFonts w:eastAsia="宋体"/>
                <w:b w:val="0"/>
                <w:bCs w:val="0"/>
                <w:color w:val="auto"/>
                <w:sz w:val="21"/>
                <w:szCs w:val="21"/>
              </w:rPr>
              <w:t>260.820</w:t>
            </w:r>
          </w:p>
        </w:tc>
        <w:tc>
          <w:tcPr>
            <w:tcW w:w="1522" w:type="dxa"/>
            <w:vAlign w:val="center"/>
          </w:tcPr>
          <w:p w14:paraId="3B8F9A64">
            <w:pPr>
              <w:jc w:val="center"/>
              <w:rPr>
                <w:rFonts w:eastAsia="宋体"/>
                <w:b w:val="0"/>
                <w:bCs w:val="0"/>
                <w:color w:val="auto"/>
                <w:sz w:val="21"/>
                <w:szCs w:val="21"/>
              </w:rPr>
            </w:pPr>
            <w:r>
              <w:rPr>
                <w:rFonts w:eastAsia="宋体"/>
                <w:b w:val="0"/>
                <w:bCs w:val="0"/>
                <w:color w:val="auto"/>
                <w:sz w:val="21"/>
                <w:szCs w:val="21"/>
              </w:rPr>
              <w:t>13.041</w:t>
            </w:r>
          </w:p>
        </w:tc>
        <w:tc>
          <w:tcPr>
            <w:tcW w:w="1237" w:type="dxa"/>
            <w:vAlign w:val="center"/>
          </w:tcPr>
          <w:p w14:paraId="0E92F628">
            <w:pPr>
              <w:jc w:val="center"/>
              <w:rPr>
                <w:rFonts w:eastAsia="宋体"/>
                <w:b w:val="0"/>
                <w:bCs w:val="0"/>
                <w:color w:val="auto"/>
                <w:sz w:val="21"/>
                <w:szCs w:val="21"/>
              </w:rPr>
            </w:pPr>
            <w:r>
              <w:rPr>
                <w:rFonts w:eastAsia="宋体"/>
                <w:b w:val="0"/>
                <w:bCs w:val="0"/>
                <w:color w:val="auto"/>
                <w:sz w:val="21"/>
                <w:szCs w:val="21"/>
              </w:rPr>
              <w:t>750.0</w:t>
            </w:r>
          </w:p>
        </w:tc>
      </w:tr>
      <w:tr w14:paraId="5DBDDF91">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21142237">
            <w:pPr>
              <w:jc w:val="center"/>
              <w:rPr>
                <w:rFonts w:eastAsia="宋体"/>
                <w:b w:val="0"/>
                <w:bCs w:val="0"/>
                <w:color w:val="auto"/>
                <w:sz w:val="21"/>
                <w:szCs w:val="21"/>
              </w:rPr>
            </w:pPr>
            <w:r>
              <w:rPr>
                <w:rFonts w:eastAsia="宋体"/>
                <w:b w:val="0"/>
                <w:bCs w:val="0"/>
                <w:color w:val="auto"/>
                <w:sz w:val="21"/>
                <w:szCs w:val="21"/>
              </w:rPr>
              <w:t>粉碎风机排气筒9（DA021）</w:t>
            </w:r>
          </w:p>
        </w:tc>
        <w:tc>
          <w:tcPr>
            <w:tcW w:w="1251" w:type="dxa"/>
            <w:vAlign w:val="center"/>
          </w:tcPr>
          <w:p w14:paraId="20D17E78">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687B64D6">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4B216FE2">
            <w:pPr>
              <w:jc w:val="center"/>
              <w:rPr>
                <w:rFonts w:eastAsia="宋体"/>
                <w:b w:val="0"/>
                <w:bCs w:val="0"/>
                <w:color w:val="auto"/>
                <w:sz w:val="21"/>
                <w:szCs w:val="21"/>
              </w:rPr>
            </w:pPr>
            <w:r>
              <w:rPr>
                <w:rFonts w:eastAsia="宋体"/>
                <w:b w:val="0"/>
                <w:bCs w:val="0"/>
                <w:color w:val="auto"/>
                <w:sz w:val="21"/>
                <w:szCs w:val="21"/>
              </w:rPr>
              <w:t>18.240</w:t>
            </w:r>
          </w:p>
        </w:tc>
        <w:tc>
          <w:tcPr>
            <w:tcW w:w="1522" w:type="dxa"/>
            <w:vAlign w:val="center"/>
          </w:tcPr>
          <w:p w14:paraId="33B3DF21">
            <w:pPr>
              <w:jc w:val="center"/>
              <w:rPr>
                <w:rFonts w:eastAsia="宋体"/>
                <w:b w:val="0"/>
                <w:bCs w:val="0"/>
                <w:color w:val="auto"/>
                <w:sz w:val="21"/>
                <w:szCs w:val="21"/>
              </w:rPr>
            </w:pPr>
            <w:r>
              <w:rPr>
                <w:rFonts w:eastAsia="宋体"/>
                <w:b w:val="0"/>
                <w:bCs w:val="0"/>
                <w:color w:val="auto"/>
                <w:sz w:val="21"/>
                <w:szCs w:val="21"/>
              </w:rPr>
              <w:t>5.067</w:t>
            </w:r>
          </w:p>
        </w:tc>
        <w:tc>
          <w:tcPr>
            <w:tcW w:w="1237" w:type="dxa"/>
            <w:vAlign w:val="center"/>
          </w:tcPr>
          <w:p w14:paraId="6F5C7F61">
            <w:pPr>
              <w:jc w:val="center"/>
              <w:rPr>
                <w:rFonts w:eastAsia="宋体"/>
                <w:b w:val="0"/>
                <w:bCs w:val="0"/>
                <w:color w:val="auto"/>
                <w:sz w:val="21"/>
                <w:szCs w:val="21"/>
              </w:rPr>
            </w:pPr>
            <w:r>
              <w:rPr>
                <w:rFonts w:eastAsia="宋体"/>
                <w:b w:val="0"/>
                <w:bCs w:val="0"/>
                <w:color w:val="auto"/>
                <w:sz w:val="21"/>
                <w:szCs w:val="21"/>
              </w:rPr>
              <w:t>/</w:t>
            </w:r>
          </w:p>
        </w:tc>
      </w:tr>
      <w:tr w14:paraId="32253DF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34D2D3E0">
            <w:pPr>
              <w:jc w:val="center"/>
              <w:rPr>
                <w:rFonts w:eastAsia="宋体"/>
                <w:b w:val="0"/>
                <w:bCs w:val="0"/>
                <w:color w:val="auto"/>
                <w:sz w:val="21"/>
                <w:szCs w:val="21"/>
              </w:rPr>
            </w:pPr>
            <w:r>
              <w:rPr>
                <w:rFonts w:eastAsia="宋体"/>
                <w:b w:val="0"/>
                <w:bCs w:val="0"/>
                <w:color w:val="auto"/>
                <w:sz w:val="21"/>
                <w:szCs w:val="21"/>
              </w:rPr>
              <w:t>粉碎风机排气筒3（DA007）</w:t>
            </w:r>
          </w:p>
        </w:tc>
        <w:tc>
          <w:tcPr>
            <w:tcW w:w="1251" w:type="dxa"/>
            <w:vAlign w:val="center"/>
          </w:tcPr>
          <w:p w14:paraId="1DBD9FBA">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27A94095">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797F47D3">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48293DAC">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7C0B19F5">
            <w:pPr>
              <w:jc w:val="center"/>
              <w:rPr>
                <w:rFonts w:eastAsia="宋体"/>
                <w:b w:val="0"/>
                <w:bCs w:val="0"/>
                <w:color w:val="auto"/>
                <w:sz w:val="21"/>
                <w:szCs w:val="21"/>
              </w:rPr>
            </w:pPr>
            <w:r>
              <w:rPr>
                <w:rFonts w:eastAsia="宋体"/>
                <w:b w:val="0"/>
                <w:bCs w:val="0"/>
                <w:color w:val="auto"/>
                <w:sz w:val="21"/>
                <w:szCs w:val="21"/>
              </w:rPr>
              <w:t>/</w:t>
            </w:r>
          </w:p>
        </w:tc>
      </w:tr>
      <w:tr w14:paraId="4FA83A3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4" w:hRule="atLeast"/>
          <w:jc w:val="center"/>
        </w:trPr>
        <w:tc>
          <w:tcPr>
            <w:tcW w:w="1855" w:type="dxa"/>
            <w:vAlign w:val="center"/>
          </w:tcPr>
          <w:p w14:paraId="4B7AABA8">
            <w:pPr>
              <w:jc w:val="center"/>
              <w:rPr>
                <w:rFonts w:eastAsia="宋体"/>
                <w:b w:val="0"/>
                <w:bCs w:val="0"/>
                <w:color w:val="auto"/>
                <w:sz w:val="21"/>
                <w:szCs w:val="21"/>
              </w:rPr>
            </w:pPr>
            <w:r>
              <w:rPr>
                <w:rFonts w:eastAsia="宋体"/>
                <w:b w:val="0"/>
                <w:bCs w:val="0"/>
                <w:color w:val="auto"/>
                <w:sz w:val="21"/>
                <w:szCs w:val="21"/>
              </w:rPr>
              <w:t>粉碎风机排气筒5（DA009）</w:t>
            </w:r>
          </w:p>
        </w:tc>
        <w:tc>
          <w:tcPr>
            <w:tcW w:w="1251" w:type="dxa"/>
            <w:vAlign w:val="center"/>
          </w:tcPr>
          <w:p w14:paraId="3971A426">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7344923D">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2CEF167E">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245DA4CA">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4DB124C7">
            <w:pPr>
              <w:jc w:val="center"/>
              <w:rPr>
                <w:rFonts w:eastAsia="宋体"/>
                <w:b w:val="0"/>
                <w:bCs w:val="0"/>
                <w:color w:val="auto"/>
                <w:sz w:val="21"/>
                <w:szCs w:val="21"/>
              </w:rPr>
            </w:pPr>
            <w:r>
              <w:rPr>
                <w:rFonts w:eastAsia="宋体"/>
                <w:b w:val="0"/>
                <w:bCs w:val="0"/>
                <w:color w:val="auto"/>
                <w:sz w:val="21"/>
                <w:szCs w:val="21"/>
              </w:rPr>
              <w:t>/</w:t>
            </w:r>
          </w:p>
        </w:tc>
      </w:tr>
      <w:tr w14:paraId="4A0CDE3A">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8" w:hRule="atLeast"/>
          <w:jc w:val="center"/>
        </w:trPr>
        <w:tc>
          <w:tcPr>
            <w:tcW w:w="1855" w:type="dxa"/>
            <w:vAlign w:val="center"/>
          </w:tcPr>
          <w:p w14:paraId="45D9DD67">
            <w:pPr>
              <w:jc w:val="center"/>
              <w:rPr>
                <w:rFonts w:eastAsia="宋体"/>
                <w:b w:val="0"/>
                <w:bCs w:val="0"/>
                <w:color w:val="auto"/>
                <w:sz w:val="21"/>
                <w:szCs w:val="21"/>
              </w:rPr>
            </w:pPr>
            <w:r>
              <w:rPr>
                <w:rFonts w:eastAsia="宋体"/>
                <w:b w:val="0"/>
                <w:bCs w:val="0"/>
                <w:color w:val="auto"/>
                <w:sz w:val="21"/>
                <w:szCs w:val="21"/>
              </w:rPr>
              <w:t>粉碎风机排气筒2（DA006）</w:t>
            </w:r>
          </w:p>
        </w:tc>
        <w:tc>
          <w:tcPr>
            <w:tcW w:w="1251" w:type="dxa"/>
            <w:vAlign w:val="center"/>
          </w:tcPr>
          <w:p w14:paraId="05194C22">
            <w:pPr>
              <w:jc w:val="center"/>
              <w:rPr>
                <w:rFonts w:eastAsia="宋体"/>
                <w:b w:val="0"/>
                <w:bCs w:val="0"/>
                <w:color w:val="auto"/>
                <w:sz w:val="21"/>
                <w:szCs w:val="21"/>
              </w:rPr>
            </w:pPr>
            <w:r>
              <w:rPr>
                <w:rFonts w:eastAsia="宋体"/>
                <w:b w:val="0"/>
                <w:bCs w:val="0"/>
                <w:color w:val="auto"/>
                <w:sz w:val="21"/>
                <w:szCs w:val="21"/>
              </w:rPr>
              <w:t>PM10</w:t>
            </w:r>
          </w:p>
        </w:tc>
        <w:tc>
          <w:tcPr>
            <w:tcW w:w="1269" w:type="dxa"/>
            <w:vAlign w:val="center"/>
          </w:tcPr>
          <w:p w14:paraId="5340A4A6">
            <w:pPr>
              <w:jc w:val="center"/>
              <w:rPr>
                <w:rFonts w:eastAsia="宋体"/>
                <w:b w:val="0"/>
                <w:bCs w:val="0"/>
                <w:color w:val="auto"/>
                <w:sz w:val="21"/>
                <w:szCs w:val="21"/>
              </w:rPr>
            </w:pPr>
            <w:r>
              <w:rPr>
                <w:rFonts w:eastAsia="宋体"/>
                <w:b w:val="0"/>
                <w:bCs w:val="0"/>
                <w:color w:val="auto"/>
                <w:sz w:val="21"/>
                <w:szCs w:val="21"/>
              </w:rPr>
              <w:t>360.0</w:t>
            </w:r>
          </w:p>
        </w:tc>
        <w:tc>
          <w:tcPr>
            <w:tcW w:w="1648" w:type="dxa"/>
            <w:vAlign w:val="center"/>
          </w:tcPr>
          <w:p w14:paraId="3EBAD655">
            <w:pPr>
              <w:jc w:val="center"/>
              <w:rPr>
                <w:rFonts w:eastAsia="宋体"/>
                <w:b w:val="0"/>
                <w:bCs w:val="0"/>
                <w:color w:val="auto"/>
                <w:sz w:val="21"/>
                <w:szCs w:val="21"/>
              </w:rPr>
            </w:pPr>
            <w:r>
              <w:rPr>
                <w:rFonts w:eastAsia="宋体"/>
                <w:b w:val="0"/>
                <w:bCs w:val="0"/>
                <w:color w:val="auto"/>
                <w:sz w:val="21"/>
                <w:szCs w:val="21"/>
              </w:rPr>
              <w:t>21.060</w:t>
            </w:r>
          </w:p>
        </w:tc>
        <w:tc>
          <w:tcPr>
            <w:tcW w:w="1522" w:type="dxa"/>
            <w:vAlign w:val="center"/>
          </w:tcPr>
          <w:p w14:paraId="77D77C9B">
            <w:pPr>
              <w:jc w:val="center"/>
              <w:rPr>
                <w:rFonts w:eastAsia="宋体"/>
                <w:b w:val="0"/>
                <w:bCs w:val="0"/>
                <w:color w:val="auto"/>
                <w:sz w:val="21"/>
                <w:szCs w:val="21"/>
              </w:rPr>
            </w:pPr>
            <w:r>
              <w:rPr>
                <w:rFonts w:eastAsia="宋体"/>
                <w:b w:val="0"/>
                <w:bCs w:val="0"/>
                <w:color w:val="auto"/>
                <w:sz w:val="21"/>
                <w:szCs w:val="21"/>
              </w:rPr>
              <w:t>5.850</w:t>
            </w:r>
          </w:p>
        </w:tc>
        <w:tc>
          <w:tcPr>
            <w:tcW w:w="1237" w:type="dxa"/>
            <w:vAlign w:val="center"/>
          </w:tcPr>
          <w:p w14:paraId="38FB9957">
            <w:pPr>
              <w:jc w:val="center"/>
              <w:rPr>
                <w:rFonts w:eastAsia="宋体"/>
                <w:b w:val="0"/>
                <w:bCs w:val="0"/>
                <w:color w:val="auto"/>
                <w:sz w:val="21"/>
                <w:szCs w:val="21"/>
              </w:rPr>
            </w:pPr>
            <w:r>
              <w:rPr>
                <w:rFonts w:eastAsia="宋体"/>
                <w:b w:val="0"/>
                <w:bCs w:val="0"/>
                <w:color w:val="auto"/>
                <w:sz w:val="21"/>
                <w:szCs w:val="21"/>
              </w:rPr>
              <w:t>/</w:t>
            </w:r>
          </w:p>
        </w:tc>
      </w:tr>
      <w:tr w14:paraId="0F515710">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58" w:hRule="atLeast"/>
          <w:jc w:val="center"/>
        </w:trPr>
        <w:tc>
          <w:tcPr>
            <w:tcW w:w="1855" w:type="dxa"/>
            <w:vAlign w:val="center"/>
          </w:tcPr>
          <w:p w14:paraId="6B0796A7">
            <w:pPr>
              <w:jc w:val="center"/>
              <w:rPr>
                <w:rFonts w:eastAsia="宋体"/>
                <w:b w:val="0"/>
                <w:bCs w:val="0"/>
                <w:color w:val="auto"/>
                <w:sz w:val="21"/>
                <w:szCs w:val="21"/>
              </w:rPr>
            </w:pPr>
            <w:r>
              <w:rPr>
                <w:rFonts w:hint="eastAsia" w:eastAsia="宋体"/>
                <w:b w:val="0"/>
                <w:bCs w:val="0"/>
                <w:color w:val="auto"/>
                <w:sz w:val="21"/>
                <w:szCs w:val="21"/>
                <w:lang w:val="en-US" w:eastAsia="zh-CN"/>
              </w:rPr>
              <w:t>污水处理</w:t>
            </w:r>
            <w:r>
              <w:rPr>
                <w:rFonts w:eastAsia="宋体"/>
                <w:b w:val="0"/>
                <w:bCs w:val="0"/>
                <w:color w:val="auto"/>
                <w:sz w:val="21"/>
                <w:szCs w:val="21"/>
              </w:rPr>
              <w:t>面源</w:t>
            </w:r>
          </w:p>
        </w:tc>
        <w:tc>
          <w:tcPr>
            <w:tcW w:w="1251" w:type="dxa"/>
            <w:vAlign w:val="center"/>
          </w:tcPr>
          <w:p w14:paraId="59FC6F25">
            <w:pPr>
              <w:jc w:val="center"/>
              <w:rPr>
                <w:rFonts w:eastAsia="宋体"/>
                <w:b w:val="0"/>
                <w:bCs w:val="0"/>
                <w:color w:val="auto"/>
                <w:sz w:val="21"/>
                <w:szCs w:val="21"/>
              </w:rPr>
            </w:pPr>
            <w:r>
              <w:rPr>
                <w:rFonts w:eastAsia="宋体"/>
                <w:b w:val="0"/>
                <w:bCs w:val="0"/>
                <w:color w:val="auto"/>
                <w:sz w:val="21"/>
                <w:szCs w:val="21"/>
              </w:rPr>
              <w:t>NH3</w:t>
            </w:r>
          </w:p>
        </w:tc>
        <w:tc>
          <w:tcPr>
            <w:tcW w:w="1269" w:type="dxa"/>
            <w:vAlign w:val="center"/>
          </w:tcPr>
          <w:p w14:paraId="13180B38">
            <w:pPr>
              <w:jc w:val="center"/>
              <w:rPr>
                <w:rFonts w:eastAsia="宋体"/>
                <w:b w:val="0"/>
                <w:bCs w:val="0"/>
                <w:color w:val="auto"/>
                <w:sz w:val="21"/>
                <w:szCs w:val="21"/>
              </w:rPr>
            </w:pPr>
            <w:r>
              <w:rPr>
                <w:rFonts w:eastAsia="宋体"/>
                <w:b w:val="0"/>
                <w:bCs w:val="0"/>
                <w:color w:val="auto"/>
                <w:sz w:val="21"/>
                <w:szCs w:val="21"/>
              </w:rPr>
              <w:t>200.0</w:t>
            </w:r>
          </w:p>
        </w:tc>
        <w:tc>
          <w:tcPr>
            <w:tcW w:w="1648" w:type="dxa"/>
            <w:vAlign w:val="center"/>
          </w:tcPr>
          <w:p w14:paraId="449E35C5">
            <w:pPr>
              <w:jc w:val="center"/>
              <w:rPr>
                <w:rFonts w:eastAsia="宋体"/>
                <w:b w:val="0"/>
                <w:bCs w:val="0"/>
                <w:color w:val="auto"/>
                <w:sz w:val="21"/>
                <w:szCs w:val="21"/>
              </w:rPr>
            </w:pPr>
            <w:r>
              <w:rPr>
                <w:rFonts w:eastAsia="宋体"/>
                <w:b w:val="0"/>
                <w:bCs w:val="0"/>
                <w:color w:val="auto"/>
                <w:sz w:val="21"/>
                <w:szCs w:val="21"/>
              </w:rPr>
              <w:t>11.587</w:t>
            </w:r>
          </w:p>
        </w:tc>
        <w:tc>
          <w:tcPr>
            <w:tcW w:w="1522" w:type="dxa"/>
            <w:vAlign w:val="center"/>
          </w:tcPr>
          <w:p w14:paraId="77297BB1">
            <w:pPr>
              <w:jc w:val="center"/>
              <w:rPr>
                <w:rFonts w:eastAsia="宋体"/>
                <w:b w:val="0"/>
                <w:bCs w:val="0"/>
                <w:color w:val="auto"/>
                <w:sz w:val="21"/>
                <w:szCs w:val="21"/>
              </w:rPr>
            </w:pPr>
            <w:r>
              <w:rPr>
                <w:rFonts w:eastAsia="宋体"/>
                <w:b w:val="0"/>
                <w:bCs w:val="0"/>
                <w:color w:val="auto"/>
                <w:sz w:val="21"/>
                <w:szCs w:val="21"/>
              </w:rPr>
              <w:t>5.793</w:t>
            </w:r>
          </w:p>
        </w:tc>
        <w:tc>
          <w:tcPr>
            <w:tcW w:w="1237" w:type="dxa"/>
            <w:vAlign w:val="center"/>
          </w:tcPr>
          <w:p w14:paraId="47B4E90B">
            <w:pPr>
              <w:jc w:val="center"/>
              <w:rPr>
                <w:rFonts w:eastAsia="宋体"/>
                <w:b w:val="0"/>
                <w:bCs w:val="0"/>
                <w:color w:val="auto"/>
                <w:sz w:val="21"/>
                <w:szCs w:val="21"/>
              </w:rPr>
            </w:pPr>
            <w:r>
              <w:rPr>
                <w:rFonts w:eastAsia="宋体"/>
                <w:b w:val="0"/>
                <w:bCs w:val="0"/>
                <w:color w:val="auto"/>
                <w:sz w:val="21"/>
                <w:szCs w:val="21"/>
              </w:rPr>
              <w:t>/</w:t>
            </w:r>
          </w:p>
        </w:tc>
      </w:tr>
      <w:tr w14:paraId="5F3BFB27">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566" w:hRule="atLeast"/>
          <w:jc w:val="center"/>
        </w:trPr>
        <w:tc>
          <w:tcPr>
            <w:tcW w:w="1855" w:type="dxa"/>
            <w:vAlign w:val="center"/>
          </w:tcPr>
          <w:p w14:paraId="3495BAC4">
            <w:pPr>
              <w:jc w:val="center"/>
              <w:rPr>
                <w:rFonts w:eastAsia="宋体"/>
                <w:b w:val="0"/>
                <w:bCs w:val="0"/>
                <w:color w:val="auto"/>
                <w:sz w:val="21"/>
                <w:szCs w:val="21"/>
              </w:rPr>
            </w:pPr>
            <w:r>
              <w:rPr>
                <w:rFonts w:hint="eastAsia" w:eastAsia="宋体"/>
                <w:b w:val="0"/>
                <w:bCs w:val="0"/>
                <w:color w:val="auto"/>
                <w:sz w:val="21"/>
                <w:szCs w:val="21"/>
                <w:lang w:val="en-US" w:eastAsia="zh-CN"/>
              </w:rPr>
              <w:t>污水处理</w:t>
            </w:r>
            <w:r>
              <w:rPr>
                <w:rFonts w:eastAsia="宋体"/>
                <w:b w:val="0"/>
                <w:bCs w:val="0"/>
                <w:color w:val="auto"/>
                <w:sz w:val="21"/>
                <w:szCs w:val="21"/>
              </w:rPr>
              <w:t>面源</w:t>
            </w:r>
          </w:p>
        </w:tc>
        <w:tc>
          <w:tcPr>
            <w:tcW w:w="1251" w:type="dxa"/>
            <w:vAlign w:val="center"/>
          </w:tcPr>
          <w:p w14:paraId="6C3A0F41">
            <w:pPr>
              <w:jc w:val="center"/>
              <w:rPr>
                <w:rFonts w:eastAsia="宋体"/>
                <w:b w:val="0"/>
                <w:bCs w:val="0"/>
                <w:color w:val="auto"/>
                <w:sz w:val="21"/>
                <w:szCs w:val="21"/>
              </w:rPr>
            </w:pPr>
            <w:r>
              <w:rPr>
                <w:rFonts w:eastAsia="宋体"/>
                <w:b w:val="0"/>
                <w:bCs w:val="0"/>
                <w:color w:val="auto"/>
                <w:sz w:val="21"/>
                <w:szCs w:val="21"/>
              </w:rPr>
              <w:t>H2S</w:t>
            </w:r>
          </w:p>
        </w:tc>
        <w:tc>
          <w:tcPr>
            <w:tcW w:w="1269" w:type="dxa"/>
            <w:vAlign w:val="center"/>
          </w:tcPr>
          <w:p w14:paraId="469B9281">
            <w:pPr>
              <w:jc w:val="center"/>
              <w:rPr>
                <w:rFonts w:eastAsia="宋体"/>
                <w:b w:val="0"/>
                <w:bCs w:val="0"/>
                <w:color w:val="auto"/>
                <w:sz w:val="21"/>
                <w:szCs w:val="21"/>
              </w:rPr>
            </w:pPr>
            <w:r>
              <w:rPr>
                <w:rFonts w:eastAsia="宋体"/>
                <w:b w:val="0"/>
                <w:bCs w:val="0"/>
                <w:color w:val="auto"/>
                <w:sz w:val="21"/>
                <w:szCs w:val="21"/>
              </w:rPr>
              <w:t>10.0</w:t>
            </w:r>
          </w:p>
        </w:tc>
        <w:tc>
          <w:tcPr>
            <w:tcW w:w="1648" w:type="dxa"/>
            <w:vAlign w:val="center"/>
          </w:tcPr>
          <w:p w14:paraId="7B559392">
            <w:pPr>
              <w:jc w:val="center"/>
              <w:rPr>
                <w:rFonts w:eastAsia="宋体"/>
                <w:b w:val="0"/>
                <w:bCs w:val="0"/>
                <w:color w:val="auto"/>
                <w:sz w:val="21"/>
                <w:szCs w:val="21"/>
              </w:rPr>
            </w:pPr>
            <w:r>
              <w:rPr>
                <w:rFonts w:eastAsia="宋体"/>
                <w:b w:val="0"/>
                <w:bCs w:val="0"/>
                <w:color w:val="auto"/>
                <w:sz w:val="21"/>
                <w:szCs w:val="21"/>
              </w:rPr>
              <w:t>0.671</w:t>
            </w:r>
          </w:p>
        </w:tc>
        <w:tc>
          <w:tcPr>
            <w:tcW w:w="1522" w:type="dxa"/>
            <w:vAlign w:val="center"/>
          </w:tcPr>
          <w:p w14:paraId="716BCC7D">
            <w:pPr>
              <w:jc w:val="center"/>
              <w:rPr>
                <w:rFonts w:eastAsia="宋体"/>
                <w:b w:val="0"/>
                <w:bCs w:val="0"/>
                <w:color w:val="auto"/>
                <w:sz w:val="21"/>
                <w:szCs w:val="21"/>
              </w:rPr>
            </w:pPr>
            <w:r>
              <w:rPr>
                <w:rFonts w:eastAsia="宋体"/>
                <w:b w:val="0"/>
                <w:bCs w:val="0"/>
                <w:color w:val="auto"/>
                <w:sz w:val="21"/>
                <w:szCs w:val="21"/>
              </w:rPr>
              <w:t>6.708</w:t>
            </w:r>
          </w:p>
        </w:tc>
        <w:tc>
          <w:tcPr>
            <w:tcW w:w="1237" w:type="dxa"/>
            <w:vAlign w:val="center"/>
          </w:tcPr>
          <w:p w14:paraId="308A3E60">
            <w:pPr>
              <w:jc w:val="center"/>
              <w:rPr>
                <w:rFonts w:eastAsia="宋体"/>
                <w:b w:val="0"/>
                <w:bCs w:val="0"/>
                <w:color w:val="auto"/>
                <w:sz w:val="21"/>
                <w:szCs w:val="21"/>
              </w:rPr>
            </w:pPr>
            <w:r>
              <w:rPr>
                <w:rFonts w:eastAsia="宋体"/>
                <w:b w:val="0"/>
                <w:bCs w:val="0"/>
                <w:color w:val="auto"/>
                <w:sz w:val="21"/>
                <w:szCs w:val="21"/>
              </w:rPr>
              <w:t>/</w:t>
            </w:r>
          </w:p>
        </w:tc>
      </w:tr>
    </w:tbl>
    <w:p w14:paraId="719D3864">
      <w:pPr>
        <w:spacing w:line="360" w:lineRule="auto"/>
        <w:ind w:firstLine="480"/>
        <w:rPr>
          <w:rFonts w:eastAsia="宋体"/>
        </w:rPr>
      </w:pPr>
      <w:r>
        <w:rPr>
          <w:rFonts w:eastAsia="宋体"/>
        </w:rPr>
        <w:t>由预测结果可知，本项目Pmax最大值出现为CO2洗涤塔排气筒排放的NMHCPmax值为16.759%，Cmax为335.17μg/m³，D10%为750.0m。根据《环境影响评价技术导则 大气环境》（HJ2.2-2018）分级判据，确定本项目大气环境影响评价工作等级为一级。</w:t>
      </w:r>
    </w:p>
    <w:p w14:paraId="71FFC63D">
      <w:pPr>
        <w:pStyle w:val="5"/>
        <w:rPr>
          <w:rFonts w:hint="eastAsia" w:ascii="Times New Roman" w:hAnsi="Times New Roman" w:eastAsia="Times New Roman" w:cs="Times New Roman"/>
        </w:rPr>
      </w:pPr>
      <w:r>
        <w:rPr>
          <w:rFonts w:hint="eastAsia" w:ascii="Times New Roman" w:hAnsi="Times New Roman" w:eastAsia="Times New Roman" w:cs="Times New Roman"/>
        </w:rPr>
        <w:t>2.4.</w:t>
      </w:r>
      <w:r>
        <w:rPr>
          <w:rFonts w:hint="eastAsia" w:ascii="Times New Roman" w:hAnsi="Times New Roman" w:eastAsia="宋体" w:cs="Times New Roman"/>
          <w:lang w:val="en-US" w:eastAsia="zh-CN"/>
        </w:rPr>
        <w:t>2</w:t>
      </w:r>
      <w:r>
        <w:rPr>
          <w:rFonts w:hint="eastAsia" w:ascii="Times New Roman" w:hAnsi="Times New Roman" w:eastAsia="Times New Roman" w:cs="Times New Roman"/>
        </w:rPr>
        <w:t>.2评价范围</w:t>
      </w:r>
    </w:p>
    <w:p w14:paraId="6A878299">
      <w:pPr>
        <w:spacing w:line="360" w:lineRule="auto"/>
        <w:ind w:firstLine="480" w:firstLineChars="200"/>
        <w:jc w:val="left"/>
        <w:rPr>
          <w:rFonts w:hint="default" w:ascii="Times New Roman" w:hAnsi="Times New Roman" w:eastAsia="宋体" w:cs="Times New Roman"/>
        </w:rPr>
      </w:pPr>
      <w:r>
        <w:rPr>
          <w:rFonts w:hint="default" w:ascii="Times New Roman" w:hAnsi="Times New Roman" w:eastAsia="宋体" w:cs="Times New Roman"/>
        </w:rPr>
        <w:t>为以厂址为中心，边长5km的矩形区域。</w:t>
      </w:r>
    </w:p>
    <w:p w14:paraId="0E2343A5">
      <w:pPr>
        <w:pStyle w:val="4"/>
      </w:pPr>
      <w:bookmarkStart w:id="163" w:name="_Toc269285148"/>
      <w:bookmarkStart w:id="164" w:name="_Toc271360660"/>
      <w:bookmarkStart w:id="165" w:name="_Toc271897766"/>
      <w:bookmarkStart w:id="166" w:name="_Toc270323229"/>
      <w:bookmarkStart w:id="167" w:name="_Toc275358339"/>
      <w:bookmarkStart w:id="168" w:name="_Toc271898032"/>
      <w:bookmarkStart w:id="169" w:name="_Toc272499975"/>
      <w:r>
        <w:t>2.4.3声环境</w:t>
      </w:r>
      <w:bookmarkEnd w:id="158"/>
      <w:bookmarkEnd w:id="159"/>
      <w:bookmarkEnd w:id="160"/>
      <w:bookmarkEnd w:id="161"/>
      <w:bookmarkEnd w:id="162"/>
      <w:bookmarkEnd w:id="163"/>
      <w:bookmarkEnd w:id="164"/>
      <w:bookmarkEnd w:id="165"/>
      <w:bookmarkEnd w:id="166"/>
      <w:bookmarkEnd w:id="167"/>
      <w:bookmarkEnd w:id="168"/>
      <w:bookmarkEnd w:id="169"/>
    </w:p>
    <w:p w14:paraId="3CF6AE8C">
      <w:pPr>
        <w:pStyle w:val="5"/>
        <w:rPr>
          <w:rFonts w:hint="default" w:ascii="Times New Roman" w:hAnsi="Times New Roman" w:eastAsia="宋体" w:cs="Times New Roman"/>
          <w:lang w:val="en-US" w:eastAsia="zh-CN"/>
        </w:rPr>
      </w:pPr>
      <w:bookmarkStart w:id="170" w:name="_Toc271360661"/>
      <w:bookmarkStart w:id="171" w:name="_Toc275358340"/>
      <w:bookmarkStart w:id="172" w:name="_Toc272499976"/>
      <w:bookmarkStart w:id="173" w:name="_Toc271897767"/>
      <w:bookmarkStart w:id="174" w:name="_Toc269285149"/>
      <w:bookmarkStart w:id="175" w:name="_Toc270323230"/>
      <w:bookmarkStart w:id="176" w:name="_Toc268185630"/>
      <w:bookmarkStart w:id="177" w:name="_Toc271898033"/>
      <w:r>
        <w:rPr>
          <w:rFonts w:hint="eastAsia" w:ascii="Times New Roman" w:hAnsi="Times New Roman" w:eastAsia="Times New Roman" w:cs="Times New Roman"/>
        </w:rPr>
        <w:t>2.4.</w:t>
      </w:r>
      <w:r>
        <w:rPr>
          <w:rFonts w:hint="eastAsia" w:ascii="Times New Roman" w:hAnsi="Times New Roman" w:eastAsia="宋体" w:cs="Times New Roman"/>
          <w:lang w:val="en-US" w:eastAsia="zh-CN"/>
        </w:rPr>
        <w:t>3.1</w:t>
      </w:r>
      <w:r>
        <w:rPr>
          <w:rFonts w:hint="eastAsia" w:ascii="Times New Roman" w:hAnsi="Times New Roman" w:eastAsia="Times New Roman" w:cs="Times New Roman"/>
        </w:rPr>
        <w:t>评价</w:t>
      </w:r>
      <w:r>
        <w:rPr>
          <w:rFonts w:hint="eastAsia" w:ascii="Times New Roman" w:hAnsi="Times New Roman" w:eastAsia="宋体" w:cs="Times New Roman"/>
          <w:lang w:val="en-US" w:eastAsia="zh-CN"/>
        </w:rPr>
        <w:t>工作等级</w:t>
      </w:r>
    </w:p>
    <w:p w14:paraId="3F684CCE">
      <w:pPr>
        <w:spacing w:line="360" w:lineRule="auto"/>
        <w:ind w:firstLine="480"/>
      </w:pPr>
      <w:r>
        <w:t>根据《环境影响评价技术导则 声环境》</w:t>
      </w:r>
      <w:r>
        <w:rPr>
          <w:rFonts w:hint="eastAsia"/>
        </w:rPr>
        <w:t>（HJ2.4-2021）</w:t>
      </w:r>
      <w:r>
        <w:t>中规定的声环境影响评价工作等级划分的基本原则：建设项目所处的声环境功能区为GB3096规定的</w:t>
      </w:r>
      <w:r>
        <w:rPr>
          <w:rFonts w:hint="eastAsia"/>
          <w:lang w:eastAsia="zh-CN"/>
        </w:rPr>
        <w:t>3类</w:t>
      </w:r>
      <w:r>
        <w:t>地区，或建设项目建设前后评价范围内敏感目标噪声级增高量达3dB(A)~5dB(A)，或受噪声影响人口数量增加较多时按二级评价。</w:t>
      </w:r>
      <w:r>
        <w:rPr>
          <w:rFonts w:hint="eastAsia"/>
          <w:lang w:eastAsia="zh-CN"/>
        </w:rPr>
        <w:t>本项目</w:t>
      </w:r>
      <w:r>
        <w:t>所在声环境功能区为（GB3096-2008）规定的</w:t>
      </w:r>
      <w:r>
        <w:rPr>
          <w:rFonts w:hint="eastAsia"/>
          <w:lang w:eastAsia="zh-CN"/>
        </w:rPr>
        <w:t>3类</w:t>
      </w:r>
      <w:r>
        <w:t>功能区，因此确定声环境影响评价工作等级为</w:t>
      </w:r>
      <w:r>
        <w:rPr>
          <w:rFonts w:hint="eastAsia"/>
          <w:lang w:val="en-US" w:eastAsia="zh-CN"/>
        </w:rPr>
        <w:t>三</w:t>
      </w:r>
      <w:r>
        <w:t>级。详见表2.4-</w:t>
      </w:r>
      <w:r>
        <w:rPr>
          <w:rFonts w:hint="eastAsia"/>
          <w:lang w:val="en-US" w:eastAsia="zh-CN"/>
        </w:rPr>
        <w:t>8</w:t>
      </w:r>
      <w:r>
        <w:t>。</w:t>
      </w:r>
    </w:p>
    <w:p w14:paraId="3E4CC349">
      <w:pPr>
        <w:snapToGrid w:val="0"/>
        <w:spacing w:line="400" w:lineRule="exact"/>
        <w:jc w:val="center"/>
        <w:rPr>
          <w:b/>
        </w:rPr>
      </w:pPr>
      <w:r>
        <w:rPr>
          <w:b/>
        </w:rPr>
        <w:t>表2.4-</w:t>
      </w:r>
      <w:r>
        <w:rPr>
          <w:rFonts w:hint="eastAsia"/>
          <w:b/>
          <w:lang w:val="en-US" w:eastAsia="zh-CN"/>
        </w:rPr>
        <w:t>8</w:t>
      </w:r>
      <w:r>
        <w:rPr>
          <w:b/>
        </w:rPr>
        <w:t xml:space="preserve">   声环境评价工作等级判断表</w:t>
      </w:r>
    </w:p>
    <w:tbl>
      <w:tblPr>
        <w:tblStyle w:val="53"/>
        <w:tblW w:w="93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215"/>
        <w:gridCol w:w="2884"/>
        <w:gridCol w:w="2586"/>
        <w:gridCol w:w="1876"/>
      </w:tblGrid>
      <w:tr w14:paraId="44944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837" w:type="dxa"/>
            <w:tcBorders>
              <w:tl2br w:val="nil"/>
              <w:tr2bl w:val="nil"/>
            </w:tcBorders>
            <w:vAlign w:val="center"/>
          </w:tcPr>
          <w:p w14:paraId="3BFF87F0">
            <w:pPr>
              <w:tabs>
                <w:tab w:val="left" w:leader="middleDot" w:pos="7371"/>
              </w:tabs>
              <w:spacing w:line="400" w:lineRule="exact"/>
              <w:jc w:val="center"/>
              <w:rPr>
                <w:b/>
                <w:bCs/>
                <w:sz w:val="21"/>
                <w:szCs w:val="21"/>
              </w:rPr>
            </w:pPr>
            <w:r>
              <w:rPr>
                <w:b/>
                <w:bCs/>
                <w:sz w:val="21"/>
                <w:szCs w:val="21"/>
              </w:rPr>
              <w:t>因素</w:t>
            </w:r>
          </w:p>
        </w:tc>
        <w:tc>
          <w:tcPr>
            <w:tcW w:w="1215" w:type="dxa"/>
            <w:tcBorders>
              <w:tl2br w:val="nil"/>
              <w:tr2bl w:val="nil"/>
            </w:tcBorders>
            <w:vAlign w:val="center"/>
          </w:tcPr>
          <w:p w14:paraId="2F1CD879">
            <w:pPr>
              <w:tabs>
                <w:tab w:val="left" w:leader="middleDot" w:pos="7371"/>
              </w:tabs>
              <w:spacing w:line="400" w:lineRule="exact"/>
              <w:jc w:val="center"/>
              <w:rPr>
                <w:b/>
                <w:bCs/>
                <w:sz w:val="21"/>
                <w:szCs w:val="21"/>
              </w:rPr>
            </w:pPr>
            <w:r>
              <w:rPr>
                <w:b/>
                <w:bCs/>
                <w:sz w:val="21"/>
                <w:szCs w:val="21"/>
              </w:rPr>
              <w:t>功能区</w:t>
            </w:r>
          </w:p>
        </w:tc>
        <w:tc>
          <w:tcPr>
            <w:tcW w:w="2884" w:type="dxa"/>
            <w:tcBorders>
              <w:tl2br w:val="nil"/>
              <w:tr2bl w:val="nil"/>
            </w:tcBorders>
            <w:vAlign w:val="center"/>
          </w:tcPr>
          <w:p w14:paraId="025BE216">
            <w:pPr>
              <w:tabs>
                <w:tab w:val="left" w:leader="middleDot" w:pos="7371"/>
              </w:tabs>
              <w:spacing w:line="400" w:lineRule="exact"/>
              <w:jc w:val="center"/>
              <w:rPr>
                <w:b/>
                <w:bCs/>
                <w:sz w:val="21"/>
                <w:szCs w:val="21"/>
              </w:rPr>
            </w:pPr>
            <w:r>
              <w:rPr>
                <w:b/>
                <w:bCs/>
                <w:sz w:val="21"/>
                <w:szCs w:val="21"/>
              </w:rPr>
              <w:t>建设前后噪声级增加量</w:t>
            </w:r>
          </w:p>
        </w:tc>
        <w:tc>
          <w:tcPr>
            <w:tcW w:w="2586" w:type="dxa"/>
            <w:tcBorders>
              <w:tl2br w:val="nil"/>
              <w:tr2bl w:val="nil"/>
            </w:tcBorders>
            <w:vAlign w:val="center"/>
          </w:tcPr>
          <w:p w14:paraId="37D36712">
            <w:pPr>
              <w:tabs>
                <w:tab w:val="left" w:leader="middleDot" w:pos="7371"/>
              </w:tabs>
              <w:spacing w:line="400" w:lineRule="exact"/>
              <w:jc w:val="center"/>
              <w:rPr>
                <w:b/>
                <w:bCs/>
                <w:sz w:val="21"/>
                <w:szCs w:val="21"/>
              </w:rPr>
            </w:pPr>
            <w:r>
              <w:rPr>
                <w:b/>
                <w:bCs/>
                <w:sz w:val="21"/>
                <w:szCs w:val="21"/>
              </w:rPr>
              <w:t>受影响人口变化情况</w:t>
            </w:r>
          </w:p>
        </w:tc>
        <w:tc>
          <w:tcPr>
            <w:tcW w:w="1876" w:type="dxa"/>
            <w:tcBorders>
              <w:tl2br w:val="nil"/>
              <w:tr2bl w:val="nil"/>
            </w:tcBorders>
            <w:vAlign w:val="center"/>
          </w:tcPr>
          <w:p w14:paraId="7B49CE61">
            <w:pPr>
              <w:tabs>
                <w:tab w:val="left" w:leader="middleDot" w:pos="7371"/>
              </w:tabs>
              <w:spacing w:line="400" w:lineRule="exact"/>
              <w:jc w:val="center"/>
              <w:rPr>
                <w:b/>
                <w:bCs/>
                <w:sz w:val="21"/>
                <w:szCs w:val="21"/>
              </w:rPr>
            </w:pPr>
            <w:r>
              <w:rPr>
                <w:b/>
                <w:bCs/>
                <w:sz w:val="21"/>
                <w:szCs w:val="21"/>
              </w:rPr>
              <w:t>判定等级</w:t>
            </w:r>
          </w:p>
        </w:tc>
      </w:tr>
      <w:tr w14:paraId="1E7CB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7" w:type="dxa"/>
            <w:tcBorders>
              <w:tl2br w:val="nil"/>
              <w:tr2bl w:val="nil"/>
            </w:tcBorders>
            <w:vAlign w:val="center"/>
          </w:tcPr>
          <w:p w14:paraId="35EB2E83">
            <w:pPr>
              <w:tabs>
                <w:tab w:val="left" w:leader="middleDot" w:pos="7371"/>
              </w:tabs>
              <w:spacing w:line="400" w:lineRule="exact"/>
              <w:jc w:val="center"/>
              <w:rPr>
                <w:sz w:val="21"/>
                <w:szCs w:val="21"/>
              </w:rPr>
            </w:pPr>
            <w:r>
              <w:rPr>
                <w:sz w:val="21"/>
                <w:szCs w:val="21"/>
              </w:rPr>
              <w:t>标准</w:t>
            </w:r>
          </w:p>
        </w:tc>
        <w:tc>
          <w:tcPr>
            <w:tcW w:w="1215" w:type="dxa"/>
            <w:tcBorders>
              <w:tl2br w:val="nil"/>
              <w:tr2bl w:val="nil"/>
            </w:tcBorders>
            <w:vAlign w:val="center"/>
          </w:tcPr>
          <w:p w14:paraId="0FCC792D">
            <w:pPr>
              <w:tabs>
                <w:tab w:val="left" w:leader="middleDot" w:pos="7371"/>
              </w:tabs>
              <w:spacing w:line="400" w:lineRule="exact"/>
              <w:jc w:val="center"/>
              <w:rPr>
                <w:rFonts w:hint="eastAsia" w:eastAsia="宋体"/>
                <w:sz w:val="21"/>
                <w:szCs w:val="21"/>
                <w:lang w:eastAsia="zh-CN"/>
              </w:rPr>
            </w:pPr>
            <w:r>
              <w:rPr>
                <w:rFonts w:hint="eastAsia"/>
                <w:sz w:val="21"/>
                <w:szCs w:val="21"/>
                <w:lang w:eastAsia="zh-CN"/>
              </w:rPr>
              <w:t>3类</w:t>
            </w:r>
          </w:p>
        </w:tc>
        <w:tc>
          <w:tcPr>
            <w:tcW w:w="2884" w:type="dxa"/>
            <w:tcBorders>
              <w:tl2br w:val="nil"/>
              <w:tr2bl w:val="nil"/>
            </w:tcBorders>
            <w:vAlign w:val="center"/>
          </w:tcPr>
          <w:p w14:paraId="26C9B021">
            <w:pPr>
              <w:tabs>
                <w:tab w:val="left" w:leader="middleDot" w:pos="7371"/>
              </w:tabs>
              <w:spacing w:line="400" w:lineRule="exact"/>
              <w:jc w:val="center"/>
              <w:rPr>
                <w:sz w:val="21"/>
                <w:szCs w:val="21"/>
              </w:rPr>
            </w:pPr>
            <w:r>
              <w:rPr>
                <w:sz w:val="21"/>
                <w:szCs w:val="21"/>
              </w:rPr>
              <w:t>＜3dB（A）</w:t>
            </w:r>
          </w:p>
        </w:tc>
        <w:tc>
          <w:tcPr>
            <w:tcW w:w="2586" w:type="dxa"/>
            <w:tcBorders>
              <w:tl2br w:val="nil"/>
              <w:tr2bl w:val="nil"/>
            </w:tcBorders>
            <w:vAlign w:val="center"/>
          </w:tcPr>
          <w:p w14:paraId="725DE31F">
            <w:pPr>
              <w:tabs>
                <w:tab w:val="left" w:leader="middleDot" w:pos="7371"/>
              </w:tabs>
              <w:spacing w:line="400" w:lineRule="exact"/>
              <w:jc w:val="center"/>
              <w:rPr>
                <w:sz w:val="21"/>
                <w:szCs w:val="21"/>
              </w:rPr>
            </w:pPr>
            <w:r>
              <w:rPr>
                <w:sz w:val="21"/>
                <w:szCs w:val="21"/>
              </w:rPr>
              <w:t>不明显</w:t>
            </w:r>
          </w:p>
        </w:tc>
        <w:tc>
          <w:tcPr>
            <w:tcW w:w="1876" w:type="dxa"/>
            <w:tcBorders>
              <w:tl2br w:val="nil"/>
              <w:tr2bl w:val="nil"/>
            </w:tcBorders>
            <w:vAlign w:val="center"/>
          </w:tcPr>
          <w:p w14:paraId="795CB977">
            <w:pPr>
              <w:tabs>
                <w:tab w:val="left" w:leader="middleDot" w:pos="7371"/>
              </w:tabs>
              <w:spacing w:line="400" w:lineRule="exact"/>
              <w:jc w:val="center"/>
              <w:rPr>
                <w:sz w:val="21"/>
                <w:szCs w:val="21"/>
              </w:rPr>
            </w:pPr>
            <w:r>
              <w:rPr>
                <w:rFonts w:hint="eastAsia"/>
                <w:sz w:val="21"/>
                <w:szCs w:val="21"/>
                <w:lang w:val="en-US" w:eastAsia="zh-CN"/>
              </w:rPr>
              <w:t>三</w:t>
            </w:r>
            <w:r>
              <w:rPr>
                <w:sz w:val="21"/>
                <w:szCs w:val="21"/>
              </w:rPr>
              <w:t>级</w:t>
            </w:r>
          </w:p>
        </w:tc>
      </w:tr>
      <w:bookmarkEnd w:id="170"/>
      <w:bookmarkEnd w:id="171"/>
      <w:bookmarkEnd w:id="172"/>
      <w:bookmarkEnd w:id="173"/>
      <w:bookmarkEnd w:id="174"/>
      <w:bookmarkEnd w:id="175"/>
      <w:bookmarkEnd w:id="176"/>
      <w:bookmarkEnd w:id="177"/>
    </w:tbl>
    <w:p w14:paraId="1A604708">
      <w:pPr>
        <w:pStyle w:val="5"/>
        <w:rPr>
          <w:rFonts w:hint="eastAsia" w:ascii="Times New Roman" w:hAnsi="Times New Roman" w:eastAsia="Times New Roman" w:cs="Times New Roman"/>
          <w:lang w:val="en-US" w:eastAsia="zh-CN"/>
        </w:rPr>
      </w:pPr>
      <w:r>
        <w:rPr>
          <w:rFonts w:hint="eastAsia" w:ascii="Times New Roman" w:hAnsi="Times New Roman" w:eastAsia="Times New Roman" w:cs="Times New Roman"/>
          <w:lang w:val="en-US" w:eastAsia="zh-CN"/>
        </w:rPr>
        <w:t>2.4.3.2评价范围</w:t>
      </w:r>
    </w:p>
    <w:p w14:paraId="2893C4D9">
      <w:pPr>
        <w:spacing w:line="360" w:lineRule="auto"/>
        <w:ind w:firstLine="480" w:firstLineChars="200"/>
        <w:rPr>
          <w:rFonts w:hint="default" w:ascii="Times New Roman" w:hAnsi="Times New Roman" w:eastAsia="宋体" w:cs="Times New Roman"/>
          <w:b w:val="0"/>
          <w:sz w:val="24"/>
          <w:szCs w:val="24"/>
          <w:lang w:val="en-US" w:eastAsia="zh-CN" w:bidi="ar-SA"/>
        </w:rPr>
      </w:pPr>
      <w:r>
        <w:rPr>
          <w:rFonts w:hint="eastAsia" w:ascii="Times New Roman" w:hAnsi="Times New Roman" w:eastAsia="宋体" w:cs="Times New Roman"/>
          <w:b w:val="0"/>
          <w:sz w:val="24"/>
          <w:szCs w:val="24"/>
          <w:lang w:val="en-US" w:eastAsia="zh-CN" w:bidi="ar-SA"/>
        </w:rPr>
        <w:t>建设项目边界向外200m。</w:t>
      </w:r>
    </w:p>
    <w:p w14:paraId="032BF872">
      <w:pPr>
        <w:pStyle w:val="4"/>
      </w:pPr>
      <w:r>
        <w:t>2.4.4</w:t>
      </w:r>
      <w:r>
        <w:rPr>
          <w:rFonts w:hint="eastAsia"/>
        </w:rPr>
        <w:t>地下水环境</w:t>
      </w:r>
    </w:p>
    <w:p w14:paraId="3D57DAEA">
      <w:pPr>
        <w:pStyle w:val="5"/>
        <w:rPr>
          <w:rFonts w:ascii="Times New Roman" w:hAnsi="Times New Roman" w:eastAsia="Times New Roman" w:cs="Times New Roman"/>
        </w:rPr>
      </w:pPr>
      <w:r>
        <w:rPr>
          <w:rFonts w:hint="eastAsia" w:ascii="Times New Roman" w:hAnsi="Times New Roman" w:eastAsia="Times New Roman" w:cs="Times New Roman"/>
        </w:rPr>
        <w:t>2.4.3.1</w:t>
      </w:r>
      <w:r>
        <w:rPr>
          <w:rFonts w:ascii="Times New Roman" w:hAnsi="Times New Roman" w:eastAsia="Times New Roman" w:cs="Times New Roman"/>
        </w:rPr>
        <w:t>评价工作等级</w:t>
      </w:r>
    </w:p>
    <w:p w14:paraId="1824811E">
      <w:pPr>
        <w:spacing w:line="360" w:lineRule="auto"/>
        <w:ind w:firstLine="480"/>
        <w:rPr>
          <w:rFonts w:ascii="Times New Roman" w:hAnsi="Times New Roman" w:cs="Times New Roman"/>
        </w:rPr>
      </w:pPr>
      <w:r>
        <w:rPr>
          <w:rFonts w:hint="eastAsia" w:ascii="Times New Roman" w:hAnsi="Times New Roman" w:cs="Times New Roman"/>
        </w:rPr>
        <w:t>（1）地下水环境影响评价项目类别</w:t>
      </w:r>
    </w:p>
    <w:p w14:paraId="4C5AD344">
      <w:pPr>
        <w:spacing w:line="360" w:lineRule="auto"/>
        <w:ind w:firstLine="480"/>
        <w:rPr>
          <w:rFonts w:ascii="Times New Roman" w:hAnsi="Times New Roman" w:cs="Times New Roman"/>
        </w:rPr>
      </w:pPr>
      <w:r>
        <w:rPr>
          <w:rFonts w:hint="eastAsia" w:ascii="Times New Roman" w:hAnsi="Times New Roman" w:cs="Times New Roman"/>
        </w:rPr>
        <w:t>本项目属于《环境影响评价技术导则-地下水环境》（HJ610-2016）附录A中“N轻工94粮食及饲料加工”，本项目地下水环境影响评价项目类别为Ⅲ类。</w:t>
      </w:r>
    </w:p>
    <w:p w14:paraId="0AD64D82">
      <w:pPr>
        <w:spacing w:line="360" w:lineRule="auto"/>
        <w:ind w:firstLine="480"/>
        <w:rPr>
          <w:rFonts w:ascii="Times New Roman" w:hAnsi="Times New Roman" w:cs="Times New Roman"/>
        </w:rPr>
      </w:pPr>
      <w:r>
        <w:rPr>
          <w:rFonts w:hint="eastAsia" w:ascii="Times New Roman" w:hAnsi="Times New Roman" w:cs="Times New Roman"/>
        </w:rPr>
        <w:t>（2）地下水环境敏感程度</w:t>
      </w:r>
    </w:p>
    <w:p w14:paraId="48219788">
      <w:pPr>
        <w:spacing w:line="360" w:lineRule="auto"/>
        <w:ind w:firstLine="480"/>
        <w:rPr>
          <w:rFonts w:ascii="Times New Roman" w:hAnsi="Times New Roman" w:cs="Times New Roman"/>
        </w:rPr>
      </w:pPr>
      <w:r>
        <w:rPr>
          <w:rFonts w:hint="eastAsia" w:ascii="Times New Roman" w:hAnsi="Times New Roman" w:cs="Times New Roman"/>
        </w:rPr>
        <w:t>建设项目的地下水环境敏感程度可分为敏感、较敏感、不敏感三级，分级原则详见表2.4-</w:t>
      </w:r>
      <w:r>
        <w:rPr>
          <w:rFonts w:hint="eastAsia" w:cs="Times New Roman"/>
          <w:lang w:val="en-US" w:eastAsia="zh-CN"/>
        </w:rPr>
        <w:t>9</w:t>
      </w:r>
      <w:r>
        <w:rPr>
          <w:rFonts w:hint="eastAsia" w:ascii="Times New Roman" w:hAnsi="Times New Roman" w:cs="Times New Roman"/>
        </w:rPr>
        <w:t>。</w:t>
      </w:r>
    </w:p>
    <w:p w14:paraId="630C519C">
      <w:pPr>
        <w:snapToGrid w:val="0"/>
        <w:spacing w:line="400" w:lineRule="exact"/>
        <w:jc w:val="center"/>
        <w:rPr>
          <w:rFonts w:ascii="Times New Roman" w:hAnsi="Times New Roman" w:cs="Times New Roman"/>
          <w:b/>
        </w:rPr>
      </w:pPr>
      <w:r>
        <w:rPr>
          <w:rFonts w:hint="eastAsia" w:ascii="Times New Roman" w:hAnsi="Times New Roman" w:cs="Times New Roman"/>
          <w:b/>
        </w:rPr>
        <w:t>表2.4-</w:t>
      </w:r>
      <w:r>
        <w:rPr>
          <w:rFonts w:hint="eastAsia" w:cs="Times New Roman"/>
          <w:b/>
          <w:lang w:val="en-US" w:eastAsia="zh-CN"/>
        </w:rPr>
        <w:t>9</w:t>
      </w:r>
      <w:r>
        <w:rPr>
          <w:rFonts w:hint="eastAsia" w:ascii="Times New Roman" w:hAnsi="Times New Roman" w:cs="Times New Roman"/>
          <w:b/>
        </w:rPr>
        <w:t xml:space="preserve">  地下水环境敏感程度分级表</w:t>
      </w:r>
    </w:p>
    <w:tbl>
      <w:tblPr>
        <w:tblStyle w:val="53"/>
        <w:tblW w:w="9060"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108" w:type="dxa"/>
          <w:bottom w:w="0" w:type="dxa"/>
          <w:right w:w="108" w:type="dxa"/>
        </w:tblCellMar>
      </w:tblPr>
      <w:tblGrid>
        <w:gridCol w:w="1321"/>
        <w:gridCol w:w="7739"/>
      </w:tblGrid>
      <w:tr w14:paraId="2D3FA21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21" w:type="dxa"/>
            <w:vAlign w:val="center"/>
          </w:tcPr>
          <w:p w14:paraId="702A1C42">
            <w:pPr>
              <w:tabs>
                <w:tab w:val="left" w:leader="middleDot" w:pos="7371"/>
              </w:tabs>
              <w:spacing w:line="400" w:lineRule="exact"/>
              <w:jc w:val="center"/>
              <w:rPr>
                <w:rFonts w:ascii="Times New Roman" w:hAnsi="Times New Roman" w:cs="Times New Roman"/>
                <w:sz w:val="21"/>
                <w:szCs w:val="21"/>
              </w:rPr>
            </w:pPr>
            <w:r>
              <w:rPr>
                <w:rFonts w:hint="eastAsia" w:ascii="Times New Roman" w:hAnsi="Times New Roman" w:cs="Times New Roman"/>
                <w:sz w:val="21"/>
                <w:szCs w:val="21"/>
              </w:rPr>
              <w:t>敏感程度</w:t>
            </w:r>
          </w:p>
        </w:tc>
        <w:tc>
          <w:tcPr>
            <w:tcW w:w="7739" w:type="dxa"/>
            <w:vAlign w:val="center"/>
          </w:tcPr>
          <w:p w14:paraId="20FDD94D">
            <w:pPr>
              <w:tabs>
                <w:tab w:val="left" w:leader="middleDot" w:pos="7371"/>
              </w:tabs>
              <w:spacing w:line="400" w:lineRule="exact"/>
              <w:jc w:val="center"/>
              <w:rPr>
                <w:rFonts w:ascii="Times New Roman" w:hAnsi="Times New Roman" w:cs="Times New Roman"/>
                <w:sz w:val="21"/>
                <w:szCs w:val="21"/>
              </w:rPr>
            </w:pPr>
            <w:r>
              <w:rPr>
                <w:rFonts w:hint="eastAsia" w:ascii="Times New Roman" w:hAnsi="Times New Roman" w:cs="Times New Roman"/>
                <w:sz w:val="21"/>
                <w:szCs w:val="21"/>
              </w:rPr>
              <w:t>地下水环境敏感特征</w:t>
            </w:r>
          </w:p>
        </w:tc>
      </w:tr>
      <w:tr w14:paraId="4AEF5C7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21" w:type="dxa"/>
            <w:vAlign w:val="center"/>
          </w:tcPr>
          <w:p w14:paraId="3C69EE2E">
            <w:pPr>
              <w:tabs>
                <w:tab w:val="left" w:leader="middleDot" w:pos="7371"/>
              </w:tabs>
              <w:spacing w:line="400" w:lineRule="exact"/>
              <w:jc w:val="center"/>
              <w:rPr>
                <w:rFonts w:ascii="Times New Roman" w:hAnsi="Times New Roman" w:cs="Times New Roman"/>
                <w:sz w:val="21"/>
                <w:szCs w:val="21"/>
              </w:rPr>
            </w:pPr>
            <w:r>
              <w:rPr>
                <w:rFonts w:hint="eastAsia" w:ascii="Times New Roman" w:hAnsi="Times New Roman" w:cs="Times New Roman"/>
                <w:sz w:val="21"/>
                <w:szCs w:val="21"/>
              </w:rPr>
              <w:t>敏感</w:t>
            </w:r>
          </w:p>
        </w:tc>
        <w:tc>
          <w:tcPr>
            <w:tcW w:w="7739" w:type="dxa"/>
            <w:vAlign w:val="center"/>
          </w:tcPr>
          <w:p w14:paraId="1D787FEB">
            <w:pPr>
              <w:tabs>
                <w:tab w:val="left" w:leader="middleDot" w:pos="7371"/>
              </w:tabs>
              <w:spacing w:line="400" w:lineRule="exact"/>
              <w:jc w:val="center"/>
              <w:rPr>
                <w:rFonts w:ascii="Times New Roman" w:hAnsi="Times New Roman" w:cs="Times New Roman"/>
                <w:sz w:val="21"/>
                <w:szCs w:val="21"/>
              </w:rPr>
            </w:pPr>
            <w:r>
              <w:rPr>
                <w:rFonts w:ascii="Times New Roman" w:hAnsi="Times New Roman" w:cs="Times New Roman"/>
                <w:sz w:val="21"/>
                <w:szCs w:val="21"/>
              </w:rPr>
              <w:t>集中式饮用水</w:t>
            </w:r>
            <w:r>
              <w:rPr>
                <w:rFonts w:hint="eastAsia" w:ascii="Times New Roman" w:hAnsi="Times New Roman" w:cs="Times New Roman"/>
                <w:sz w:val="21"/>
                <w:szCs w:val="21"/>
              </w:rPr>
              <w:t>水</w:t>
            </w:r>
            <w:r>
              <w:rPr>
                <w:rFonts w:ascii="Times New Roman" w:hAnsi="Times New Roman" w:cs="Times New Roman"/>
                <w:sz w:val="21"/>
                <w:szCs w:val="21"/>
              </w:rPr>
              <w:t>源（包括已建成的在用、备用、应急水源，在建和规划的</w:t>
            </w:r>
            <w:r>
              <w:rPr>
                <w:rFonts w:hint="eastAsia" w:ascii="Times New Roman" w:hAnsi="Times New Roman" w:cs="Times New Roman"/>
                <w:sz w:val="21"/>
                <w:szCs w:val="21"/>
              </w:rPr>
              <w:t>饮用水</w:t>
            </w:r>
            <w:r>
              <w:rPr>
                <w:rFonts w:ascii="Times New Roman" w:hAnsi="Times New Roman" w:cs="Times New Roman"/>
                <w:sz w:val="21"/>
                <w:szCs w:val="21"/>
              </w:rPr>
              <w:t>水源）准保护区；除集中式饮用水源以外的国家或地方政府设定的与地下水环境相关的其它保护区，如热水、矿泉水、温泉等特殊地下水资源保护区。</w:t>
            </w:r>
          </w:p>
        </w:tc>
      </w:tr>
      <w:tr w14:paraId="03C5D25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21" w:type="dxa"/>
            <w:vAlign w:val="center"/>
          </w:tcPr>
          <w:p w14:paraId="407D562B">
            <w:pPr>
              <w:tabs>
                <w:tab w:val="left" w:leader="middleDot" w:pos="7371"/>
              </w:tabs>
              <w:spacing w:line="400" w:lineRule="exact"/>
              <w:jc w:val="center"/>
              <w:rPr>
                <w:rFonts w:ascii="Times New Roman" w:hAnsi="Times New Roman" w:cs="Times New Roman"/>
                <w:sz w:val="21"/>
                <w:szCs w:val="21"/>
              </w:rPr>
            </w:pPr>
            <w:r>
              <w:rPr>
                <w:rFonts w:hint="eastAsia" w:ascii="Times New Roman" w:hAnsi="Times New Roman" w:cs="Times New Roman"/>
                <w:sz w:val="21"/>
                <w:szCs w:val="21"/>
              </w:rPr>
              <w:t>较敏感</w:t>
            </w:r>
          </w:p>
        </w:tc>
        <w:tc>
          <w:tcPr>
            <w:tcW w:w="7739" w:type="dxa"/>
            <w:vAlign w:val="center"/>
          </w:tcPr>
          <w:p w14:paraId="4799083F">
            <w:pPr>
              <w:tabs>
                <w:tab w:val="left" w:leader="middleDot" w:pos="7371"/>
              </w:tabs>
              <w:spacing w:line="400" w:lineRule="exact"/>
              <w:jc w:val="center"/>
              <w:rPr>
                <w:rFonts w:ascii="Times New Roman" w:hAnsi="Times New Roman" w:cs="Times New Roman"/>
                <w:sz w:val="21"/>
                <w:szCs w:val="21"/>
              </w:rPr>
            </w:pPr>
            <w:r>
              <w:rPr>
                <w:rFonts w:ascii="Times New Roman" w:hAnsi="Times New Roman" w:cs="Times New Roman"/>
                <w:sz w:val="21"/>
                <w:szCs w:val="21"/>
              </w:rPr>
              <w:t>集中式饮用水</w:t>
            </w:r>
            <w:r>
              <w:rPr>
                <w:rFonts w:hint="eastAsia" w:ascii="Times New Roman" w:hAnsi="Times New Roman" w:cs="Times New Roman"/>
                <w:sz w:val="21"/>
                <w:szCs w:val="21"/>
              </w:rPr>
              <w:t>水</w:t>
            </w:r>
            <w:r>
              <w:rPr>
                <w:rFonts w:ascii="Times New Roman" w:hAnsi="Times New Roman" w:cs="Times New Roman"/>
                <w:sz w:val="21"/>
                <w:szCs w:val="21"/>
              </w:rPr>
              <w:t>源（包括已建成的在用、备用、应急水源，在建和规划的</w:t>
            </w:r>
            <w:r>
              <w:rPr>
                <w:rFonts w:hint="eastAsia" w:ascii="Times New Roman" w:hAnsi="Times New Roman" w:cs="Times New Roman"/>
                <w:sz w:val="21"/>
                <w:szCs w:val="21"/>
              </w:rPr>
              <w:t>饮用水</w:t>
            </w:r>
            <w:r>
              <w:rPr>
                <w:rFonts w:ascii="Times New Roman" w:hAnsi="Times New Roman" w:cs="Times New Roman"/>
                <w:sz w:val="21"/>
                <w:szCs w:val="21"/>
              </w:rPr>
              <w:t>水源）准保护区以外的补给径流区；</w:t>
            </w:r>
            <w:r>
              <w:rPr>
                <w:rFonts w:hint="eastAsia" w:ascii="Times New Roman" w:hAnsi="Times New Roman" w:cs="Times New Roman"/>
                <w:sz w:val="21"/>
                <w:szCs w:val="21"/>
              </w:rPr>
              <w:t>未划定准保护区的集中水式饮用水水源，其保护区以外的补给径流区；分散式饮用水水源地；</w:t>
            </w:r>
            <w:r>
              <w:rPr>
                <w:rFonts w:ascii="Times New Roman" w:hAnsi="Times New Roman" w:cs="Times New Roman"/>
                <w:sz w:val="21"/>
                <w:szCs w:val="21"/>
              </w:rPr>
              <w:t>特殊地下水资源（如矿泉水、温泉等）保护区以外的分布区</w:t>
            </w:r>
            <w:r>
              <w:rPr>
                <w:rFonts w:hint="eastAsia" w:ascii="Times New Roman" w:hAnsi="Times New Roman" w:cs="Times New Roman"/>
                <w:sz w:val="21"/>
                <w:szCs w:val="21"/>
              </w:rPr>
              <w:t>等</w:t>
            </w:r>
            <w:r>
              <w:rPr>
                <w:rFonts w:ascii="Times New Roman" w:hAnsi="Times New Roman" w:cs="Times New Roman"/>
                <w:sz w:val="21"/>
                <w:szCs w:val="21"/>
              </w:rPr>
              <w:t>其它未列入上述敏感分级的环境敏感区</w:t>
            </w:r>
            <w:r>
              <w:rPr>
                <w:rFonts w:hint="eastAsia" w:ascii="Times New Roman" w:hAnsi="Times New Roman" w:cs="Times New Roman"/>
                <w:sz w:val="21"/>
                <w:szCs w:val="21"/>
              </w:rPr>
              <w:t>a。</w:t>
            </w:r>
          </w:p>
        </w:tc>
      </w:tr>
      <w:tr w14:paraId="0FBE15B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321" w:type="dxa"/>
            <w:vAlign w:val="center"/>
          </w:tcPr>
          <w:p w14:paraId="11E0B8CF">
            <w:pPr>
              <w:tabs>
                <w:tab w:val="left" w:leader="middleDot" w:pos="7371"/>
              </w:tabs>
              <w:spacing w:line="400" w:lineRule="exact"/>
              <w:jc w:val="center"/>
              <w:rPr>
                <w:rFonts w:ascii="Times New Roman" w:hAnsi="Times New Roman" w:cs="Times New Roman"/>
                <w:sz w:val="21"/>
                <w:szCs w:val="21"/>
              </w:rPr>
            </w:pPr>
            <w:r>
              <w:rPr>
                <w:rFonts w:hint="eastAsia" w:ascii="Times New Roman" w:hAnsi="Times New Roman" w:cs="Times New Roman"/>
                <w:sz w:val="21"/>
                <w:szCs w:val="21"/>
              </w:rPr>
              <w:t>不敏感</w:t>
            </w:r>
          </w:p>
        </w:tc>
        <w:tc>
          <w:tcPr>
            <w:tcW w:w="7739" w:type="dxa"/>
            <w:vAlign w:val="center"/>
          </w:tcPr>
          <w:p w14:paraId="5F535D20">
            <w:pPr>
              <w:tabs>
                <w:tab w:val="left" w:leader="middleDot" w:pos="7371"/>
              </w:tabs>
              <w:spacing w:line="400" w:lineRule="exact"/>
              <w:jc w:val="center"/>
              <w:rPr>
                <w:rFonts w:ascii="Times New Roman" w:hAnsi="Times New Roman" w:cs="Times New Roman"/>
                <w:sz w:val="21"/>
                <w:szCs w:val="21"/>
              </w:rPr>
            </w:pPr>
            <w:r>
              <w:rPr>
                <w:rFonts w:ascii="Times New Roman" w:hAnsi="Times New Roman" w:cs="Times New Roman"/>
                <w:sz w:val="21"/>
                <w:szCs w:val="21"/>
              </w:rPr>
              <w:t>上述地区之外的其它地区</w:t>
            </w:r>
            <w:r>
              <w:rPr>
                <w:rFonts w:hint="eastAsia" w:ascii="Times New Roman" w:hAnsi="Times New Roman" w:cs="Times New Roman"/>
                <w:sz w:val="21"/>
                <w:szCs w:val="21"/>
              </w:rPr>
              <w:t>。</w:t>
            </w:r>
          </w:p>
        </w:tc>
      </w:tr>
      <w:tr w14:paraId="6FCA6C6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060" w:type="dxa"/>
            <w:gridSpan w:val="2"/>
            <w:vAlign w:val="center"/>
          </w:tcPr>
          <w:p w14:paraId="198876F4">
            <w:pPr>
              <w:tabs>
                <w:tab w:val="left" w:leader="middleDot" w:pos="7371"/>
              </w:tabs>
              <w:spacing w:line="400" w:lineRule="exact"/>
              <w:jc w:val="center"/>
              <w:rPr>
                <w:rFonts w:ascii="Times New Roman" w:hAnsi="Times New Roman" w:cs="Times New Roman"/>
                <w:sz w:val="21"/>
                <w:szCs w:val="21"/>
              </w:rPr>
            </w:pPr>
            <w:r>
              <w:rPr>
                <w:rFonts w:hint="eastAsia" w:ascii="Times New Roman" w:hAnsi="Times New Roman" w:cs="Times New Roman"/>
                <w:sz w:val="21"/>
                <w:szCs w:val="21"/>
              </w:rPr>
              <w:t>注：a“环境敏感区”是指《建设项目环境影响评价分类管理名录》中所界定的涉及地下水的环境敏感区。</w:t>
            </w:r>
          </w:p>
        </w:tc>
      </w:tr>
    </w:tbl>
    <w:p w14:paraId="79D27810">
      <w:pPr>
        <w:spacing w:line="360" w:lineRule="auto"/>
        <w:ind w:firstLine="480"/>
        <w:rPr>
          <w:rFonts w:hint="eastAsia" w:ascii="Times New Roman" w:hAnsi="Times New Roman" w:cs="Times New Roman"/>
        </w:rPr>
      </w:pPr>
      <w:r>
        <w:rPr>
          <w:rFonts w:hint="eastAsia" w:ascii="Times New Roman" w:hAnsi="Times New Roman" w:cs="Times New Roman"/>
        </w:rPr>
        <w:t>本项目评价范围内无集中生活供水水源地及水源保护区，周围居民生活饮用水为自打水井，不涉及其它环境敏感区，敏感程度为较敏感。</w:t>
      </w:r>
    </w:p>
    <w:p w14:paraId="233A86F7">
      <w:pPr>
        <w:spacing w:line="360" w:lineRule="auto"/>
        <w:ind w:firstLine="480"/>
        <w:rPr>
          <w:rFonts w:hint="eastAsia" w:ascii="Times New Roman" w:hAnsi="Times New Roman" w:cs="Times New Roman"/>
        </w:rPr>
      </w:pPr>
      <w:r>
        <w:rPr>
          <w:rFonts w:hint="eastAsia" w:ascii="Times New Roman" w:hAnsi="Times New Roman" w:cs="Times New Roman"/>
        </w:rPr>
        <w:t>根据黑龙江省人民政府黑政函【2012】125号文件《黑龙江省人民政府关于齐齐哈尔市甘南县宝山乡等20个乡镇集中式饮用水水源保护区范围的批复》，拉哈镇地下水引用水水源保护区（共2眼井，均为承压水型水源地，不设二级保护区）。一级保护区范围：分别以2眼取水井为中心，30米为半径的圆形所围区域，面积为0.0057平方米。</w:t>
      </w:r>
    </w:p>
    <w:p w14:paraId="22AAC424">
      <w:pPr>
        <w:snapToGrid w:val="0"/>
        <w:spacing w:line="400" w:lineRule="exact"/>
        <w:jc w:val="center"/>
        <w:rPr>
          <w:rFonts w:hint="eastAsia" w:ascii="Times New Roman" w:hAnsi="Times New Roman" w:cs="Times New Roman"/>
          <w:b/>
        </w:rPr>
      </w:pPr>
      <w:r>
        <w:rPr>
          <w:rFonts w:hint="eastAsia" w:ascii="Times New Roman" w:hAnsi="Times New Roman" w:cs="Times New Roman"/>
          <w:b/>
        </w:rPr>
        <w:t>表</w:t>
      </w:r>
      <w:r>
        <w:rPr>
          <w:rFonts w:hint="eastAsia" w:cs="Times New Roman"/>
          <w:b/>
          <w:lang w:val="en-US" w:eastAsia="zh-CN"/>
        </w:rPr>
        <w:t>2.4-10</w:t>
      </w:r>
      <w:r>
        <w:rPr>
          <w:rFonts w:hint="eastAsia" w:ascii="Times New Roman" w:hAnsi="Times New Roman" w:cs="Times New Roman"/>
          <w:b/>
        </w:rPr>
        <w:t>地下水环境敏感程度分级表</w:t>
      </w:r>
    </w:p>
    <w:tbl>
      <w:tblPr>
        <w:tblStyle w:val="53"/>
        <w:tblW w:w="5136" w:type="pct"/>
        <w:tblInd w:w="0" w:type="dxa"/>
        <w:tblBorders>
          <w:top w:val="single" w:color="auto" w:sz="4" w:space="0"/>
          <w:left w:val="single" w:color="auto" w:sz="4" w:space="0"/>
          <w:bottom w:val="single" w:color="auto" w:sz="4" w:space="0"/>
          <w:right w:val="single" w:color="auto" w:sz="4" w:space="0"/>
          <w:insideH w:val="single" w:color="auto" w:sz="12" w:space="0"/>
          <w:insideV w:val="single" w:color="auto" w:sz="12" w:space="0"/>
        </w:tblBorders>
        <w:tblLayout w:type="autofit"/>
        <w:tblCellMar>
          <w:top w:w="0" w:type="dxa"/>
          <w:left w:w="108" w:type="dxa"/>
          <w:bottom w:w="0" w:type="dxa"/>
          <w:right w:w="108" w:type="dxa"/>
        </w:tblCellMar>
      </w:tblPr>
      <w:tblGrid>
        <w:gridCol w:w="1716"/>
        <w:gridCol w:w="1824"/>
        <w:gridCol w:w="1247"/>
        <w:gridCol w:w="1043"/>
        <w:gridCol w:w="1505"/>
        <w:gridCol w:w="1152"/>
        <w:gridCol w:w="1007"/>
      </w:tblGrid>
      <w:tr w14:paraId="30AF66ED">
        <w:tblPrEx>
          <w:tblBorders>
            <w:top w:val="single" w:color="auto" w:sz="4" w:space="0"/>
            <w:left w:val="single" w:color="auto" w:sz="4" w:space="0"/>
            <w:bottom w:val="single" w:color="auto" w:sz="4" w:space="0"/>
            <w:right w:val="single" w:color="auto" w:sz="4" w:space="0"/>
            <w:insideH w:val="single" w:color="auto" w:sz="12" w:space="0"/>
            <w:insideV w:val="single" w:color="auto" w:sz="12" w:space="0"/>
          </w:tblBorders>
          <w:tblCellMar>
            <w:top w:w="0" w:type="dxa"/>
            <w:left w:w="108" w:type="dxa"/>
            <w:bottom w:w="0" w:type="dxa"/>
            <w:right w:w="108" w:type="dxa"/>
          </w:tblCellMar>
        </w:tblPrEx>
        <w:trPr>
          <w:trHeight w:val="407" w:hRule="atLeast"/>
        </w:trPr>
        <w:tc>
          <w:tcPr>
            <w:tcW w:w="903" w:type="pct"/>
            <w:tcBorders>
              <w:bottom w:val="single" w:color="auto" w:sz="4" w:space="0"/>
              <w:right w:val="single" w:color="auto" w:sz="4" w:space="0"/>
            </w:tcBorders>
            <w:vAlign w:val="center"/>
          </w:tcPr>
          <w:p w14:paraId="094C81A4">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名称</w:t>
            </w:r>
          </w:p>
        </w:tc>
        <w:tc>
          <w:tcPr>
            <w:tcW w:w="960" w:type="pct"/>
            <w:tcBorders>
              <w:left w:val="single" w:color="auto" w:sz="4" w:space="0"/>
              <w:bottom w:val="single" w:color="auto" w:sz="4" w:space="0"/>
              <w:right w:val="single" w:color="auto" w:sz="4" w:space="0"/>
            </w:tcBorders>
            <w:vAlign w:val="center"/>
          </w:tcPr>
          <w:p w14:paraId="312A2B10">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坐标</w:t>
            </w:r>
          </w:p>
        </w:tc>
        <w:tc>
          <w:tcPr>
            <w:tcW w:w="656" w:type="pct"/>
            <w:tcBorders>
              <w:left w:val="single" w:color="auto" w:sz="4" w:space="0"/>
              <w:bottom w:val="single" w:color="auto" w:sz="4" w:space="0"/>
              <w:right w:val="single" w:color="auto" w:sz="4" w:space="0"/>
            </w:tcBorders>
            <w:vAlign w:val="center"/>
          </w:tcPr>
          <w:p w14:paraId="11CB5F9F">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en-US"/>
              </w:rPr>
              <w:t>实际采水量（m</w:t>
            </w:r>
            <w:r>
              <w:rPr>
                <w:rFonts w:hint="default" w:ascii="Times New Roman" w:hAnsi="Times New Roman" w:eastAsia="宋体" w:cs="Times New Roman"/>
                <w:color w:val="auto"/>
                <w:spacing w:val="0"/>
                <w:sz w:val="21"/>
                <w:szCs w:val="21"/>
                <w:vertAlign w:val="superscript"/>
                <w:lang w:eastAsia="en-US"/>
              </w:rPr>
              <w:t>3</w:t>
            </w:r>
            <w:r>
              <w:rPr>
                <w:rFonts w:hint="default" w:ascii="Times New Roman" w:hAnsi="Times New Roman" w:eastAsia="宋体" w:cs="Times New Roman"/>
                <w:color w:val="auto"/>
                <w:spacing w:val="0"/>
                <w:sz w:val="21"/>
                <w:szCs w:val="21"/>
                <w:lang w:eastAsia="en-US"/>
              </w:rPr>
              <w:t>/d）</w:t>
            </w:r>
          </w:p>
        </w:tc>
        <w:tc>
          <w:tcPr>
            <w:tcW w:w="549" w:type="pct"/>
            <w:tcBorders>
              <w:left w:val="single" w:color="auto" w:sz="4" w:space="0"/>
              <w:bottom w:val="single" w:color="auto" w:sz="4" w:space="0"/>
              <w:right w:val="single" w:color="auto" w:sz="4" w:space="0"/>
            </w:tcBorders>
            <w:vAlign w:val="center"/>
          </w:tcPr>
          <w:p w14:paraId="5CBF816B">
            <w:pPr>
              <w:pStyle w:val="511"/>
              <w:rPr>
                <w:rFonts w:hint="default" w:ascii="Times New Roman" w:hAnsi="Times New Roman" w:eastAsia="宋体" w:cs="Times New Roman"/>
                <w:color w:val="auto"/>
                <w:spacing w:val="0"/>
                <w:sz w:val="21"/>
                <w:szCs w:val="21"/>
                <w:lang w:eastAsia="en-US"/>
              </w:rPr>
            </w:pPr>
            <w:r>
              <w:rPr>
                <w:rFonts w:hint="default" w:ascii="Times New Roman" w:hAnsi="Times New Roman" w:eastAsia="宋体" w:cs="Times New Roman"/>
                <w:color w:val="auto"/>
                <w:spacing w:val="0"/>
                <w:sz w:val="21"/>
                <w:szCs w:val="21"/>
                <w:lang w:eastAsia="en-US"/>
              </w:rPr>
              <w:t>井深</w:t>
            </w:r>
          </w:p>
          <w:p w14:paraId="4050EE34">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en-US"/>
              </w:rPr>
              <w:t>（m）</w:t>
            </w:r>
          </w:p>
        </w:tc>
        <w:tc>
          <w:tcPr>
            <w:tcW w:w="792" w:type="pct"/>
            <w:tcBorders>
              <w:left w:val="single" w:color="auto" w:sz="4" w:space="0"/>
              <w:bottom w:val="single" w:color="auto" w:sz="4" w:space="0"/>
              <w:right w:val="single" w:color="auto" w:sz="4" w:space="0"/>
            </w:tcBorders>
            <w:vAlign w:val="center"/>
          </w:tcPr>
          <w:p w14:paraId="3F8A9A7C">
            <w:pPr>
              <w:pStyle w:val="511"/>
              <w:rPr>
                <w:rFonts w:hint="default" w:ascii="Times New Roman" w:hAnsi="Times New Roman" w:eastAsia="宋体" w:cs="Times New Roman"/>
                <w:color w:val="auto"/>
                <w:spacing w:val="0"/>
                <w:sz w:val="21"/>
                <w:szCs w:val="21"/>
                <w:lang w:eastAsia="en-US"/>
              </w:rPr>
            </w:pPr>
            <w:r>
              <w:rPr>
                <w:rFonts w:hint="default" w:ascii="Times New Roman" w:hAnsi="Times New Roman" w:eastAsia="宋体" w:cs="Times New Roman"/>
                <w:color w:val="auto"/>
                <w:spacing w:val="0"/>
                <w:sz w:val="21"/>
                <w:szCs w:val="21"/>
                <w:lang w:eastAsia="en-US"/>
              </w:rPr>
              <w:t>服务人口</w:t>
            </w:r>
          </w:p>
          <w:p w14:paraId="5A94758A">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eastAsia="en-US"/>
              </w:rPr>
              <w:t>（人）</w:t>
            </w:r>
          </w:p>
        </w:tc>
        <w:tc>
          <w:tcPr>
            <w:tcW w:w="606" w:type="pct"/>
            <w:tcBorders>
              <w:left w:val="single" w:color="auto" w:sz="4" w:space="0"/>
              <w:bottom w:val="single" w:color="auto" w:sz="4" w:space="0"/>
              <w:right w:val="single" w:color="auto" w:sz="4" w:space="0"/>
            </w:tcBorders>
            <w:vAlign w:val="center"/>
          </w:tcPr>
          <w:p w14:paraId="5D39D85C">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划定保护区范围</w:t>
            </w:r>
          </w:p>
        </w:tc>
        <w:tc>
          <w:tcPr>
            <w:tcW w:w="530" w:type="pct"/>
            <w:tcBorders>
              <w:left w:val="single" w:color="auto" w:sz="4" w:space="0"/>
              <w:bottom w:val="single" w:color="auto" w:sz="4" w:space="0"/>
            </w:tcBorders>
            <w:vAlign w:val="center"/>
          </w:tcPr>
          <w:p w14:paraId="447745F8">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距本项目距离</w:t>
            </w:r>
          </w:p>
        </w:tc>
      </w:tr>
      <w:tr w14:paraId="0477C146">
        <w:tblPrEx>
          <w:tblBorders>
            <w:top w:val="single" w:color="auto" w:sz="4" w:space="0"/>
            <w:left w:val="single" w:color="auto" w:sz="4" w:space="0"/>
            <w:bottom w:val="single" w:color="auto" w:sz="4" w:space="0"/>
            <w:right w:val="single" w:color="auto" w:sz="4" w:space="0"/>
            <w:insideH w:val="single" w:color="auto" w:sz="12" w:space="0"/>
            <w:insideV w:val="single" w:color="auto" w:sz="12" w:space="0"/>
          </w:tblBorders>
          <w:tblCellMar>
            <w:top w:w="0" w:type="dxa"/>
            <w:left w:w="108" w:type="dxa"/>
            <w:bottom w:w="0" w:type="dxa"/>
            <w:right w:w="108" w:type="dxa"/>
          </w:tblCellMar>
        </w:tblPrEx>
        <w:trPr>
          <w:trHeight w:val="407" w:hRule="atLeast"/>
        </w:trPr>
        <w:tc>
          <w:tcPr>
            <w:tcW w:w="903" w:type="pct"/>
            <w:tcBorders>
              <w:top w:val="single" w:color="auto" w:sz="4" w:space="0"/>
              <w:bottom w:val="single" w:color="auto" w:sz="4" w:space="0"/>
              <w:right w:val="single" w:color="auto" w:sz="4" w:space="0"/>
            </w:tcBorders>
            <w:vAlign w:val="center"/>
          </w:tcPr>
          <w:p w14:paraId="03142026">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拉哈镇</w:t>
            </w:r>
          </w:p>
          <w:p w14:paraId="20F36EB5">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镇直1号水井</w:t>
            </w:r>
          </w:p>
        </w:tc>
        <w:tc>
          <w:tcPr>
            <w:tcW w:w="960" w:type="pct"/>
            <w:tcBorders>
              <w:top w:val="single" w:color="auto" w:sz="4" w:space="0"/>
              <w:left w:val="single" w:color="auto" w:sz="4" w:space="0"/>
              <w:bottom w:val="single" w:color="auto" w:sz="4" w:space="0"/>
              <w:right w:val="single" w:color="auto" w:sz="4" w:space="0"/>
            </w:tcBorders>
            <w:vAlign w:val="center"/>
          </w:tcPr>
          <w:p w14:paraId="7A31B541">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E124°36'30.32"</w:t>
            </w:r>
          </w:p>
          <w:p w14:paraId="7E3AF91E">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N48°11'50.97"</w:t>
            </w:r>
          </w:p>
        </w:tc>
        <w:tc>
          <w:tcPr>
            <w:tcW w:w="656" w:type="pct"/>
            <w:tcBorders>
              <w:top w:val="single" w:color="auto" w:sz="4" w:space="0"/>
              <w:left w:val="single" w:color="auto" w:sz="4" w:space="0"/>
              <w:bottom w:val="single" w:color="auto" w:sz="4" w:space="0"/>
              <w:right w:val="single" w:color="auto" w:sz="4" w:space="0"/>
            </w:tcBorders>
            <w:vAlign w:val="center"/>
          </w:tcPr>
          <w:p w14:paraId="79061639">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80</w:t>
            </w:r>
          </w:p>
        </w:tc>
        <w:tc>
          <w:tcPr>
            <w:tcW w:w="549" w:type="pct"/>
            <w:tcBorders>
              <w:top w:val="single" w:color="auto" w:sz="4" w:space="0"/>
              <w:left w:val="single" w:color="auto" w:sz="4" w:space="0"/>
              <w:bottom w:val="single" w:color="auto" w:sz="4" w:space="0"/>
              <w:right w:val="single" w:color="auto" w:sz="4" w:space="0"/>
            </w:tcBorders>
            <w:vAlign w:val="center"/>
          </w:tcPr>
          <w:p w14:paraId="138B77DD">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110</w:t>
            </w:r>
          </w:p>
        </w:tc>
        <w:tc>
          <w:tcPr>
            <w:tcW w:w="792" w:type="pct"/>
            <w:tcBorders>
              <w:top w:val="single" w:color="auto" w:sz="4" w:space="0"/>
              <w:left w:val="single" w:color="auto" w:sz="4" w:space="0"/>
              <w:bottom w:val="single" w:color="auto" w:sz="4" w:space="0"/>
              <w:right w:val="single" w:color="auto" w:sz="4" w:space="0"/>
            </w:tcBorders>
            <w:vAlign w:val="center"/>
          </w:tcPr>
          <w:p w14:paraId="14B047F2">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20000</w:t>
            </w:r>
          </w:p>
        </w:tc>
        <w:tc>
          <w:tcPr>
            <w:tcW w:w="606" w:type="pct"/>
            <w:tcBorders>
              <w:top w:val="single" w:color="auto" w:sz="4" w:space="0"/>
              <w:left w:val="single" w:color="auto" w:sz="4" w:space="0"/>
              <w:bottom w:val="single" w:color="auto" w:sz="4" w:space="0"/>
              <w:right w:val="single" w:color="auto" w:sz="4" w:space="0"/>
            </w:tcBorders>
            <w:vAlign w:val="center"/>
          </w:tcPr>
          <w:p w14:paraId="3445BEE3">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一级保护区30m</w:t>
            </w:r>
          </w:p>
        </w:tc>
        <w:tc>
          <w:tcPr>
            <w:tcW w:w="530" w:type="pct"/>
            <w:tcBorders>
              <w:top w:val="single" w:color="auto" w:sz="4" w:space="0"/>
              <w:left w:val="single" w:color="auto" w:sz="4" w:space="0"/>
              <w:bottom w:val="single" w:color="auto" w:sz="4" w:space="0"/>
            </w:tcBorders>
            <w:vAlign w:val="center"/>
          </w:tcPr>
          <w:p w14:paraId="66C2C0E1">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南侧1</w:t>
            </w:r>
            <w:r>
              <w:rPr>
                <w:rFonts w:hint="default" w:ascii="Times New Roman" w:hAnsi="Times New Roman" w:eastAsia="宋体" w:cs="Times New Roman"/>
                <w:color w:val="auto"/>
                <w:spacing w:val="0"/>
                <w:sz w:val="21"/>
                <w:szCs w:val="21"/>
                <w:lang w:val="en-US" w:eastAsia="zh-CN"/>
              </w:rPr>
              <w:t>50</w:t>
            </w:r>
            <w:r>
              <w:rPr>
                <w:rFonts w:hint="default" w:ascii="Times New Roman" w:hAnsi="Times New Roman" w:eastAsia="宋体" w:cs="Times New Roman"/>
                <w:color w:val="auto"/>
                <w:spacing w:val="0"/>
                <w:sz w:val="21"/>
                <w:szCs w:val="21"/>
              </w:rPr>
              <w:t>0m</w:t>
            </w:r>
          </w:p>
        </w:tc>
      </w:tr>
      <w:tr w14:paraId="62DF01A2">
        <w:tblPrEx>
          <w:tblBorders>
            <w:top w:val="single" w:color="auto" w:sz="4" w:space="0"/>
            <w:left w:val="single" w:color="auto" w:sz="4" w:space="0"/>
            <w:bottom w:val="single" w:color="auto" w:sz="4" w:space="0"/>
            <w:right w:val="single" w:color="auto" w:sz="4" w:space="0"/>
            <w:insideH w:val="single" w:color="auto" w:sz="12" w:space="0"/>
            <w:insideV w:val="single" w:color="auto" w:sz="12" w:space="0"/>
          </w:tblBorders>
          <w:tblCellMar>
            <w:top w:w="0" w:type="dxa"/>
            <w:left w:w="108" w:type="dxa"/>
            <w:bottom w:w="0" w:type="dxa"/>
            <w:right w:w="108" w:type="dxa"/>
          </w:tblCellMar>
        </w:tblPrEx>
        <w:trPr>
          <w:trHeight w:val="210" w:hRule="atLeast"/>
        </w:trPr>
        <w:tc>
          <w:tcPr>
            <w:tcW w:w="903" w:type="pct"/>
            <w:tcBorders>
              <w:top w:val="single" w:color="auto" w:sz="4" w:space="0"/>
              <w:right w:val="single" w:color="auto" w:sz="4" w:space="0"/>
            </w:tcBorders>
            <w:vAlign w:val="center"/>
          </w:tcPr>
          <w:p w14:paraId="7A2BE645">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拉哈镇</w:t>
            </w:r>
          </w:p>
          <w:p w14:paraId="793FD7D3">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镇直2号水井</w:t>
            </w:r>
          </w:p>
        </w:tc>
        <w:tc>
          <w:tcPr>
            <w:tcW w:w="960" w:type="pct"/>
            <w:tcBorders>
              <w:top w:val="single" w:color="auto" w:sz="4" w:space="0"/>
              <w:left w:val="single" w:color="auto" w:sz="4" w:space="0"/>
              <w:right w:val="single" w:color="auto" w:sz="4" w:space="0"/>
            </w:tcBorders>
            <w:vAlign w:val="center"/>
          </w:tcPr>
          <w:p w14:paraId="4A70D182">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E124°36'28.92"</w:t>
            </w:r>
          </w:p>
          <w:p w14:paraId="0CAA5DE9">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N48°11'48.37"</w:t>
            </w:r>
          </w:p>
        </w:tc>
        <w:tc>
          <w:tcPr>
            <w:tcW w:w="656" w:type="pct"/>
            <w:tcBorders>
              <w:top w:val="single" w:color="auto" w:sz="4" w:space="0"/>
              <w:left w:val="single" w:color="auto" w:sz="4" w:space="0"/>
              <w:right w:val="single" w:color="auto" w:sz="4" w:space="0"/>
            </w:tcBorders>
            <w:vAlign w:val="center"/>
          </w:tcPr>
          <w:p w14:paraId="4EB803FB">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80</w:t>
            </w:r>
          </w:p>
        </w:tc>
        <w:tc>
          <w:tcPr>
            <w:tcW w:w="549" w:type="pct"/>
            <w:tcBorders>
              <w:top w:val="single" w:color="auto" w:sz="4" w:space="0"/>
              <w:left w:val="single" w:color="auto" w:sz="4" w:space="0"/>
              <w:right w:val="single" w:color="auto" w:sz="4" w:space="0"/>
            </w:tcBorders>
            <w:vAlign w:val="center"/>
          </w:tcPr>
          <w:p w14:paraId="6AA84330">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110</w:t>
            </w:r>
          </w:p>
        </w:tc>
        <w:tc>
          <w:tcPr>
            <w:tcW w:w="792" w:type="pct"/>
            <w:tcBorders>
              <w:top w:val="single" w:color="auto" w:sz="4" w:space="0"/>
              <w:left w:val="single" w:color="auto" w:sz="4" w:space="0"/>
              <w:right w:val="single" w:color="auto" w:sz="4" w:space="0"/>
            </w:tcBorders>
            <w:vAlign w:val="center"/>
          </w:tcPr>
          <w:p w14:paraId="6936CCB7">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20000</w:t>
            </w:r>
          </w:p>
        </w:tc>
        <w:tc>
          <w:tcPr>
            <w:tcW w:w="606" w:type="pct"/>
            <w:tcBorders>
              <w:top w:val="single" w:color="auto" w:sz="4" w:space="0"/>
              <w:left w:val="single" w:color="auto" w:sz="4" w:space="0"/>
              <w:right w:val="single" w:color="auto" w:sz="4" w:space="0"/>
            </w:tcBorders>
            <w:vAlign w:val="center"/>
          </w:tcPr>
          <w:p w14:paraId="7AA70A28">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一级保护区30m</w:t>
            </w:r>
          </w:p>
        </w:tc>
        <w:tc>
          <w:tcPr>
            <w:tcW w:w="530" w:type="pct"/>
            <w:tcBorders>
              <w:top w:val="single" w:color="auto" w:sz="4" w:space="0"/>
              <w:left w:val="single" w:color="auto" w:sz="4" w:space="0"/>
            </w:tcBorders>
            <w:vAlign w:val="center"/>
          </w:tcPr>
          <w:p w14:paraId="3A259F9C">
            <w:pPr>
              <w:pStyle w:val="511"/>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南侧1800m</w:t>
            </w:r>
          </w:p>
        </w:tc>
      </w:tr>
    </w:tbl>
    <w:p w14:paraId="23900571">
      <w:pPr>
        <w:pStyle w:val="42"/>
        <w:rPr>
          <w:rFonts w:hint="eastAsia"/>
        </w:rPr>
      </w:pPr>
    </w:p>
    <w:p w14:paraId="4EE0A8AC">
      <w:pPr>
        <w:spacing w:line="360" w:lineRule="auto"/>
        <w:ind w:firstLine="480"/>
        <w:rPr>
          <w:rFonts w:hint="eastAsia" w:ascii="Times New Roman" w:hAnsi="Times New Roman" w:cs="Times New Roman"/>
        </w:rPr>
      </w:pPr>
      <w:r>
        <w:rPr>
          <w:rFonts w:hint="eastAsia" w:ascii="Times New Roman" w:hAnsi="Times New Roman" w:cs="Times New Roman"/>
        </w:rPr>
        <w:t>本项目位置于拉哈镇水源井位置关系图见图2.4-</w:t>
      </w:r>
      <w:r>
        <w:rPr>
          <w:rFonts w:hint="eastAsia" w:cs="Times New Roman"/>
          <w:lang w:val="en-US" w:eastAsia="zh-CN"/>
        </w:rPr>
        <w:t>1</w:t>
      </w:r>
      <w:r>
        <w:rPr>
          <w:rFonts w:hint="eastAsia" w:ascii="Times New Roman" w:hAnsi="Times New Roman" w:cs="Times New Roman"/>
        </w:rPr>
        <w:t>。</w:t>
      </w:r>
    </w:p>
    <w:p w14:paraId="63CCE6E4">
      <w:pPr>
        <w:pStyle w:val="77"/>
        <w:spacing w:line="240" w:lineRule="auto"/>
        <w:ind w:firstLine="0" w:firstLineChars="0"/>
      </w:pPr>
      <w:r>
        <mc:AlternateContent>
          <mc:Choice Requires="wps">
            <w:drawing>
              <wp:anchor distT="0" distB="0" distL="114300" distR="114300" simplePos="0" relativeHeight="251665408" behindDoc="0" locked="0" layoutInCell="1" allowOverlap="1">
                <wp:simplePos x="0" y="0"/>
                <wp:positionH relativeFrom="column">
                  <wp:posOffset>2171700</wp:posOffset>
                </wp:positionH>
                <wp:positionV relativeFrom="paragraph">
                  <wp:posOffset>200025</wp:posOffset>
                </wp:positionV>
                <wp:extent cx="1143000" cy="1246505"/>
                <wp:effectExtent l="4445" t="4445" r="14605" b="6350"/>
                <wp:wrapNone/>
                <wp:docPr id="270" name="任意多边形 270"/>
                <wp:cNvGraphicFramePr/>
                <a:graphic xmlns:a="http://schemas.openxmlformats.org/drawingml/2006/main">
                  <a:graphicData uri="http://schemas.microsoft.com/office/word/2010/wordprocessingShape">
                    <wps:wsp>
                      <wps:cNvSpPr/>
                      <wps:spPr>
                        <a:xfrm>
                          <a:off x="0" y="0"/>
                          <a:ext cx="1143000" cy="1246505"/>
                        </a:xfrm>
                        <a:custGeom>
                          <a:avLst/>
                          <a:gdLst/>
                          <a:ahLst/>
                          <a:cxnLst/>
                          <a:pathLst>
                            <a:path w="6840" h="6708">
                              <a:moveTo>
                                <a:pt x="5040" y="0"/>
                              </a:moveTo>
                              <a:lnTo>
                                <a:pt x="1080" y="624"/>
                              </a:lnTo>
                              <a:lnTo>
                                <a:pt x="1260" y="2964"/>
                              </a:lnTo>
                              <a:lnTo>
                                <a:pt x="0" y="3120"/>
                              </a:lnTo>
                              <a:lnTo>
                                <a:pt x="360" y="6084"/>
                              </a:lnTo>
                              <a:lnTo>
                                <a:pt x="4320" y="6084"/>
                              </a:lnTo>
                              <a:lnTo>
                                <a:pt x="4680" y="6084"/>
                              </a:lnTo>
                              <a:lnTo>
                                <a:pt x="5400" y="6240"/>
                              </a:lnTo>
                              <a:lnTo>
                                <a:pt x="5760" y="6396"/>
                              </a:lnTo>
                              <a:lnTo>
                                <a:pt x="5940" y="6552"/>
                              </a:lnTo>
                              <a:lnTo>
                                <a:pt x="6120" y="6708"/>
                              </a:lnTo>
                              <a:lnTo>
                                <a:pt x="6480" y="6552"/>
                              </a:lnTo>
                              <a:lnTo>
                                <a:pt x="6480" y="5304"/>
                              </a:lnTo>
                              <a:lnTo>
                                <a:pt x="6480" y="4992"/>
                              </a:lnTo>
                              <a:lnTo>
                                <a:pt x="6840" y="4992"/>
                              </a:lnTo>
                              <a:lnTo>
                                <a:pt x="6840" y="4368"/>
                              </a:lnTo>
                              <a:lnTo>
                                <a:pt x="6300" y="4368"/>
                              </a:lnTo>
                              <a:lnTo>
                                <a:pt x="6120" y="1872"/>
                              </a:lnTo>
                              <a:lnTo>
                                <a:pt x="5040" y="2028"/>
                              </a:lnTo>
                              <a:lnTo>
                                <a:pt x="5040" y="0"/>
                              </a:lnTo>
                              <a:close/>
                            </a:path>
                          </a:pathLst>
                        </a:custGeom>
                        <a:solidFill>
                          <a:srgbClr val="FF0000">
                            <a:alpha val="50000"/>
                          </a:srgbClr>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71pt;margin-top:15.75pt;height:98.15pt;width:90pt;z-index:251665408;mso-width-relative:page;mso-height-relative:page;" fillcolor="#FF0000" filled="t" stroked="t" coordsize="6840,6708" o:gfxdata="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BzkzdcAAAAKAQAADwAAAAAAAAABACAAAAAi&#10;AAAAZHJzL2Rvd25yZXYueG1sUEsBAhQAFAAAAAgAh07iQNvDMBPvAgAA2wcAAA4AAAAAAAAAAQAg&#10;AAAAJgEAAGRycy9lMm9Eb2MueG1sUEsFBgAAAAAGAAYAWQEAAIcGAAAAAA==&#10;" path="m5040,0l1080,624,1260,2964,0,3120,360,6084,4320,6084,4680,6084,5400,6240,5760,6396,5940,6552,6120,6708,6480,6552,6480,5304,6480,4992,6840,4992,6840,4368,6300,4368,6120,1872,5040,2028,5040,0xe">
                <v:fill on="t" opacity="32768f" focussize="0,0"/>
                <v:stroke color="#FF0000" joinstyle="round"/>
                <v:imagedata o:title=""/>
                <o:lock v:ext="edit" aspectratio="f"/>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4225925</wp:posOffset>
                </wp:positionH>
                <wp:positionV relativeFrom="paragraph">
                  <wp:posOffset>3409950</wp:posOffset>
                </wp:positionV>
                <wp:extent cx="1391285" cy="1120140"/>
                <wp:effectExtent l="5080" t="4445" r="13335" b="18415"/>
                <wp:wrapNone/>
                <wp:docPr id="245" name="文本框 245"/>
                <wp:cNvGraphicFramePr/>
                <a:graphic xmlns:a="http://schemas.openxmlformats.org/drawingml/2006/main">
                  <a:graphicData uri="http://schemas.microsoft.com/office/word/2010/wordprocessingShape">
                    <wps:wsp>
                      <wps:cNvSpPr txBox="1"/>
                      <wps:spPr>
                        <a:xfrm>
                          <a:off x="0" y="0"/>
                          <a:ext cx="1391285" cy="1120140"/>
                        </a:xfrm>
                        <a:prstGeom prst="rect">
                          <a:avLst/>
                        </a:prstGeom>
                        <a:solidFill>
                          <a:srgbClr val="FFFFFF"/>
                        </a:solidFill>
                        <a:ln w="9525" cap="flat" cmpd="sng">
                          <a:solidFill>
                            <a:srgbClr val="000000"/>
                          </a:solidFill>
                          <a:prstDash val="solid"/>
                          <a:miter/>
                          <a:headEnd type="none" w="med" len="med"/>
                          <a:tailEnd type="triangle" w="med" len="med"/>
                        </a:ln>
                      </wps:spPr>
                      <wps:txbx>
                        <w:txbxContent>
                          <w:p w14:paraId="7D420DEC">
                            <w:r>
                              <w:rPr>
                                <w:rFonts w:hint="eastAsia"/>
                              </w:rPr>
                              <w:t xml:space="preserve">       图例</w:t>
                            </w:r>
                          </w:p>
                          <w:p w14:paraId="34998CF2">
                            <w:pPr>
                              <w:pStyle w:val="42"/>
                            </w:pPr>
                          </w:p>
                          <w:p w14:paraId="5747DB6B">
                            <w:pPr>
                              <w:rPr>
                                <w:rFonts w:hint="eastAsia"/>
                              </w:rPr>
                            </w:pPr>
                            <w:r>
                              <w:rPr>
                                <w:rFonts w:hint="eastAsia"/>
                              </w:rPr>
                              <w:t xml:space="preserve">         厂址</w:t>
                            </w:r>
                          </w:p>
                          <w:p w14:paraId="736CC3FE">
                            <w:pPr>
                              <w:pStyle w:val="42"/>
                            </w:pPr>
                          </w:p>
                          <w:p w14:paraId="00D7274D">
                            <w:pPr>
                              <w:pStyle w:val="42"/>
                              <w:ind w:left="0" w:leftChars="0" w:firstLine="240" w:firstLineChars="100"/>
                            </w:pPr>
                            <w:r>
                              <w:drawing>
                                <wp:inline distT="0" distB="0" distL="114300" distR="114300">
                                  <wp:extent cx="168910" cy="203835"/>
                                  <wp:effectExtent l="0" t="0" r="2540" b="5715"/>
                                  <wp:docPr id="2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4"/>
                                          <pic:cNvPicPr>
                                            <a:picLocks noChangeAspect="1"/>
                                          </pic:cNvPicPr>
                                        </pic:nvPicPr>
                                        <pic:blipFill>
                                          <a:blip r:embed="rId28"/>
                                          <a:stretch>
                                            <a:fillRect/>
                                          </a:stretch>
                                        </pic:blipFill>
                                        <pic:spPr>
                                          <a:xfrm>
                                            <a:off x="0" y="0"/>
                                            <a:ext cx="168910" cy="203835"/>
                                          </a:xfrm>
                                          <a:prstGeom prst="rect">
                                            <a:avLst/>
                                          </a:prstGeom>
                                          <a:noFill/>
                                          <a:ln>
                                            <a:noFill/>
                                          </a:ln>
                                        </pic:spPr>
                                      </pic:pic>
                                    </a:graphicData>
                                  </a:graphic>
                                </wp:inline>
                              </w:drawing>
                            </w:r>
                            <w:r>
                              <w:rPr>
                                <w:rFonts w:hint="eastAsia"/>
                              </w:rPr>
                              <w:t xml:space="preserve">   水源井</w:t>
                            </w:r>
                          </w:p>
                        </w:txbxContent>
                      </wps:txbx>
                      <wps:bodyPr upright="1"/>
                    </wps:wsp>
                  </a:graphicData>
                </a:graphic>
              </wp:anchor>
            </w:drawing>
          </mc:Choice>
          <mc:Fallback>
            <w:pict>
              <v:shape id="_x0000_s1026" o:spid="_x0000_s1026" o:spt="202" type="#_x0000_t202" style="position:absolute;left:0pt;margin-left:332.75pt;margin-top:268.5pt;height:88.2pt;width:109.55pt;z-index:251665408;mso-width-relative:page;mso-height-relative:page;" fillcolor="#FFFFFF" filled="t" stroked="t" coordsize="21600,21600" o:gfxdata="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IGDjV3QAAAAsB&#10;AAAPAAAAAAAAAAEAIAAAACIAAABkcnMvZG93bnJldi54bWxQSwECFAAUAAAACACHTuJATM7zbRYC&#10;AAA/BAAADgAAAAAAAAABACAAAAAsAQAAZHJzL2Uyb0RvYy54bWxQSwUGAAAAAAYABgBZAQAAtAUA&#10;AAAA&#10;">
                <v:fill on="t" focussize="0,0"/>
                <v:stroke color="#000000" joinstyle="miter" endarrow="block"/>
                <v:imagedata o:title=""/>
                <o:lock v:ext="edit" aspectratio="f"/>
                <v:textbox>
                  <w:txbxContent>
                    <w:p w14:paraId="7D420DEC">
                      <w:r>
                        <w:rPr>
                          <w:rFonts w:hint="eastAsia"/>
                        </w:rPr>
                        <w:t xml:space="preserve">       图例</w:t>
                      </w:r>
                    </w:p>
                    <w:p w14:paraId="34998CF2">
                      <w:pPr>
                        <w:pStyle w:val="42"/>
                      </w:pPr>
                    </w:p>
                    <w:p w14:paraId="5747DB6B">
                      <w:pPr>
                        <w:rPr>
                          <w:rFonts w:hint="eastAsia"/>
                        </w:rPr>
                      </w:pPr>
                      <w:r>
                        <w:rPr>
                          <w:rFonts w:hint="eastAsia"/>
                        </w:rPr>
                        <w:t xml:space="preserve">         厂址</w:t>
                      </w:r>
                    </w:p>
                    <w:p w14:paraId="736CC3FE">
                      <w:pPr>
                        <w:pStyle w:val="42"/>
                      </w:pPr>
                    </w:p>
                    <w:p w14:paraId="00D7274D">
                      <w:pPr>
                        <w:pStyle w:val="42"/>
                        <w:ind w:left="0" w:leftChars="0" w:firstLine="240" w:firstLineChars="100"/>
                      </w:pPr>
                      <w:r>
                        <w:drawing>
                          <wp:inline distT="0" distB="0" distL="114300" distR="114300">
                            <wp:extent cx="168910" cy="203835"/>
                            <wp:effectExtent l="0" t="0" r="2540" b="5715"/>
                            <wp:docPr id="2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4"/>
                                    <pic:cNvPicPr>
                                      <a:picLocks noChangeAspect="1"/>
                                    </pic:cNvPicPr>
                                  </pic:nvPicPr>
                                  <pic:blipFill>
                                    <a:blip r:embed="rId28"/>
                                    <a:stretch>
                                      <a:fillRect/>
                                    </a:stretch>
                                  </pic:blipFill>
                                  <pic:spPr>
                                    <a:xfrm>
                                      <a:off x="0" y="0"/>
                                      <a:ext cx="168910" cy="203835"/>
                                    </a:xfrm>
                                    <a:prstGeom prst="rect">
                                      <a:avLst/>
                                    </a:prstGeom>
                                    <a:noFill/>
                                    <a:ln>
                                      <a:noFill/>
                                    </a:ln>
                                  </pic:spPr>
                                </pic:pic>
                              </a:graphicData>
                            </a:graphic>
                          </wp:inline>
                        </w:drawing>
                      </w:r>
                      <w:r>
                        <w:rPr>
                          <w:rFonts w:hint="eastAsia"/>
                        </w:rPr>
                        <w:t xml:space="preserve">   水源井</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4439920</wp:posOffset>
                </wp:positionH>
                <wp:positionV relativeFrom="paragraph">
                  <wp:posOffset>3873500</wp:posOffset>
                </wp:positionV>
                <wp:extent cx="196215" cy="197485"/>
                <wp:effectExtent l="4445" t="4445" r="8890" b="7620"/>
                <wp:wrapNone/>
                <wp:docPr id="234" name="任意多边形 234"/>
                <wp:cNvGraphicFramePr/>
                <a:graphic xmlns:a="http://schemas.openxmlformats.org/drawingml/2006/main">
                  <a:graphicData uri="http://schemas.microsoft.com/office/word/2010/wordprocessingShape">
                    <wps:wsp>
                      <wps:cNvSpPr/>
                      <wps:spPr>
                        <a:xfrm>
                          <a:off x="0" y="0"/>
                          <a:ext cx="196215" cy="197485"/>
                        </a:xfrm>
                        <a:custGeom>
                          <a:avLst/>
                          <a:gdLst/>
                          <a:ahLst/>
                          <a:cxnLst/>
                          <a:pathLst>
                            <a:path w="6840" h="6708">
                              <a:moveTo>
                                <a:pt x="5040" y="0"/>
                              </a:moveTo>
                              <a:lnTo>
                                <a:pt x="1080" y="624"/>
                              </a:lnTo>
                              <a:lnTo>
                                <a:pt x="1260" y="2964"/>
                              </a:lnTo>
                              <a:lnTo>
                                <a:pt x="0" y="3120"/>
                              </a:lnTo>
                              <a:lnTo>
                                <a:pt x="360" y="6084"/>
                              </a:lnTo>
                              <a:lnTo>
                                <a:pt x="4320" y="6084"/>
                              </a:lnTo>
                              <a:lnTo>
                                <a:pt x="4680" y="6084"/>
                              </a:lnTo>
                              <a:lnTo>
                                <a:pt x="5400" y="6240"/>
                              </a:lnTo>
                              <a:lnTo>
                                <a:pt x="5760" y="6396"/>
                              </a:lnTo>
                              <a:lnTo>
                                <a:pt x="5940" y="6552"/>
                              </a:lnTo>
                              <a:lnTo>
                                <a:pt x="6120" y="6708"/>
                              </a:lnTo>
                              <a:lnTo>
                                <a:pt x="6480" y="6552"/>
                              </a:lnTo>
                              <a:lnTo>
                                <a:pt x="6480" y="5304"/>
                              </a:lnTo>
                              <a:lnTo>
                                <a:pt x="6480" y="4992"/>
                              </a:lnTo>
                              <a:lnTo>
                                <a:pt x="6840" y="4992"/>
                              </a:lnTo>
                              <a:lnTo>
                                <a:pt x="6840" y="4368"/>
                              </a:lnTo>
                              <a:lnTo>
                                <a:pt x="6300" y="4368"/>
                              </a:lnTo>
                              <a:lnTo>
                                <a:pt x="6120" y="1872"/>
                              </a:lnTo>
                              <a:lnTo>
                                <a:pt x="5040" y="2028"/>
                              </a:lnTo>
                              <a:lnTo>
                                <a:pt x="5040" y="0"/>
                              </a:lnTo>
                              <a:close/>
                            </a:path>
                          </a:pathLst>
                        </a:custGeom>
                        <a:solidFill>
                          <a:srgbClr val="FF0000">
                            <a:alpha val="50000"/>
                          </a:srgbClr>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49.6pt;margin-top:305pt;height:15.55pt;width:15.45pt;z-index:251665408;mso-width-relative:page;mso-height-relative:page;" fillcolor="#FF0000" filled="t" stroked="t" coordsize="6840,6708" o:gfxdata="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CHrJyx1wAAAAsBAAAPAAAAAAAAAAEAIAAAACIAAABk&#10;cnMvZG93bnJldi54bWxQSwECFAAUAAAACACHTuJA8PS8eesCAADZBwAADgAAAAAAAAABACAAAAAm&#10;AQAAZHJzL2Uyb0RvYy54bWxQSwUGAAAAAAYABgBZAQAAgwYAAAAA&#10;" path="m5040,0l1080,624,1260,2964,0,3120,360,6084,4320,6084,4680,6084,5400,6240,5760,6396,5940,6552,6120,6708,6480,6552,6480,5304,6480,4992,6840,4992,6840,4368,6300,4368,6120,1872,5040,2028,5040,0xe">
                <v:fill on="t" opacity="32768f" focussize="0,0"/>
                <v:stroke color="#FF0000" joinstyle="round"/>
                <v:imagedata o:title=""/>
                <o:lock v:ext="edit" aspectratio="f"/>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2701925</wp:posOffset>
                </wp:positionH>
                <wp:positionV relativeFrom="paragraph">
                  <wp:posOffset>3079750</wp:posOffset>
                </wp:positionV>
                <wp:extent cx="744220" cy="34290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744220" cy="342900"/>
                        </a:xfrm>
                        <a:prstGeom prst="rect">
                          <a:avLst/>
                        </a:prstGeom>
                        <a:noFill/>
                        <a:ln>
                          <a:noFill/>
                        </a:ln>
                      </wps:spPr>
                      <wps:txbx>
                        <w:txbxContent>
                          <w:p w14:paraId="75577F9E">
                            <w:pPr>
                              <w:rPr>
                                <w:color w:val="FFFF00"/>
                              </w:rPr>
                            </w:pPr>
                            <w:r>
                              <w:rPr>
                                <w:rFonts w:hint="eastAsia"/>
                                <w:color w:val="FFFF00"/>
                              </w:rPr>
                              <w:t>1.5km</w:t>
                            </w:r>
                          </w:p>
                        </w:txbxContent>
                      </wps:txbx>
                      <wps:bodyPr upright="1"/>
                    </wps:wsp>
                  </a:graphicData>
                </a:graphic>
              </wp:anchor>
            </w:drawing>
          </mc:Choice>
          <mc:Fallback>
            <w:pict>
              <v:shape id="_x0000_s1026" o:spid="_x0000_s1026" o:spt="202" type="#_x0000_t202" style="position:absolute;left:0pt;margin-left:212.75pt;margin-top:242.5pt;height:27pt;width:58.6pt;z-index:251665408;mso-width-relative:page;mso-height-relative:page;" filled="f" stroked="f" coordsize="21600,21600" o:gfxdata="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62rxgdcA&#10;AAALAQAADwAAAAAAAAABACAAAAAiAAAAZHJzL2Rvd25yZXYueG1sUEsBAhQAFAAAAAgAh07iQIft&#10;hrmuAQAAUQMAAA4AAAAAAAAAAQAgAAAAJgEAAGRycy9lMm9Eb2MueG1sUEsFBgAAAAAGAAYAWQEA&#10;AEYFAAAAAA==&#10;">
                <v:fill on="f" focussize="0,0"/>
                <v:stroke on="f"/>
                <v:imagedata o:title=""/>
                <o:lock v:ext="edit" aspectratio="f"/>
                <v:textbox>
                  <w:txbxContent>
                    <w:p w14:paraId="75577F9E">
                      <w:pPr>
                        <w:rPr>
                          <w:color w:val="FFFF00"/>
                        </w:rPr>
                      </w:pPr>
                      <w:r>
                        <w:rPr>
                          <w:rFonts w:hint="eastAsia"/>
                          <w:color w:val="FFFF00"/>
                        </w:rPr>
                        <w:t>1.5km</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2242820</wp:posOffset>
                </wp:positionH>
                <wp:positionV relativeFrom="paragraph">
                  <wp:posOffset>3632200</wp:posOffset>
                </wp:positionV>
                <wp:extent cx="744220" cy="342900"/>
                <wp:effectExtent l="0" t="0" r="0" b="0"/>
                <wp:wrapNone/>
                <wp:docPr id="247" name="文本框 247"/>
                <wp:cNvGraphicFramePr/>
                <a:graphic xmlns:a="http://schemas.openxmlformats.org/drawingml/2006/main">
                  <a:graphicData uri="http://schemas.microsoft.com/office/word/2010/wordprocessingShape">
                    <wps:wsp>
                      <wps:cNvSpPr txBox="1"/>
                      <wps:spPr>
                        <a:xfrm>
                          <a:off x="0" y="0"/>
                          <a:ext cx="744220" cy="342900"/>
                        </a:xfrm>
                        <a:prstGeom prst="rect">
                          <a:avLst/>
                        </a:prstGeom>
                        <a:noFill/>
                        <a:ln>
                          <a:noFill/>
                        </a:ln>
                      </wps:spPr>
                      <wps:txbx>
                        <w:txbxContent>
                          <w:p w14:paraId="411CDF8E">
                            <w:pPr>
                              <w:rPr>
                                <w:color w:val="FFFF00"/>
                              </w:rPr>
                            </w:pPr>
                            <w:r>
                              <w:rPr>
                                <w:rFonts w:hint="eastAsia"/>
                                <w:color w:val="FFFF00"/>
                              </w:rPr>
                              <w:t>1.8km</w:t>
                            </w:r>
                          </w:p>
                        </w:txbxContent>
                      </wps:txbx>
                      <wps:bodyPr upright="1"/>
                    </wps:wsp>
                  </a:graphicData>
                </a:graphic>
              </wp:anchor>
            </w:drawing>
          </mc:Choice>
          <mc:Fallback>
            <w:pict>
              <v:shape id="_x0000_s1026" o:spid="_x0000_s1026" o:spt="202" type="#_x0000_t202" style="position:absolute;left:0pt;margin-left:176.6pt;margin-top:286pt;height:27pt;width:58.6pt;z-index:251665408;mso-width-relative:page;mso-height-relative:page;" filled="f" stroked="f" coordsize="21600,21600" o:gfxdata="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BP5H&#10;5dkAAAALAQAADwAAAAAAAAABACAAAAAiAAAAZHJzL2Rvd25yZXYueG1sUEsBAhQAFAAAAAgAh07i&#10;QFVdJsyvAQAAUQMAAA4AAAAAAAAAAQAgAAAAKAEAAGRycy9lMm9Eb2MueG1sUEsFBgAAAAAGAAYA&#10;WQEAAEkFAAAAAA==&#10;">
                <v:fill on="f" focussize="0,0"/>
                <v:stroke on="f"/>
                <v:imagedata o:title=""/>
                <o:lock v:ext="edit" aspectratio="f"/>
                <v:textbox>
                  <w:txbxContent>
                    <w:p w14:paraId="411CDF8E">
                      <w:pPr>
                        <w:rPr>
                          <w:color w:val="FFFF00"/>
                        </w:rPr>
                      </w:pPr>
                      <w:r>
                        <w:rPr>
                          <w:rFonts w:hint="eastAsia"/>
                          <w:color w:val="FFFF00"/>
                        </w:rPr>
                        <w:t>1.8km</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2642235</wp:posOffset>
                </wp:positionH>
                <wp:positionV relativeFrom="paragraph">
                  <wp:posOffset>1334135</wp:posOffset>
                </wp:positionV>
                <wp:extent cx="64135" cy="2684145"/>
                <wp:effectExtent l="4445" t="0" r="64770" b="1905"/>
                <wp:wrapNone/>
                <wp:docPr id="235" name="直接连接符 235"/>
                <wp:cNvGraphicFramePr/>
                <a:graphic xmlns:a="http://schemas.openxmlformats.org/drawingml/2006/main">
                  <a:graphicData uri="http://schemas.microsoft.com/office/word/2010/wordprocessingShape">
                    <wps:wsp>
                      <wps:cNvCnPr/>
                      <wps:spPr>
                        <a:xfrm>
                          <a:off x="0" y="0"/>
                          <a:ext cx="64135" cy="2684145"/>
                        </a:xfrm>
                        <a:prstGeom prst="line">
                          <a:avLst/>
                        </a:prstGeom>
                        <a:ln w="9525" cap="flat" cmpd="sng">
                          <a:solidFill>
                            <a:srgbClr val="FFFF00"/>
                          </a:solidFill>
                          <a:prstDash val="solid"/>
                          <a:miter/>
                          <a:headEnd type="none" w="med" len="med"/>
                          <a:tailEnd type="arrow" w="med" len="med"/>
                        </a:ln>
                      </wps:spPr>
                      <wps:bodyPr upright="1"/>
                    </wps:wsp>
                  </a:graphicData>
                </a:graphic>
              </wp:anchor>
            </w:drawing>
          </mc:Choice>
          <mc:Fallback>
            <w:pict>
              <v:line id="_x0000_s1026" o:spid="_x0000_s1026" o:spt="20" style="position:absolute;left:0pt;margin-left:208.05pt;margin-top:105.05pt;height:211.35pt;width:5.05pt;z-index:251665408;mso-width-relative:page;mso-height-relative:page;" filled="f" stroked="t" coordsize="21600,21600" o:gfxdata="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TBKMA9kAAAALAQAADwAAAAAAAAABACAAAAAiAAAA&#10;ZHJzL2Rvd25yZXYueG1sUEsBAhQAFAAAAAgAh07iQBEsDzIGAgAA9wMAAA4AAAAAAAAAAQAgAAAA&#10;KAEAAGRycy9lMm9Eb2MueG1sUEsFBgAAAAAGAAYAWQEAAKAFAAAAAA==&#10;">
                <v:fill on="f" focussize="0,0"/>
                <v:stroke color="#FFFF00" joinstyle="miter" endarrow="open"/>
                <v:imagedata o:title=""/>
                <o:lock v:ext="edit" aspectratio="f"/>
              </v:lin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2726690</wp:posOffset>
                </wp:positionH>
                <wp:positionV relativeFrom="paragraph">
                  <wp:posOffset>1333500</wp:posOffset>
                </wp:positionV>
                <wp:extent cx="635" cy="2159635"/>
                <wp:effectExtent l="48260" t="0" r="65405" b="12065"/>
                <wp:wrapNone/>
                <wp:docPr id="242" name="直接连接符 242"/>
                <wp:cNvGraphicFramePr/>
                <a:graphic xmlns:a="http://schemas.openxmlformats.org/drawingml/2006/main">
                  <a:graphicData uri="http://schemas.microsoft.com/office/word/2010/wordprocessingShape">
                    <wps:wsp>
                      <wps:cNvCnPr/>
                      <wps:spPr>
                        <a:xfrm>
                          <a:off x="0" y="0"/>
                          <a:ext cx="635" cy="2159635"/>
                        </a:xfrm>
                        <a:prstGeom prst="line">
                          <a:avLst/>
                        </a:prstGeom>
                        <a:ln w="9525" cap="flat" cmpd="sng">
                          <a:solidFill>
                            <a:srgbClr val="FFFF00"/>
                          </a:solidFill>
                          <a:prstDash val="solid"/>
                          <a:miter/>
                          <a:headEnd type="none" w="med" len="med"/>
                          <a:tailEnd type="arrow" w="med" len="med"/>
                        </a:ln>
                      </wps:spPr>
                      <wps:bodyPr upright="1"/>
                    </wps:wsp>
                  </a:graphicData>
                </a:graphic>
              </wp:anchor>
            </w:drawing>
          </mc:Choice>
          <mc:Fallback>
            <w:pict>
              <v:line id="_x0000_s1026" o:spid="_x0000_s1026" o:spt="20" style="position:absolute;left:0pt;margin-left:214.7pt;margin-top:105pt;height:170.05pt;width:0.05pt;z-index:251665408;mso-width-relative:page;mso-height-relative:page;" filled="f" stroked="t" coordsize="21600,21600" o:gfxdata="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i3n8l2AAAAAsBAAAPAAAAAAAAAAEAIAAAACIAAABkcnMv&#10;ZG93bnJldi54bWxQSwECFAAUAAAACACHTuJAEj/qqgMCAAD1AwAADgAAAAAAAAABACAAAAAnAQAA&#10;ZHJzL2Uyb0RvYy54bWxQSwUGAAAAAAYABgBZAQAAnAUAAAAA&#10;">
                <v:fill on="f" focussize="0,0"/>
                <v:stroke color="#FFFF00" joinstyle="miter" endarrow="open"/>
                <v:imagedata o:title=""/>
                <o:lock v:ext="edit" aspectratio="f"/>
              </v:line>
            </w:pict>
          </mc:Fallback>
        </mc:AlternateContent>
      </w:r>
      <w:r>
        <w:drawing>
          <wp:inline distT="0" distB="0" distL="114300" distR="114300">
            <wp:extent cx="5607685" cy="4528820"/>
            <wp:effectExtent l="0" t="0" r="12065" b="5080"/>
            <wp:docPr id="241" name="图片 15" descr="QQ截图2017101511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5" descr="QQ截图20171015113828"/>
                    <pic:cNvPicPr>
                      <a:picLocks noChangeAspect="1"/>
                    </pic:cNvPicPr>
                  </pic:nvPicPr>
                  <pic:blipFill>
                    <a:blip r:embed="rId29"/>
                    <a:stretch>
                      <a:fillRect/>
                    </a:stretch>
                  </pic:blipFill>
                  <pic:spPr>
                    <a:xfrm>
                      <a:off x="0" y="0"/>
                      <a:ext cx="5607685" cy="4528820"/>
                    </a:xfrm>
                    <a:prstGeom prst="rect">
                      <a:avLst/>
                    </a:prstGeom>
                    <a:noFill/>
                    <a:ln>
                      <a:noFill/>
                    </a:ln>
                  </pic:spPr>
                </pic:pic>
              </a:graphicData>
            </a:graphic>
          </wp:inline>
        </w:drawing>
      </w:r>
    </w:p>
    <w:p w14:paraId="774C8A59">
      <w:pPr>
        <w:snapToGrid w:val="0"/>
        <w:spacing w:line="400" w:lineRule="exact"/>
        <w:jc w:val="center"/>
        <w:rPr>
          <w:rFonts w:hint="default" w:ascii="Times New Roman" w:hAnsi="Times New Roman" w:eastAsia="宋体" w:cs="Times New Roman"/>
          <w:b/>
          <w:lang w:val="en-US" w:eastAsia="zh-CN"/>
        </w:rPr>
      </w:pPr>
      <w:r>
        <w:rPr>
          <w:rFonts w:hint="eastAsia" w:ascii="Times New Roman" w:hAnsi="Times New Roman" w:cs="Times New Roman"/>
          <w:b/>
          <w:lang w:val="en-US" w:eastAsia="zh-CN"/>
        </w:rPr>
        <w:t>图</w:t>
      </w:r>
      <w:r>
        <w:rPr>
          <w:rFonts w:hint="eastAsia" w:cs="Times New Roman"/>
          <w:b/>
          <w:lang w:val="en-US" w:eastAsia="zh-CN"/>
        </w:rPr>
        <w:t>2.4-1本项目</w:t>
      </w:r>
      <w:r>
        <w:rPr>
          <w:rFonts w:hint="eastAsia" w:ascii="Times New Roman" w:hAnsi="Times New Roman" w:cs="Times New Roman"/>
          <w:b/>
          <w:lang w:val="en-US" w:eastAsia="zh-CN"/>
        </w:rPr>
        <w:t>与拉哈镇水源井关系图</w:t>
      </w:r>
    </w:p>
    <w:p w14:paraId="5846F886">
      <w:pPr>
        <w:spacing w:line="360" w:lineRule="auto"/>
        <w:ind w:firstLine="480"/>
        <w:rPr>
          <w:rFonts w:hint="eastAsia" w:ascii="Times New Roman" w:hAnsi="Times New Roman" w:cs="Times New Roman"/>
        </w:rPr>
      </w:pPr>
      <w:r>
        <w:rPr>
          <w:rFonts w:hint="eastAsia" w:ascii="Times New Roman" w:hAnsi="Times New Roman" w:cs="Times New Roman"/>
        </w:rPr>
        <w:t>（3）评价等级的确定</w:t>
      </w:r>
    </w:p>
    <w:p w14:paraId="7C8E29C7">
      <w:pPr>
        <w:spacing w:line="360" w:lineRule="auto"/>
        <w:ind w:firstLine="480"/>
        <w:rPr>
          <w:rFonts w:hint="eastAsia" w:ascii="Times New Roman" w:hAnsi="Times New Roman" w:cs="Times New Roman"/>
        </w:rPr>
      </w:pPr>
      <w:r>
        <w:rPr>
          <w:rFonts w:hint="eastAsia" w:ascii="Times New Roman" w:hAnsi="Times New Roman" w:cs="Times New Roman"/>
        </w:rPr>
        <w:t>根据《环境影响评价技术导则—地下水环境》（HJ610-2016），建设项目地下水环境影响评价工作等级划分详见表2.4-</w:t>
      </w:r>
      <w:r>
        <w:rPr>
          <w:rFonts w:hint="eastAsia" w:cs="Times New Roman"/>
          <w:lang w:val="en-US" w:eastAsia="zh-CN"/>
        </w:rPr>
        <w:t>11</w:t>
      </w:r>
      <w:r>
        <w:rPr>
          <w:rFonts w:hint="eastAsia" w:ascii="Times New Roman" w:hAnsi="Times New Roman" w:cs="Times New Roman"/>
        </w:rPr>
        <w:t>。</w:t>
      </w:r>
    </w:p>
    <w:p w14:paraId="7E9C5745">
      <w:pPr>
        <w:snapToGrid w:val="0"/>
        <w:spacing w:line="400" w:lineRule="exact"/>
        <w:jc w:val="center"/>
        <w:rPr>
          <w:rFonts w:hint="eastAsia" w:ascii="Times New Roman" w:hAnsi="Times New Roman" w:cs="Times New Roman"/>
          <w:b/>
        </w:rPr>
      </w:pPr>
      <w:r>
        <w:rPr>
          <w:rFonts w:hint="eastAsia" w:ascii="Times New Roman" w:hAnsi="Times New Roman" w:cs="Times New Roman"/>
          <w:b/>
        </w:rPr>
        <w:t>表2.4-</w:t>
      </w:r>
      <w:r>
        <w:rPr>
          <w:rFonts w:hint="eastAsia" w:cs="Times New Roman"/>
          <w:b/>
          <w:lang w:val="en-US" w:eastAsia="zh-CN"/>
        </w:rPr>
        <w:t>11</w:t>
      </w:r>
      <w:r>
        <w:rPr>
          <w:rFonts w:hint="eastAsia" w:ascii="Times New Roman" w:hAnsi="Times New Roman" w:cs="Times New Roman"/>
          <w:b/>
        </w:rPr>
        <w:t xml:space="preserve">  评价工作等级分级表</w:t>
      </w:r>
    </w:p>
    <w:tbl>
      <w:tblPr>
        <w:tblStyle w:val="53"/>
        <w:tblW w:w="906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880"/>
        <w:gridCol w:w="2060"/>
        <w:gridCol w:w="2060"/>
        <w:gridCol w:w="2060"/>
      </w:tblGrid>
      <w:tr w14:paraId="7948B2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880" w:type="dxa"/>
            <w:tcBorders>
              <w:top w:val="single" w:color="auto" w:sz="4" w:space="0"/>
              <w:left w:val="single" w:color="auto" w:sz="4" w:space="0"/>
              <w:tl2br w:val="single" w:color="000000" w:sz="4" w:space="0"/>
            </w:tcBorders>
            <w:vAlign w:val="center"/>
          </w:tcPr>
          <w:p w14:paraId="00251D07">
            <w:pPr>
              <w:spacing w:line="240" w:lineRule="exact"/>
              <w:jc w:val="right"/>
              <w:rPr>
                <w:sz w:val="21"/>
                <w:szCs w:val="21"/>
              </w:rPr>
            </w:pPr>
            <w:r>
              <w:rPr>
                <w:rFonts w:hint="eastAsia"/>
                <w:sz w:val="21"/>
                <w:szCs w:val="21"/>
              </w:rPr>
              <w:t>项目类别</w:t>
            </w:r>
          </w:p>
          <w:p w14:paraId="5CA58811">
            <w:pPr>
              <w:spacing w:line="240" w:lineRule="exact"/>
              <w:jc w:val="left"/>
              <w:rPr>
                <w:sz w:val="21"/>
                <w:szCs w:val="21"/>
              </w:rPr>
            </w:pPr>
            <w:r>
              <w:rPr>
                <w:rFonts w:hint="eastAsia"/>
                <w:sz w:val="21"/>
                <w:szCs w:val="21"/>
              </w:rPr>
              <w:t>环境敏感程度</w:t>
            </w:r>
          </w:p>
        </w:tc>
        <w:tc>
          <w:tcPr>
            <w:tcW w:w="2060" w:type="dxa"/>
            <w:tcBorders>
              <w:top w:val="single" w:color="auto" w:sz="4" w:space="0"/>
            </w:tcBorders>
            <w:vAlign w:val="center"/>
          </w:tcPr>
          <w:p w14:paraId="1486FEC9">
            <w:pPr>
              <w:spacing w:line="240" w:lineRule="exact"/>
              <w:jc w:val="center"/>
              <w:rPr>
                <w:sz w:val="21"/>
                <w:szCs w:val="21"/>
              </w:rPr>
            </w:pPr>
            <w:r>
              <w:rPr>
                <w:rFonts w:hint="eastAsia"/>
                <w:sz w:val="21"/>
                <w:szCs w:val="21"/>
              </w:rPr>
              <w:t>Ⅰ类项目</w:t>
            </w:r>
          </w:p>
        </w:tc>
        <w:tc>
          <w:tcPr>
            <w:tcW w:w="2060" w:type="dxa"/>
            <w:tcBorders>
              <w:top w:val="single" w:color="auto" w:sz="4" w:space="0"/>
            </w:tcBorders>
            <w:vAlign w:val="center"/>
          </w:tcPr>
          <w:p w14:paraId="5A2E301B">
            <w:pPr>
              <w:spacing w:line="240" w:lineRule="exact"/>
              <w:jc w:val="center"/>
              <w:rPr>
                <w:sz w:val="21"/>
                <w:szCs w:val="21"/>
              </w:rPr>
            </w:pPr>
            <w:r>
              <w:rPr>
                <w:rFonts w:hint="eastAsia"/>
                <w:sz w:val="21"/>
                <w:szCs w:val="21"/>
              </w:rPr>
              <w:t>Ⅱ类项目</w:t>
            </w:r>
          </w:p>
        </w:tc>
        <w:tc>
          <w:tcPr>
            <w:tcW w:w="2060" w:type="dxa"/>
            <w:tcBorders>
              <w:top w:val="single" w:color="auto" w:sz="4" w:space="0"/>
              <w:right w:val="single" w:color="auto" w:sz="4" w:space="0"/>
            </w:tcBorders>
            <w:vAlign w:val="center"/>
          </w:tcPr>
          <w:p w14:paraId="78BA4D84">
            <w:pPr>
              <w:spacing w:line="240" w:lineRule="exact"/>
              <w:jc w:val="center"/>
              <w:rPr>
                <w:sz w:val="21"/>
                <w:szCs w:val="21"/>
              </w:rPr>
            </w:pPr>
            <w:r>
              <w:rPr>
                <w:rFonts w:hint="eastAsia"/>
                <w:sz w:val="21"/>
                <w:szCs w:val="21"/>
              </w:rPr>
              <w:t>Ⅲ类项目</w:t>
            </w:r>
          </w:p>
        </w:tc>
      </w:tr>
      <w:tr w14:paraId="73B1FB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880" w:type="dxa"/>
            <w:tcBorders>
              <w:left w:val="single" w:color="auto" w:sz="4" w:space="0"/>
            </w:tcBorders>
            <w:vAlign w:val="center"/>
          </w:tcPr>
          <w:p w14:paraId="65062A3E">
            <w:pPr>
              <w:spacing w:line="240" w:lineRule="exact"/>
              <w:jc w:val="center"/>
              <w:rPr>
                <w:sz w:val="21"/>
                <w:szCs w:val="21"/>
              </w:rPr>
            </w:pPr>
            <w:r>
              <w:rPr>
                <w:rFonts w:hint="eastAsia"/>
                <w:sz w:val="21"/>
                <w:szCs w:val="21"/>
              </w:rPr>
              <w:t>敏感</w:t>
            </w:r>
          </w:p>
        </w:tc>
        <w:tc>
          <w:tcPr>
            <w:tcW w:w="2060" w:type="dxa"/>
            <w:vAlign w:val="center"/>
          </w:tcPr>
          <w:p w14:paraId="4B0645FF">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一</w:t>
            </w:r>
          </w:p>
        </w:tc>
        <w:tc>
          <w:tcPr>
            <w:tcW w:w="2060" w:type="dxa"/>
            <w:vAlign w:val="center"/>
          </w:tcPr>
          <w:p w14:paraId="617DC2FD">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一</w:t>
            </w:r>
          </w:p>
        </w:tc>
        <w:tc>
          <w:tcPr>
            <w:tcW w:w="2060" w:type="dxa"/>
            <w:tcBorders>
              <w:right w:val="single" w:color="auto" w:sz="4" w:space="0"/>
            </w:tcBorders>
            <w:vAlign w:val="center"/>
          </w:tcPr>
          <w:p w14:paraId="5EFF3755">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二</w:t>
            </w:r>
          </w:p>
        </w:tc>
      </w:tr>
      <w:tr w14:paraId="5B625F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880" w:type="dxa"/>
            <w:tcBorders>
              <w:left w:val="single" w:color="auto" w:sz="4" w:space="0"/>
            </w:tcBorders>
            <w:vAlign w:val="center"/>
          </w:tcPr>
          <w:p w14:paraId="20076933">
            <w:pPr>
              <w:spacing w:line="240" w:lineRule="exact"/>
              <w:jc w:val="center"/>
              <w:rPr>
                <w:sz w:val="21"/>
                <w:szCs w:val="21"/>
              </w:rPr>
            </w:pPr>
            <w:r>
              <w:rPr>
                <w:rFonts w:hint="eastAsia"/>
                <w:sz w:val="21"/>
                <w:szCs w:val="21"/>
              </w:rPr>
              <w:t>较敏感</w:t>
            </w:r>
          </w:p>
        </w:tc>
        <w:tc>
          <w:tcPr>
            <w:tcW w:w="2060" w:type="dxa"/>
            <w:vAlign w:val="center"/>
          </w:tcPr>
          <w:p w14:paraId="187B40B5">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一</w:t>
            </w:r>
          </w:p>
        </w:tc>
        <w:tc>
          <w:tcPr>
            <w:tcW w:w="2060" w:type="dxa"/>
            <w:vAlign w:val="center"/>
          </w:tcPr>
          <w:p w14:paraId="737A2330">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二</w:t>
            </w:r>
          </w:p>
        </w:tc>
        <w:tc>
          <w:tcPr>
            <w:tcW w:w="2060" w:type="dxa"/>
            <w:tcBorders>
              <w:right w:val="single" w:color="auto" w:sz="4" w:space="0"/>
            </w:tcBorders>
            <w:vAlign w:val="center"/>
          </w:tcPr>
          <w:p w14:paraId="1C54064B">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三</w:t>
            </w:r>
          </w:p>
        </w:tc>
      </w:tr>
      <w:tr w14:paraId="49EC3D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880" w:type="dxa"/>
            <w:tcBorders>
              <w:left w:val="single" w:color="auto" w:sz="4" w:space="0"/>
              <w:bottom w:val="single" w:color="auto" w:sz="4" w:space="0"/>
            </w:tcBorders>
            <w:vAlign w:val="center"/>
          </w:tcPr>
          <w:p w14:paraId="23B1ED8E">
            <w:pPr>
              <w:spacing w:line="240" w:lineRule="exact"/>
              <w:jc w:val="center"/>
              <w:rPr>
                <w:sz w:val="21"/>
                <w:szCs w:val="21"/>
              </w:rPr>
            </w:pPr>
            <w:r>
              <w:rPr>
                <w:rFonts w:hint="eastAsia"/>
                <w:sz w:val="21"/>
                <w:szCs w:val="21"/>
              </w:rPr>
              <w:t>不敏感</w:t>
            </w:r>
          </w:p>
        </w:tc>
        <w:tc>
          <w:tcPr>
            <w:tcW w:w="2060" w:type="dxa"/>
            <w:tcBorders>
              <w:bottom w:val="single" w:color="auto" w:sz="4" w:space="0"/>
            </w:tcBorders>
            <w:vAlign w:val="center"/>
          </w:tcPr>
          <w:p w14:paraId="6473AF31">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二</w:t>
            </w:r>
          </w:p>
        </w:tc>
        <w:tc>
          <w:tcPr>
            <w:tcW w:w="2060" w:type="dxa"/>
            <w:tcBorders>
              <w:bottom w:val="single" w:color="auto" w:sz="4" w:space="0"/>
            </w:tcBorders>
            <w:vAlign w:val="center"/>
          </w:tcPr>
          <w:p w14:paraId="3C73A003">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三</w:t>
            </w:r>
          </w:p>
        </w:tc>
        <w:tc>
          <w:tcPr>
            <w:tcW w:w="2060" w:type="dxa"/>
            <w:tcBorders>
              <w:bottom w:val="single" w:color="auto" w:sz="4" w:space="0"/>
              <w:right w:val="single" w:color="auto" w:sz="4" w:space="0"/>
            </w:tcBorders>
            <w:vAlign w:val="center"/>
          </w:tcPr>
          <w:p w14:paraId="665C525E">
            <w:pPr>
              <w:autoSpaceDE w:val="0"/>
              <w:autoSpaceDN w:val="0"/>
              <w:adjustRightInd w:val="0"/>
              <w:snapToGrid w:val="0"/>
              <w:spacing w:after="31" w:afterLines="10" w:line="280" w:lineRule="exact"/>
              <w:jc w:val="center"/>
              <w:rPr>
                <w:kern w:val="0"/>
                <w:sz w:val="21"/>
                <w:szCs w:val="21"/>
              </w:rPr>
            </w:pPr>
            <w:r>
              <w:rPr>
                <w:rFonts w:hint="eastAsia"/>
                <w:kern w:val="0"/>
                <w:sz w:val="21"/>
                <w:szCs w:val="21"/>
              </w:rPr>
              <w:t>三</w:t>
            </w:r>
          </w:p>
        </w:tc>
      </w:tr>
    </w:tbl>
    <w:p w14:paraId="5C49565E">
      <w:pPr>
        <w:spacing w:line="360" w:lineRule="auto"/>
        <w:ind w:firstLine="480"/>
        <w:rPr>
          <w:rFonts w:hint="eastAsia" w:ascii="Times New Roman" w:hAnsi="Times New Roman" w:cs="Times New Roman"/>
        </w:rPr>
      </w:pPr>
      <w:r>
        <w:rPr>
          <w:rFonts w:hint="eastAsia" w:ascii="Times New Roman" w:hAnsi="Times New Roman" w:cs="Times New Roman"/>
        </w:rPr>
        <w:t>本项目地下水环境影响评价项目类别为Ⅲ类，敏感程度为较敏感，结合表2.4-</w:t>
      </w:r>
      <w:r>
        <w:rPr>
          <w:rFonts w:hint="eastAsia" w:cs="Times New Roman"/>
          <w:lang w:val="en-US" w:eastAsia="zh-CN"/>
        </w:rPr>
        <w:t>9</w:t>
      </w:r>
      <w:r>
        <w:rPr>
          <w:rFonts w:hint="eastAsia" w:ascii="Times New Roman" w:hAnsi="Times New Roman" w:cs="Times New Roman"/>
        </w:rPr>
        <w:t>工作等级分级表可以得出，本项目地下水环境影响评价等级为三级。</w:t>
      </w:r>
    </w:p>
    <w:p w14:paraId="06DEDBA8">
      <w:pPr>
        <w:pStyle w:val="5"/>
        <w:rPr>
          <w:rFonts w:hint="eastAsia" w:ascii="Times New Roman" w:hAnsi="Times New Roman" w:eastAsia="Times New Roman" w:cs="Times New Roman"/>
        </w:rPr>
      </w:pPr>
      <w:r>
        <w:rPr>
          <w:rFonts w:hint="eastAsia" w:ascii="Times New Roman" w:hAnsi="Times New Roman" w:eastAsia="Times New Roman" w:cs="Times New Roman"/>
        </w:rPr>
        <w:t>2.4.3.2评价范围</w:t>
      </w:r>
    </w:p>
    <w:p w14:paraId="5CA00F5B">
      <w:pPr>
        <w:spacing w:line="360" w:lineRule="auto"/>
        <w:ind w:firstLine="480"/>
        <w:rPr>
          <w:rFonts w:hint="eastAsia" w:ascii="Times New Roman" w:hAnsi="Times New Roman" w:cs="Times New Roman"/>
        </w:rPr>
      </w:pPr>
      <w:bookmarkStart w:id="178" w:name="_Toc143082755"/>
      <w:r>
        <w:rPr>
          <w:rFonts w:hint="eastAsia" w:ascii="Times New Roman" w:hAnsi="Times New Roman" w:cs="Times New Roman"/>
        </w:rPr>
        <w:t>本项目地下水环境影响评价等级为三级，根据《环境影响评价技术导则 地下水环境》（HJ610-2016）要求，地下水环境影响评价范围一般与调查范围一致。</w:t>
      </w:r>
    </w:p>
    <w:p w14:paraId="12AAD974">
      <w:pPr>
        <w:spacing w:line="360" w:lineRule="auto"/>
        <w:ind w:firstLine="480"/>
        <w:rPr>
          <w:rFonts w:hint="eastAsia" w:ascii="Times New Roman" w:hAnsi="Times New Roman" w:cs="Times New Roman"/>
        </w:rPr>
      </w:pPr>
      <w:r>
        <w:rPr>
          <w:rFonts w:hint="eastAsia" w:ascii="Times New Roman" w:hAnsi="Times New Roman" w:cs="Times New Roman"/>
        </w:rPr>
        <w:t>现状调查范围采用查表法，结合表2.4-</w:t>
      </w:r>
      <w:r>
        <w:rPr>
          <w:rFonts w:hint="eastAsia" w:cs="Times New Roman"/>
          <w:lang w:val="en-US" w:eastAsia="zh-CN"/>
        </w:rPr>
        <w:t>12</w:t>
      </w:r>
      <w:r>
        <w:rPr>
          <w:rFonts w:hint="eastAsia" w:ascii="Times New Roman" w:hAnsi="Times New Roman" w:cs="Times New Roman"/>
        </w:rPr>
        <w:t>地下水环境现状调查评价范围参照表，确定地下水环境质量现状及影响分析范围为6km</w:t>
      </w:r>
      <w:r>
        <w:rPr>
          <w:rFonts w:hint="eastAsia" w:ascii="Times New Roman" w:hAnsi="Times New Roman" w:cs="Times New Roman"/>
          <w:vertAlign w:val="superscript"/>
        </w:rPr>
        <w:t>2</w:t>
      </w:r>
      <w:r>
        <w:rPr>
          <w:rFonts w:hint="eastAsia" w:ascii="Times New Roman" w:hAnsi="Times New Roman" w:cs="Times New Roman"/>
        </w:rPr>
        <w:t>的区域。</w:t>
      </w:r>
      <w:bookmarkEnd w:id="178"/>
      <w:r>
        <w:rPr>
          <w:rFonts w:hint="eastAsia" w:ascii="Times New Roman" w:hAnsi="Times New Roman" w:cs="Times New Roman"/>
          <w:lang w:val="en-US" w:eastAsia="zh-CN"/>
        </w:rPr>
        <w:t>结合本项所在地地下水流向：东北到西南</w:t>
      </w:r>
      <w:r>
        <w:rPr>
          <w:rFonts w:hint="eastAsia" w:ascii="Times New Roman" w:hAnsi="Times New Roman" w:cs="Times New Roman"/>
        </w:rPr>
        <w:t>。</w:t>
      </w:r>
    </w:p>
    <w:p w14:paraId="0EE45F00">
      <w:pPr>
        <w:snapToGrid w:val="0"/>
        <w:spacing w:line="400" w:lineRule="exact"/>
        <w:jc w:val="center"/>
        <w:rPr>
          <w:rFonts w:hint="eastAsia" w:ascii="Times New Roman" w:hAnsi="Times New Roman" w:cs="Times New Roman"/>
          <w:b/>
        </w:rPr>
      </w:pPr>
      <w:r>
        <w:rPr>
          <w:rFonts w:hint="eastAsia" w:ascii="Times New Roman" w:hAnsi="Times New Roman" w:cs="Times New Roman"/>
          <w:b/>
        </w:rPr>
        <w:t>表2.4-</w:t>
      </w:r>
      <w:r>
        <w:rPr>
          <w:rFonts w:hint="eastAsia" w:cs="Times New Roman"/>
          <w:b/>
          <w:lang w:val="en-US" w:eastAsia="zh-CN"/>
        </w:rPr>
        <w:t>12</w:t>
      </w:r>
      <w:r>
        <w:rPr>
          <w:rFonts w:hint="eastAsia" w:ascii="Times New Roman" w:hAnsi="Times New Roman" w:cs="Times New Roman"/>
          <w:b/>
        </w:rPr>
        <w:t xml:space="preserve"> 地下水环境现状调查评价范围参照表</w:t>
      </w:r>
    </w:p>
    <w:tbl>
      <w:tblPr>
        <w:tblStyle w:val="53"/>
        <w:tblW w:w="9320"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107"/>
        <w:gridCol w:w="3106"/>
        <w:gridCol w:w="3107"/>
      </w:tblGrid>
      <w:tr w14:paraId="0AE178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0" w:hRule="atLeast"/>
          <w:jc w:val="center"/>
        </w:trPr>
        <w:tc>
          <w:tcPr>
            <w:tcW w:w="3107" w:type="dxa"/>
            <w:tcBorders>
              <w:top w:val="single" w:color="auto" w:sz="4" w:space="0"/>
            </w:tcBorders>
            <w:vAlign w:val="center"/>
          </w:tcPr>
          <w:p w14:paraId="50AB27F6">
            <w:pPr>
              <w:spacing w:line="240" w:lineRule="exact"/>
              <w:jc w:val="center"/>
              <w:rPr>
                <w:color w:val="000000"/>
                <w:sz w:val="21"/>
                <w:szCs w:val="21"/>
              </w:rPr>
            </w:pPr>
            <w:r>
              <w:rPr>
                <w:rFonts w:hint="eastAsia"/>
                <w:color w:val="000000"/>
                <w:sz w:val="21"/>
                <w:szCs w:val="21"/>
              </w:rPr>
              <w:t>评价等级</w:t>
            </w:r>
          </w:p>
        </w:tc>
        <w:tc>
          <w:tcPr>
            <w:tcW w:w="3106" w:type="dxa"/>
            <w:tcBorders>
              <w:top w:val="single" w:color="auto" w:sz="4" w:space="0"/>
            </w:tcBorders>
            <w:vAlign w:val="center"/>
          </w:tcPr>
          <w:p w14:paraId="3F3DF157">
            <w:pPr>
              <w:spacing w:line="240" w:lineRule="exact"/>
              <w:jc w:val="center"/>
              <w:rPr>
                <w:color w:val="000000"/>
                <w:sz w:val="21"/>
                <w:szCs w:val="21"/>
              </w:rPr>
            </w:pPr>
            <w:r>
              <w:rPr>
                <w:rFonts w:hint="eastAsia"/>
                <w:color w:val="000000"/>
                <w:sz w:val="21"/>
                <w:szCs w:val="21"/>
              </w:rPr>
              <w:t>调查评价面积（km</w:t>
            </w:r>
            <w:r>
              <w:rPr>
                <w:rFonts w:hint="eastAsia"/>
                <w:color w:val="000000"/>
                <w:sz w:val="21"/>
                <w:szCs w:val="21"/>
                <w:vertAlign w:val="superscript"/>
              </w:rPr>
              <w:t>2</w:t>
            </w:r>
            <w:r>
              <w:rPr>
                <w:rFonts w:hint="eastAsia"/>
                <w:color w:val="000000"/>
                <w:sz w:val="21"/>
                <w:szCs w:val="21"/>
              </w:rPr>
              <w:t>）</w:t>
            </w:r>
          </w:p>
        </w:tc>
        <w:tc>
          <w:tcPr>
            <w:tcW w:w="3107" w:type="dxa"/>
            <w:tcBorders>
              <w:top w:val="single" w:color="auto" w:sz="4" w:space="0"/>
              <w:right w:val="single" w:color="auto" w:sz="4" w:space="0"/>
            </w:tcBorders>
            <w:vAlign w:val="center"/>
          </w:tcPr>
          <w:p w14:paraId="25EB428D">
            <w:pPr>
              <w:spacing w:line="240" w:lineRule="exact"/>
              <w:jc w:val="center"/>
              <w:rPr>
                <w:color w:val="000000"/>
                <w:sz w:val="21"/>
                <w:szCs w:val="21"/>
              </w:rPr>
            </w:pPr>
            <w:r>
              <w:rPr>
                <w:rFonts w:hint="eastAsia"/>
                <w:color w:val="000000"/>
                <w:sz w:val="21"/>
                <w:szCs w:val="21"/>
              </w:rPr>
              <w:t>备注</w:t>
            </w:r>
          </w:p>
        </w:tc>
      </w:tr>
      <w:tr w14:paraId="10C76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0" w:hRule="atLeast"/>
          <w:jc w:val="center"/>
        </w:trPr>
        <w:tc>
          <w:tcPr>
            <w:tcW w:w="3107" w:type="dxa"/>
            <w:vAlign w:val="center"/>
          </w:tcPr>
          <w:p w14:paraId="4DA4AB4B">
            <w:pPr>
              <w:autoSpaceDE w:val="0"/>
              <w:autoSpaceDN w:val="0"/>
              <w:adjustRightInd w:val="0"/>
              <w:snapToGrid w:val="0"/>
              <w:spacing w:after="31" w:afterLines="10" w:line="280" w:lineRule="exact"/>
              <w:jc w:val="center"/>
              <w:rPr>
                <w:color w:val="000000"/>
                <w:kern w:val="0"/>
                <w:sz w:val="21"/>
                <w:szCs w:val="21"/>
              </w:rPr>
            </w:pPr>
            <w:r>
              <w:rPr>
                <w:rFonts w:hint="eastAsia"/>
                <w:color w:val="000000"/>
                <w:kern w:val="0"/>
                <w:sz w:val="21"/>
                <w:szCs w:val="21"/>
              </w:rPr>
              <w:t>一</w:t>
            </w:r>
          </w:p>
        </w:tc>
        <w:tc>
          <w:tcPr>
            <w:tcW w:w="3106" w:type="dxa"/>
            <w:vAlign w:val="center"/>
          </w:tcPr>
          <w:p w14:paraId="1F247908">
            <w:pPr>
              <w:autoSpaceDE w:val="0"/>
              <w:autoSpaceDN w:val="0"/>
              <w:adjustRightInd w:val="0"/>
              <w:snapToGrid w:val="0"/>
              <w:spacing w:after="31" w:afterLines="10" w:line="280" w:lineRule="exact"/>
              <w:jc w:val="center"/>
              <w:rPr>
                <w:color w:val="000000"/>
                <w:kern w:val="0"/>
                <w:sz w:val="21"/>
                <w:szCs w:val="21"/>
              </w:rPr>
            </w:pPr>
            <w:r>
              <w:rPr>
                <w:rFonts w:hint="eastAsia"/>
                <w:color w:val="000000"/>
                <w:kern w:val="0"/>
                <w:sz w:val="21"/>
                <w:szCs w:val="21"/>
              </w:rPr>
              <w:t>≥20</w:t>
            </w:r>
          </w:p>
        </w:tc>
        <w:tc>
          <w:tcPr>
            <w:tcW w:w="3107" w:type="dxa"/>
            <w:vMerge w:val="restart"/>
            <w:tcBorders>
              <w:right w:val="single" w:color="auto" w:sz="4" w:space="0"/>
            </w:tcBorders>
            <w:vAlign w:val="center"/>
          </w:tcPr>
          <w:p w14:paraId="4BDEF9A6">
            <w:pPr>
              <w:autoSpaceDE w:val="0"/>
              <w:autoSpaceDN w:val="0"/>
              <w:adjustRightInd w:val="0"/>
              <w:snapToGrid w:val="0"/>
              <w:spacing w:after="31" w:afterLines="10" w:line="280" w:lineRule="exact"/>
              <w:jc w:val="center"/>
              <w:rPr>
                <w:color w:val="000000"/>
                <w:kern w:val="0"/>
                <w:sz w:val="21"/>
                <w:szCs w:val="21"/>
              </w:rPr>
            </w:pPr>
            <w:r>
              <w:rPr>
                <w:rFonts w:hint="eastAsia"/>
                <w:color w:val="000000"/>
                <w:kern w:val="0"/>
                <w:sz w:val="21"/>
                <w:szCs w:val="21"/>
              </w:rPr>
              <w:t>应包括重要的地下水环境保护目标，必要时适当的扩大范围。</w:t>
            </w:r>
          </w:p>
        </w:tc>
      </w:tr>
      <w:tr w14:paraId="43B755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0" w:hRule="atLeast"/>
          <w:jc w:val="center"/>
        </w:trPr>
        <w:tc>
          <w:tcPr>
            <w:tcW w:w="3107" w:type="dxa"/>
            <w:vAlign w:val="center"/>
          </w:tcPr>
          <w:p w14:paraId="42D9FF02">
            <w:pPr>
              <w:autoSpaceDE w:val="0"/>
              <w:autoSpaceDN w:val="0"/>
              <w:adjustRightInd w:val="0"/>
              <w:snapToGrid w:val="0"/>
              <w:spacing w:after="31" w:afterLines="10" w:line="280" w:lineRule="exact"/>
              <w:jc w:val="center"/>
              <w:rPr>
                <w:color w:val="000000"/>
                <w:kern w:val="0"/>
                <w:sz w:val="21"/>
                <w:szCs w:val="21"/>
              </w:rPr>
            </w:pPr>
            <w:r>
              <w:rPr>
                <w:rFonts w:hint="eastAsia"/>
                <w:color w:val="000000"/>
                <w:kern w:val="0"/>
                <w:sz w:val="21"/>
                <w:szCs w:val="21"/>
              </w:rPr>
              <w:t>二</w:t>
            </w:r>
          </w:p>
        </w:tc>
        <w:tc>
          <w:tcPr>
            <w:tcW w:w="3106" w:type="dxa"/>
            <w:vAlign w:val="center"/>
          </w:tcPr>
          <w:p w14:paraId="4EDF172C">
            <w:pPr>
              <w:autoSpaceDE w:val="0"/>
              <w:autoSpaceDN w:val="0"/>
              <w:adjustRightInd w:val="0"/>
              <w:snapToGrid w:val="0"/>
              <w:spacing w:after="31" w:afterLines="10" w:line="280" w:lineRule="exact"/>
              <w:jc w:val="center"/>
              <w:rPr>
                <w:color w:val="000000"/>
                <w:kern w:val="0"/>
                <w:sz w:val="21"/>
                <w:szCs w:val="21"/>
              </w:rPr>
            </w:pPr>
            <w:r>
              <w:rPr>
                <w:rFonts w:hint="eastAsia"/>
                <w:color w:val="000000"/>
                <w:kern w:val="0"/>
                <w:sz w:val="21"/>
                <w:szCs w:val="21"/>
              </w:rPr>
              <w:t>6-20</w:t>
            </w:r>
          </w:p>
        </w:tc>
        <w:tc>
          <w:tcPr>
            <w:tcW w:w="3107" w:type="dxa"/>
            <w:vMerge w:val="continue"/>
            <w:tcBorders>
              <w:right w:val="single" w:color="auto" w:sz="4" w:space="0"/>
            </w:tcBorders>
            <w:vAlign w:val="center"/>
          </w:tcPr>
          <w:p w14:paraId="0B3888BD">
            <w:pPr>
              <w:autoSpaceDE w:val="0"/>
              <w:autoSpaceDN w:val="0"/>
              <w:adjustRightInd w:val="0"/>
              <w:snapToGrid w:val="0"/>
              <w:spacing w:after="31" w:afterLines="10" w:line="280" w:lineRule="exact"/>
              <w:jc w:val="center"/>
              <w:rPr>
                <w:color w:val="000000"/>
                <w:kern w:val="0"/>
                <w:sz w:val="21"/>
                <w:szCs w:val="21"/>
              </w:rPr>
            </w:pPr>
          </w:p>
        </w:tc>
      </w:tr>
      <w:tr w14:paraId="46E553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0" w:hRule="atLeast"/>
          <w:jc w:val="center"/>
        </w:trPr>
        <w:tc>
          <w:tcPr>
            <w:tcW w:w="3107" w:type="dxa"/>
            <w:tcBorders>
              <w:bottom w:val="single" w:color="auto" w:sz="4" w:space="0"/>
            </w:tcBorders>
            <w:vAlign w:val="center"/>
          </w:tcPr>
          <w:p w14:paraId="25847856">
            <w:pPr>
              <w:autoSpaceDE w:val="0"/>
              <w:autoSpaceDN w:val="0"/>
              <w:adjustRightInd w:val="0"/>
              <w:snapToGrid w:val="0"/>
              <w:spacing w:after="31" w:afterLines="10" w:line="280" w:lineRule="exact"/>
              <w:jc w:val="center"/>
              <w:rPr>
                <w:color w:val="000000"/>
                <w:kern w:val="0"/>
                <w:sz w:val="21"/>
                <w:szCs w:val="21"/>
              </w:rPr>
            </w:pPr>
            <w:r>
              <w:rPr>
                <w:rFonts w:hint="eastAsia"/>
                <w:color w:val="000000"/>
                <w:kern w:val="0"/>
                <w:sz w:val="21"/>
                <w:szCs w:val="21"/>
              </w:rPr>
              <w:t>三</w:t>
            </w:r>
          </w:p>
        </w:tc>
        <w:tc>
          <w:tcPr>
            <w:tcW w:w="3106" w:type="dxa"/>
            <w:tcBorders>
              <w:bottom w:val="single" w:color="auto" w:sz="4" w:space="0"/>
            </w:tcBorders>
            <w:vAlign w:val="center"/>
          </w:tcPr>
          <w:p w14:paraId="2CD12E6B">
            <w:pPr>
              <w:autoSpaceDE w:val="0"/>
              <w:autoSpaceDN w:val="0"/>
              <w:adjustRightInd w:val="0"/>
              <w:snapToGrid w:val="0"/>
              <w:spacing w:after="31" w:afterLines="10" w:line="280" w:lineRule="exact"/>
              <w:jc w:val="center"/>
              <w:rPr>
                <w:color w:val="000000"/>
                <w:kern w:val="0"/>
                <w:sz w:val="21"/>
                <w:szCs w:val="21"/>
              </w:rPr>
            </w:pPr>
            <w:r>
              <w:rPr>
                <w:rFonts w:hint="eastAsia"/>
                <w:color w:val="000000"/>
                <w:kern w:val="0"/>
                <w:sz w:val="21"/>
                <w:szCs w:val="21"/>
              </w:rPr>
              <w:t>≤6</w:t>
            </w:r>
          </w:p>
        </w:tc>
        <w:tc>
          <w:tcPr>
            <w:tcW w:w="3107" w:type="dxa"/>
            <w:vMerge w:val="continue"/>
            <w:tcBorders>
              <w:bottom w:val="single" w:color="auto" w:sz="4" w:space="0"/>
              <w:right w:val="single" w:color="auto" w:sz="4" w:space="0"/>
            </w:tcBorders>
            <w:vAlign w:val="center"/>
          </w:tcPr>
          <w:p w14:paraId="6591B240">
            <w:pPr>
              <w:autoSpaceDE w:val="0"/>
              <w:autoSpaceDN w:val="0"/>
              <w:adjustRightInd w:val="0"/>
              <w:snapToGrid w:val="0"/>
              <w:spacing w:after="31" w:afterLines="10" w:line="280" w:lineRule="exact"/>
              <w:jc w:val="center"/>
              <w:rPr>
                <w:color w:val="000000"/>
                <w:kern w:val="0"/>
                <w:sz w:val="21"/>
                <w:szCs w:val="21"/>
              </w:rPr>
            </w:pPr>
          </w:p>
        </w:tc>
      </w:tr>
    </w:tbl>
    <w:p w14:paraId="04756BAB">
      <w:pPr>
        <w:pStyle w:val="4"/>
      </w:pPr>
      <w:r>
        <w:rPr>
          <w:rFonts w:hint="eastAsia"/>
        </w:rPr>
        <w:t>2.4.5</w:t>
      </w:r>
      <w:r>
        <w:t>土壤环境</w:t>
      </w:r>
    </w:p>
    <w:p w14:paraId="10FB1CEE">
      <w:pPr>
        <w:pStyle w:val="5"/>
        <w:rPr>
          <w:rFonts w:hint="eastAsia" w:ascii="Times New Roman" w:hAnsi="Times New Roman" w:eastAsia="Times New Roman" w:cs="Times New Roman"/>
        </w:rPr>
      </w:pPr>
      <w:r>
        <w:rPr>
          <w:rFonts w:hint="eastAsia" w:ascii="Times New Roman" w:hAnsi="Times New Roman" w:eastAsia="Times New Roman" w:cs="Times New Roman"/>
        </w:rPr>
        <w:t xml:space="preserve">2.4.5.1项目类别 </w:t>
      </w:r>
    </w:p>
    <w:p w14:paraId="113C5EBB">
      <w:pPr>
        <w:pStyle w:val="14"/>
        <w:spacing w:line="360" w:lineRule="auto"/>
        <w:ind w:firstLine="480"/>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根据《环境影响评价技术导则 土壤环境（试行）》（HJ964-2018）附录A中内容，</w:t>
      </w:r>
      <w:r>
        <w:rPr>
          <w:rFonts w:hint="eastAsia" w:cs="Times New Roman"/>
          <w:sz w:val="24"/>
          <w:szCs w:val="24"/>
          <w:lang w:val="en-US" w:eastAsia="zh-CN" w:bidi="ar-SA"/>
        </w:rPr>
        <w:t>本项目</w:t>
      </w:r>
      <w:r>
        <w:rPr>
          <w:rFonts w:hint="eastAsia" w:ascii="Times New Roman" w:hAnsi="Times New Roman" w:eastAsia="宋体" w:cs="Times New Roman"/>
          <w:sz w:val="24"/>
          <w:szCs w:val="24"/>
          <w:lang w:val="en-US" w:eastAsia="zh-CN" w:bidi="ar-SA"/>
        </w:rPr>
        <w:t>污水处理站属于“工业废水处理”，项目类别为Ⅱ类。</w:t>
      </w:r>
    </w:p>
    <w:p w14:paraId="29D16069">
      <w:pPr>
        <w:spacing w:line="360" w:lineRule="auto"/>
        <w:ind w:firstLine="482" w:firstLineChars="200"/>
        <w:jc w:val="center"/>
        <w:rPr>
          <w:b/>
          <w:bCs/>
        </w:rPr>
      </w:pPr>
      <w:r>
        <w:rPr>
          <w:b/>
          <w:bCs/>
        </w:rPr>
        <w:t>表2.4-</w:t>
      </w:r>
      <w:r>
        <w:rPr>
          <w:rFonts w:hint="eastAsia"/>
          <w:b/>
          <w:bCs/>
          <w:lang w:val="en-US" w:eastAsia="zh-CN"/>
        </w:rPr>
        <w:t>13</w:t>
      </w:r>
      <w:r>
        <w:rPr>
          <w:b/>
          <w:bCs/>
        </w:rPr>
        <w:t xml:space="preserve"> 土壤环境影响评价项目类别</w:t>
      </w:r>
    </w:p>
    <w:tbl>
      <w:tblPr>
        <w:tblStyle w:val="5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4"/>
        <w:gridCol w:w="1170"/>
        <w:gridCol w:w="2757"/>
        <w:gridCol w:w="3106"/>
        <w:gridCol w:w="886"/>
      </w:tblGrid>
      <w:tr w14:paraId="7F07A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6" w:type="pct"/>
            <w:vMerge w:val="restart"/>
            <w:tcBorders>
              <w:tl2br w:val="nil"/>
              <w:tr2bl w:val="nil"/>
            </w:tcBorders>
            <w:vAlign w:val="center"/>
          </w:tcPr>
          <w:p w14:paraId="5102D678">
            <w:pPr>
              <w:jc w:val="center"/>
              <w:rPr>
                <w:b/>
                <w:bCs/>
                <w:sz w:val="21"/>
                <w:szCs w:val="21"/>
              </w:rPr>
            </w:pPr>
            <w:r>
              <w:rPr>
                <w:b/>
                <w:bCs/>
                <w:sz w:val="21"/>
                <w:szCs w:val="21"/>
              </w:rPr>
              <w:t>行业类别</w:t>
            </w:r>
          </w:p>
        </w:tc>
        <w:tc>
          <w:tcPr>
            <w:tcW w:w="4283" w:type="pct"/>
            <w:gridSpan w:val="4"/>
            <w:tcBorders>
              <w:tl2br w:val="nil"/>
              <w:tr2bl w:val="nil"/>
            </w:tcBorders>
            <w:vAlign w:val="center"/>
          </w:tcPr>
          <w:p w14:paraId="3A40F482">
            <w:pPr>
              <w:jc w:val="center"/>
              <w:rPr>
                <w:b/>
                <w:bCs/>
                <w:sz w:val="21"/>
                <w:szCs w:val="21"/>
              </w:rPr>
            </w:pPr>
            <w:r>
              <w:rPr>
                <w:b/>
                <w:bCs/>
                <w:sz w:val="21"/>
                <w:szCs w:val="21"/>
              </w:rPr>
              <w:t>项目类别</w:t>
            </w:r>
          </w:p>
        </w:tc>
      </w:tr>
      <w:tr w14:paraId="09A25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6" w:type="pct"/>
            <w:vMerge w:val="continue"/>
            <w:tcBorders>
              <w:tl2br w:val="nil"/>
              <w:tr2bl w:val="nil"/>
            </w:tcBorders>
            <w:vAlign w:val="center"/>
          </w:tcPr>
          <w:p w14:paraId="4A30708B">
            <w:pPr>
              <w:jc w:val="center"/>
              <w:rPr>
                <w:b/>
                <w:bCs/>
                <w:sz w:val="21"/>
                <w:szCs w:val="21"/>
              </w:rPr>
            </w:pPr>
          </w:p>
        </w:tc>
        <w:tc>
          <w:tcPr>
            <w:tcW w:w="633" w:type="pct"/>
            <w:tcBorders>
              <w:tl2br w:val="nil"/>
              <w:tr2bl w:val="nil"/>
            </w:tcBorders>
            <w:vAlign w:val="center"/>
          </w:tcPr>
          <w:p w14:paraId="11AC3836">
            <w:pPr>
              <w:jc w:val="center"/>
              <w:rPr>
                <w:b/>
                <w:bCs/>
                <w:sz w:val="21"/>
                <w:szCs w:val="21"/>
              </w:rPr>
            </w:pPr>
            <w:r>
              <w:rPr>
                <w:b/>
                <w:bCs/>
                <w:sz w:val="21"/>
                <w:szCs w:val="21"/>
              </w:rPr>
              <w:fldChar w:fldCharType="begin"/>
            </w:r>
            <w:r>
              <w:rPr>
                <w:b/>
                <w:bCs/>
                <w:sz w:val="21"/>
                <w:szCs w:val="21"/>
              </w:rPr>
              <w:instrText xml:space="preserve"> = 1 \* ROMAN \* MERGEFORMAT </w:instrText>
            </w:r>
            <w:r>
              <w:rPr>
                <w:b/>
                <w:bCs/>
                <w:sz w:val="21"/>
                <w:szCs w:val="21"/>
              </w:rPr>
              <w:fldChar w:fldCharType="separate"/>
            </w:r>
            <w:r>
              <w:rPr>
                <w:b/>
                <w:bCs/>
                <w:sz w:val="21"/>
                <w:szCs w:val="21"/>
              </w:rPr>
              <w:t>I</w:t>
            </w:r>
            <w:r>
              <w:rPr>
                <w:b/>
                <w:bCs/>
                <w:sz w:val="21"/>
                <w:szCs w:val="21"/>
              </w:rPr>
              <w:fldChar w:fldCharType="end"/>
            </w:r>
            <w:r>
              <w:rPr>
                <w:b/>
                <w:bCs/>
                <w:sz w:val="21"/>
                <w:szCs w:val="21"/>
              </w:rPr>
              <w:t>类</w:t>
            </w:r>
          </w:p>
        </w:tc>
        <w:tc>
          <w:tcPr>
            <w:tcW w:w="1491" w:type="pct"/>
            <w:tcBorders>
              <w:tl2br w:val="nil"/>
              <w:tr2bl w:val="nil"/>
            </w:tcBorders>
            <w:vAlign w:val="center"/>
          </w:tcPr>
          <w:p w14:paraId="53A4CA39">
            <w:pPr>
              <w:jc w:val="center"/>
              <w:rPr>
                <w:b/>
                <w:bCs/>
                <w:sz w:val="21"/>
                <w:szCs w:val="21"/>
              </w:rPr>
            </w:pPr>
            <w:r>
              <w:rPr>
                <w:b/>
                <w:bCs/>
                <w:sz w:val="21"/>
                <w:szCs w:val="21"/>
              </w:rPr>
              <w:fldChar w:fldCharType="begin"/>
            </w:r>
            <w:r>
              <w:rPr>
                <w:b/>
                <w:bCs/>
                <w:sz w:val="21"/>
                <w:szCs w:val="21"/>
              </w:rPr>
              <w:instrText xml:space="preserve"> = 2 \* ROMAN \* MERGEFORMAT </w:instrText>
            </w:r>
            <w:r>
              <w:rPr>
                <w:b/>
                <w:bCs/>
                <w:sz w:val="21"/>
                <w:szCs w:val="21"/>
              </w:rPr>
              <w:fldChar w:fldCharType="separate"/>
            </w:r>
            <w:r>
              <w:rPr>
                <w:b/>
                <w:bCs/>
                <w:sz w:val="21"/>
                <w:szCs w:val="21"/>
              </w:rPr>
              <w:t>II</w:t>
            </w:r>
            <w:r>
              <w:rPr>
                <w:b/>
                <w:bCs/>
                <w:sz w:val="21"/>
                <w:szCs w:val="21"/>
              </w:rPr>
              <w:fldChar w:fldCharType="end"/>
            </w:r>
            <w:r>
              <w:rPr>
                <w:b/>
                <w:bCs/>
                <w:sz w:val="21"/>
                <w:szCs w:val="21"/>
              </w:rPr>
              <w:t>类</w:t>
            </w:r>
          </w:p>
        </w:tc>
        <w:tc>
          <w:tcPr>
            <w:tcW w:w="1680" w:type="pct"/>
            <w:tcBorders>
              <w:tl2br w:val="nil"/>
              <w:tr2bl w:val="nil"/>
            </w:tcBorders>
            <w:vAlign w:val="center"/>
          </w:tcPr>
          <w:p w14:paraId="41244410">
            <w:pPr>
              <w:jc w:val="center"/>
              <w:rPr>
                <w:b/>
                <w:bCs/>
                <w:sz w:val="21"/>
                <w:szCs w:val="21"/>
              </w:rPr>
            </w:pPr>
            <w:r>
              <w:rPr>
                <w:b/>
                <w:bCs/>
                <w:sz w:val="21"/>
                <w:szCs w:val="21"/>
              </w:rPr>
              <w:fldChar w:fldCharType="begin"/>
            </w:r>
            <w:r>
              <w:rPr>
                <w:b/>
                <w:bCs/>
                <w:sz w:val="21"/>
                <w:szCs w:val="21"/>
              </w:rPr>
              <w:instrText xml:space="preserve"> = 3 \* ROMAN \* MERGEFORMAT </w:instrText>
            </w:r>
            <w:r>
              <w:rPr>
                <w:b/>
                <w:bCs/>
                <w:sz w:val="21"/>
                <w:szCs w:val="21"/>
              </w:rPr>
              <w:fldChar w:fldCharType="separate"/>
            </w:r>
            <w:r>
              <w:rPr>
                <w:b/>
                <w:bCs/>
                <w:sz w:val="21"/>
                <w:szCs w:val="21"/>
              </w:rPr>
              <w:t>III</w:t>
            </w:r>
            <w:r>
              <w:rPr>
                <w:b/>
                <w:bCs/>
                <w:sz w:val="21"/>
                <w:szCs w:val="21"/>
              </w:rPr>
              <w:fldChar w:fldCharType="end"/>
            </w:r>
            <w:r>
              <w:rPr>
                <w:b/>
                <w:bCs/>
                <w:sz w:val="21"/>
                <w:szCs w:val="21"/>
              </w:rPr>
              <w:t>类</w:t>
            </w:r>
          </w:p>
        </w:tc>
        <w:tc>
          <w:tcPr>
            <w:tcW w:w="478" w:type="pct"/>
            <w:tcBorders>
              <w:tl2br w:val="nil"/>
              <w:tr2bl w:val="nil"/>
            </w:tcBorders>
            <w:vAlign w:val="center"/>
          </w:tcPr>
          <w:p w14:paraId="18EEFC93">
            <w:pPr>
              <w:jc w:val="center"/>
              <w:rPr>
                <w:b/>
                <w:bCs/>
                <w:sz w:val="21"/>
                <w:szCs w:val="21"/>
              </w:rPr>
            </w:pPr>
            <w:r>
              <w:rPr>
                <w:b/>
                <w:bCs/>
                <w:sz w:val="21"/>
                <w:szCs w:val="21"/>
              </w:rPr>
              <w:fldChar w:fldCharType="begin"/>
            </w:r>
            <w:r>
              <w:rPr>
                <w:b/>
                <w:bCs/>
                <w:sz w:val="21"/>
                <w:szCs w:val="21"/>
              </w:rPr>
              <w:instrText xml:space="preserve"> = 4 \* ROMAN \* MERGEFORMAT </w:instrText>
            </w:r>
            <w:r>
              <w:rPr>
                <w:b/>
                <w:bCs/>
                <w:sz w:val="21"/>
                <w:szCs w:val="21"/>
              </w:rPr>
              <w:fldChar w:fldCharType="separate"/>
            </w:r>
            <w:r>
              <w:rPr>
                <w:b/>
                <w:bCs/>
                <w:sz w:val="21"/>
                <w:szCs w:val="21"/>
              </w:rPr>
              <w:t>IV</w:t>
            </w:r>
            <w:r>
              <w:rPr>
                <w:b/>
                <w:bCs/>
                <w:sz w:val="21"/>
                <w:szCs w:val="21"/>
              </w:rPr>
              <w:fldChar w:fldCharType="end"/>
            </w:r>
            <w:r>
              <w:rPr>
                <w:b/>
                <w:bCs/>
                <w:sz w:val="21"/>
                <w:szCs w:val="21"/>
              </w:rPr>
              <w:t>类</w:t>
            </w:r>
          </w:p>
        </w:tc>
      </w:tr>
      <w:tr w14:paraId="29BA7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6" w:type="pct"/>
            <w:tcBorders>
              <w:tl2br w:val="nil"/>
              <w:tr2bl w:val="nil"/>
            </w:tcBorders>
            <w:vAlign w:val="center"/>
          </w:tcPr>
          <w:p w14:paraId="02B83C6A">
            <w:pPr>
              <w:jc w:val="center"/>
              <w:rPr>
                <w:sz w:val="21"/>
                <w:szCs w:val="21"/>
              </w:rPr>
            </w:pPr>
            <w:r>
              <w:rPr>
                <w:sz w:val="21"/>
                <w:szCs w:val="21"/>
              </w:rPr>
              <w:t>电力热力燃气及水生产和供应业</w:t>
            </w:r>
          </w:p>
        </w:tc>
        <w:tc>
          <w:tcPr>
            <w:tcW w:w="633" w:type="pct"/>
            <w:tcBorders>
              <w:tl2br w:val="nil"/>
              <w:tr2bl w:val="nil"/>
            </w:tcBorders>
            <w:vAlign w:val="center"/>
          </w:tcPr>
          <w:p w14:paraId="70767D2B">
            <w:pPr>
              <w:jc w:val="center"/>
              <w:rPr>
                <w:sz w:val="21"/>
                <w:szCs w:val="21"/>
              </w:rPr>
            </w:pPr>
            <w:r>
              <w:rPr>
                <w:sz w:val="21"/>
                <w:szCs w:val="21"/>
              </w:rPr>
              <w:t>生活垃圾及污泥发电</w:t>
            </w:r>
          </w:p>
        </w:tc>
        <w:tc>
          <w:tcPr>
            <w:tcW w:w="1491" w:type="pct"/>
            <w:tcBorders>
              <w:tl2br w:val="nil"/>
              <w:tr2bl w:val="nil"/>
            </w:tcBorders>
            <w:vAlign w:val="center"/>
          </w:tcPr>
          <w:p w14:paraId="3C47730D">
            <w:pPr>
              <w:jc w:val="center"/>
              <w:rPr>
                <w:sz w:val="21"/>
                <w:szCs w:val="21"/>
              </w:rPr>
            </w:pPr>
            <w:r>
              <w:rPr>
                <w:sz w:val="21"/>
                <w:szCs w:val="21"/>
              </w:rPr>
              <w:t>水力发电、火力发电（燃气发电除外）；矸石、油页岩、石油焦等综合利用发电；工业废水处理；燃气生产</w:t>
            </w:r>
          </w:p>
        </w:tc>
        <w:tc>
          <w:tcPr>
            <w:tcW w:w="1680" w:type="pct"/>
            <w:tcBorders>
              <w:tl2br w:val="nil"/>
              <w:tr2bl w:val="nil"/>
            </w:tcBorders>
            <w:vAlign w:val="center"/>
          </w:tcPr>
          <w:p w14:paraId="521FABE6">
            <w:pPr>
              <w:jc w:val="center"/>
              <w:rPr>
                <w:sz w:val="21"/>
                <w:szCs w:val="21"/>
              </w:rPr>
            </w:pPr>
            <w:r>
              <w:rPr>
                <w:sz w:val="21"/>
                <w:szCs w:val="21"/>
              </w:rPr>
              <w:t>生活污水处理；燃煤锅炉总容量 65t/h（ 不含以上的热力工程；燃 油 锅 炉 总 容 量65t/h(不含）以上的热力生产工厂</w:t>
            </w:r>
          </w:p>
        </w:tc>
        <w:tc>
          <w:tcPr>
            <w:tcW w:w="478" w:type="pct"/>
            <w:tcBorders>
              <w:tl2br w:val="nil"/>
              <w:tr2bl w:val="nil"/>
            </w:tcBorders>
            <w:vAlign w:val="center"/>
          </w:tcPr>
          <w:p w14:paraId="23D02C8C">
            <w:pPr>
              <w:jc w:val="center"/>
              <w:rPr>
                <w:sz w:val="21"/>
                <w:szCs w:val="21"/>
              </w:rPr>
            </w:pPr>
            <w:r>
              <w:rPr>
                <w:sz w:val="21"/>
                <w:szCs w:val="21"/>
              </w:rPr>
              <w:t>其他</w:t>
            </w:r>
          </w:p>
        </w:tc>
      </w:tr>
    </w:tbl>
    <w:p w14:paraId="55EF3C89">
      <w:pPr>
        <w:pStyle w:val="5"/>
        <w:rPr>
          <w:rFonts w:hint="eastAsia" w:ascii="Times New Roman" w:hAnsi="Times New Roman" w:eastAsia="Times New Roman" w:cs="Times New Roman"/>
        </w:rPr>
      </w:pPr>
      <w:r>
        <w:rPr>
          <w:rFonts w:hint="eastAsia" w:ascii="Times New Roman" w:hAnsi="Times New Roman" w:eastAsia="Times New Roman" w:cs="Times New Roman"/>
        </w:rPr>
        <w:t xml:space="preserve">2.4.5.2占地规模 </w:t>
      </w:r>
    </w:p>
    <w:p w14:paraId="35910390">
      <w:pPr>
        <w:spacing w:line="360" w:lineRule="auto"/>
        <w:ind w:firstLine="480" w:firstLineChars="200"/>
        <w:jc w:val="left"/>
        <w:rPr>
          <w:color w:val="auto"/>
        </w:rPr>
      </w:pPr>
      <w:r>
        <w:rPr>
          <w:rFonts w:hint="eastAsia"/>
          <w:color w:val="auto"/>
          <w:lang w:eastAsia="zh-CN" w:bidi="ar"/>
        </w:rPr>
        <w:t>本项目</w:t>
      </w:r>
      <w:r>
        <w:rPr>
          <w:color w:val="auto"/>
          <w:lang w:bidi="ar"/>
        </w:rPr>
        <w:t>占地面积为</w:t>
      </w:r>
      <w:r>
        <w:rPr>
          <w:rFonts w:hint="eastAsia"/>
          <w:color w:val="auto"/>
          <w:lang w:val="en-US" w:eastAsia="zh-CN" w:bidi="ar"/>
        </w:rPr>
        <w:t>0.3</w:t>
      </w:r>
      <w:r>
        <w:rPr>
          <w:rFonts w:hint="eastAsia"/>
          <w:color w:val="auto"/>
          <w:lang w:bidi="ar"/>
        </w:rPr>
        <w:t>hm</w:t>
      </w:r>
      <w:r>
        <w:rPr>
          <w:rFonts w:hint="eastAsia"/>
          <w:color w:val="auto"/>
          <w:vertAlign w:val="superscript"/>
          <w:lang w:bidi="ar"/>
        </w:rPr>
        <w:t>2</w:t>
      </w:r>
      <w:r>
        <w:rPr>
          <w:color w:val="auto"/>
          <w:lang w:bidi="ar"/>
        </w:rPr>
        <w:t>，根据《环境影响评价技术导则 土壤环境》（试行）（HJ964-2018）6.2.2.1章节，占地规模为</w:t>
      </w:r>
      <w:r>
        <w:rPr>
          <w:rFonts w:hint="eastAsia"/>
          <w:color w:val="auto"/>
          <w:lang w:val="en-US" w:eastAsia="zh-CN" w:bidi="ar"/>
        </w:rPr>
        <w:t>小</w:t>
      </w:r>
      <w:r>
        <w:rPr>
          <w:color w:val="auto"/>
          <w:lang w:bidi="ar"/>
        </w:rPr>
        <w:t>型</w:t>
      </w:r>
      <w:r>
        <w:rPr>
          <w:rFonts w:hint="eastAsia"/>
          <w:color w:val="auto"/>
          <w:lang w:eastAsia="zh-CN" w:bidi="ar"/>
        </w:rPr>
        <w:t>（</w:t>
      </w:r>
      <w:r>
        <w:rPr>
          <w:rFonts w:hint="eastAsia"/>
          <w:color w:val="000000"/>
          <w:kern w:val="0"/>
          <w:sz w:val="21"/>
          <w:szCs w:val="21"/>
        </w:rPr>
        <w:t>≤</w:t>
      </w:r>
      <w:r>
        <w:rPr>
          <w:color w:val="auto"/>
          <w:lang w:bidi="ar"/>
        </w:rPr>
        <w:t>5hm</w:t>
      </w:r>
      <w:r>
        <w:rPr>
          <w:color w:val="auto"/>
          <w:vertAlign w:val="superscript"/>
          <w:lang w:bidi="ar"/>
        </w:rPr>
        <w:t>2</w:t>
      </w:r>
      <w:r>
        <w:rPr>
          <w:rFonts w:hint="eastAsia"/>
          <w:color w:val="auto"/>
          <w:lang w:eastAsia="zh-CN" w:bidi="ar"/>
        </w:rPr>
        <w:t>）</w:t>
      </w:r>
      <w:r>
        <w:rPr>
          <w:color w:val="auto"/>
          <w:lang w:bidi="ar"/>
        </w:rPr>
        <w:t xml:space="preserve">。 </w:t>
      </w:r>
    </w:p>
    <w:p w14:paraId="047E8A52">
      <w:pPr>
        <w:pStyle w:val="5"/>
        <w:rPr>
          <w:rFonts w:hint="eastAsia" w:ascii="Times New Roman" w:hAnsi="Times New Roman" w:eastAsia="Times New Roman" w:cs="Times New Roman"/>
        </w:rPr>
      </w:pPr>
      <w:r>
        <w:rPr>
          <w:rFonts w:hint="eastAsia" w:ascii="Times New Roman" w:hAnsi="Times New Roman" w:eastAsia="Times New Roman" w:cs="Times New Roman"/>
        </w:rPr>
        <w:t>2.4.5.3敏感程度分级判定</w:t>
      </w:r>
    </w:p>
    <w:p w14:paraId="7BB4F2E2">
      <w:pPr>
        <w:pStyle w:val="14"/>
        <w:spacing w:line="360" w:lineRule="auto"/>
        <w:ind w:firstLine="480"/>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根据调查，项目建设区域为规划的工业园区，占地属于规划的建设用地</w:t>
      </w:r>
      <w:r>
        <w:rPr>
          <w:rFonts w:hint="eastAsia" w:cs="Times New Roman"/>
          <w:sz w:val="24"/>
          <w:szCs w:val="24"/>
          <w:lang w:val="en-US" w:eastAsia="zh-CN" w:bidi="ar-SA"/>
        </w:rPr>
        <w:t>，故</w:t>
      </w:r>
      <w:r>
        <w:rPr>
          <w:rFonts w:hint="eastAsia" w:ascii="Times New Roman" w:hAnsi="Times New Roman" w:eastAsia="宋体" w:cs="Times New Roman"/>
          <w:sz w:val="24"/>
          <w:szCs w:val="24"/>
          <w:lang w:val="en-US" w:eastAsia="zh-CN" w:bidi="ar-SA"/>
        </w:rPr>
        <w:t>土壤敏感程度为</w:t>
      </w:r>
      <w:r>
        <w:rPr>
          <w:rFonts w:hint="eastAsia" w:cs="Times New Roman"/>
          <w:sz w:val="24"/>
          <w:szCs w:val="24"/>
          <w:lang w:val="en-US" w:eastAsia="zh-CN" w:bidi="ar-SA"/>
        </w:rPr>
        <w:t>较</w:t>
      </w:r>
      <w:r>
        <w:rPr>
          <w:rFonts w:hint="eastAsia" w:ascii="Times New Roman" w:hAnsi="Times New Roman" w:eastAsia="宋体" w:cs="Times New Roman"/>
          <w:sz w:val="24"/>
          <w:szCs w:val="24"/>
          <w:lang w:val="en-US" w:eastAsia="zh-CN" w:bidi="ar-SA"/>
        </w:rPr>
        <w:t>敏感。</w:t>
      </w:r>
    </w:p>
    <w:p w14:paraId="14933BC4">
      <w:pPr>
        <w:pStyle w:val="5"/>
        <w:rPr>
          <w:rFonts w:hint="eastAsia" w:ascii="Times New Roman" w:hAnsi="Times New Roman" w:eastAsia="Times New Roman" w:cs="Times New Roman"/>
        </w:rPr>
      </w:pPr>
      <w:r>
        <w:rPr>
          <w:rFonts w:hint="eastAsia" w:ascii="Times New Roman" w:hAnsi="Times New Roman" w:eastAsia="Times New Roman" w:cs="Times New Roman"/>
        </w:rPr>
        <w:t xml:space="preserve">2.4.5.4评价工作等级确定  </w:t>
      </w:r>
    </w:p>
    <w:p w14:paraId="0285345A">
      <w:pPr>
        <w:widowControl w:val="0"/>
        <w:spacing w:line="360" w:lineRule="auto"/>
        <w:jc w:val="center"/>
      </w:pPr>
      <w:r>
        <w:rPr>
          <w:b/>
          <w:lang w:bidi="ar"/>
        </w:rPr>
        <w:t>表2.4-</w:t>
      </w:r>
      <w:r>
        <w:rPr>
          <w:rFonts w:hint="eastAsia"/>
          <w:b/>
          <w:lang w:val="en-US" w:eastAsia="zh-CN" w:bidi="ar"/>
        </w:rPr>
        <w:t>14</w:t>
      </w:r>
      <w:r>
        <w:rPr>
          <w:b/>
          <w:lang w:bidi="ar"/>
        </w:rPr>
        <w:t xml:space="preserve">  评价工作等级分级表</w:t>
      </w:r>
    </w:p>
    <w:tbl>
      <w:tblPr>
        <w:tblStyle w:val="54"/>
        <w:tblW w:w="9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5"/>
        <w:gridCol w:w="851"/>
        <w:gridCol w:w="851"/>
        <w:gridCol w:w="851"/>
        <w:gridCol w:w="801"/>
        <w:gridCol w:w="751"/>
        <w:gridCol w:w="834"/>
        <w:gridCol w:w="834"/>
        <w:gridCol w:w="817"/>
        <w:gridCol w:w="813"/>
      </w:tblGrid>
      <w:tr w14:paraId="05089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115" w:type="dxa"/>
            <w:vMerge w:val="restart"/>
            <w:tcBorders>
              <w:tl2br w:val="nil"/>
              <w:tr2bl w:val="nil"/>
            </w:tcBorders>
            <w:vAlign w:val="center"/>
          </w:tcPr>
          <w:p w14:paraId="4FF9FDFD">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敏感程度</w:t>
            </w:r>
          </w:p>
          <w:p w14:paraId="0E47289F">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评价工作等级</w:t>
            </w:r>
          </w:p>
          <w:p w14:paraId="76DEFFD5">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占地规模</w:t>
            </w:r>
          </w:p>
        </w:tc>
        <w:tc>
          <w:tcPr>
            <w:tcW w:w="2553" w:type="dxa"/>
            <w:gridSpan w:val="3"/>
            <w:tcBorders>
              <w:tl2br w:val="nil"/>
              <w:tr2bl w:val="nil"/>
            </w:tcBorders>
            <w:vAlign w:val="center"/>
          </w:tcPr>
          <w:p w14:paraId="6ABA73E3">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fldChar w:fldCharType="begin"/>
            </w:r>
            <w:r>
              <w:rPr>
                <w:rFonts w:ascii="Times New Roman" w:hAnsi="Times New Roman" w:eastAsia="宋体"/>
                <w:b/>
                <w:bCs/>
                <w:color w:val="auto"/>
                <w:sz w:val="21"/>
                <w:szCs w:val="21"/>
              </w:rPr>
              <w:instrText xml:space="preserve"> = 1 \* ROMAN \* MERGEFORMAT </w:instrText>
            </w:r>
            <w:r>
              <w:rPr>
                <w:rFonts w:ascii="Times New Roman" w:hAnsi="Times New Roman" w:eastAsia="宋体"/>
                <w:b/>
                <w:bCs/>
                <w:color w:val="auto"/>
                <w:sz w:val="21"/>
                <w:szCs w:val="21"/>
              </w:rPr>
              <w:fldChar w:fldCharType="separate"/>
            </w:r>
            <w:r>
              <w:rPr>
                <w:rFonts w:ascii="Times New Roman" w:hAnsi="Times New Roman" w:eastAsia="宋体"/>
                <w:b/>
                <w:bCs/>
                <w:color w:val="auto"/>
                <w:sz w:val="21"/>
                <w:szCs w:val="21"/>
              </w:rPr>
              <w:t>I</w:t>
            </w:r>
            <w:r>
              <w:rPr>
                <w:rFonts w:ascii="Times New Roman" w:hAnsi="Times New Roman" w:eastAsia="宋体"/>
                <w:b/>
                <w:bCs/>
                <w:color w:val="auto"/>
                <w:sz w:val="21"/>
                <w:szCs w:val="21"/>
              </w:rPr>
              <w:fldChar w:fldCharType="end"/>
            </w:r>
          </w:p>
        </w:tc>
        <w:tc>
          <w:tcPr>
            <w:tcW w:w="2386" w:type="dxa"/>
            <w:gridSpan w:val="3"/>
            <w:tcBorders>
              <w:tl2br w:val="nil"/>
              <w:tr2bl w:val="nil"/>
            </w:tcBorders>
            <w:vAlign w:val="center"/>
          </w:tcPr>
          <w:p w14:paraId="5058557F">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fldChar w:fldCharType="begin"/>
            </w:r>
            <w:r>
              <w:rPr>
                <w:rFonts w:ascii="Times New Roman" w:hAnsi="Times New Roman" w:eastAsia="宋体"/>
                <w:b/>
                <w:bCs/>
                <w:color w:val="auto"/>
                <w:sz w:val="21"/>
                <w:szCs w:val="21"/>
              </w:rPr>
              <w:instrText xml:space="preserve"> = 2 \* ROMAN \* MERGEFORMAT </w:instrText>
            </w:r>
            <w:r>
              <w:rPr>
                <w:rFonts w:ascii="Times New Roman" w:hAnsi="Times New Roman" w:eastAsia="宋体"/>
                <w:b/>
                <w:bCs/>
                <w:color w:val="auto"/>
                <w:sz w:val="21"/>
                <w:szCs w:val="21"/>
              </w:rPr>
              <w:fldChar w:fldCharType="separate"/>
            </w:r>
            <w:r>
              <w:rPr>
                <w:rFonts w:ascii="Times New Roman" w:hAnsi="Times New Roman" w:eastAsia="宋体"/>
                <w:b/>
                <w:bCs/>
                <w:color w:val="auto"/>
                <w:sz w:val="21"/>
                <w:szCs w:val="21"/>
              </w:rPr>
              <w:t>II</w:t>
            </w:r>
            <w:r>
              <w:rPr>
                <w:rFonts w:ascii="Times New Roman" w:hAnsi="Times New Roman" w:eastAsia="宋体"/>
                <w:b/>
                <w:bCs/>
                <w:color w:val="auto"/>
                <w:sz w:val="21"/>
                <w:szCs w:val="21"/>
              </w:rPr>
              <w:fldChar w:fldCharType="end"/>
            </w:r>
          </w:p>
        </w:tc>
        <w:tc>
          <w:tcPr>
            <w:tcW w:w="2464" w:type="dxa"/>
            <w:gridSpan w:val="3"/>
            <w:tcBorders>
              <w:tl2br w:val="nil"/>
              <w:tr2bl w:val="nil"/>
            </w:tcBorders>
            <w:vAlign w:val="center"/>
          </w:tcPr>
          <w:p w14:paraId="1CFB3F36">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fldChar w:fldCharType="begin"/>
            </w:r>
            <w:r>
              <w:rPr>
                <w:rFonts w:ascii="Times New Roman" w:hAnsi="Times New Roman" w:eastAsia="宋体"/>
                <w:b/>
                <w:bCs/>
                <w:color w:val="auto"/>
                <w:sz w:val="21"/>
                <w:szCs w:val="21"/>
              </w:rPr>
              <w:instrText xml:space="preserve"> = 3 \* ROMAN \* MERGEFORMAT </w:instrText>
            </w:r>
            <w:r>
              <w:rPr>
                <w:rFonts w:ascii="Times New Roman" w:hAnsi="Times New Roman" w:eastAsia="宋体"/>
                <w:b/>
                <w:bCs/>
                <w:color w:val="auto"/>
                <w:sz w:val="21"/>
                <w:szCs w:val="21"/>
              </w:rPr>
              <w:fldChar w:fldCharType="separate"/>
            </w:r>
            <w:r>
              <w:rPr>
                <w:rFonts w:ascii="Times New Roman" w:hAnsi="Times New Roman" w:eastAsia="宋体"/>
                <w:b/>
                <w:bCs/>
                <w:color w:val="auto"/>
                <w:sz w:val="21"/>
                <w:szCs w:val="21"/>
              </w:rPr>
              <w:t>III</w:t>
            </w:r>
            <w:r>
              <w:rPr>
                <w:rFonts w:ascii="Times New Roman" w:hAnsi="Times New Roman" w:eastAsia="宋体"/>
                <w:b/>
                <w:bCs/>
                <w:color w:val="auto"/>
                <w:sz w:val="21"/>
                <w:szCs w:val="21"/>
              </w:rPr>
              <w:fldChar w:fldCharType="end"/>
            </w:r>
          </w:p>
        </w:tc>
      </w:tr>
      <w:tr w14:paraId="25B78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5" w:type="dxa"/>
            <w:vMerge w:val="continue"/>
            <w:tcBorders>
              <w:tl2br w:val="nil"/>
              <w:tr2bl w:val="nil"/>
            </w:tcBorders>
            <w:vAlign w:val="center"/>
          </w:tcPr>
          <w:p w14:paraId="2819E771">
            <w:pPr>
              <w:pStyle w:val="65"/>
              <w:jc w:val="center"/>
              <w:rPr>
                <w:rFonts w:ascii="Times New Roman" w:hAnsi="Times New Roman" w:eastAsia="宋体"/>
                <w:b/>
                <w:bCs/>
                <w:color w:val="auto"/>
                <w:sz w:val="21"/>
                <w:szCs w:val="21"/>
              </w:rPr>
            </w:pPr>
          </w:p>
        </w:tc>
        <w:tc>
          <w:tcPr>
            <w:tcW w:w="851" w:type="dxa"/>
            <w:tcBorders>
              <w:tl2br w:val="nil"/>
              <w:tr2bl w:val="nil"/>
            </w:tcBorders>
            <w:vAlign w:val="center"/>
          </w:tcPr>
          <w:p w14:paraId="4B7A6EE6">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大</w:t>
            </w:r>
          </w:p>
        </w:tc>
        <w:tc>
          <w:tcPr>
            <w:tcW w:w="851" w:type="dxa"/>
            <w:tcBorders>
              <w:tl2br w:val="nil"/>
              <w:tr2bl w:val="nil"/>
            </w:tcBorders>
            <w:vAlign w:val="center"/>
          </w:tcPr>
          <w:p w14:paraId="2A8B7C74">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中</w:t>
            </w:r>
          </w:p>
        </w:tc>
        <w:tc>
          <w:tcPr>
            <w:tcW w:w="851" w:type="dxa"/>
            <w:tcBorders>
              <w:tl2br w:val="nil"/>
              <w:tr2bl w:val="nil"/>
            </w:tcBorders>
            <w:vAlign w:val="center"/>
          </w:tcPr>
          <w:p w14:paraId="43705CB6">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小</w:t>
            </w:r>
          </w:p>
        </w:tc>
        <w:tc>
          <w:tcPr>
            <w:tcW w:w="801" w:type="dxa"/>
            <w:tcBorders>
              <w:tl2br w:val="nil"/>
              <w:tr2bl w:val="nil"/>
            </w:tcBorders>
            <w:vAlign w:val="center"/>
          </w:tcPr>
          <w:p w14:paraId="347AADAC">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大</w:t>
            </w:r>
          </w:p>
        </w:tc>
        <w:tc>
          <w:tcPr>
            <w:tcW w:w="751" w:type="dxa"/>
            <w:tcBorders>
              <w:tl2br w:val="nil"/>
              <w:tr2bl w:val="nil"/>
            </w:tcBorders>
            <w:vAlign w:val="center"/>
          </w:tcPr>
          <w:p w14:paraId="3A54CDCF">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中</w:t>
            </w:r>
          </w:p>
        </w:tc>
        <w:tc>
          <w:tcPr>
            <w:tcW w:w="834" w:type="dxa"/>
            <w:tcBorders>
              <w:tl2br w:val="nil"/>
              <w:tr2bl w:val="nil"/>
            </w:tcBorders>
            <w:vAlign w:val="center"/>
          </w:tcPr>
          <w:p w14:paraId="4FDD4BAB">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小</w:t>
            </w:r>
          </w:p>
        </w:tc>
        <w:tc>
          <w:tcPr>
            <w:tcW w:w="834" w:type="dxa"/>
            <w:tcBorders>
              <w:tl2br w:val="nil"/>
              <w:tr2bl w:val="nil"/>
            </w:tcBorders>
            <w:vAlign w:val="center"/>
          </w:tcPr>
          <w:p w14:paraId="08BCA641">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大</w:t>
            </w:r>
          </w:p>
        </w:tc>
        <w:tc>
          <w:tcPr>
            <w:tcW w:w="817" w:type="dxa"/>
            <w:tcBorders>
              <w:tl2br w:val="nil"/>
              <w:tr2bl w:val="nil"/>
            </w:tcBorders>
            <w:vAlign w:val="center"/>
          </w:tcPr>
          <w:p w14:paraId="5E1DF123">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中</w:t>
            </w:r>
          </w:p>
        </w:tc>
        <w:tc>
          <w:tcPr>
            <w:tcW w:w="813" w:type="dxa"/>
            <w:tcBorders>
              <w:tl2br w:val="nil"/>
              <w:tr2bl w:val="nil"/>
            </w:tcBorders>
            <w:vAlign w:val="center"/>
          </w:tcPr>
          <w:p w14:paraId="65931212">
            <w:pPr>
              <w:pStyle w:val="65"/>
              <w:jc w:val="center"/>
              <w:rPr>
                <w:rFonts w:ascii="Times New Roman" w:hAnsi="Times New Roman" w:eastAsia="宋体"/>
                <w:b/>
                <w:bCs/>
                <w:color w:val="auto"/>
                <w:sz w:val="21"/>
                <w:szCs w:val="21"/>
              </w:rPr>
            </w:pPr>
            <w:r>
              <w:rPr>
                <w:rFonts w:ascii="Times New Roman" w:hAnsi="Times New Roman" w:eastAsia="宋体"/>
                <w:b/>
                <w:bCs/>
                <w:color w:val="auto"/>
                <w:sz w:val="21"/>
                <w:szCs w:val="21"/>
              </w:rPr>
              <w:t>小</w:t>
            </w:r>
          </w:p>
        </w:tc>
      </w:tr>
      <w:tr w14:paraId="6E8CA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5" w:type="dxa"/>
            <w:tcBorders>
              <w:tl2br w:val="nil"/>
              <w:tr2bl w:val="nil"/>
            </w:tcBorders>
            <w:vAlign w:val="center"/>
          </w:tcPr>
          <w:p w14:paraId="6AAFF52B">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敏感</w:t>
            </w:r>
          </w:p>
        </w:tc>
        <w:tc>
          <w:tcPr>
            <w:tcW w:w="851" w:type="dxa"/>
            <w:tcBorders>
              <w:tl2br w:val="nil"/>
              <w:tr2bl w:val="nil"/>
            </w:tcBorders>
            <w:vAlign w:val="center"/>
          </w:tcPr>
          <w:p w14:paraId="43CC7D06">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一级</w:t>
            </w:r>
          </w:p>
        </w:tc>
        <w:tc>
          <w:tcPr>
            <w:tcW w:w="851" w:type="dxa"/>
            <w:tcBorders>
              <w:tl2br w:val="nil"/>
              <w:tr2bl w:val="nil"/>
            </w:tcBorders>
            <w:vAlign w:val="center"/>
          </w:tcPr>
          <w:p w14:paraId="571B509D">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一级</w:t>
            </w:r>
          </w:p>
        </w:tc>
        <w:tc>
          <w:tcPr>
            <w:tcW w:w="851" w:type="dxa"/>
            <w:tcBorders>
              <w:tl2br w:val="nil"/>
              <w:tr2bl w:val="nil"/>
            </w:tcBorders>
            <w:vAlign w:val="center"/>
          </w:tcPr>
          <w:p w14:paraId="438461CE">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一级</w:t>
            </w:r>
          </w:p>
        </w:tc>
        <w:tc>
          <w:tcPr>
            <w:tcW w:w="801" w:type="dxa"/>
            <w:tcBorders>
              <w:tl2br w:val="nil"/>
              <w:tr2bl w:val="nil"/>
            </w:tcBorders>
            <w:vAlign w:val="center"/>
          </w:tcPr>
          <w:p w14:paraId="615AB71A">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751" w:type="dxa"/>
            <w:tcBorders>
              <w:tl2br w:val="nil"/>
              <w:tr2bl w:val="nil"/>
            </w:tcBorders>
            <w:vAlign w:val="center"/>
          </w:tcPr>
          <w:p w14:paraId="64F282FF">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834" w:type="dxa"/>
            <w:tcBorders>
              <w:tl2br w:val="nil"/>
              <w:tr2bl w:val="nil"/>
            </w:tcBorders>
            <w:vAlign w:val="center"/>
          </w:tcPr>
          <w:p w14:paraId="4D5D958F">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834" w:type="dxa"/>
            <w:tcBorders>
              <w:tl2br w:val="nil"/>
              <w:tr2bl w:val="nil"/>
            </w:tcBorders>
            <w:vAlign w:val="center"/>
          </w:tcPr>
          <w:p w14:paraId="1CAEAD70">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17" w:type="dxa"/>
            <w:tcBorders>
              <w:tl2br w:val="nil"/>
              <w:tr2bl w:val="nil"/>
            </w:tcBorders>
            <w:vAlign w:val="center"/>
          </w:tcPr>
          <w:p w14:paraId="446D8D99">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13" w:type="dxa"/>
            <w:tcBorders>
              <w:tl2br w:val="nil"/>
              <w:tr2bl w:val="nil"/>
            </w:tcBorders>
            <w:vAlign w:val="center"/>
          </w:tcPr>
          <w:p w14:paraId="78B8F9C8">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r>
      <w:tr w14:paraId="6FA78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5" w:type="dxa"/>
            <w:tcBorders>
              <w:tl2br w:val="nil"/>
              <w:tr2bl w:val="nil"/>
            </w:tcBorders>
            <w:vAlign w:val="center"/>
          </w:tcPr>
          <w:p w14:paraId="58395362">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较敏感</w:t>
            </w:r>
          </w:p>
        </w:tc>
        <w:tc>
          <w:tcPr>
            <w:tcW w:w="851" w:type="dxa"/>
            <w:tcBorders>
              <w:tl2br w:val="nil"/>
              <w:tr2bl w:val="nil"/>
            </w:tcBorders>
            <w:vAlign w:val="center"/>
          </w:tcPr>
          <w:p w14:paraId="5EF5121D">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一级</w:t>
            </w:r>
          </w:p>
        </w:tc>
        <w:tc>
          <w:tcPr>
            <w:tcW w:w="851" w:type="dxa"/>
            <w:tcBorders>
              <w:tl2br w:val="nil"/>
              <w:tr2bl w:val="nil"/>
            </w:tcBorders>
            <w:vAlign w:val="center"/>
          </w:tcPr>
          <w:p w14:paraId="143C4B24">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一级</w:t>
            </w:r>
          </w:p>
        </w:tc>
        <w:tc>
          <w:tcPr>
            <w:tcW w:w="851" w:type="dxa"/>
            <w:tcBorders>
              <w:tl2br w:val="nil"/>
              <w:tr2bl w:val="nil"/>
            </w:tcBorders>
            <w:vAlign w:val="center"/>
          </w:tcPr>
          <w:p w14:paraId="1071EF61">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801" w:type="dxa"/>
            <w:tcBorders>
              <w:tl2br w:val="nil"/>
              <w:tr2bl w:val="nil"/>
            </w:tcBorders>
            <w:vAlign w:val="center"/>
          </w:tcPr>
          <w:p w14:paraId="32308128">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751" w:type="dxa"/>
            <w:tcBorders>
              <w:tl2br w:val="nil"/>
              <w:tr2bl w:val="nil"/>
            </w:tcBorders>
            <w:vAlign w:val="center"/>
          </w:tcPr>
          <w:p w14:paraId="499E0B53">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834" w:type="dxa"/>
            <w:tcBorders>
              <w:tl2br w:val="nil"/>
              <w:tr2bl w:val="nil"/>
            </w:tcBorders>
            <w:vAlign w:val="center"/>
          </w:tcPr>
          <w:p w14:paraId="0F230D9F">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34" w:type="dxa"/>
            <w:tcBorders>
              <w:tl2br w:val="nil"/>
              <w:tr2bl w:val="nil"/>
            </w:tcBorders>
            <w:vAlign w:val="center"/>
          </w:tcPr>
          <w:p w14:paraId="18C00970">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17" w:type="dxa"/>
            <w:tcBorders>
              <w:tl2br w:val="nil"/>
              <w:tr2bl w:val="nil"/>
            </w:tcBorders>
            <w:vAlign w:val="center"/>
          </w:tcPr>
          <w:p w14:paraId="7AA7B865">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13" w:type="dxa"/>
            <w:tcBorders>
              <w:tl2br w:val="nil"/>
              <w:tr2bl w:val="nil"/>
            </w:tcBorders>
            <w:vAlign w:val="center"/>
          </w:tcPr>
          <w:p w14:paraId="7EFD27E9">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w:t>
            </w:r>
          </w:p>
        </w:tc>
      </w:tr>
      <w:tr w14:paraId="7CD84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115" w:type="dxa"/>
            <w:tcBorders>
              <w:tl2br w:val="nil"/>
              <w:tr2bl w:val="nil"/>
            </w:tcBorders>
            <w:vAlign w:val="center"/>
          </w:tcPr>
          <w:p w14:paraId="117C4F30">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不敏感</w:t>
            </w:r>
          </w:p>
        </w:tc>
        <w:tc>
          <w:tcPr>
            <w:tcW w:w="851" w:type="dxa"/>
            <w:tcBorders>
              <w:tl2br w:val="nil"/>
              <w:tr2bl w:val="nil"/>
            </w:tcBorders>
            <w:vAlign w:val="center"/>
          </w:tcPr>
          <w:p w14:paraId="55531FC0">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一级</w:t>
            </w:r>
          </w:p>
        </w:tc>
        <w:tc>
          <w:tcPr>
            <w:tcW w:w="851" w:type="dxa"/>
            <w:tcBorders>
              <w:tl2br w:val="nil"/>
              <w:tr2bl w:val="nil"/>
            </w:tcBorders>
            <w:vAlign w:val="center"/>
          </w:tcPr>
          <w:p w14:paraId="50F4E05A">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851" w:type="dxa"/>
            <w:tcBorders>
              <w:tl2br w:val="nil"/>
              <w:tr2bl w:val="nil"/>
            </w:tcBorders>
            <w:vAlign w:val="center"/>
          </w:tcPr>
          <w:p w14:paraId="44F9A0FA">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801" w:type="dxa"/>
            <w:tcBorders>
              <w:tl2br w:val="nil"/>
              <w:tr2bl w:val="nil"/>
            </w:tcBorders>
            <w:vAlign w:val="center"/>
          </w:tcPr>
          <w:p w14:paraId="697F9360">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二级</w:t>
            </w:r>
          </w:p>
        </w:tc>
        <w:tc>
          <w:tcPr>
            <w:tcW w:w="751" w:type="dxa"/>
            <w:tcBorders>
              <w:tl2br w:val="nil"/>
              <w:tr2bl w:val="nil"/>
            </w:tcBorders>
            <w:vAlign w:val="center"/>
          </w:tcPr>
          <w:p w14:paraId="0A1F34E4">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34" w:type="dxa"/>
            <w:tcBorders>
              <w:tl2br w:val="nil"/>
              <w:tr2bl w:val="nil"/>
            </w:tcBorders>
            <w:vAlign w:val="center"/>
          </w:tcPr>
          <w:p w14:paraId="285DD6FB">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34" w:type="dxa"/>
            <w:tcBorders>
              <w:tl2br w:val="nil"/>
              <w:tr2bl w:val="nil"/>
            </w:tcBorders>
            <w:vAlign w:val="center"/>
          </w:tcPr>
          <w:p w14:paraId="16AD0DB9">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三级</w:t>
            </w:r>
          </w:p>
        </w:tc>
        <w:tc>
          <w:tcPr>
            <w:tcW w:w="817" w:type="dxa"/>
            <w:tcBorders>
              <w:tl2br w:val="nil"/>
              <w:tr2bl w:val="nil"/>
            </w:tcBorders>
            <w:vAlign w:val="center"/>
          </w:tcPr>
          <w:p w14:paraId="2355C0F0">
            <w:pPr>
              <w:pStyle w:val="65"/>
              <w:jc w:val="center"/>
              <w:rPr>
                <w:rFonts w:ascii="Times New Roman" w:hAnsi="Times New Roman" w:eastAsia="宋体"/>
                <w:color w:val="auto"/>
                <w:sz w:val="21"/>
                <w:szCs w:val="21"/>
              </w:rPr>
            </w:pPr>
            <w:r>
              <w:rPr>
                <w:rFonts w:ascii="Times New Roman" w:hAnsi="Times New Roman" w:eastAsia="宋体"/>
                <w:b/>
                <w:bCs/>
                <w:color w:val="auto"/>
                <w:sz w:val="21"/>
                <w:szCs w:val="21"/>
              </w:rPr>
              <w:t>—</w:t>
            </w:r>
          </w:p>
        </w:tc>
        <w:tc>
          <w:tcPr>
            <w:tcW w:w="813" w:type="dxa"/>
            <w:tcBorders>
              <w:tl2br w:val="nil"/>
              <w:tr2bl w:val="nil"/>
            </w:tcBorders>
            <w:vAlign w:val="center"/>
          </w:tcPr>
          <w:p w14:paraId="0E4C1F78">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w:t>
            </w:r>
          </w:p>
        </w:tc>
      </w:tr>
      <w:tr w14:paraId="750AE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9518" w:type="dxa"/>
            <w:gridSpan w:val="10"/>
            <w:tcBorders>
              <w:tl2br w:val="nil"/>
              <w:tr2bl w:val="nil"/>
            </w:tcBorders>
            <w:vAlign w:val="center"/>
          </w:tcPr>
          <w:p w14:paraId="37658A2E">
            <w:pPr>
              <w:pStyle w:val="65"/>
              <w:jc w:val="center"/>
              <w:rPr>
                <w:rFonts w:ascii="Times New Roman" w:hAnsi="Times New Roman" w:eastAsia="宋体"/>
                <w:color w:val="auto"/>
                <w:sz w:val="21"/>
                <w:szCs w:val="21"/>
              </w:rPr>
            </w:pPr>
            <w:r>
              <w:rPr>
                <w:rFonts w:ascii="Times New Roman" w:hAnsi="Times New Roman" w:eastAsia="宋体"/>
                <w:color w:val="auto"/>
                <w:sz w:val="21"/>
                <w:szCs w:val="21"/>
              </w:rPr>
              <w:t>注：“—”表示可不开展土壤环境影响评价工作</w:t>
            </w:r>
          </w:p>
        </w:tc>
      </w:tr>
    </w:tbl>
    <w:p w14:paraId="7BB8B5EE">
      <w:pPr>
        <w:spacing w:line="360" w:lineRule="auto"/>
        <w:ind w:firstLine="480" w:firstLineChars="200"/>
      </w:pPr>
      <w:r>
        <w:t>根据评价工作等级划分判定，确定</w:t>
      </w:r>
      <w:r>
        <w:rPr>
          <w:rFonts w:hint="eastAsia"/>
          <w:lang w:eastAsia="zh-CN"/>
        </w:rPr>
        <w:t>本项目</w:t>
      </w:r>
      <w:r>
        <w:t>土壤评价等级为</w:t>
      </w:r>
      <w:r>
        <w:rPr>
          <w:rFonts w:hint="eastAsia"/>
          <w:lang w:val="en-US" w:eastAsia="zh-CN"/>
        </w:rPr>
        <w:t>三</w:t>
      </w:r>
      <w:r>
        <w:t>级。</w:t>
      </w:r>
    </w:p>
    <w:p w14:paraId="2377A916">
      <w:pPr>
        <w:pStyle w:val="5"/>
        <w:rPr>
          <w:rFonts w:hint="eastAsia" w:ascii="Times New Roman" w:hAnsi="Times New Roman" w:eastAsia="Times New Roman" w:cs="Times New Roman"/>
          <w:lang w:val="en-US"/>
        </w:rPr>
      </w:pPr>
      <w:r>
        <w:rPr>
          <w:rFonts w:hint="eastAsia" w:ascii="Times New Roman" w:hAnsi="Times New Roman" w:eastAsia="Times New Roman" w:cs="Times New Roman"/>
        </w:rPr>
        <w:t>2.4.5.</w:t>
      </w:r>
      <w:r>
        <w:rPr>
          <w:rFonts w:hint="eastAsia" w:ascii="Times New Roman" w:hAnsi="Times New Roman" w:eastAsia="Times New Roman" w:cs="Times New Roman"/>
          <w:lang w:val="en-US"/>
        </w:rPr>
        <w:t>5</w:t>
      </w:r>
      <w:r>
        <w:rPr>
          <w:rFonts w:hint="eastAsia" w:ascii="Times New Roman" w:hAnsi="Times New Roman" w:eastAsia="Times New Roman" w:cs="Times New Roman"/>
        </w:rPr>
        <w:t>评价</w:t>
      </w:r>
      <w:r>
        <w:rPr>
          <w:rFonts w:hint="eastAsia" w:ascii="Times New Roman" w:hAnsi="Times New Roman" w:eastAsia="Times New Roman" w:cs="Times New Roman"/>
          <w:lang w:val="en-US"/>
        </w:rPr>
        <w:t>范围</w:t>
      </w:r>
    </w:p>
    <w:p w14:paraId="31127F17">
      <w:pPr>
        <w:spacing w:line="360" w:lineRule="auto"/>
        <w:ind w:firstLine="480" w:firstLineChars="200"/>
        <w:rPr>
          <w:rFonts w:hint="default" w:ascii="Times New Roman" w:hAnsi="Times New Roman" w:cs="Times New Roman"/>
          <w:b/>
          <w:color w:val="auto"/>
        </w:rPr>
      </w:pPr>
      <w:r>
        <w:rPr>
          <w:rFonts w:hint="default" w:ascii="Times New Roman" w:hAnsi="Times New Roman" w:cs="Times New Roman"/>
          <w:color w:val="auto"/>
          <w:szCs w:val="32"/>
        </w:rPr>
        <w:t>根据《环境影响评价技术导则 土壤环境》（试行）（HJ964-2018）中规定，本项目评价工作等级为</w:t>
      </w:r>
      <w:r>
        <w:rPr>
          <w:rFonts w:hint="eastAsia" w:cs="Times New Roman"/>
          <w:color w:val="auto"/>
          <w:szCs w:val="32"/>
          <w:lang w:val="en-US" w:eastAsia="zh-CN"/>
        </w:rPr>
        <w:t>二</w:t>
      </w:r>
      <w:r>
        <w:rPr>
          <w:rFonts w:hint="default" w:ascii="Times New Roman" w:hAnsi="Times New Roman" w:cs="Times New Roman"/>
          <w:color w:val="auto"/>
          <w:szCs w:val="32"/>
        </w:rPr>
        <w:t>级，影响类别为污染影响型，确定本项目评价范围为占地范围内全部以及占地范围外0.</w:t>
      </w:r>
      <w:r>
        <w:rPr>
          <w:rFonts w:hint="eastAsia" w:cs="Times New Roman"/>
          <w:color w:val="auto"/>
          <w:szCs w:val="32"/>
          <w:lang w:val="en-US" w:eastAsia="zh-CN"/>
        </w:rPr>
        <w:t>2</w:t>
      </w:r>
      <w:r>
        <w:rPr>
          <w:rFonts w:hint="default" w:ascii="Times New Roman" w:hAnsi="Times New Roman" w:cs="Times New Roman"/>
          <w:color w:val="auto"/>
          <w:szCs w:val="32"/>
        </w:rPr>
        <w:t>km范围内。</w:t>
      </w:r>
    </w:p>
    <w:p w14:paraId="27FA8747">
      <w:pPr>
        <w:pStyle w:val="4"/>
      </w:pPr>
      <w:r>
        <w:t>2.4.</w:t>
      </w:r>
      <w:r>
        <w:rPr>
          <w:rFonts w:hint="eastAsia"/>
        </w:rPr>
        <w:t>6</w:t>
      </w:r>
      <w:r>
        <w:t>生态环境</w:t>
      </w:r>
    </w:p>
    <w:p w14:paraId="4B83685D">
      <w:pPr>
        <w:pStyle w:val="5"/>
        <w:rPr>
          <w:rFonts w:ascii="Times New Roman" w:hAnsi="Times New Roman" w:eastAsia="Times New Roman" w:cs="Times New Roman"/>
        </w:rPr>
      </w:pPr>
      <w:r>
        <w:rPr>
          <w:rFonts w:hint="eastAsia" w:ascii="Times New Roman" w:hAnsi="Times New Roman" w:eastAsia="Times New Roman" w:cs="Times New Roman"/>
        </w:rPr>
        <w:t>2.4.</w:t>
      </w:r>
      <w:r>
        <w:rPr>
          <w:rFonts w:hint="eastAsia" w:ascii="Times New Roman" w:hAnsi="Times New Roman" w:eastAsia="宋体" w:cs="Times New Roman"/>
          <w:lang w:val="en-US" w:eastAsia="zh-CN"/>
        </w:rPr>
        <w:t>6.</w:t>
      </w:r>
      <w:r>
        <w:rPr>
          <w:rFonts w:hint="eastAsia" w:ascii="Times New Roman" w:hAnsi="Times New Roman" w:eastAsia="Times New Roman" w:cs="Times New Roman"/>
        </w:rPr>
        <w:t>1</w:t>
      </w:r>
      <w:r>
        <w:rPr>
          <w:rFonts w:ascii="Times New Roman" w:hAnsi="Times New Roman" w:eastAsia="Times New Roman" w:cs="Times New Roman"/>
        </w:rPr>
        <w:t>评价工作等级</w:t>
      </w:r>
    </w:p>
    <w:p w14:paraId="68CADFA1">
      <w:pPr>
        <w:spacing w:line="48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根据《环境影响评价技术导则  生态影响》</w:t>
      </w:r>
      <w:r>
        <w:rPr>
          <w:rFonts w:hint="eastAsia" w:ascii="Times New Roman" w:hAnsi="Times New Roman" w:cs="Times New Roman"/>
          <w:color w:val="auto"/>
          <w:szCs w:val="32"/>
        </w:rPr>
        <w:t>（HJ19-20</w:t>
      </w:r>
      <w:r>
        <w:rPr>
          <w:rFonts w:hint="eastAsia" w:ascii="Times New Roman" w:hAnsi="Times New Roman" w:cs="Times New Roman"/>
          <w:color w:val="auto"/>
          <w:szCs w:val="32"/>
          <w:lang w:val="en-US" w:eastAsia="zh-CN"/>
        </w:rPr>
        <w:t>22</w:t>
      </w:r>
      <w:r>
        <w:rPr>
          <w:rFonts w:hint="eastAsia" w:ascii="Times New Roman" w:hAnsi="Times New Roman" w:cs="Times New Roman"/>
          <w:color w:val="auto"/>
          <w:szCs w:val="32"/>
        </w:rPr>
        <w:t>）</w:t>
      </w:r>
      <w:r>
        <w:rPr>
          <w:rFonts w:hint="eastAsia" w:ascii="Times New Roman" w:hAnsi="Times New Roman" w:cs="Times New Roman"/>
          <w:color w:val="auto"/>
          <w:szCs w:val="32"/>
          <w:lang w:val="en-US" w:eastAsia="zh-CN"/>
        </w:rPr>
        <w:t>中6.1.8：</w:t>
      </w:r>
      <w:r>
        <w:rPr>
          <w:rFonts w:hint="eastAsia" w:ascii="宋体" w:hAnsi="宋体" w:eastAsia="宋体" w:cs="宋体"/>
          <w:sz w:val="24"/>
          <w:szCs w:val="24"/>
          <w:lang w:val="en-US" w:eastAsia="zh-CN"/>
        </w:rPr>
        <w:t>符合生态环境分区管控要求且位于原厂界（或永久用地）范围内的污染影响类改</w:t>
      </w:r>
      <w:r>
        <w:rPr>
          <w:rFonts w:hint="eastAsia" w:ascii="宋体" w:hAnsi="宋体" w:cs="宋体"/>
          <w:sz w:val="24"/>
          <w:szCs w:val="24"/>
          <w:lang w:val="en-US" w:eastAsia="zh-CN"/>
        </w:rPr>
        <w:t>本项目</w:t>
      </w:r>
      <w:r>
        <w:rPr>
          <w:rFonts w:hint="eastAsia" w:ascii="宋体" w:hAnsi="宋体" w:eastAsia="宋体" w:cs="宋体"/>
          <w:sz w:val="24"/>
          <w:szCs w:val="24"/>
          <w:lang w:val="en-US" w:eastAsia="zh-CN"/>
        </w:rPr>
        <w:t>，位于已批准规划环评的产业园区内且符合规划环评要求，不涉及生态敏感区的污染影响类建设项目，可不确定评价等级，直接进行生态影响简单分析。</w:t>
      </w:r>
    </w:p>
    <w:p w14:paraId="360A188D">
      <w:pPr>
        <w:spacing w:line="480" w:lineRule="exact"/>
        <w:ind w:firstLine="480" w:firstLineChars="200"/>
        <w:rPr>
          <w:rFonts w:hint="eastAsia" w:ascii="宋体" w:hAnsi="宋体" w:eastAsia="宋体" w:cs="宋体"/>
          <w:spacing w:val="-2"/>
          <w:sz w:val="24"/>
          <w:szCs w:val="24"/>
        </w:rPr>
      </w:pPr>
      <w:r>
        <w:rPr>
          <w:rFonts w:hint="eastAsia" w:ascii="宋体" w:hAnsi="宋体" w:eastAsia="宋体" w:cs="宋体"/>
          <w:sz w:val="24"/>
          <w:szCs w:val="24"/>
          <w:lang w:val="en-US" w:eastAsia="zh-CN"/>
        </w:rPr>
        <w:t>本项目为位于现有厂界内的改</w:t>
      </w:r>
      <w:r>
        <w:rPr>
          <w:rFonts w:hint="eastAsia" w:ascii="宋体" w:hAnsi="宋体" w:cs="宋体"/>
          <w:sz w:val="24"/>
          <w:szCs w:val="24"/>
          <w:lang w:val="en-US" w:eastAsia="zh-CN"/>
        </w:rPr>
        <w:t>本项目</w:t>
      </w:r>
      <w:r>
        <w:rPr>
          <w:rFonts w:hint="eastAsia" w:ascii="宋体" w:hAnsi="宋体" w:eastAsia="宋体" w:cs="宋体"/>
          <w:sz w:val="24"/>
          <w:szCs w:val="24"/>
          <w:lang w:val="en-US" w:eastAsia="zh-CN"/>
        </w:rPr>
        <w:t>，同时位于已批准规划环评的产业园区内且符合规划环评要求，</w:t>
      </w:r>
      <w:r>
        <w:rPr>
          <w:rFonts w:hint="eastAsia" w:ascii="宋体" w:hAnsi="宋体" w:eastAsia="宋体" w:cs="宋体"/>
          <w:sz w:val="24"/>
          <w:szCs w:val="24"/>
          <w:lang w:eastAsia="zh-CN"/>
        </w:rPr>
        <w:t>位于原厂界范围内的工业类改</w:t>
      </w:r>
      <w:r>
        <w:rPr>
          <w:rFonts w:hint="eastAsia" w:ascii="宋体" w:hAnsi="宋体" w:cs="宋体"/>
          <w:sz w:val="24"/>
          <w:szCs w:val="24"/>
          <w:lang w:eastAsia="zh-CN"/>
        </w:rPr>
        <w:t>本项目</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故本次生态环境影响不确定评价等级，直接进行生态影响简单分析</w:t>
      </w:r>
      <w:r>
        <w:rPr>
          <w:rFonts w:hint="eastAsia" w:ascii="宋体" w:hAnsi="宋体" w:eastAsia="宋体" w:cs="宋体"/>
          <w:spacing w:val="-2"/>
          <w:sz w:val="24"/>
          <w:szCs w:val="24"/>
        </w:rPr>
        <w:t>。</w:t>
      </w:r>
    </w:p>
    <w:p w14:paraId="54D3868C">
      <w:pPr>
        <w:pStyle w:val="5"/>
        <w:rPr>
          <w:rFonts w:hint="eastAsia" w:ascii="Times New Roman" w:hAnsi="Times New Roman" w:eastAsia="宋体" w:cs="Times New Roman"/>
          <w:lang w:val="en-US" w:eastAsia="zh-CN"/>
        </w:rPr>
      </w:pPr>
      <w:r>
        <w:rPr>
          <w:rFonts w:hint="eastAsia" w:ascii="Times New Roman" w:hAnsi="Times New Roman" w:eastAsia="Times New Roman" w:cs="Times New Roman"/>
        </w:rPr>
        <w:t>2.4.</w:t>
      </w:r>
      <w:r>
        <w:rPr>
          <w:rFonts w:hint="eastAsia" w:ascii="Times New Roman" w:hAnsi="Times New Roman" w:eastAsia="宋体" w:cs="Times New Roman"/>
          <w:lang w:val="en-US" w:eastAsia="zh-CN"/>
        </w:rPr>
        <w:t>6.2</w:t>
      </w:r>
      <w:r>
        <w:rPr>
          <w:rFonts w:ascii="Times New Roman" w:hAnsi="Times New Roman" w:eastAsia="Times New Roman" w:cs="Times New Roman"/>
        </w:rPr>
        <w:t>评价</w:t>
      </w:r>
      <w:r>
        <w:rPr>
          <w:rFonts w:hint="eastAsia" w:ascii="Times New Roman" w:hAnsi="Times New Roman" w:eastAsia="宋体" w:cs="Times New Roman"/>
          <w:lang w:val="en-US" w:eastAsia="zh-CN"/>
        </w:rPr>
        <w:t>范围</w:t>
      </w:r>
    </w:p>
    <w:p w14:paraId="07A5C5B3">
      <w:pPr>
        <w:pStyle w:val="486"/>
        <w:spacing w:line="360" w:lineRule="auto"/>
        <w:ind w:firstLine="500"/>
        <w:rPr>
          <w:rFonts w:hint="default" w:ascii="Times New Roman" w:hAnsi="Times New Roman" w:eastAsia="宋体" w:cs="Times New Roman"/>
          <w:color w:val="auto"/>
          <w:spacing w:val="0"/>
          <w:w w:val="100"/>
          <w:position w:val="0"/>
          <w:sz w:val="24"/>
          <w:szCs w:val="24"/>
          <w:lang w:val="en-US" w:eastAsia="zh-CN"/>
        </w:rPr>
      </w:pPr>
      <w:r>
        <w:rPr>
          <w:rFonts w:hint="eastAsia" w:ascii="Times New Roman" w:hAnsi="Times New Roman" w:cs="Times New Roman"/>
          <w:color w:val="auto"/>
          <w:spacing w:val="0"/>
          <w:w w:val="100"/>
          <w:position w:val="0"/>
          <w:sz w:val="24"/>
          <w:szCs w:val="24"/>
          <w:lang w:val="en-US" w:eastAsia="zh-CN"/>
        </w:rPr>
        <w:t>本项目</w:t>
      </w:r>
      <w:r>
        <w:rPr>
          <w:rFonts w:hint="eastAsia" w:ascii="Times New Roman" w:hAnsi="Times New Roman" w:eastAsia="宋体" w:cs="Times New Roman"/>
          <w:color w:val="auto"/>
          <w:spacing w:val="0"/>
          <w:w w:val="100"/>
          <w:position w:val="0"/>
          <w:sz w:val="24"/>
          <w:szCs w:val="24"/>
          <w:lang w:val="en-US" w:eastAsia="zh-CN"/>
        </w:rPr>
        <w:t>厂区占地范围。</w:t>
      </w:r>
    </w:p>
    <w:p w14:paraId="22B0BDCA">
      <w:pPr>
        <w:pStyle w:val="4"/>
      </w:pPr>
      <w:r>
        <w:t>2.4.</w:t>
      </w:r>
      <w:r>
        <w:rPr>
          <w:rFonts w:hint="eastAsia"/>
        </w:rPr>
        <w:t>7</w:t>
      </w:r>
      <w:r>
        <w:t>环境风险</w:t>
      </w:r>
    </w:p>
    <w:p w14:paraId="2887C0F0">
      <w:pPr>
        <w:spacing w:line="360" w:lineRule="auto"/>
        <w:ind w:firstLine="480" w:firstLineChars="200"/>
        <w:rPr>
          <w:sz w:val="24"/>
          <w:szCs w:val="24"/>
        </w:rPr>
      </w:pPr>
      <w:r>
        <w:rPr>
          <w:sz w:val="24"/>
          <w:szCs w:val="24"/>
        </w:rPr>
        <w:t>根据《建设项目环境风险评价技术导则》（HJ169-2018）第4.3条规定：根据项目涉及的物质危及工艺系统的危险性和所在地的环境敏感性确定环境风险潜势，按照下表确定环境风险评价等级。</w:t>
      </w:r>
    </w:p>
    <w:p w14:paraId="1376F4C5">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4-15</w:t>
      </w:r>
      <w:r>
        <w:rPr>
          <w:rFonts w:ascii="Times New Roman" w:hAnsi="Times New Roman" w:cs="Times New Roman"/>
          <w:b/>
          <w:lang w:bidi="ar"/>
        </w:rPr>
        <w:t xml:space="preserve"> 环境风险评价工作级别判定一览表</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4"/>
        <w:gridCol w:w="1752"/>
        <w:gridCol w:w="1340"/>
        <w:gridCol w:w="2060"/>
        <w:gridCol w:w="1840"/>
      </w:tblGrid>
      <w:tr w14:paraId="60999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664" w:type="dxa"/>
            <w:noWrap w:val="0"/>
            <w:vAlign w:val="top"/>
          </w:tcPr>
          <w:p w14:paraId="5DD8720C">
            <w:pPr>
              <w:widowControl/>
              <w:spacing w:line="360" w:lineRule="auto"/>
              <w:ind w:left="105"/>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环境风险潜势</w:t>
            </w:r>
          </w:p>
        </w:tc>
        <w:tc>
          <w:tcPr>
            <w:tcW w:w="1752" w:type="dxa"/>
            <w:noWrap w:val="0"/>
            <w:vAlign w:val="top"/>
          </w:tcPr>
          <w:p w14:paraId="30F8A139">
            <w:pPr>
              <w:widowControl/>
              <w:spacing w:line="36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Ⅳ、Ⅳ</w:t>
            </w:r>
            <w:r>
              <w:rPr>
                <w:rFonts w:hint="default" w:ascii="Times New Roman" w:hAnsi="Times New Roman" w:cs="Times New Roman"/>
                <w:kern w:val="0"/>
                <w:sz w:val="21"/>
                <w:szCs w:val="21"/>
                <w:vertAlign w:val="superscript"/>
              </w:rPr>
              <w:t>+</w:t>
            </w:r>
          </w:p>
        </w:tc>
        <w:tc>
          <w:tcPr>
            <w:tcW w:w="1340" w:type="dxa"/>
            <w:noWrap w:val="0"/>
            <w:vAlign w:val="top"/>
          </w:tcPr>
          <w:p w14:paraId="10546B7B">
            <w:pPr>
              <w:widowControl/>
              <w:spacing w:line="36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Ⅲ</w:t>
            </w:r>
          </w:p>
        </w:tc>
        <w:tc>
          <w:tcPr>
            <w:tcW w:w="2060" w:type="dxa"/>
            <w:noWrap w:val="0"/>
            <w:vAlign w:val="top"/>
          </w:tcPr>
          <w:p w14:paraId="6D7EC16C">
            <w:pPr>
              <w:widowControl/>
              <w:spacing w:line="36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Ⅱ</w:t>
            </w:r>
          </w:p>
        </w:tc>
        <w:tc>
          <w:tcPr>
            <w:tcW w:w="1840" w:type="dxa"/>
            <w:noWrap w:val="0"/>
            <w:vAlign w:val="top"/>
          </w:tcPr>
          <w:p w14:paraId="743C0FD6">
            <w:pPr>
              <w:widowControl/>
              <w:spacing w:line="36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Ⅰ</w:t>
            </w:r>
          </w:p>
        </w:tc>
      </w:tr>
      <w:tr w14:paraId="6200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 w:hRule="atLeast"/>
          <w:jc w:val="center"/>
        </w:trPr>
        <w:tc>
          <w:tcPr>
            <w:tcW w:w="1664" w:type="dxa"/>
            <w:noWrap w:val="0"/>
            <w:vAlign w:val="top"/>
          </w:tcPr>
          <w:p w14:paraId="7077307C">
            <w:pPr>
              <w:widowControl/>
              <w:spacing w:line="360" w:lineRule="auto"/>
              <w:ind w:left="105"/>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评价工作等级</w:t>
            </w:r>
          </w:p>
        </w:tc>
        <w:tc>
          <w:tcPr>
            <w:tcW w:w="1752" w:type="dxa"/>
            <w:noWrap w:val="0"/>
            <w:vAlign w:val="top"/>
          </w:tcPr>
          <w:p w14:paraId="06EA4577">
            <w:pPr>
              <w:widowControl/>
              <w:spacing w:line="360" w:lineRule="auto"/>
              <w:ind w:left="105"/>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一</w:t>
            </w:r>
          </w:p>
        </w:tc>
        <w:tc>
          <w:tcPr>
            <w:tcW w:w="1340" w:type="dxa"/>
            <w:noWrap w:val="0"/>
            <w:vAlign w:val="top"/>
          </w:tcPr>
          <w:p w14:paraId="1FEE1645">
            <w:pPr>
              <w:widowControl/>
              <w:spacing w:line="360" w:lineRule="auto"/>
              <w:ind w:left="105"/>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二</w:t>
            </w:r>
          </w:p>
        </w:tc>
        <w:tc>
          <w:tcPr>
            <w:tcW w:w="2060" w:type="dxa"/>
            <w:noWrap w:val="0"/>
            <w:vAlign w:val="top"/>
          </w:tcPr>
          <w:p w14:paraId="4706A2DF">
            <w:pPr>
              <w:widowControl/>
              <w:spacing w:line="360" w:lineRule="auto"/>
              <w:ind w:left="105"/>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三</w:t>
            </w:r>
          </w:p>
        </w:tc>
        <w:tc>
          <w:tcPr>
            <w:tcW w:w="1840" w:type="dxa"/>
            <w:noWrap w:val="0"/>
            <w:vAlign w:val="top"/>
          </w:tcPr>
          <w:p w14:paraId="4EBA8ED7">
            <w:pPr>
              <w:widowControl/>
              <w:spacing w:line="360" w:lineRule="auto"/>
              <w:ind w:left="105"/>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简单分析</w:t>
            </w:r>
          </w:p>
        </w:tc>
      </w:tr>
    </w:tbl>
    <w:p w14:paraId="64D1FC5D">
      <w:pPr>
        <w:spacing w:line="360" w:lineRule="auto"/>
        <w:ind w:firstLine="480" w:firstLineChars="200"/>
        <w:rPr>
          <w:sz w:val="24"/>
          <w:szCs w:val="24"/>
        </w:rPr>
      </w:pPr>
      <w:r>
        <w:rPr>
          <w:sz w:val="24"/>
          <w:szCs w:val="24"/>
        </w:rPr>
        <w:t>（1）危险物质及工艺系统危险性（P）</w:t>
      </w:r>
    </w:p>
    <w:p w14:paraId="00E8BA65">
      <w:pPr>
        <w:spacing w:line="360" w:lineRule="auto"/>
        <w:ind w:firstLine="480" w:firstLineChars="200"/>
        <w:rPr>
          <w:sz w:val="24"/>
          <w:szCs w:val="24"/>
        </w:rPr>
      </w:pPr>
      <w:r>
        <w:rPr>
          <w:rFonts w:hint="eastAsia" w:ascii="宋体" w:hAnsi="宋体" w:cs="宋体"/>
          <w:sz w:val="24"/>
          <w:szCs w:val="24"/>
        </w:rPr>
        <w:t>①</w:t>
      </w:r>
      <w:r>
        <w:rPr>
          <w:sz w:val="24"/>
          <w:szCs w:val="24"/>
        </w:rPr>
        <w:t>危险物质数量与临界量比值（Q）</w:t>
      </w:r>
    </w:p>
    <w:p w14:paraId="73191DD1">
      <w:pPr>
        <w:spacing w:line="360" w:lineRule="auto"/>
        <w:ind w:firstLine="480" w:firstLineChars="200"/>
        <w:rPr>
          <w:color w:val="auto"/>
          <w:sz w:val="24"/>
          <w:szCs w:val="24"/>
        </w:rPr>
      </w:pPr>
      <w:r>
        <w:rPr>
          <w:sz w:val="24"/>
          <w:szCs w:val="24"/>
        </w:rPr>
        <w:t>本项目主要风险物质为溶剂乙醇</w:t>
      </w:r>
      <w:r>
        <w:rPr>
          <w:rFonts w:hint="eastAsia"/>
          <w:sz w:val="24"/>
          <w:szCs w:val="24"/>
          <w:lang w:eastAsia="zh-CN"/>
        </w:rPr>
        <w:t>，</w:t>
      </w:r>
      <w:r>
        <w:rPr>
          <w:sz w:val="24"/>
          <w:szCs w:val="24"/>
        </w:rPr>
        <w:t>乙醇不在《建设项目环境风险评价技术导则》(HJ 169-2018)的附录B中，根据附录B.2其他危险物质的临界量鉴别方法，查看乙醇的MSDS数据。与《化学品分类和标签规范 第18部分：急性毒性》（GB30000.18-2013）和《化学品分类和标签规范 第28部分：对水生环境的危害》（GB30000.28-2013）中的判定过程进行对比可知乙醇不属于健康危险急性毒性物质和危害水环境物质，不属于《建设项目环境风险评价技术导则》(HJ 169-2018)附录B中其他危险物质。查阅《企业突发环境事件风险分级方法》（HJ941-2018）附录A—突发环境事件风险物质及临界量，其中乙醇临界量为500t。</w:t>
      </w:r>
      <w:r>
        <w:rPr>
          <w:rFonts w:hint="eastAsia"/>
          <w:color w:val="auto"/>
          <w:sz w:val="24"/>
          <w:szCs w:val="24"/>
          <w:lang w:val="en-US" w:eastAsia="zh-CN"/>
        </w:rPr>
        <w:t>本项目蒸馏车间</w:t>
      </w:r>
      <w:r>
        <w:rPr>
          <w:color w:val="auto"/>
          <w:sz w:val="24"/>
          <w:szCs w:val="24"/>
        </w:rPr>
        <w:t>设置3</w:t>
      </w:r>
      <w:r>
        <w:rPr>
          <w:rFonts w:hint="eastAsia"/>
          <w:color w:val="auto"/>
          <w:sz w:val="24"/>
          <w:szCs w:val="24"/>
          <w:lang w:val="en-US" w:eastAsia="zh-CN"/>
        </w:rPr>
        <w:t>0</w:t>
      </w:r>
      <w:r>
        <w:rPr>
          <w:color w:val="auto"/>
          <w:sz w:val="24"/>
          <w:szCs w:val="24"/>
        </w:rPr>
        <w:t>0m</w:t>
      </w:r>
      <w:r>
        <w:rPr>
          <w:color w:val="auto"/>
          <w:sz w:val="24"/>
          <w:szCs w:val="24"/>
          <w:vertAlign w:val="superscript"/>
        </w:rPr>
        <w:t>3</w:t>
      </w:r>
      <w:r>
        <w:rPr>
          <w:color w:val="auto"/>
          <w:sz w:val="24"/>
          <w:szCs w:val="24"/>
        </w:rPr>
        <w:t>的</w:t>
      </w:r>
      <w:r>
        <w:rPr>
          <w:rFonts w:hint="eastAsia"/>
          <w:color w:val="auto"/>
          <w:sz w:val="24"/>
          <w:szCs w:val="24"/>
          <w:lang w:val="en-US" w:eastAsia="zh-CN"/>
        </w:rPr>
        <w:t>医用酒精暂存</w:t>
      </w:r>
      <w:r>
        <w:rPr>
          <w:color w:val="auto"/>
          <w:sz w:val="24"/>
          <w:szCs w:val="24"/>
        </w:rPr>
        <w:t>储罐</w:t>
      </w:r>
      <w:r>
        <w:rPr>
          <w:rFonts w:hint="eastAsia"/>
          <w:color w:val="auto"/>
          <w:sz w:val="24"/>
          <w:szCs w:val="24"/>
          <w:lang w:val="en-US" w:eastAsia="zh-CN"/>
        </w:rPr>
        <w:t>3</w:t>
      </w:r>
      <w:r>
        <w:rPr>
          <w:color w:val="auto"/>
          <w:sz w:val="24"/>
          <w:szCs w:val="24"/>
        </w:rPr>
        <w:t>个</w:t>
      </w:r>
      <w:r>
        <w:rPr>
          <w:rFonts w:hint="eastAsia"/>
          <w:color w:val="auto"/>
          <w:sz w:val="24"/>
          <w:szCs w:val="24"/>
          <w:lang w:eastAsia="zh-CN"/>
        </w:rPr>
        <w:t>，</w:t>
      </w:r>
      <w:r>
        <w:rPr>
          <w:color w:val="auto"/>
          <w:sz w:val="24"/>
          <w:szCs w:val="24"/>
        </w:rPr>
        <w:t>乙醇的最大存在量为</w:t>
      </w:r>
      <w:r>
        <w:rPr>
          <w:rFonts w:hint="eastAsia"/>
          <w:color w:val="auto"/>
          <w:sz w:val="24"/>
          <w:szCs w:val="24"/>
          <w:lang w:val="en-US" w:eastAsia="zh-CN"/>
        </w:rPr>
        <w:t>9</w:t>
      </w:r>
      <w:r>
        <w:rPr>
          <w:rFonts w:hint="eastAsia"/>
          <w:color w:val="auto"/>
          <w:sz w:val="24"/>
          <w:szCs w:val="24"/>
        </w:rPr>
        <w:t>00</w:t>
      </w:r>
      <w:r>
        <w:rPr>
          <w:color w:val="auto"/>
          <w:sz w:val="24"/>
          <w:szCs w:val="24"/>
        </w:rPr>
        <w:t>m</w:t>
      </w:r>
      <w:r>
        <w:rPr>
          <w:color w:val="auto"/>
          <w:sz w:val="24"/>
          <w:szCs w:val="24"/>
          <w:vertAlign w:val="superscript"/>
        </w:rPr>
        <w:t>3</w:t>
      </w:r>
      <w:r>
        <w:rPr>
          <w:rFonts w:hint="eastAsia"/>
          <w:color w:val="auto"/>
          <w:sz w:val="24"/>
          <w:szCs w:val="24"/>
        </w:rPr>
        <w:t>，</w:t>
      </w:r>
      <w:r>
        <w:rPr>
          <w:color w:val="auto"/>
          <w:sz w:val="24"/>
          <w:szCs w:val="24"/>
        </w:rPr>
        <w:t>乙醇相对密度为0.79</w:t>
      </w:r>
      <w:r>
        <w:rPr>
          <w:rFonts w:hint="eastAsia"/>
          <w:color w:val="auto"/>
          <w:sz w:val="24"/>
          <w:szCs w:val="24"/>
        </w:rPr>
        <w:t>，</w:t>
      </w:r>
      <w:r>
        <w:rPr>
          <w:color w:val="auto"/>
          <w:sz w:val="24"/>
          <w:szCs w:val="24"/>
        </w:rPr>
        <w:t>所以乙醇</w:t>
      </w:r>
      <w:r>
        <w:rPr>
          <w:rFonts w:hint="eastAsia"/>
          <w:color w:val="auto"/>
          <w:sz w:val="24"/>
          <w:szCs w:val="24"/>
        </w:rPr>
        <w:t>存在</w:t>
      </w:r>
      <w:r>
        <w:rPr>
          <w:color w:val="auto"/>
          <w:sz w:val="24"/>
          <w:szCs w:val="24"/>
        </w:rPr>
        <w:t>量为</w:t>
      </w:r>
      <w:r>
        <w:rPr>
          <w:rFonts w:hint="eastAsia"/>
          <w:color w:val="auto"/>
          <w:sz w:val="24"/>
          <w:szCs w:val="24"/>
          <w:lang w:val="en-US" w:eastAsia="zh-CN"/>
        </w:rPr>
        <w:t>711</w:t>
      </w:r>
      <w:r>
        <w:rPr>
          <w:color w:val="auto"/>
          <w:sz w:val="24"/>
          <w:szCs w:val="24"/>
        </w:rPr>
        <w:t>t。</w:t>
      </w:r>
    </w:p>
    <w:p w14:paraId="150C0440">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4-16</w:t>
      </w:r>
      <w:r>
        <w:rPr>
          <w:rFonts w:ascii="Times New Roman" w:hAnsi="Times New Roman" w:cs="Times New Roman"/>
          <w:b/>
          <w:lang w:bidi="ar"/>
        </w:rPr>
        <w:t xml:space="preserve"> 危险物质数量与临界量比值（Q）</w:t>
      </w:r>
    </w:p>
    <w:tbl>
      <w:tblPr>
        <w:tblStyle w:val="53"/>
        <w:tblW w:w="91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390"/>
        <w:gridCol w:w="1401"/>
        <w:gridCol w:w="1836"/>
        <w:gridCol w:w="1258"/>
        <w:gridCol w:w="1260"/>
        <w:gridCol w:w="1328"/>
      </w:tblGrid>
      <w:tr w14:paraId="176F5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724" w:type="dxa"/>
            <w:noWrap w:val="0"/>
            <w:vAlign w:val="center"/>
          </w:tcPr>
          <w:p w14:paraId="5A2763D2">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序号</w:t>
            </w:r>
          </w:p>
        </w:tc>
        <w:tc>
          <w:tcPr>
            <w:tcW w:w="1390" w:type="dxa"/>
            <w:noWrap w:val="0"/>
            <w:vAlign w:val="center"/>
          </w:tcPr>
          <w:p w14:paraId="02692037">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储存介质</w:t>
            </w:r>
          </w:p>
        </w:tc>
        <w:tc>
          <w:tcPr>
            <w:tcW w:w="1401" w:type="dxa"/>
            <w:noWrap w:val="0"/>
            <w:vAlign w:val="center"/>
          </w:tcPr>
          <w:p w14:paraId="4F2EF574">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工艺名称</w:t>
            </w:r>
          </w:p>
        </w:tc>
        <w:tc>
          <w:tcPr>
            <w:tcW w:w="1836" w:type="dxa"/>
            <w:noWrap w:val="0"/>
            <w:vAlign w:val="center"/>
          </w:tcPr>
          <w:p w14:paraId="2473D99D">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储罐容积及个数</w:t>
            </w:r>
          </w:p>
        </w:tc>
        <w:tc>
          <w:tcPr>
            <w:tcW w:w="1258" w:type="dxa"/>
            <w:noWrap w:val="0"/>
            <w:vAlign w:val="center"/>
          </w:tcPr>
          <w:p w14:paraId="59E1E525">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临界量（t）</w:t>
            </w:r>
          </w:p>
        </w:tc>
        <w:tc>
          <w:tcPr>
            <w:tcW w:w="1260" w:type="dxa"/>
            <w:noWrap w:val="0"/>
            <w:vAlign w:val="center"/>
          </w:tcPr>
          <w:p w14:paraId="742DCA99">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企业最大在线量（t）</w:t>
            </w:r>
          </w:p>
        </w:tc>
        <w:tc>
          <w:tcPr>
            <w:tcW w:w="1328" w:type="dxa"/>
            <w:noWrap w:val="0"/>
            <w:vAlign w:val="center"/>
          </w:tcPr>
          <w:p w14:paraId="697E7AA3">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Q值</w:t>
            </w:r>
          </w:p>
        </w:tc>
      </w:tr>
      <w:tr w14:paraId="08F71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724" w:type="dxa"/>
            <w:noWrap w:val="0"/>
            <w:vAlign w:val="center"/>
          </w:tcPr>
          <w:p w14:paraId="6B7C8893">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1</w:t>
            </w:r>
          </w:p>
        </w:tc>
        <w:tc>
          <w:tcPr>
            <w:tcW w:w="1390" w:type="dxa"/>
            <w:noWrap w:val="0"/>
            <w:vAlign w:val="center"/>
          </w:tcPr>
          <w:p w14:paraId="4515323C">
            <w:pPr>
              <w:tabs>
                <w:tab w:val="left" w:pos="1021"/>
              </w:tabs>
              <w:adjustRightInd w:val="0"/>
              <w:snapToGrid w:val="0"/>
              <w:jc w:val="center"/>
              <w:rPr>
                <w:rFonts w:hint="default" w:ascii="Times New Roman" w:hAnsi="Times New Roman" w:eastAsia="宋体" w:cs="Times New Roman"/>
                <w:snapToGrid w:val="0"/>
                <w:kern w:val="0"/>
                <w:sz w:val="21"/>
                <w:szCs w:val="21"/>
                <w:lang w:val="en-US" w:eastAsia="zh-CN"/>
              </w:rPr>
            </w:pPr>
            <w:r>
              <w:rPr>
                <w:rFonts w:hint="eastAsia" w:cs="Times New Roman"/>
                <w:snapToGrid w:val="0"/>
                <w:kern w:val="0"/>
                <w:sz w:val="21"/>
                <w:szCs w:val="21"/>
                <w:lang w:val="en-US" w:eastAsia="zh-CN"/>
              </w:rPr>
              <w:t>医用酒精</w:t>
            </w:r>
          </w:p>
        </w:tc>
        <w:tc>
          <w:tcPr>
            <w:tcW w:w="1401" w:type="dxa"/>
            <w:noWrap w:val="0"/>
            <w:vAlign w:val="center"/>
          </w:tcPr>
          <w:p w14:paraId="7C5FED0D">
            <w:pPr>
              <w:widowControl/>
              <w:adjustRightInd w:val="0"/>
              <w:snapToGrid w:val="0"/>
              <w:jc w:val="center"/>
              <w:rPr>
                <w:rFonts w:hint="default" w:ascii="Times New Roman" w:hAnsi="Times New Roman" w:cs="Times New Roman"/>
                <w:snapToGrid w:val="0"/>
                <w:sz w:val="21"/>
                <w:szCs w:val="21"/>
              </w:rPr>
            </w:pPr>
            <w:r>
              <w:rPr>
                <w:rFonts w:hint="eastAsia" w:cs="Times New Roman"/>
                <w:snapToGrid w:val="0"/>
                <w:sz w:val="21"/>
                <w:szCs w:val="21"/>
                <w:lang w:val="en-US" w:eastAsia="zh-CN"/>
              </w:rPr>
              <w:t>医用酒精暂存</w:t>
            </w:r>
            <w:r>
              <w:rPr>
                <w:rFonts w:hint="default" w:ascii="Times New Roman" w:hAnsi="Times New Roman" w:cs="Times New Roman"/>
                <w:snapToGrid w:val="0"/>
                <w:sz w:val="21"/>
                <w:szCs w:val="21"/>
              </w:rPr>
              <w:t>区</w:t>
            </w:r>
          </w:p>
        </w:tc>
        <w:tc>
          <w:tcPr>
            <w:tcW w:w="1836" w:type="dxa"/>
            <w:noWrap w:val="0"/>
            <w:vAlign w:val="center"/>
          </w:tcPr>
          <w:p w14:paraId="64A4266B">
            <w:pPr>
              <w:widowControl/>
              <w:adjustRightInd w:val="0"/>
              <w:snapToGrid w:val="0"/>
              <w:jc w:val="center"/>
              <w:rPr>
                <w:rFonts w:hint="default" w:ascii="Times New Roman" w:hAnsi="Times New Roman" w:cs="Times New Roman"/>
                <w:snapToGrid w:val="0"/>
                <w:sz w:val="21"/>
                <w:szCs w:val="21"/>
              </w:rPr>
            </w:pPr>
            <w:r>
              <w:rPr>
                <w:rFonts w:hint="default" w:ascii="Times New Roman" w:hAnsi="Times New Roman" w:cs="Times New Roman"/>
                <w:snapToGrid w:val="0"/>
                <w:kern w:val="0"/>
                <w:sz w:val="21"/>
                <w:szCs w:val="21"/>
              </w:rPr>
              <w:t>3</w:t>
            </w:r>
            <w:r>
              <w:rPr>
                <w:rFonts w:hint="eastAsia" w:cs="Times New Roman"/>
                <w:snapToGrid w:val="0"/>
                <w:kern w:val="0"/>
                <w:sz w:val="21"/>
                <w:szCs w:val="21"/>
                <w:lang w:val="en-US" w:eastAsia="zh-CN"/>
              </w:rPr>
              <w:t>0</w:t>
            </w:r>
            <w:r>
              <w:rPr>
                <w:rFonts w:hint="default" w:ascii="Times New Roman" w:hAnsi="Times New Roman" w:cs="Times New Roman"/>
                <w:snapToGrid w:val="0"/>
                <w:kern w:val="0"/>
                <w:sz w:val="21"/>
                <w:szCs w:val="21"/>
              </w:rPr>
              <w:t>0m</w:t>
            </w:r>
            <w:r>
              <w:rPr>
                <w:rFonts w:hint="default" w:ascii="Times New Roman" w:hAnsi="Times New Roman" w:cs="Times New Roman"/>
                <w:snapToGrid w:val="0"/>
                <w:kern w:val="0"/>
                <w:sz w:val="21"/>
                <w:szCs w:val="21"/>
                <w:vertAlign w:val="superscript"/>
              </w:rPr>
              <w:t>3</w:t>
            </w:r>
            <w:r>
              <w:rPr>
                <w:rFonts w:hint="default" w:ascii="Times New Roman" w:hAnsi="Times New Roman" w:cs="Times New Roman"/>
                <w:snapToGrid w:val="0"/>
                <w:kern w:val="0"/>
                <w:sz w:val="21"/>
                <w:szCs w:val="21"/>
              </w:rPr>
              <w:t>×</w:t>
            </w:r>
            <w:r>
              <w:rPr>
                <w:rFonts w:hint="eastAsia" w:cs="Times New Roman"/>
                <w:snapToGrid w:val="0"/>
                <w:kern w:val="0"/>
                <w:sz w:val="21"/>
                <w:szCs w:val="21"/>
                <w:lang w:val="en-US" w:eastAsia="zh-CN"/>
              </w:rPr>
              <w:t>3</w:t>
            </w:r>
            <w:r>
              <w:rPr>
                <w:rFonts w:hint="default" w:ascii="Times New Roman" w:hAnsi="Times New Roman" w:cs="Times New Roman"/>
                <w:snapToGrid w:val="0"/>
                <w:kern w:val="0"/>
                <w:sz w:val="21"/>
                <w:szCs w:val="21"/>
              </w:rPr>
              <w:t>个</w:t>
            </w:r>
          </w:p>
        </w:tc>
        <w:tc>
          <w:tcPr>
            <w:tcW w:w="1258" w:type="dxa"/>
            <w:noWrap w:val="0"/>
            <w:vAlign w:val="center"/>
          </w:tcPr>
          <w:p w14:paraId="778672CA">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500</w:t>
            </w:r>
          </w:p>
        </w:tc>
        <w:tc>
          <w:tcPr>
            <w:tcW w:w="1260" w:type="dxa"/>
            <w:noWrap w:val="0"/>
            <w:vAlign w:val="center"/>
          </w:tcPr>
          <w:p w14:paraId="7F45CA46">
            <w:pPr>
              <w:tabs>
                <w:tab w:val="left" w:pos="1021"/>
              </w:tabs>
              <w:adjustRightInd w:val="0"/>
              <w:snapToGrid w:val="0"/>
              <w:jc w:val="center"/>
              <w:rPr>
                <w:rFonts w:hint="default" w:ascii="Times New Roman" w:hAnsi="Times New Roman" w:eastAsia="宋体" w:cs="Times New Roman"/>
                <w:snapToGrid w:val="0"/>
                <w:kern w:val="0"/>
                <w:sz w:val="21"/>
                <w:szCs w:val="21"/>
                <w:lang w:val="en-US" w:eastAsia="zh-CN"/>
              </w:rPr>
            </w:pPr>
            <w:r>
              <w:rPr>
                <w:rFonts w:hint="default" w:ascii="Times New Roman" w:hAnsi="Times New Roman" w:cs="Times New Roman"/>
                <w:snapToGrid w:val="0"/>
                <w:kern w:val="0"/>
                <w:sz w:val="21"/>
                <w:szCs w:val="21"/>
              </w:rPr>
              <w:t>7</w:t>
            </w:r>
            <w:r>
              <w:rPr>
                <w:rFonts w:hint="eastAsia" w:cs="Times New Roman"/>
                <w:snapToGrid w:val="0"/>
                <w:kern w:val="0"/>
                <w:sz w:val="21"/>
                <w:szCs w:val="21"/>
                <w:lang w:val="en-US" w:eastAsia="zh-CN"/>
              </w:rPr>
              <w:t>11</w:t>
            </w:r>
          </w:p>
        </w:tc>
        <w:tc>
          <w:tcPr>
            <w:tcW w:w="1328" w:type="dxa"/>
            <w:noWrap w:val="0"/>
            <w:vAlign w:val="center"/>
          </w:tcPr>
          <w:p w14:paraId="009E013E">
            <w:pPr>
              <w:adjustRightInd w:val="0"/>
              <w:snapToGrid w:val="0"/>
              <w:jc w:val="center"/>
              <w:rPr>
                <w:rFonts w:hint="default" w:ascii="Times New Roman" w:hAnsi="Times New Roman" w:eastAsia="宋体" w:cs="Times New Roman"/>
                <w:snapToGrid w:val="0"/>
                <w:sz w:val="21"/>
                <w:szCs w:val="21"/>
                <w:lang w:val="en-US" w:eastAsia="zh-CN"/>
              </w:rPr>
            </w:pPr>
            <w:r>
              <w:rPr>
                <w:rFonts w:hint="eastAsia" w:cs="Times New Roman"/>
                <w:snapToGrid w:val="0"/>
                <w:sz w:val="21"/>
                <w:szCs w:val="21"/>
                <w:lang w:val="en-US" w:eastAsia="zh-CN"/>
              </w:rPr>
              <w:t>1.422</w:t>
            </w:r>
          </w:p>
        </w:tc>
      </w:tr>
    </w:tbl>
    <w:p w14:paraId="6627A8C9">
      <w:pPr>
        <w:spacing w:line="500" w:lineRule="exact"/>
        <w:ind w:firstLine="480" w:firstLineChars="200"/>
        <w:rPr>
          <w:sz w:val="24"/>
          <w:szCs w:val="24"/>
        </w:rPr>
      </w:pPr>
      <w:r>
        <w:rPr>
          <w:sz w:val="24"/>
          <w:szCs w:val="24"/>
        </w:rPr>
        <w:t>根据《建设项目环境风险评价技术导则》（HJ169-2018）附录C：</w:t>
      </w:r>
    </w:p>
    <w:p w14:paraId="4785EB8F">
      <w:pPr>
        <w:pStyle w:val="51"/>
        <w:spacing w:line="500" w:lineRule="exact"/>
        <w:ind w:left="0" w:leftChars="0" w:firstLine="480" w:firstLineChars="200"/>
        <w:rPr>
          <w:sz w:val="24"/>
          <w:szCs w:val="24"/>
        </w:rPr>
      </w:pPr>
      <w:r>
        <w:rPr>
          <w:sz w:val="24"/>
          <w:szCs w:val="24"/>
        </w:rPr>
        <w:t>当只涉及一种危险物质时，计算该物质的总数量与其临界量比值，即为Q；</w:t>
      </w:r>
    </w:p>
    <w:p w14:paraId="23B49638">
      <w:pPr>
        <w:pStyle w:val="51"/>
        <w:spacing w:line="500" w:lineRule="exact"/>
        <w:ind w:left="0" w:leftChars="0" w:firstLine="480" w:firstLineChars="200"/>
        <w:rPr>
          <w:sz w:val="24"/>
          <w:szCs w:val="24"/>
        </w:rPr>
      </w:pPr>
      <w:r>
        <w:rPr>
          <w:sz w:val="24"/>
          <w:szCs w:val="24"/>
        </w:rPr>
        <w:t>当企业存在多种危险物质时，则按式（C.1）计算物质总量与其临界量比值（Q）：</w:t>
      </w:r>
    </w:p>
    <w:p w14:paraId="7B926F26">
      <w:pPr>
        <w:pStyle w:val="51"/>
        <w:ind w:firstLineChars="200"/>
        <w:jc w:val="center"/>
        <w:rPr>
          <w:sz w:val="24"/>
          <w:szCs w:val="24"/>
        </w:rPr>
      </w:pPr>
      <w:r>
        <w:rPr>
          <w:position w:val="-30"/>
        </w:rPr>
        <w:object>
          <v:shape id="_x0000_i1025" o:spt="75" alt="" type="#_x0000_t75" style="height:33.75pt;width:107.2pt;" o:ole="t" filled="f" o:preferrelative="t" stroked="f" coordsize="21600,21600">
            <v:path/>
            <v:fill on="f" focussize="0,0"/>
            <v:stroke on="f"/>
            <v:imagedata r:id="rId31" o:title=""/>
            <o:lock v:ext="edit" aspectratio="t"/>
            <w10:wrap type="none"/>
            <w10:anchorlock/>
          </v:shape>
          <o:OLEObject Type="Embed" ProgID="Equation.DSMT4" ShapeID="_x0000_i1025" DrawAspect="Content" ObjectID="_1468075725" r:id="rId30">
            <o:LockedField>false</o:LockedField>
          </o:OLEObject>
        </w:object>
      </w:r>
      <w:r>
        <w:rPr>
          <w:position w:val="-30"/>
        </w:rPr>
        <w:t xml:space="preserve">            </w:t>
      </w:r>
      <w:r>
        <w:rPr>
          <w:sz w:val="24"/>
          <w:szCs w:val="24"/>
        </w:rPr>
        <w:t>（C.1）</w:t>
      </w:r>
    </w:p>
    <w:p w14:paraId="39F03153">
      <w:pPr>
        <w:pStyle w:val="51"/>
        <w:ind w:firstLineChars="200"/>
        <w:rPr>
          <w:szCs w:val="21"/>
        </w:rPr>
      </w:pPr>
      <w:r>
        <w:rPr>
          <w:szCs w:val="21"/>
        </w:rPr>
        <w:t>式中：q</w:t>
      </w:r>
      <w:r>
        <w:rPr>
          <w:szCs w:val="21"/>
          <w:vertAlign w:val="subscript"/>
        </w:rPr>
        <w:t>1</w:t>
      </w:r>
      <w:r>
        <w:rPr>
          <w:szCs w:val="21"/>
        </w:rPr>
        <w:t>、q</w:t>
      </w:r>
      <w:r>
        <w:rPr>
          <w:szCs w:val="21"/>
          <w:vertAlign w:val="subscript"/>
        </w:rPr>
        <w:t>2</w:t>
      </w:r>
      <w:r>
        <w:rPr>
          <w:szCs w:val="21"/>
        </w:rPr>
        <w:t>、q</w:t>
      </w:r>
      <w:r>
        <w:rPr>
          <w:szCs w:val="21"/>
          <w:vertAlign w:val="subscript"/>
        </w:rPr>
        <w:t>n</w:t>
      </w:r>
      <w:r>
        <w:rPr>
          <w:szCs w:val="21"/>
        </w:rPr>
        <w:t>—每种危险物质的最大存在总量，t；</w:t>
      </w:r>
    </w:p>
    <w:p w14:paraId="4AD28148">
      <w:pPr>
        <w:pStyle w:val="51"/>
        <w:spacing w:line="500" w:lineRule="exact"/>
        <w:ind w:firstLineChars="200"/>
        <w:rPr>
          <w:szCs w:val="21"/>
        </w:rPr>
      </w:pPr>
      <w:r>
        <w:rPr>
          <w:szCs w:val="21"/>
        </w:rPr>
        <w:t>Q</w:t>
      </w:r>
      <w:r>
        <w:rPr>
          <w:szCs w:val="21"/>
          <w:vertAlign w:val="subscript"/>
        </w:rPr>
        <w:t>1</w:t>
      </w:r>
      <w:r>
        <w:rPr>
          <w:szCs w:val="21"/>
        </w:rPr>
        <w:t>、Q</w:t>
      </w:r>
      <w:r>
        <w:rPr>
          <w:szCs w:val="21"/>
          <w:vertAlign w:val="subscript"/>
        </w:rPr>
        <w:t>2</w:t>
      </w:r>
      <w:r>
        <w:rPr>
          <w:szCs w:val="21"/>
        </w:rPr>
        <w:t>、Q</w:t>
      </w:r>
      <w:r>
        <w:rPr>
          <w:szCs w:val="21"/>
          <w:vertAlign w:val="subscript"/>
        </w:rPr>
        <w:t>n</w:t>
      </w:r>
      <w:r>
        <w:rPr>
          <w:szCs w:val="21"/>
        </w:rPr>
        <w:t>—每种危险物质的临界量，t；</w:t>
      </w:r>
    </w:p>
    <w:p w14:paraId="26571ED1">
      <w:pPr>
        <w:pStyle w:val="51"/>
        <w:spacing w:line="500" w:lineRule="exact"/>
        <w:ind w:firstLineChars="200"/>
        <w:rPr>
          <w:szCs w:val="21"/>
        </w:rPr>
      </w:pPr>
      <w:r>
        <w:rPr>
          <w:szCs w:val="21"/>
        </w:rPr>
        <w:t>当Q&lt;1时，该项目环境风险潜势为</w:t>
      </w:r>
      <w:r>
        <w:rPr>
          <w:rFonts w:hint="eastAsia" w:ascii="宋体" w:hAnsi="宋体" w:cs="宋体"/>
          <w:szCs w:val="21"/>
        </w:rPr>
        <w:t>Ⅰ</w:t>
      </w:r>
      <w:r>
        <w:rPr>
          <w:szCs w:val="21"/>
        </w:rPr>
        <w:t>级。</w:t>
      </w:r>
    </w:p>
    <w:p w14:paraId="197CB281">
      <w:pPr>
        <w:pStyle w:val="51"/>
        <w:spacing w:line="500" w:lineRule="exact"/>
        <w:ind w:firstLineChars="200"/>
        <w:rPr>
          <w:szCs w:val="21"/>
        </w:rPr>
      </w:pPr>
      <w:r>
        <w:rPr>
          <w:szCs w:val="21"/>
        </w:rPr>
        <w:t>当Q≥1时，将Q值划分为：1≤Q&lt;10；10≤Q&lt;100；Q≥100。</w:t>
      </w:r>
    </w:p>
    <w:p w14:paraId="4C61A1A2">
      <w:pPr>
        <w:spacing w:line="500" w:lineRule="exact"/>
        <w:ind w:firstLine="480" w:firstLineChars="200"/>
        <w:rPr>
          <w:sz w:val="24"/>
          <w:szCs w:val="24"/>
        </w:rPr>
      </w:pPr>
      <w:r>
        <w:rPr>
          <w:sz w:val="24"/>
          <w:szCs w:val="24"/>
        </w:rPr>
        <w:t>本项目Q值</w:t>
      </w:r>
      <w:r>
        <w:rPr>
          <w:color w:val="auto"/>
          <w:sz w:val="24"/>
          <w:szCs w:val="24"/>
        </w:rPr>
        <w:t>为</w:t>
      </w:r>
      <w:r>
        <w:rPr>
          <w:rFonts w:hint="eastAsia"/>
          <w:color w:val="auto"/>
          <w:sz w:val="24"/>
          <w:szCs w:val="24"/>
          <w:lang w:eastAsia="zh-CN"/>
        </w:rPr>
        <w:t>1.422</w:t>
      </w:r>
      <w:r>
        <w:rPr>
          <w:color w:val="auto"/>
          <w:sz w:val="24"/>
          <w:szCs w:val="24"/>
        </w:rPr>
        <w:t>。</w:t>
      </w:r>
      <w:r>
        <w:rPr>
          <w:sz w:val="24"/>
          <w:szCs w:val="24"/>
        </w:rPr>
        <w:t>属于1≤Q&lt;10</w:t>
      </w:r>
      <w:r>
        <w:rPr>
          <w:szCs w:val="21"/>
        </w:rPr>
        <w:t>。</w:t>
      </w:r>
    </w:p>
    <w:p w14:paraId="34642994">
      <w:pPr>
        <w:spacing w:line="500" w:lineRule="exact"/>
        <w:ind w:firstLine="480" w:firstLineChars="200"/>
        <w:rPr>
          <w:sz w:val="24"/>
          <w:szCs w:val="24"/>
        </w:rPr>
      </w:pPr>
      <w:r>
        <w:rPr>
          <w:rFonts w:hint="eastAsia" w:ascii="宋体" w:hAnsi="宋体" w:cs="宋体"/>
          <w:sz w:val="24"/>
          <w:szCs w:val="24"/>
        </w:rPr>
        <w:t>②</w:t>
      </w:r>
      <w:r>
        <w:rPr>
          <w:sz w:val="24"/>
          <w:szCs w:val="24"/>
        </w:rPr>
        <w:t>行业及生产工艺（M）</w:t>
      </w:r>
    </w:p>
    <w:p w14:paraId="0C096B4F">
      <w:pPr>
        <w:spacing w:line="500" w:lineRule="exact"/>
        <w:ind w:firstLine="480" w:firstLineChars="200"/>
        <w:rPr>
          <w:sz w:val="24"/>
          <w:szCs w:val="24"/>
        </w:rPr>
      </w:pPr>
      <w:r>
        <w:rPr>
          <w:sz w:val="24"/>
        </w:rPr>
        <w:t>本项目有乙醇储罐区，根据《建设项目环境风险评价技术导则》（HJ169-2018）附录C表C.1评估本项目生产工艺情况，本项目行业及生产工艺评估结果见表2.</w:t>
      </w:r>
      <w:r>
        <w:rPr>
          <w:rFonts w:hint="eastAsia"/>
          <w:sz w:val="24"/>
          <w:lang w:val="en-US" w:eastAsia="zh-CN"/>
        </w:rPr>
        <w:t>4</w:t>
      </w:r>
      <w:r>
        <w:rPr>
          <w:sz w:val="24"/>
        </w:rPr>
        <w:t>-1</w:t>
      </w:r>
      <w:r>
        <w:rPr>
          <w:rFonts w:hint="eastAsia"/>
          <w:sz w:val="24"/>
          <w:lang w:val="en-US" w:eastAsia="zh-CN"/>
        </w:rPr>
        <w:t>6</w:t>
      </w:r>
      <w:r>
        <w:rPr>
          <w:sz w:val="24"/>
        </w:rPr>
        <w:t>。本项目工艺评分M=5为M4。</w:t>
      </w:r>
    </w:p>
    <w:p w14:paraId="2E06E81A">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4-17</w:t>
      </w:r>
      <w:r>
        <w:rPr>
          <w:rFonts w:ascii="Times New Roman" w:hAnsi="Times New Roman" w:cs="Times New Roman"/>
          <w:b/>
          <w:lang w:bidi="ar"/>
        </w:rPr>
        <w:t xml:space="preserve"> 行业及生产工艺评估结果</w:t>
      </w:r>
    </w:p>
    <w:tbl>
      <w:tblPr>
        <w:tblStyle w:val="53"/>
        <w:tblW w:w="88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4146"/>
        <w:gridCol w:w="1221"/>
        <w:gridCol w:w="1335"/>
        <w:gridCol w:w="1082"/>
      </w:tblGrid>
      <w:tr w14:paraId="7A25A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noWrap w:val="0"/>
            <w:vAlign w:val="center"/>
          </w:tcPr>
          <w:p w14:paraId="16E93F89">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行业</w:t>
            </w:r>
          </w:p>
        </w:tc>
        <w:tc>
          <w:tcPr>
            <w:tcW w:w="4146" w:type="dxa"/>
            <w:noWrap w:val="0"/>
            <w:vAlign w:val="center"/>
          </w:tcPr>
          <w:p w14:paraId="1FFD1A5E">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评估依据</w:t>
            </w:r>
          </w:p>
        </w:tc>
        <w:tc>
          <w:tcPr>
            <w:tcW w:w="1221" w:type="dxa"/>
            <w:noWrap w:val="0"/>
            <w:vAlign w:val="center"/>
          </w:tcPr>
          <w:p w14:paraId="6DDD92DC">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分值</w:t>
            </w:r>
          </w:p>
        </w:tc>
        <w:tc>
          <w:tcPr>
            <w:tcW w:w="1335" w:type="dxa"/>
            <w:noWrap w:val="0"/>
            <w:vAlign w:val="center"/>
          </w:tcPr>
          <w:p w14:paraId="74BA31BA">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企业实际情况</w:t>
            </w:r>
          </w:p>
        </w:tc>
        <w:tc>
          <w:tcPr>
            <w:tcW w:w="1082" w:type="dxa"/>
            <w:noWrap w:val="0"/>
            <w:vAlign w:val="center"/>
          </w:tcPr>
          <w:p w14:paraId="19682CFE">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企业实际得分</w:t>
            </w:r>
          </w:p>
        </w:tc>
      </w:tr>
      <w:tr w14:paraId="0530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vMerge w:val="restart"/>
            <w:noWrap w:val="0"/>
            <w:vAlign w:val="center"/>
          </w:tcPr>
          <w:p w14:paraId="0494756E">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石化、化工、医药、轻工、化纤、有色冶炼</w:t>
            </w:r>
          </w:p>
        </w:tc>
        <w:tc>
          <w:tcPr>
            <w:tcW w:w="4146" w:type="dxa"/>
            <w:noWrap w:val="0"/>
            <w:vAlign w:val="center"/>
          </w:tcPr>
          <w:p w14:paraId="7A627929">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221" w:type="dxa"/>
            <w:noWrap w:val="0"/>
            <w:vAlign w:val="center"/>
          </w:tcPr>
          <w:p w14:paraId="7640AB0B">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10/每套</w:t>
            </w:r>
          </w:p>
        </w:tc>
        <w:tc>
          <w:tcPr>
            <w:tcW w:w="1335" w:type="dxa"/>
            <w:noWrap w:val="0"/>
            <w:vAlign w:val="center"/>
          </w:tcPr>
          <w:p w14:paraId="23CFB637">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不涉及</w:t>
            </w:r>
          </w:p>
        </w:tc>
        <w:tc>
          <w:tcPr>
            <w:tcW w:w="1082" w:type="dxa"/>
            <w:noWrap w:val="0"/>
            <w:vAlign w:val="center"/>
          </w:tcPr>
          <w:p w14:paraId="4206C931">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0</w:t>
            </w:r>
          </w:p>
        </w:tc>
      </w:tr>
      <w:tr w14:paraId="3350D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vMerge w:val="continue"/>
            <w:noWrap w:val="0"/>
            <w:vAlign w:val="center"/>
          </w:tcPr>
          <w:p w14:paraId="6D1004BF">
            <w:pPr>
              <w:tabs>
                <w:tab w:val="left" w:pos="1021"/>
              </w:tabs>
              <w:adjustRightInd w:val="0"/>
              <w:snapToGrid w:val="0"/>
              <w:jc w:val="center"/>
              <w:rPr>
                <w:rFonts w:hint="default" w:ascii="Times New Roman" w:hAnsi="Times New Roman" w:cs="Times New Roman"/>
                <w:snapToGrid w:val="0"/>
                <w:kern w:val="0"/>
                <w:sz w:val="21"/>
                <w:szCs w:val="21"/>
              </w:rPr>
            </w:pPr>
          </w:p>
        </w:tc>
        <w:tc>
          <w:tcPr>
            <w:tcW w:w="4146" w:type="dxa"/>
            <w:noWrap w:val="0"/>
            <w:vAlign w:val="center"/>
          </w:tcPr>
          <w:p w14:paraId="2A79982E">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无机酸制酸工艺、焦化工艺</w:t>
            </w:r>
          </w:p>
        </w:tc>
        <w:tc>
          <w:tcPr>
            <w:tcW w:w="1221" w:type="dxa"/>
            <w:noWrap w:val="0"/>
            <w:vAlign w:val="center"/>
          </w:tcPr>
          <w:p w14:paraId="472B185D">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5/每套</w:t>
            </w:r>
          </w:p>
        </w:tc>
        <w:tc>
          <w:tcPr>
            <w:tcW w:w="1335" w:type="dxa"/>
            <w:noWrap w:val="0"/>
            <w:vAlign w:val="center"/>
          </w:tcPr>
          <w:p w14:paraId="6CA431F5">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不涉及</w:t>
            </w:r>
          </w:p>
        </w:tc>
        <w:tc>
          <w:tcPr>
            <w:tcW w:w="1082" w:type="dxa"/>
            <w:noWrap w:val="0"/>
            <w:vAlign w:val="center"/>
          </w:tcPr>
          <w:p w14:paraId="673F982A">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0</w:t>
            </w:r>
          </w:p>
        </w:tc>
      </w:tr>
      <w:tr w14:paraId="378A0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vMerge w:val="continue"/>
            <w:noWrap w:val="0"/>
            <w:vAlign w:val="center"/>
          </w:tcPr>
          <w:p w14:paraId="453DA24F">
            <w:pPr>
              <w:tabs>
                <w:tab w:val="left" w:pos="1021"/>
              </w:tabs>
              <w:adjustRightInd w:val="0"/>
              <w:snapToGrid w:val="0"/>
              <w:jc w:val="center"/>
              <w:rPr>
                <w:rFonts w:hint="default" w:ascii="Times New Roman" w:hAnsi="Times New Roman" w:cs="Times New Roman"/>
                <w:snapToGrid w:val="0"/>
                <w:kern w:val="0"/>
                <w:sz w:val="21"/>
                <w:szCs w:val="21"/>
              </w:rPr>
            </w:pPr>
          </w:p>
        </w:tc>
        <w:tc>
          <w:tcPr>
            <w:tcW w:w="4146" w:type="dxa"/>
            <w:noWrap w:val="0"/>
            <w:vAlign w:val="center"/>
          </w:tcPr>
          <w:p w14:paraId="1C6BEF67">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其他高温或高压，且涉及危险物质的工艺过程、危险物质贮存罐区</w:t>
            </w:r>
          </w:p>
        </w:tc>
        <w:tc>
          <w:tcPr>
            <w:tcW w:w="1221" w:type="dxa"/>
            <w:noWrap w:val="0"/>
            <w:vAlign w:val="center"/>
          </w:tcPr>
          <w:p w14:paraId="1B3DACEA">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5/每套（罐区）</w:t>
            </w:r>
          </w:p>
        </w:tc>
        <w:tc>
          <w:tcPr>
            <w:tcW w:w="1335" w:type="dxa"/>
            <w:noWrap w:val="0"/>
            <w:vAlign w:val="center"/>
          </w:tcPr>
          <w:p w14:paraId="1A42ADC5">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不涉及</w:t>
            </w:r>
          </w:p>
        </w:tc>
        <w:tc>
          <w:tcPr>
            <w:tcW w:w="1082" w:type="dxa"/>
            <w:noWrap w:val="0"/>
            <w:vAlign w:val="center"/>
          </w:tcPr>
          <w:p w14:paraId="69F221B3">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0</w:t>
            </w:r>
          </w:p>
        </w:tc>
      </w:tr>
      <w:tr w14:paraId="1C9D7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noWrap w:val="0"/>
            <w:vAlign w:val="center"/>
          </w:tcPr>
          <w:p w14:paraId="7C90C286">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管道、港口/码头等</w:t>
            </w:r>
          </w:p>
        </w:tc>
        <w:tc>
          <w:tcPr>
            <w:tcW w:w="4146" w:type="dxa"/>
            <w:noWrap w:val="0"/>
            <w:vAlign w:val="center"/>
          </w:tcPr>
          <w:p w14:paraId="52FB996D">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涉及危险物质管道运输项目、港口/码头等</w:t>
            </w:r>
          </w:p>
        </w:tc>
        <w:tc>
          <w:tcPr>
            <w:tcW w:w="1221" w:type="dxa"/>
            <w:noWrap w:val="0"/>
            <w:vAlign w:val="center"/>
          </w:tcPr>
          <w:p w14:paraId="075C4466">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10</w:t>
            </w:r>
          </w:p>
        </w:tc>
        <w:tc>
          <w:tcPr>
            <w:tcW w:w="1335" w:type="dxa"/>
            <w:noWrap w:val="0"/>
            <w:vAlign w:val="center"/>
          </w:tcPr>
          <w:p w14:paraId="0295EBEB">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不涉及</w:t>
            </w:r>
          </w:p>
        </w:tc>
        <w:tc>
          <w:tcPr>
            <w:tcW w:w="1082" w:type="dxa"/>
            <w:noWrap w:val="0"/>
            <w:vAlign w:val="center"/>
          </w:tcPr>
          <w:p w14:paraId="6066762F">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0</w:t>
            </w:r>
          </w:p>
        </w:tc>
      </w:tr>
      <w:tr w14:paraId="1BBEE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noWrap w:val="0"/>
            <w:vAlign w:val="center"/>
          </w:tcPr>
          <w:p w14:paraId="1A7938E2">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石油天然气</w:t>
            </w:r>
          </w:p>
        </w:tc>
        <w:tc>
          <w:tcPr>
            <w:tcW w:w="4146" w:type="dxa"/>
            <w:noWrap w:val="0"/>
            <w:vAlign w:val="center"/>
          </w:tcPr>
          <w:p w14:paraId="1164EA2A">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石油、天然气、页岩气开采（含净化），气库（不含加气站的气库），油库（不含加油站的油库），油气管线（不含城镇燃气管线）</w:t>
            </w:r>
          </w:p>
        </w:tc>
        <w:tc>
          <w:tcPr>
            <w:tcW w:w="1221" w:type="dxa"/>
            <w:noWrap w:val="0"/>
            <w:vAlign w:val="center"/>
          </w:tcPr>
          <w:p w14:paraId="3156D48F">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10</w:t>
            </w:r>
          </w:p>
        </w:tc>
        <w:tc>
          <w:tcPr>
            <w:tcW w:w="1335" w:type="dxa"/>
            <w:noWrap w:val="0"/>
            <w:vAlign w:val="center"/>
          </w:tcPr>
          <w:p w14:paraId="56783A0F">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不涉及</w:t>
            </w:r>
          </w:p>
        </w:tc>
        <w:tc>
          <w:tcPr>
            <w:tcW w:w="1082" w:type="dxa"/>
            <w:noWrap w:val="0"/>
            <w:vAlign w:val="center"/>
          </w:tcPr>
          <w:p w14:paraId="6096CC69">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0</w:t>
            </w:r>
          </w:p>
        </w:tc>
      </w:tr>
      <w:tr w14:paraId="76B60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noWrap w:val="0"/>
            <w:vAlign w:val="center"/>
          </w:tcPr>
          <w:p w14:paraId="1012D179">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其他</w:t>
            </w:r>
          </w:p>
        </w:tc>
        <w:tc>
          <w:tcPr>
            <w:tcW w:w="4146" w:type="dxa"/>
            <w:noWrap w:val="0"/>
            <w:vAlign w:val="center"/>
          </w:tcPr>
          <w:p w14:paraId="5DCA8194">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涉及危险物质使用、贮存的项目</w:t>
            </w:r>
          </w:p>
        </w:tc>
        <w:tc>
          <w:tcPr>
            <w:tcW w:w="1221" w:type="dxa"/>
            <w:noWrap w:val="0"/>
            <w:vAlign w:val="center"/>
          </w:tcPr>
          <w:p w14:paraId="2511364B">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5</w:t>
            </w:r>
          </w:p>
        </w:tc>
        <w:tc>
          <w:tcPr>
            <w:tcW w:w="1335" w:type="dxa"/>
            <w:noWrap w:val="0"/>
            <w:vAlign w:val="center"/>
          </w:tcPr>
          <w:p w14:paraId="244C08F2">
            <w:pPr>
              <w:tabs>
                <w:tab w:val="left" w:pos="1021"/>
              </w:tabs>
              <w:adjustRightInd w:val="0"/>
              <w:snapToGrid w:val="0"/>
              <w:jc w:val="center"/>
              <w:rPr>
                <w:rFonts w:hint="default" w:ascii="Times New Roman" w:hAnsi="Times New Roman" w:cs="Times New Roman"/>
                <w:snapToGrid w:val="0"/>
                <w:kern w:val="0"/>
                <w:sz w:val="21"/>
                <w:szCs w:val="21"/>
              </w:rPr>
            </w:pPr>
            <w:r>
              <w:rPr>
                <w:rFonts w:hint="eastAsia" w:cs="Times New Roman"/>
                <w:snapToGrid w:val="0"/>
                <w:kern w:val="0"/>
                <w:sz w:val="21"/>
                <w:szCs w:val="21"/>
                <w:lang w:val="en-US" w:eastAsia="zh-CN"/>
              </w:rPr>
              <w:t>本项目</w:t>
            </w:r>
            <w:r>
              <w:rPr>
                <w:rFonts w:hint="default" w:ascii="Times New Roman" w:hAnsi="Times New Roman" w:cs="Times New Roman"/>
                <w:snapToGrid w:val="0"/>
                <w:kern w:val="0"/>
                <w:sz w:val="21"/>
                <w:szCs w:val="21"/>
              </w:rPr>
              <w:t>存储</w:t>
            </w:r>
            <w:r>
              <w:rPr>
                <w:rFonts w:hint="eastAsia" w:ascii="Times New Roman" w:hAnsi="Times New Roman" w:cs="Times New Roman"/>
                <w:snapToGrid w:val="0"/>
                <w:kern w:val="0"/>
                <w:sz w:val="21"/>
                <w:szCs w:val="21"/>
                <w:lang w:val="en-US" w:eastAsia="zh-CN"/>
              </w:rPr>
              <w:t>医用酒精</w:t>
            </w:r>
          </w:p>
        </w:tc>
        <w:tc>
          <w:tcPr>
            <w:tcW w:w="1082" w:type="dxa"/>
            <w:noWrap w:val="0"/>
            <w:vAlign w:val="center"/>
          </w:tcPr>
          <w:p w14:paraId="07E3F7F0">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5</w:t>
            </w:r>
          </w:p>
        </w:tc>
      </w:tr>
    </w:tbl>
    <w:p w14:paraId="55FA75B5">
      <w:pPr>
        <w:spacing w:line="500" w:lineRule="exact"/>
        <w:ind w:firstLine="480" w:firstLineChars="200"/>
        <w:rPr>
          <w:sz w:val="24"/>
          <w:szCs w:val="24"/>
        </w:rPr>
      </w:pPr>
      <w:r>
        <w:rPr>
          <w:rFonts w:hint="eastAsia" w:ascii="宋体" w:hAnsi="宋体" w:cs="宋体"/>
          <w:sz w:val="24"/>
          <w:szCs w:val="24"/>
        </w:rPr>
        <w:t>③</w:t>
      </w:r>
      <w:r>
        <w:rPr>
          <w:sz w:val="24"/>
          <w:szCs w:val="24"/>
        </w:rPr>
        <w:t>危险物质及工艺系统危险性（P）分级</w:t>
      </w:r>
    </w:p>
    <w:p w14:paraId="29FF5156">
      <w:pPr>
        <w:widowControl/>
        <w:spacing w:line="500" w:lineRule="exact"/>
        <w:ind w:firstLine="480" w:firstLineChars="200"/>
        <w:jc w:val="left"/>
        <w:rPr>
          <w:sz w:val="24"/>
        </w:rPr>
      </w:pPr>
      <w:r>
        <w:rPr>
          <w:sz w:val="24"/>
        </w:rPr>
        <w:t>根据危险物质数量与临界量比值Q值为</w:t>
      </w:r>
      <w:r>
        <w:rPr>
          <w:rFonts w:hint="eastAsia"/>
          <w:sz w:val="24"/>
          <w:lang w:eastAsia="zh-CN"/>
        </w:rPr>
        <w:t>1.422</w:t>
      </w:r>
      <w:r>
        <w:rPr>
          <w:sz w:val="24"/>
        </w:rPr>
        <w:t>，1≤Q＜10，行业及生产工艺分级为M4，按照《建设项目环境风险评价技术导则》（HJ169-2018）附录C表C.2（见表2.</w:t>
      </w:r>
      <w:r>
        <w:rPr>
          <w:rFonts w:hint="eastAsia"/>
          <w:sz w:val="24"/>
          <w:lang w:val="en-US" w:eastAsia="zh-CN"/>
        </w:rPr>
        <w:t>4-17</w:t>
      </w:r>
      <w:r>
        <w:rPr>
          <w:sz w:val="24"/>
        </w:rPr>
        <w:t>）确定危险物质及工艺系统危险性（P）分级为P4。</w:t>
      </w:r>
    </w:p>
    <w:p w14:paraId="4F1DE367">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4-18</w:t>
      </w:r>
      <w:r>
        <w:rPr>
          <w:rFonts w:ascii="Times New Roman" w:hAnsi="Times New Roman" w:cs="Times New Roman"/>
          <w:b/>
          <w:lang w:bidi="ar"/>
        </w:rPr>
        <w:t xml:space="preserve"> 危险物质及工艺系统危险性等级判断（P）</w:t>
      </w:r>
    </w:p>
    <w:tbl>
      <w:tblPr>
        <w:tblStyle w:val="53"/>
        <w:tblW w:w="88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3"/>
        <w:gridCol w:w="1763"/>
        <w:gridCol w:w="1764"/>
        <w:gridCol w:w="1764"/>
        <w:gridCol w:w="1765"/>
      </w:tblGrid>
      <w:tr w14:paraId="63F36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763" w:type="dxa"/>
            <w:vMerge w:val="restart"/>
            <w:noWrap w:val="0"/>
            <w:vAlign w:val="center"/>
          </w:tcPr>
          <w:p w14:paraId="3DAE10F8">
            <w:pPr>
              <w:widowControl/>
              <w:adjustRightInd w:val="0"/>
              <w:snapToGrid w:val="0"/>
              <w:jc w:val="center"/>
              <w:rPr>
                <w:snapToGrid w:val="0"/>
                <w:sz w:val="21"/>
                <w:szCs w:val="21"/>
              </w:rPr>
            </w:pPr>
            <w:r>
              <w:rPr>
                <w:snapToGrid w:val="0"/>
                <w:sz w:val="21"/>
                <w:szCs w:val="21"/>
              </w:rPr>
              <w:t>危险物质数量与临界量比值（Q）</w:t>
            </w:r>
          </w:p>
        </w:tc>
        <w:tc>
          <w:tcPr>
            <w:tcW w:w="7056" w:type="dxa"/>
            <w:gridSpan w:val="4"/>
            <w:noWrap w:val="0"/>
            <w:vAlign w:val="center"/>
          </w:tcPr>
          <w:p w14:paraId="2370FA66">
            <w:pPr>
              <w:widowControl/>
              <w:adjustRightInd w:val="0"/>
              <w:snapToGrid w:val="0"/>
              <w:jc w:val="center"/>
              <w:rPr>
                <w:snapToGrid w:val="0"/>
                <w:sz w:val="21"/>
                <w:szCs w:val="21"/>
              </w:rPr>
            </w:pPr>
            <w:r>
              <w:rPr>
                <w:snapToGrid w:val="0"/>
                <w:sz w:val="21"/>
                <w:szCs w:val="21"/>
              </w:rPr>
              <w:t>行业及生产工艺</w:t>
            </w:r>
          </w:p>
        </w:tc>
      </w:tr>
      <w:tr w14:paraId="78E30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763" w:type="dxa"/>
            <w:vMerge w:val="continue"/>
            <w:noWrap w:val="0"/>
            <w:vAlign w:val="center"/>
          </w:tcPr>
          <w:p w14:paraId="2A42C479">
            <w:pPr>
              <w:widowControl/>
              <w:adjustRightInd w:val="0"/>
              <w:snapToGrid w:val="0"/>
              <w:jc w:val="center"/>
              <w:rPr>
                <w:snapToGrid w:val="0"/>
                <w:sz w:val="21"/>
                <w:szCs w:val="21"/>
              </w:rPr>
            </w:pPr>
          </w:p>
        </w:tc>
        <w:tc>
          <w:tcPr>
            <w:tcW w:w="1763" w:type="dxa"/>
            <w:noWrap w:val="0"/>
            <w:vAlign w:val="center"/>
          </w:tcPr>
          <w:p w14:paraId="4552C151">
            <w:pPr>
              <w:widowControl/>
              <w:adjustRightInd w:val="0"/>
              <w:snapToGrid w:val="0"/>
              <w:jc w:val="center"/>
              <w:rPr>
                <w:snapToGrid w:val="0"/>
                <w:sz w:val="21"/>
                <w:szCs w:val="21"/>
              </w:rPr>
            </w:pPr>
            <w:r>
              <w:rPr>
                <w:snapToGrid w:val="0"/>
                <w:sz w:val="21"/>
                <w:szCs w:val="21"/>
              </w:rPr>
              <w:t>M1</w:t>
            </w:r>
          </w:p>
        </w:tc>
        <w:tc>
          <w:tcPr>
            <w:tcW w:w="1764" w:type="dxa"/>
            <w:noWrap w:val="0"/>
            <w:vAlign w:val="center"/>
          </w:tcPr>
          <w:p w14:paraId="0FE4927C">
            <w:pPr>
              <w:adjustRightInd w:val="0"/>
              <w:snapToGrid w:val="0"/>
              <w:jc w:val="center"/>
              <w:rPr>
                <w:snapToGrid w:val="0"/>
                <w:sz w:val="21"/>
                <w:szCs w:val="21"/>
              </w:rPr>
            </w:pPr>
            <w:r>
              <w:rPr>
                <w:snapToGrid w:val="0"/>
                <w:sz w:val="21"/>
                <w:szCs w:val="21"/>
              </w:rPr>
              <w:t>M2</w:t>
            </w:r>
          </w:p>
        </w:tc>
        <w:tc>
          <w:tcPr>
            <w:tcW w:w="1764" w:type="dxa"/>
            <w:noWrap w:val="0"/>
            <w:vAlign w:val="center"/>
          </w:tcPr>
          <w:p w14:paraId="147E4065">
            <w:pPr>
              <w:adjustRightInd w:val="0"/>
              <w:snapToGrid w:val="0"/>
              <w:jc w:val="center"/>
              <w:rPr>
                <w:snapToGrid w:val="0"/>
                <w:sz w:val="21"/>
                <w:szCs w:val="21"/>
              </w:rPr>
            </w:pPr>
            <w:r>
              <w:rPr>
                <w:snapToGrid w:val="0"/>
                <w:sz w:val="21"/>
                <w:szCs w:val="21"/>
              </w:rPr>
              <w:t>M3</w:t>
            </w:r>
          </w:p>
        </w:tc>
        <w:tc>
          <w:tcPr>
            <w:tcW w:w="1765" w:type="dxa"/>
            <w:noWrap w:val="0"/>
            <w:vAlign w:val="center"/>
          </w:tcPr>
          <w:p w14:paraId="40B0B8F9">
            <w:pPr>
              <w:adjustRightInd w:val="0"/>
              <w:snapToGrid w:val="0"/>
              <w:jc w:val="center"/>
              <w:rPr>
                <w:snapToGrid w:val="0"/>
                <w:sz w:val="21"/>
                <w:szCs w:val="21"/>
              </w:rPr>
            </w:pPr>
            <w:r>
              <w:rPr>
                <w:snapToGrid w:val="0"/>
                <w:sz w:val="21"/>
                <w:szCs w:val="21"/>
              </w:rPr>
              <w:t>M4</w:t>
            </w:r>
          </w:p>
        </w:tc>
      </w:tr>
      <w:tr w14:paraId="78A1A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763" w:type="dxa"/>
            <w:noWrap w:val="0"/>
            <w:vAlign w:val="center"/>
          </w:tcPr>
          <w:p w14:paraId="6544C55C">
            <w:pPr>
              <w:widowControl/>
              <w:adjustRightInd w:val="0"/>
              <w:snapToGrid w:val="0"/>
              <w:jc w:val="center"/>
              <w:rPr>
                <w:snapToGrid w:val="0"/>
                <w:sz w:val="21"/>
                <w:szCs w:val="21"/>
              </w:rPr>
            </w:pPr>
            <w:r>
              <w:rPr>
                <w:snapToGrid w:val="0"/>
                <w:sz w:val="21"/>
                <w:szCs w:val="21"/>
              </w:rPr>
              <w:t>Q≥100</w:t>
            </w:r>
          </w:p>
        </w:tc>
        <w:tc>
          <w:tcPr>
            <w:tcW w:w="1763" w:type="dxa"/>
            <w:noWrap w:val="0"/>
            <w:vAlign w:val="center"/>
          </w:tcPr>
          <w:p w14:paraId="17708E4E">
            <w:pPr>
              <w:widowControl/>
              <w:adjustRightInd w:val="0"/>
              <w:snapToGrid w:val="0"/>
              <w:jc w:val="center"/>
              <w:rPr>
                <w:snapToGrid w:val="0"/>
                <w:sz w:val="21"/>
                <w:szCs w:val="21"/>
              </w:rPr>
            </w:pPr>
            <w:r>
              <w:rPr>
                <w:snapToGrid w:val="0"/>
                <w:sz w:val="21"/>
                <w:szCs w:val="21"/>
              </w:rPr>
              <w:t>P1</w:t>
            </w:r>
          </w:p>
        </w:tc>
        <w:tc>
          <w:tcPr>
            <w:tcW w:w="1764" w:type="dxa"/>
            <w:noWrap w:val="0"/>
            <w:vAlign w:val="center"/>
          </w:tcPr>
          <w:p w14:paraId="54C9C1EF">
            <w:pPr>
              <w:widowControl/>
              <w:adjustRightInd w:val="0"/>
              <w:snapToGrid w:val="0"/>
              <w:jc w:val="center"/>
              <w:rPr>
                <w:snapToGrid w:val="0"/>
                <w:sz w:val="21"/>
                <w:szCs w:val="21"/>
              </w:rPr>
            </w:pPr>
            <w:r>
              <w:rPr>
                <w:snapToGrid w:val="0"/>
                <w:sz w:val="21"/>
                <w:szCs w:val="21"/>
              </w:rPr>
              <w:t>P1</w:t>
            </w:r>
          </w:p>
        </w:tc>
        <w:tc>
          <w:tcPr>
            <w:tcW w:w="1764" w:type="dxa"/>
            <w:noWrap w:val="0"/>
            <w:vAlign w:val="center"/>
          </w:tcPr>
          <w:p w14:paraId="28E89633">
            <w:pPr>
              <w:widowControl/>
              <w:adjustRightInd w:val="0"/>
              <w:snapToGrid w:val="0"/>
              <w:jc w:val="center"/>
              <w:rPr>
                <w:snapToGrid w:val="0"/>
                <w:sz w:val="21"/>
                <w:szCs w:val="21"/>
              </w:rPr>
            </w:pPr>
            <w:r>
              <w:rPr>
                <w:snapToGrid w:val="0"/>
                <w:sz w:val="21"/>
                <w:szCs w:val="21"/>
              </w:rPr>
              <w:t>P2</w:t>
            </w:r>
          </w:p>
        </w:tc>
        <w:tc>
          <w:tcPr>
            <w:tcW w:w="1765" w:type="dxa"/>
            <w:noWrap w:val="0"/>
            <w:vAlign w:val="center"/>
          </w:tcPr>
          <w:p w14:paraId="31F73522">
            <w:pPr>
              <w:widowControl/>
              <w:adjustRightInd w:val="0"/>
              <w:snapToGrid w:val="0"/>
              <w:jc w:val="center"/>
              <w:rPr>
                <w:snapToGrid w:val="0"/>
                <w:sz w:val="21"/>
                <w:szCs w:val="21"/>
              </w:rPr>
            </w:pPr>
            <w:r>
              <w:rPr>
                <w:snapToGrid w:val="0"/>
                <w:sz w:val="21"/>
                <w:szCs w:val="21"/>
              </w:rPr>
              <w:t>P3</w:t>
            </w:r>
          </w:p>
        </w:tc>
      </w:tr>
      <w:tr w14:paraId="7461A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763" w:type="dxa"/>
            <w:noWrap w:val="0"/>
            <w:vAlign w:val="center"/>
          </w:tcPr>
          <w:p w14:paraId="6BAC234B">
            <w:pPr>
              <w:widowControl/>
              <w:adjustRightInd w:val="0"/>
              <w:snapToGrid w:val="0"/>
              <w:jc w:val="center"/>
              <w:rPr>
                <w:snapToGrid w:val="0"/>
                <w:sz w:val="21"/>
                <w:szCs w:val="21"/>
              </w:rPr>
            </w:pPr>
            <w:r>
              <w:rPr>
                <w:snapToGrid w:val="0"/>
                <w:sz w:val="21"/>
                <w:szCs w:val="21"/>
              </w:rPr>
              <w:t>10≤Q＜100</w:t>
            </w:r>
          </w:p>
        </w:tc>
        <w:tc>
          <w:tcPr>
            <w:tcW w:w="1763" w:type="dxa"/>
            <w:noWrap w:val="0"/>
            <w:vAlign w:val="center"/>
          </w:tcPr>
          <w:p w14:paraId="40EB5EF9">
            <w:pPr>
              <w:widowControl/>
              <w:adjustRightInd w:val="0"/>
              <w:snapToGrid w:val="0"/>
              <w:jc w:val="center"/>
              <w:rPr>
                <w:snapToGrid w:val="0"/>
                <w:sz w:val="21"/>
                <w:szCs w:val="21"/>
              </w:rPr>
            </w:pPr>
            <w:r>
              <w:rPr>
                <w:snapToGrid w:val="0"/>
                <w:sz w:val="21"/>
                <w:szCs w:val="21"/>
              </w:rPr>
              <w:t>P1</w:t>
            </w:r>
          </w:p>
        </w:tc>
        <w:tc>
          <w:tcPr>
            <w:tcW w:w="1764" w:type="dxa"/>
            <w:noWrap w:val="0"/>
            <w:vAlign w:val="center"/>
          </w:tcPr>
          <w:p w14:paraId="4E67F84F">
            <w:pPr>
              <w:widowControl/>
              <w:adjustRightInd w:val="0"/>
              <w:snapToGrid w:val="0"/>
              <w:jc w:val="center"/>
              <w:rPr>
                <w:snapToGrid w:val="0"/>
                <w:sz w:val="21"/>
                <w:szCs w:val="21"/>
              </w:rPr>
            </w:pPr>
            <w:r>
              <w:rPr>
                <w:snapToGrid w:val="0"/>
                <w:sz w:val="21"/>
                <w:szCs w:val="21"/>
              </w:rPr>
              <w:t>P2</w:t>
            </w:r>
          </w:p>
        </w:tc>
        <w:tc>
          <w:tcPr>
            <w:tcW w:w="1764" w:type="dxa"/>
            <w:noWrap w:val="0"/>
            <w:vAlign w:val="center"/>
          </w:tcPr>
          <w:p w14:paraId="67F02E22">
            <w:pPr>
              <w:widowControl/>
              <w:adjustRightInd w:val="0"/>
              <w:snapToGrid w:val="0"/>
              <w:jc w:val="center"/>
              <w:rPr>
                <w:snapToGrid w:val="0"/>
                <w:sz w:val="21"/>
                <w:szCs w:val="21"/>
              </w:rPr>
            </w:pPr>
            <w:r>
              <w:rPr>
                <w:snapToGrid w:val="0"/>
                <w:sz w:val="21"/>
                <w:szCs w:val="21"/>
              </w:rPr>
              <w:t>P3</w:t>
            </w:r>
          </w:p>
        </w:tc>
        <w:tc>
          <w:tcPr>
            <w:tcW w:w="1765" w:type="dxa"/>
            <w:noWrap w:val="0"/>
            <w:vAlign w:val="center"/>
          </w:tcPr>
          <w:p w14:paraId="49F5C261">
            <w:pPr>
              <w:widowControl/>
              <w:adjustRightInd w:val="0"/>
              <w:snapToGrid w:val="0"/>
              <w:jc w:val="center"/>
              <w:rPr>
                <w:snapToGrid w:val="0"/>
                <w:sz w:val="21"/>
                <w:szCs w:val="21"/>
              </w:rPr>
            </w:pPr>
            <w:r>
              <w:rPr>
                <w:snapToGrid w:val="0"/>
                <w:sz w:val="21"/>
                <w:szCs w:val="21"/>
              </w:rPr>
              <w:t>P4</w:t>
            </w:r>
          </w:p>
        </w:tc>
      </w:tr>
      <w:tr w14:paraId="5B1B5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763" w:type="dxa"/>
            <w:noWrap w:val="0"/>
            <w:vAlign w:val="center"/>
          </w:tcPr>
          <w:p w14:paraId="00EEF4BC">
            <w:pPr>
              <w:widowControl/>
              <w:adjustRightInd w:val="0"/>
              <w:snapToGrid w:val="0"/>
              <w:jc w:val="center"/>
              <w:rPr>
                <w:snapToGrid w:val="0"/>
                <w:sz w:val="21"/>
                <w:szCs w:val="21"/>
              </w:rPr>
            </w:pPr>
            <w:r>
              <w:rPr>
                <w:snapToGrid w:val="0"/>
                <w:sz w:val="21"/>
                <w:szCs w:val="21"/>
              </w:rPr>
              <w:t>1≤Q＜10</w:t>
            </w:r>
          </w:p>
        </w:tc>
        <w:tc>
          <w:tcPr>
            <w:tcW w:w="1763" w:type="dxa"/>
            <w:noWrap w:val="0"/>
            <w:vAlign w:val="center"/>
          </w:tcPr>
          <w:p w14:paraId="31F59DE5">
            <w:pPr>
              <w:widowControl/>
              <w:adjustRightInd w:val="0"/>
              <w:snapToGrid w:val="0"/>
              <w:jc w:val="center"/>
              <w:rPr>
                <w:snapToGrid w:val="0"/>
                <w:sz w:val="21"/>
                <w:szCs w:val="21"/>
              </w:rPr>
            </w:pPr>
            <w:r>
              <w:rPr>
                <w:snapToGrid w:val="0"/>
                <w:sz w:val="21"/>
                <w:szCs w:val="21"/>
              </w:rPr>
              <w:t>P2</w:t>
            </w:r>
          </w:p>
        </w:tc>
        <w:tc>
          <w:tcPr>
            <w:tcW w:w="1764" w:type="dxa"/>
            <w:noWrap w:val="0"/>
            <w:vAlign w:val="center"/>
          </w:tcPr>
          <w:p w14:paraId="215F252E">
            <w:pPr>
              <w:widowControl/>
              <w:adjustRightInd w:val="0"/>
              <w:snapToGrid w:val="0"/>
              <w:jc w:val="center"/>
              <w:rPr>
                <w:snapToGrid w:val="0"/>
                <w:sz w:val="21"/>
                <w:szCs w:val="21"/>
              </w:rPr>
            </w:pPr>
            <w:r>
              <w:rPr>
                <w:snapToGrid w:val="0"/>
                <w:sz w:val="21"/>
                <w:szCs w:val="21"/>
              </w:rPr>
              <w:t>P3</w:t>
            </w:r>
          </w:p>
        </w:tc>
        <w:tc>
          <w:tcPr>
            <w:tcW w:w="1764" w:type="dxa"/>
            <w:noWrap w:val="0"/>
            <w:vAlign w:val="center"/>
          </w:tcPr>
          <w:p w14:paraId="1723FA36">
            <w:pPr>
              <w:widowControl/>
              <w:adjustRightInd w:val="0"/>
              <w:snapToGrid w:val="0"/>
              <w:jc w:val="center"/>
              <w:rPr>
                <w:snapToGrid w:val="0"/>
                <w:sz w:val="21"/>
                <w:szCs w:val="21"/>
              </w:rPr>
            </w:pPr>
            <w:r>
              <w:rPr>
                <w:snapToGrid w:val="0"/>
                <w:sz w:val="21"/>
                <w:szCs w:val="21"/>
              </w:rPr>
              <w:t>P4</w:t>
            </w:r>
          </w:p>
        </w:tc>
        <w:tc>
          <w:tcPr>
            <w:tcW w:w="1765" w:type="dxa"/>
            <w:noWrap w:val="0"/>
            <w:vAlign w:val="center"/>
          </w:tcPr>
          <w:p w14:paraId="42BA09D6">
            <w:pPr>
              <w:widowControl/>
              <w:adjustRightInd w:val="0"/>
              <w:snapToGrid w:val="0"/>
              <w:jc w:val="center"/>
              <w:rPr>
                <w:b/>
                <w:snapToGrid w:val="0"/>
                <w:sz w:val="21"/>
                <w:szCs w:val="21"/>
              </w:rPr>
            </w:pPr>
            <w:r>
              <w:rPr>
                <w:b/>
                <w:snapToGrid w:val="0"/>
                <w:sz w:val="21"/>
                <w:szCs w:val="21"/>
              </w:rPr>
              <w:t>P4</w:t>
            </w:r>
          </w:p>
        </w:tc>
      </w:tr>
    </w:tbl>
    <w:p w14:paraId="03D0EB1E">
      <w:pPr>
        <w:pStyle w:val="51"/>
        <w:spacing w:line="500" w:lineRule="exact"/>
        <w:ind w:left="0" w:leftChars="0" w:firstLine="480" w:firstLineChars="200"/>
        <w:rPr>
          <w:sz w:val="24"/>
          <w:szCs w:val="24"/>
        </w:rPr>
      </w:pPr>
      <w:r>
        <w:rPr>
          <w:sz w:val="24"/>
          <w:szCs w:val="24"/>
        </w:rPr>
        <w:t>（2）环境敏感程度</w:t>
      </w:r>
    </w:p>
    <w:p w14:paraId="3F140B6C">
      <w:pPr>
        <w:spacing w:line="500" w:lineRule="exact"/>
        <w:ind w:firstLine="480" w:firstLineChars="200"/>
        <w:rPr>
          <w:sz w:val="24"/>
          <w:szCs w:val="24"/>
        </w:rPr>
      </w:pPr>
      <w:r>
        <w:rPr>
          <w:rFonts w:hint="eastAsia" w:ascii="宋体" w:hAnsi="宋体" w:cs="宋体"/>
          <w:sz w:val="24"/>
          <w:szCs w:val="24"/>
        </w:rPr>
        <w:t>①</w:t>
      </w:r>
      <w:r>
        <w:rPr>
          <w:sz w:val="24"/>
          <w:szCs w:val="24"/>
        </w:rPr>
        <w:t>大气环境敏感程度分级</w:t>
      </w:r>
    </w:p>
    <w:p w14:paraId="5B8CAFFE">
      <w:pPr>
        <w:spacing w:line="500" w:lineRule="exact"/>
        <w:ind w:firstLine="480" w:firstLineChars="200"/>
        <w:rPr>
          <w:sz w:val="24"/>
        </w:rPr>
      </w:pPr>
      <w:r>
        <w:rPr>
          <w:sz w:val="24"/>
        </w:rPr>
        <w:t>根据《建设项目环境风险评价技术导则》（HJ169-2018）附录D大气环境敏感程度分级表，本项目大气环境敏感程度分级见表2.</w:t>
      </w:r>
      <w:r>
        <w:rPr>
          <w:rFonts w:hint="eastAsia"/>
          <w:sz w:val="24"/>
          <w:lang w:val="en-US" w:eastAsia="zh-CN"/>
        </w:rPr>
        <w:t>4-19</w:t>
      </w:r>
      <w:r>
        <w:rPr>
          <w:sz w:val="24"/>
        </w:rPr>
        <w:t>。</w:t>
      </w:r>
    </w:p>
    <w:p w14:paraId="60B70326">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4-19</w:t>
      </w:r>
      <w:r>
        <w:rPr>
          <w:rFonts w:ascii="Times New Roman" w:hAnsi="Times New Roman" w:cs="Times New Roman"/>
          <w:b/>
          <w:lang w:bidi="ar"/>
        </w:rPr>
        <w:t xml:space="preserve">  大气环境敏感程度分级</w:t>
      </w:r>
    </w:p>
    <w:tbl>
      <w:tblPr>
        <w:tblStyle w:val="53"/>
        <w:tblW w:w="91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7"/>
        <w:gridCol w:w="6160"/>
        <w:gridCol w:w="2164"/>
      </w:tblGrid>
      <w:tr w14:paraId="34D41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7" w:type="dxa"/>
            <w:noWrap w:val="0"/>
            <w:vAlign w:val="center"/>
          </w:tcPr>
          <w:p w14:paraId="3BCD38E4">
            <w:pPr>
              <w:spacing w:line="360" w:lineRule="exact"/>
              <w:jc w:val="center"/>
              <w:rPr>
                <w:sz w:val="21"/>
                <w:szCs w:val="21"/>
              </w:rPr>
            </w:pPr>
            <w:r>
              <w:rPr>
                <w:sz w:val="21"/>
                <w:szCs w:val="21"/>
              </w:rPr>
              <w:t>分级</w:t>
            </w:r>
          </w:p>
        </w:tc>
        <w:tc>
          <w:tcPr>
            <w:tcW w:w="6160" w:type="dxa"/>
            <w:noWrap w:val="0"/>
            <w:vAlign w:val="top"/>
          </w:tcPr>
          <w:p w14:paraId="49E679E2">
            <w:pPr>
              <w:spacing w:line="360" w:lineRule="exact"/>
              <w:jc w:val="center"/>
              <w:rPr>
                <w:sz w:val="21"/>
                <w:szCs w:val="21"/>
              </w:rPr>
            </w:pPr>
            <w:r>
              <w:rPr>
                <w:sz w:val="21"/>
                <w:szCs w:val="21"/>
              </w:rPr>
              <w:t>大气环境敏感性</w:t>
            </w:r>
          </w:p>
        </w:tc>
        <w:tc>
          <w:tcPr>
            <w:tcW w:w="2164" w:type="dxa"/>
            <w:noWrap w:val="0"/>
            <w:vAlign w:val="center"/>
          </w:tcPr>
          <w:p w14:paraId="5629FB7A">
            <w:pPr>
              <w:spacing w:line="360" w:lineRule="exact"/>
              <w:jc w:val="center"/>
              <w:rPr>
                <w:sz w:val="21"/>
                <w:szCs w:val="21"/>
              </w:rPr>
            </w:pPr>
            <w:r>
              <w:rPr>
                <w:sz w:val="21"/>
                <w:szCs w:val="21"/>
              </w:rPr>
              <w:t>本项目</w:t>
            </w:r>
          </w:p>
        </w:tc>
      </w:tr>
      <w:tr w14:paraId="224FD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7" w:type="dxa"/>
            <w:noWrap w:val="0"/>
            <w:vAlign w:val="center"/>
          </w:tcPr>
          <w:p w14:paraId="41BE73EA">
            <w:pPr>
              <w:spacing w:line="360" w:lineRule="exact"/>
              <w:jc w:val="center"/>
              <w:rPr>
                <w:sz w:val="21"/>
                <w:szCs w:val="21"/>
              </w:rPr>
            </w:pPr>
            <w:r>
              <w:rPr>
                <w:sz w:val="21"/>
                <w:szCs w:val="21"/>
              </w:rPr>
              <w:t>E1</w:t>
            </w:r>
          </w:p>
        </w:tc>
        <w:tc>
          <w:tcPr>
            <w:tcW w:w="6160" w:type="dxa"/>
            <w:noWrap w:val="0"/>
            <w:vAlign w:val="top"/>
          </w:tcPr>
          <w:p w14:paraId="75AC5D74">
            <w:pPr>
              <w:spacing w:line="360" w:lineRule="exact"/>
              <w:rPr>
                <w:sz w:val="21"/>
                <w:szCs w:val="21"/>
              </w:rPr>
            </w:pPr>
            <w:r>
              <w:rPr>
                <w:sz w:val="21"/>
                <w:szCs w:val="21"/>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c>
          <w:tcPr>
            <w:tcW w:w="2164" w:type="dxa"/>
            <w:vMerge w:val="restart"/>
            <w:noWrap w:val="0"/>
            <w:vAlign w:val="center"/>
          </w:tcPr>
          <w:p w14:paraId="4617E1D7">
            <w:pPr>
              <w:spacing w:line="360" w:lineRule="exact"/>
              <w:jc w:val="center"/>
              <w:rPr>
                <w:sz w:val="21"/>
                <w:szCs w:val="21"/>
              </w:rPr>
            </w:pPr>
            <w:r>
              <w:rPr>
                <w:sz w:val="21"/>
                <w:szCs w:val="21"/>
              </w:rPr>
              <w:t>本项目周边5km范围内居住区、医疗卫生、文化教育、科研、行政办公等机构人口总数小于1万人；或周边500m范围内人口总数小于500人</w:t>
            </w:r>
            <w:r>
              <w:rPr>
                <w:rFonts w:hint="eastAsia"/>
                <w:sz w:val="21"/>
                <w:szCs w:val="21"/>
                <w:lang w:eastAsia="zh-CN"/>
              </w:rPr>
              <w:t>。</w:t>
            </w:r>
            <w:r>
              <w:rPr>
                <w:sz w:val="21"/>
                <w:szCs w:val="21"/>
              </w:rPr>
              <w:t>本项目大气环境敏感程度分级为E</w:t>
            </w:r>
            <w:r>
              <w:rPr>
                <w:rFonts w:hint="eastAsia"/>
                <w:sz w:val="21"/>
                <w:szCs w:val="21"/>
                <w:lang w:val="en-US" w:eastAsia="zh-CN"/>
              </w:rPr>
              <w:t>3</w:t>
            </w:r>
            <w:r>
              <w:rPr>
                <w:sz w:val="21"/>
                <w:szCs w:val="21"/>
              </w:rPr>
              <w:t>环境</w:t>
            </w:r>
            <w:r>
              <w:rPr>
                <w:rFonts w:hint="eastAsia"/>
                <w:sz w:val="21"/>
                <w:szCs w:val="21"/>
                <w:lang w:val="en-US" w:eastAsia="zh-CN"/>
              </w:rPr>
              <w:t>低</w:t>
            </w:r>
            <w:r>
              <w:rPr>
                <w:sz w:val="21"/>
                <w:szCs w:val="21"/>
              </w:rPr>
              <w:t>度敏感区</w:t>
            </w:r>
          </w:p>
        </w:tc>
      </w:tr>
      <w:tr w14:paraId="4223F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7" w:type="dxa"/>
            <w:noWrap w:val="0"/>
            <w:vAlign w:val="center"/>
          </w:tcPr>
          <w:p w14:paraId="7F37BBC4">
            <w:pPr>
              <w:spacing w:line="360" w:lineRule="exact"/>
              <w:jc w:val="center"/>
              <w:rPr>
                <w:sz w:val="21"/>
                <w:szCs w:val="21"/>
              </w:rPr>
            </w:pPr>
            <w:r>
              <w:rPr>
                <w:sz w:val="21"/>
                <w:szCs w:val="21"/>
              </w:rPr>
              <w:t>E2</w:t>
            </w:r>
          </w:p>
        </w:tc>
        <w:tc>
          <w:tcPr>
            <w:tcW w:w="6160" w:type="dxa"/>
            <w:noWrap w:val="0"/>
            <w:vAlign w:val="top"/>
          </w:tcPr>
          <w:p w14:paraId="6887534E">
            <w:pPr>
              <w:spacing w:line="360" w:lineRule="exact"/>
              <w:rPr>
                <w:sz w:val="21"/>
                <w:szCs w:val="21"/>
              </w:rPr>
            </w:pPr>
            <w:r>
              <w:rPr>
                <w:sz w:val="21"/>
                <w:szCs w:val="21"/>
              </w:rPr>
              <w:t>周边5km范围内居住区、医疗卫生、文化教育、科研、行政办公等机构人口总数大于1万人，小于5万人；或周边500m范围内人口总数大于500人，小于1000人；油气、化学品输送管线管段周边 200m范围内，每千米管段人口数大于100人，小于200人</w:t>
            </w:r>
          </w:p>
        </w:tc>
        <w:tc>
          <w:tcPr>
            <w:tcW w:w="2164" w:type="dxa"/>
            <w:vMerge w:val="continue"/>
            <w:noWrap w:val="0"/>
            <w:vAlign w:val="top"/>
          </w:tcPr>
          <w:p w14:paraId="6D83125F">
            <w:pPr>
              <w:spacing w:line="360" w:lineRule="exact"/>
              <w:rPr>
                <w:sz w:val="21"/>
                <w:szCs w:val="21"/>
              </w:rPr>
            </w:pPr>
          </w:p>
        </w:tc>
      </w:tr>
      <w:tr w14:paraId="45A52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7" w:type="dxa"/>
            <w:noWrap w:val="0"/>
            <w:vAlign w:val="center"/>
          </w:tcPr>
          <w:p w14:paraId="7A4AE10C">
            <w:pPr>
              <w:spacing w:line="360" w:lineRule="exact"/>
              <w:jc w:val="center"/>
              <w:rPr>
                <w:sz w:val="21"/>
                <w:szCs w:val="21"/>
              </w:rPr>
            </w:pPr>
            <w:r>
              <w:rPr>
                <w:sz w:val="21"/>
                <w:szCs w:val="21"/>
              </w:rPr>
              <w:t>E3</w:t>
            </w:r>
          </w:p>
        </w:tc>
        <w:tc>
          <w:tcPr>
            <w:tcW w:w="6160" w:type="dxa"/>
            <w:noWrap w:val="0"/>
            <w:vAlign w:val="top"/>
          </w:tcPr>
          <w:p w14:paraId="0F90FB2C">
            <w:pPr>
              <w:spacing w:line="360" w:lineRule="exact"/>
              <w:rPr>
                <w:sz w:val="21"/>
                <w:szCs w:val="21"/>
              </w:rPr>
            </w:pPr>
            <w:r>
              <w:rPr>
                <w:sz w:val="21"/>
                <w:szCs w:val="21"/>
              </w:rPr>
              <w:t>周边5km范围内居住区、医疗卫生、文化教育、科研、行政办公等机构人口总数小于1万人；或周边500m范围内人口总数小于500人；油气、化学品输送管线管段周边 200 m范围内，每千米管段人口数小于100人</w:t>
            </w:r>
          </w:p>
        </w:tc>
        <w:tc>
          <w:tcPr>
            <w:tcW w:w="2164" w:type="dxa"/>
            <w:vMerge w:val="continue"/>
            <w:noWrap w:val="0"/>
            <w:vAlign w:val="top"/>
          </w:tcPr>
          <w:p w14:paraId="3A566C05">
            <w:pPr>
              <w:spacing w:line="360" w:lineRule="exact"/>
              <w:rPr>
                <w:sz w:val="21"/>
                <w:szCs w:val="21"/>
              </w:rPr>
            </w:pPr>
          </w:p>
        </w:tc>
      </w:tr>
    </w:tbl>
    <w:p w14:paraId="30E1E7AA">
      <w:pPr>
        <w:spacing w:line="500" w:lineRule="exact"/>
        <w:ind w:firstLine="480" w:firstLineChars="200"/>
        <w:rPr>
          <w:sz w:val="24"/>
          <w:szCs w:val="24"/>
        </w:rPr>
      </w:pPr>
      <w:r>
        <w:rPr>
          <w:rFonts w:hint="eastAsia" w:ascii="宋体" w:hAnsi="宋体" w:cs="宋体"/>
          <w:sz w:val="24"/>
          <w:szCs w:val="24"/>
        </w:rPr>
        <w:t>②</w:t>
      </w:r>
      <w:r>
        <w:rPr>
          <w:sz w:val="24"/>
          <w:szCs w:val="24"/>
        </w:rPr>
        <w:t>地表水环境敏感程度分级</w:t>
      </w:r>
    </w:p>
    <w:p w14:paraId="5FADD79C">
      <w:pPr>
        <w:spacing w:line="500" w:lineRule="exact"/>
        <w:ind w:firstLine="480" w:firstLineChars="200"/>
        <w:rPr>
          <w:sz w:val="24"/>
        </w:rPr>
      </w:pPr>
      <w:r>
        <w:rPr>
          <w:sz w:val="24"/>
        </w:rPr>
        <w:t>根据《建设项目环境风险评价技术导则》（HJ169-2018）附录D地表水功能敏感性分区表，本项目地表水功能敏感性分区见表2.</w:t>
      </w:r>
      <w:r>
        <w:rPr>
          <w:rFonts w:hint="eastAsia"/>
          <w:sz w:val="24"/>
          <w:lang w:val="en-US" w:eastAsia="zh-CN"/>
        </w:rPr>
        <w:t>4-20</w:t>
      </w:r>
      <w:r>
        <w:rPr>
          <w:sz w:val="24"/>
        </w:rPr>
        <w:t>。</w:t>
      </w:r>
    </w:p>
    <w:p w14:paraId="7E4FAFD8">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4-20</w:t>
      </w:r>
      <w:r>
        <w:rPr>
          <w:rFonts w:ascii="Times New Roman" w:hAnsi="Times New Roman" w:cs="Times New Roman"/>
          <w:b/>
          <w:lang w:bidi="ar"/>
        </w:rPr>
        <w:t xml:space="preserve"> 地表水功能敏感性分区</w:t>
      </w:r>
    </w:p>
    <w:tbl>
      <w:tblPr>
        <w:tblStyle w:val="53"/>
        <w:tblW w:w="89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3860"/>
        <w:gridCol w:w="4174"/>
      </w:tblGrid>
      <w:tr w14:paraId="36C87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7" w:type="dxa"/>
            <w:noWrap w:val="0"/>
            <w:vAlign w:val="center"/>
          </w:tcPr>
          <w:p w14:paraId="31B389D2">
            <w:pPr>
              <w:spacing w:line="360" w:lineRule="exact"/>
              <w:jc w:val="center"/>
              <w:rPr>
                <w:sz w:val="21"/>
                <w:szCs w:val="21"/>
              </w:rPr>
            </w:pPr>
            <w:r>
              <w:rPr>
                <w:sz w:val="21"/>
                <w:szCs w:val="21"/>
              </w:rPr>
              <w:t>敏感性</w:t>
            </w:r>
          </w:p>
        </w:tc>
        <w:tc>
          <w:tcPr>
            <w:tcW w:w="3860" w:type="dxa"/>
            <w:noWrap w:val="0"/>
            <w:vAlign w:val="center"/>
          </w:tcPr>
          <w:p w14:paraId="517D7FFF">
            <w:pPr>
              <w:spacing w:line="360" w:lineRule="exact"/>
              <w:jc w:val="center"/>
              <w:rPr>
                <w:sz w:val="21"/>
                <w:szCs w:val="21"/>
              </w:rPr>
            </w:pPr>
            <w:r>
              <w:rPr>
                <w:sz w:val="21"/>
                <w:szCs w:val="21"/>
              </w:rPr>
              <w:t>地表水环境敏感特征</w:t>
            </w:r>
          </w:p>
        </w:tc>
        <w:tc>
          <w:tcPr>
            <w:tcW w:w="4174" w:type="dxa"/>
            <w:noWrap w:val="0"/>
            <w:vAlign w:val="center"/>
          </w:tcPr>
          <w:p w14:paraId="10A5A4C9">
            <w:pPr>
              <w:pStyle w:val="65"/>
              <w:jc w:val="center"/>
              <w:rPr>
                <w:rFonts w:ascii="Times New Roman"/>
                <w:color w:val="auto"/>
                <w:sz w:val="21"/>
                <w:szCs w:val="21"/>
              </w:rPr>
            </w:pPr>
            <w:r>
              <w:rPr>
                <w:rFonts w:ascii="Times New Roman" w:eastAsia="宋体"/>
                <w:color w:val="auto"/>
                <w:sz w:val="21"/>
                <w:szCs w:val="21"/>
              </w:rPr>
              <w:t>本项目</w:t>
            </w:r>
          </w:p>
        </w:tc>
      </w:tr>
      <w:tr w14:paraId="034DD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7" w:type="dxa"/>
            <w:noWrap w:val="0"/>
            <w:vAlign w:val="center"/>
          </w:tcPr>
          <w:p w14:paraId="427CD6EC">
            <w:pPr>
              <w:spacing w:line="360" w:lineRule="exact"/>
              <w:jc w:val="center"/>
              <w:rPr>
                <w:sz w:val="21"/>
                <w:szCs w:val="21"/>
              </w:rPr>
            </w:pPr>
            <w:r>
              <w:rPr>
                <w:sz w:val="21"/>
                <w:szCs w:val="21"/>
              </w:rPr>
              <w:t>敏感 F1</w:t>
            </w:r>
          </w:p>
        </w:tc>
        <w:tc>
          <w:tcPr>
            <w:tcW w:w="3860" w:type="dxa"/>
            <w:noWrap w:val="0"/>
            <w:vAlign w:val="center"/>
          </w:tcPr>
          <w:p w14:paraId="3C8D1BF4">
            <w:pPr>
              <w:spacing w:line="360" w:lineRule="exact"/>
              <w:jc w:val="center"/>
              <w:rPr>
                <w:sz w:val="21"/>
                <w:szCs w:val="21"/>
              </w:rPr>
            </w:pPr>
            <w:r>
              <w:rPr>
                <w:sz w:val="21"/>
                <w:szCs w:val="21"/>
              </w:rPr>
              <w:t>排放点进入地表水水域环境功能为</w:t>
            </w:r>
            <w:r>
              <w:rPr>
                <w:rFonts w:hint="eastAsia" w:ascii="宋体" w:hAnsi="宋体" w:cs="宋体"/>
                <w:sz w:val="21"/>
                <w:szCs w:val="21"/>
              </w:rPr>
              <w:t>Ⅱ</w:t>
            </w:r>
            <w:r>
              <w:rPr>
                <w:sz w:val="21"/>
                <w:szCs w:val="21"/>
              </w:rPr>
              <w:t>类及以上，或海水水质分类第一类；或以发生事故时，危险物质泄漏到水体的排放点算起，排放进入受纳河流最大流速时，24h流经范围内涉跨国界的。</w:t>
            </w:r>
          </w:p>
        </w:tc>
        <w:tc>
          <w:tcPr>
            <w:tcW w:w="4174" w:type="dxa"/>
            <w:vMerge w:val="restart"/>
            <w:noWrap w:val="0"/>
            <w:vAlign w:val="center"/>
          </w:tcPr>
          <w:p w14:paraId="2FE61AD7">
            <w:pPr>
              <w:spacing w:line="360" w:lineRule="exact"/>
              <w:jc w:val="center"/>
              <w:rPr>
                <w:sz w:val="21"/>
                <w:szCs w:val="21"/>
              </w:rPr>
            </w:pPr>
            <w:r>
              <w:rPr>
                <w:rFonts w:hint="eastAsia"/>
                <w:sz w:val="21"/>
                <w:szCs w:val="21"/>
                <w:lang w:val="en-US" w:eastAsia="zh-CN"/>
              </w:rPr>
              <w:t>本项目</w:t>
            </w:r>
            <w:r>
              <w:rPr>
                <w:rFonts w:hint="eastAsia"/>
                <w:sz w:val="21"/>
                <w:szCs w:val="21"/>
              </w:rPr>
              <w:t>所排生产废水处理达到《城镇污水处理厂污染物排放标准》（GB18918-2002）中一级标准中的A标准的要求后，</w:t>
            </w:r>
            <w:r>
              <w:rPr>
                <w:rFonts w:hint="eastAsia"/>
                <w:sz w:val="21"/>
                <w:szCs w:val="21"/>
                <w:lang w:eastAsia="zh-CN"/>
              </w:rPr>
              <w:t>经拉哈生物技术与化学制药产业园区污水处理厂入河排污口排入到嫩江</w:t>
            </w:r>
            <w:r>
              <w:rPr>
                <w:rFonts w:hint="eastAsia"/>
                <w:sz w:val="21"/>
                <w:szCs w:val="21"/>
              </w:rPr>
              <w:t>。</w:t>
            </w:r>
            <w:r>
              <w:rPr>
                <w:rFonts w:hint="eastAsia"/>
                <w:sz w:val="21"/>
                <w:szCs w:val="21"/>
                <w:lang w:val="en-US" w:eastAsia="zh-CN"/>
              </w:rPr>
              <w:t>嫩江拉哈</w:t>
            </w:r>
            <w:r>
              <w:rPr>
                <w:rFonts w:hint="eastAsia"/>
                <w:sz w:val="21"/>
                <w:szCs w:val="21"/>
              </w:rPr>
              <w:t>断面满足《地表水环境质量标准》（GB3838-2002）中Ⅲ类水体功能，属于水环境功能达标区。并且排放点24h流经范围不涉跨国界、省界，</w:t>
            </w:r>
            <w:r>
              <w:rPr>
                <w:sz w:val="21"/>
                <w:szCs w:val="21"/>
              </w:rPr>
              <w:t>根据《建设项目环境风险评价技术导则》（HJ169-2018）附录D表D.3地表水功能敏感性分区，本项目地表水功能敏感性分区为F3为低度敏感区。</w:t>
            </w:r>
          </w:p>
        </w:tc>
      </w:tr>
      <w:tr w14:paraId="7A2CF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7" w:type="dxa"/>
            <w:noWrap w:val="0"/>
            <w:vAlign w:val="center"/>
          </w:tcPr>
          <w:p w14:paraId="0DF42972">
            <w:pPr>
              <w:spacing w:line="360" w:lineRule="exact"/>
              <w:jc w:val="center"/>
              <w:rPr>
                <w:sz w:val="21"/>
                <w:szCs w:val="21"/>
              </w:rPr>
            </w:pPr>
            <w:r>
              <w:rPr>
                <w:sz w:val="21"/>
                <w:szCs w:val="21"/>
              </w:rPr>
              <w:t>较敏感 F2</w:t>
            </w:r>
          </w:p>
        </w:tc>
        <w:tc>
          <w:tcPr>
            <w:tcW w:w="3860" w:type="dxa"/>
            <w:noWrap w:val="0"/>
            <w:vAlign w:val="center"/>
          </w:tcPr>
          <w:p w14:paraId="517D261C">
            <w:pPr>
              <w:spacing w:line="360" w:lineRule="exact"/>
              <w:jc w:val="center"/>
              <w:rPr>
                <w:sz w:val="21"/>
                <w:szCs w:val="21"/>
              </w:rPr>
            </w:pPr>
            <w:r>
              <w:rPr>
                <w:sz w:val="21"/>
                <w:szCs w:val="21"/>
              </w:rPr>
              <w:t>排放点进入地表水水域环境功能为</w:t>
            </w:r>
            <w:r>
              <w:rPr>
                <w:rFonts w:hint="eastAsia" w:ascii="宋体" w:hAnsi="宋体" w:cs="宋体"/>
                <w:sz w:val="21"/>
                <w:szCs w:val="21"/>
              </w:rPr>
              <w:t>Ⅲ</w:t>
            </w:r>
            <w:r>
              <w:rPr>
                <w:sz w:val="21"/>
                <w:szCs w:val="21"/>
              </w:rPr>
              <w:t>类，或海水水质分类第二类；或以发生事故时，危险物质泄漏到水体的排放点算起，排放进入受纳河流最大流速时，24h流经范围内涉跨省界的。</w:t>
            </w:r>
          </w:p>
        </w:tc>
        <w:tc>
          <w:tcPr>
            <w:tcW w:w="4174" w:type="dxa"/>
            <w:vMerge w:val="continue"/>
            <w:noWrap w:val="0"/>
            <w:vAlign w:val="center"/>
          </w:tcPr>
          <w:p w14:paraId="6EF84C24">
            <w:pPr>
              <w:pStyle w:val="65"/>
              <w:jc w:val="center"/>
              <w:rPr>
                <w:rFonts w:ascii="Times New Roman"/>
                <w:color w:val="auto"/>
                <w:sz w:val="21"/>
                <w:szCs w:val="21"/>
              </w:rPr>
            </w:pPr>
          </w:p>
        </w:tc>
      </w:tr>
      <w:tr w14:paraId="2FBC8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7" w:type="dxa"/>
            <w:noWrap w:val="0"/>
            <w:vAlign w:val="center"/>
          </w:tcPr>
          <w:p w14:paraId="78EB656F">
            <w:pPr>
              <w:spacing w:line="360" w:lineRule="exact"/>
              <w:jc w:val="center"/>
              <w:rPr>
                <w:sz w:val="21"/>
                <w:szCs w:val="21"/>
              </w:rPr>
            </w:pPr>
            <w:r>
              <w:rPr>
                <w:sz w:val="21"/>
                <w:szCs w:val="21"/>
              </w:rPr>
              <w:t>低敏感 F3</w:t>
            </w:r>
          </w:p>
        </w:tc>
        <w:tc>
          <w:tcPr>
            <w:tcW w:w="3860" w:type="dxa"/>
            <w:noWrap w:val="0"/>
            <w:vAlign w:val="center"/>
          </w:tcPr>
          <w:p w14:paraId="22885A22">
            <w:pPr>
              <w:spacing w:line="360" w:lineRule="exact"/>
              <w:jc w:val="center"/>
              <w:rPr>
                <w:sz w:val="21"/>
                <w:szCs w:val="21"/>
              </w:rPr>
            </w:pPr>
            <w:r>
              <w:rPr>
                <w:sz w:val="21"/>
                <w:szCs w:val="21"/>
              </w:rPr>
              <w:t>上述地区之外的其他地区</w:t>
            </w:r>
          </w:p>
        </w:tc>
        <w:tc>
          <w:tcPr>
            <w:tcW w:w="4174" w:type="dxa"/>
            <w:vMerge w:val="continue"/>
            <w:noWrap w:val="0"/>
            <w:vAlign w:val="center"/>
          </w:tcPr>
          <w:p w14:paraId="3A92E149">
            <w:pPr>
              <w:pStyle w:val="65"/>
              <w:jc w:val="center"/>
              <w:rPr>
                <w:rFonts w:ascii="Times New Roman"/>
                <w:color w:val="auto"/>
                <w:sz w:val="21"/>
                <w:szCs w:val="21"/>
              </w:rPr>
            </w:pPr>
          </w:p>
        </w:tc>
      </w:tr>
    </w:tbl>
    <w:p w14:paraId="06C3E77F">
      <w:pPr>
        <w:spacing w:line="500" w:lineRule="exact"/>
        <w:ind w:firstLine="480" w:firstLineChars="200"/>
        <w:rPr>
          <w:sz w:val="24"/>
        </w:rPr>
      </w:pPr>
      <w:r>
        <w:rPr>
          <w:sz w:val="24"/>
        </w:rPr>
        <w:t>根据《建设项目环境风险评价技术导则》（HJ169-2018）附录D环境敏感目标分级表，本项目环境敏感目标分级见表2.</w:t>
      </w:r>
      <w:r>
        <w:rPr>
          <w:rFonts w:hint="eastAsia"/>
          <w:sz w:val="24"/>
          <w:lang w:val="en-US" w:eastAsia="zh-CN"/>
        </w:rPr>
        <w:t>4-21</w:t>
      </w:r>
      <w:r>
        <w:rPr>
          <w:sz w:val="24"/>
        </w:rPr>
        <w:t>。</w:t>
      </w:r>
    </w:p>
    <w:p w14:paraId="14D5AE68">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4-21</w:t>
      </w:r>
      <w:r>
        <w:rPr>
          <w:rFonts w:ascii="Times New Roman" w:hAnsi="Times New Roman" w:cs="Times New Roman"/>
          <w:b/>
          <w:lang w:bidi="ar"/>
        </w:rPr>
        <w:t>地表水环境敏感目标分级</w:t>
      </w:r>
    </w:p>
    <w:tbl>
      <w:tblPr>
        <w:tblStyle w:val="53"/>
        <w:tblW w:w="88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5664"/>
        <w:gridCol w:w="2421"/>
      </w:tblGrid>
      <w:tr w14:paraId="2D911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noWrap w:val="0"/>
            <w:vAlign w:val="center"/>
          </w:tcPr>
          <w:p w14:paraId="6D50B44F">
            <w:pPr>
              <w:spacing w:line="360" w:lineRule="exact"/>
              <w:jc w:val="center"/>
              <w:rPr>
                <w:sz w:val="21"/>
                <w:szCs w:val="21"/>
              </w:rPr>
            </w:pPr>
            <w:r>
              <w:rPr>
                <w:sz w:val="21"/>
                <w:szCs w:val="21"/>
              </w:rPr>
              <w:t>分级</w:t>
            </w:r>
          </w:p>
        </w:tc>
        <w:tc>
          <w:tcPr>
            <w:tcW w:w="5664" w:type="dxa"/>
            <w:noWrap w:val="0"/>
            <w:vAlign w:val="center"/>
          </w:tcPr>
          <w:p w14:paraId="49BC5B30">
            <w:pPr>
              <w:spacing w:line="360" w:lineRule="exact"/>
              <w:jc w:val="center"/>
              <w:rPr>
                <w:sz w:val="21"/>
                <w:szCs w:val="21"/>
              </w:rPr>
            </w:pPr>
            <w:r>
              <w:rPr>
                <w:sz w:val="21"/>
                <w:szCs w:val="21"/>
              </w:rPr>
              <w:t>环境敏感目标</w:t>
            </w:r>
          </w:p>
        </w:tc>
        <w:tc>
          <w:tcPr>
            <w:tcW w:w="2421" w:type="dxa"/>
            <w:noWrap w:val="0"/>
            <w:vAlign w:val="center"/>
          </w:tcPr>
          <w:p w14:paraId="552D16E8">
            <w:pPr>
              <w:spacing w:line="360" w:lineRule="exact"/>
              <w:jc w:val="center"/>
              <w:rPr>
                <w:sz w:val="21"/>
                <w:szCs w:val="21"/>
              </w:rPr>
            </w:pPr>
            <w:r>
              <w:rPr>
                <w:sz w:val="21"/>
                <w:szCs w:val="21"/>
              </w:rPr>
              <w:t>本项目</w:t>
            </w:r>
          </w:p>
        </w:tc>
      </w:tr>
      <w:tr w14:paraId="69257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noWrap w:val="0"/>
            <w:vAlign w:val="center"/>
          </w:tcPr>
          <w:p w14:paraId="645C9A8F">
            <w:pPr>
              <w:spacing w:line="360" w:lineRule="exact"/>
              <w:jc w:val="center"/>
              <w:rPr>
                <w:sz w:val="21"/>
                <w:szCs w:val="21"/>
              </w:rPr>
            </w:pPr>
            <w:r>
              <w:rPr>
                <w:sz w:val="21"/>
                <w:szCs w:val="21"/>
              </w:rPr>
              <w:t>S1</w:t>
            </w:r>
          </w:p>
        </w:tc>
        <w:tc>
          <w:tcPr>
            <w:tcW w:w="5664" w:type="dxa"/>
            <w:noWrap w:val="0"/>
            <w:vAlign w:val="center"/>
          </w:tcPr>
          <w:p w14:paraId="0B05598A">
            <w:pPr>
              <w:spacing w:line="360" w:lineRule="exact"/>
              <w:jc w:val="center"/>
              <w:rPr>
                <w:sz w:val="21"/>
                <w:szCs w:val="21"/>
              </w:rPr>
            </w:pPr>
            <w:r>
              <w:rPr>
                <w:sz w:val="21"/>
                <w:szCs w:val="21"/>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c>
          <w:tcPr>
            <w:tcW w:w="2421" w:type="dxa"/>
            <w:vMerge w:val="restart"/>
            <w:noWrap w:val="0"/>
            <w:vAlign w:val="center"/>
          </w:tcPr>
          <w:p w14:paraId="05A5CBA3">
            <w:pPr>
              <w:spacing w:line="360" w:lineRule="exact"/>
              <w:jc w:val="center"/>
              <w:rPr>
                <w:sz w:val="21"/>
                <w:szCs w:val="21"/>
              </w:rPr>
            </w:pPr>
            <w:r>
              <w:rPr>
                <w:rFonts w:hint="eastAsia"/>
                <w:sz w:val="21"/>
                <w:szCs w:val="21"/>
              </w:rPr>
              <w:t>排放口</w:t>
            </w:r>
            <w:r>
              <w:rPr>
                <w:sz w:val="21"/>
                <w:szCs w:val="21"/>
              </w:rPr>
              <w:t>下游10km范围内没有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风景名胜区；或其他特殊重要保护区域水产养殖区；地表水环境敏感目标分级为S3级。</w:t>
            </w:r>
          </w:p>
        </w:tc>
      </w:tr>
      <w:tr w14:paraId="6B931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noWrap w:val="0"/>
            <w:vAlign w:val="center"/>
          </w:tcPr>
          <w:p w14:paraId="617A7FC3">
            <w:pPr>
              <w:spacing w:line="360" w:lineRule="exact"/>
              <w:jc w:val="center"/>
              <w:rPr>
                <w:sz w:val="21"/>
                <w:szCs w:val="21"/>
              </w:rPr>
            </w:pPr>
            <w:r>
              <w:rPr>
                <w:sz w:val="21"/>
                <w:szCs w:val="21"/>
              </w:rPr>
              <w:t>S2</w:t>
            </w:r>
          </w:p>
        </w:tc>
        <w:tc>
          <w:tcPr>
            <w:tcW w:w="5664" w:type="dxa"/>
            <w:noWrap w:val="0"/>
            <w:vAlign w:val="center"/>
          </w:tcPr>
          <w:p w14:paraId="4776A2F2">
            <w:pPr>
              <w:spacing w:line="360" w:lineRule="exact"/>
              <w:jc w:val="center"/>
              <w:rPr>
                <w:sz w:val="21"/>
                <w:szCs w:val="21"/>
              </w:rPr>
            </w:pPr>
            <w:r>
              <w:rPr>
                <w:sz w:val="21"/>
                <w:szCs w:val="21"/>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c>
          <w:tcPr>
            <w:tcW w:w="2421" w:type="dxa"/>
            <w:vMerge w:val="continue"/>
            <w:noWrap w:val="0"/>
            <w:vAlign w:val="center"/>
          </w:tcPr>
          <w:p w14:paraId="665A348E">
            <w:pPr>
              <w:spacing w:line="360" w:lineRule="exact"/>
              <w:jc w:val="center"/>
              <w:rPr>
                <w:sz w:val="21"/>
                <w:szCs w:val="21"/>
              </w:rPr>
            </w:pPr>
          </w:p>
        </w:tc>
      </w:tr>
      <w:tr w14:paraId="5B633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3" w:type="dxa"/>
            <w:noWrap w:val="0"/>
            <w:vAlign w:val="center"/>
          </w:tcPr>
          <w:p w14:paraId="0A8F2A44">
            <w:pPr>
              <w:spacing w:line="360" w:lineRule="exact"/>
              <w:jc w:val="center"/>
              <w:rPr>
                <w:sz w:val="21"/>
                <w:szCs w:val="21"/>
              </w:rPr>
            </w:pPr>
            <w:r>
              <w:rPr>
                <w:sz w:val="21"/>
                <w:szCs w:val="21"/>
              </w:rPr>
              <w:t>S3</w:t>
            </w:r>
          </w:p>
        </w:tc>
        <w:tc>
          <w:tcPr>
            <w:tcW w:w="5664" w:type="dxa"/>
            <w:noWrap w:val="0"/>
            <w:vAlign w:val="center"/>
          </w:tcPr>
          <w:p w14:paraId="6ADF3C5A">
            <w:pPr>
              <w:spacing w:line="360" w:lineRule="exact"/>
              <w:jc w:val="center"/>
              <w:rPr>
                <w:sz w:val="21"/>
                <w:szCs w:val="21"/>
              </w:rPr>
            </w:pPr>
            <w:r>
              <w:rPr>
                <w:sz w:val="21"/>
                <w:szCs w:val="21"/>
              </w:rPr>
              <w:t>排放点下游（顺水流向）10km范围、近岸海域一个潮周期水质点可能达到的最大水平距离的两倍范围内无上述类型1和类型2包括的敏感保护目标。</w:t>
            </w:r>
          </w:p>
        </w:tc>
        <w:tc>
          <w:tcPr>
            <w:tcW w:w="2421" w:type="dxa"/>
            <w:vMerge w:val="continue"/>
            <w:noWrap w:val="0"/>
            <w:vAlign w:val="center"/>
          </w:tcPr>
          <w:p w14:paraId="3E5DFD95">
            <w:pPr>
              <w:spacing w:line="360" w:lineRule="exact"/>
              <w:jc w:val="center"/>
              <w:rPr>
                <w:sz w:val="21"/>
                <w:szCs w:val="21"/>
              </w:rPr>
            </w:pPr>
          </w:p>
        </w:tc>
      </w:tr>
    </w:tbl>
    <w:p w14:paraId="0E4542FD">
      <w:pPr>
        <w:spacing w:line="500" w:lineRule="exact"/>
        <w:ind w:firstLine="480" w:firstLineChars="200"/>
        <w:rPr>
          <w:sz w:val="24"/>
        </w:rPr>
      </w:pPr>
      <w:r>
        <w:rPr>
          <w:sz w:val="24"/>
        </w:rPr>
        <w:t>根据《建设项目环境风险评价技术导则》（HJ169-2018）附录D环境敏感目标分级表，本项目环境敏感目标分级见表2.</w:t>
      </w:r>
      <w:r>
        <w:rPr>
          <w:rFonts w:hint="eastAsia"/>
          <w:sz w:val="24"/>
          <w:lang w:val="en-US" w:eastAsia="zh-CN"/>
        </w:rPr>
        <w:t>4-22</w:t>
      </w:r>
      <w:r>
        <w:rPr>
          <w:sz w:val="24"/>
        </w:rPr>
        <w:t>。</w:t>
      </w:r>
    </w:p>
    <w:p w14:paraId="1446A124">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4-22</w:t>
      </w:r>
      <w:r>
        <w:rPr>
          <w:rFonts w:ascii="Times New Roman" w:hAnsi="Times New Roman" w:cs="Times New Roman"/>
          <w:b/>
          <w:lang w:bidi="ar"/>
        </w:rPr>
        <w:t xml:space="preserve"> 地表水环境敏感程度分级</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20"/>
        <w:gridCol w:w="2220"/>
        <w:gridCol w:w="2220"/>
        <w:gridCol w:w="2220"/>
      </w:tblGrid>
      <w:tr w14:paraId="3B000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2220" w:type="dxa"/>
            <w:vMerge w:val="restart"/>
            <w:noWrap w:val="0"/>
            <w:vAlign w:val="center"/>
          </w:tcPr>
          <w:p w14:paraId="076CDF89">
            <w:pPr>
              <w:pStyle w:val="65"/>
              <w:jc w:val="center"/>
              <w:rPr>
                <w:rFonts w:ascii="Times New Roman" w:eastAsia="宋体"/>
                <w:color w:val="auto"/>
                <w:sz w:val="21"/>
                <w:szCs w:val="21"/>
              </w:rPr>
            </w:pPr>
            <w:r>
              <w:rPr>
                <w:rFonts w:ascii="Times New Roman" w:eastAsia="宋体"/>
                <w:color w:val="auto"/>
                <w:sz w:val="21"/>
                <w:szCs w:val="21"/>
              </w:rPr>
              <w:t>环境敏感目标</w:t>
            </w:r>
          </w:p>
        </w:tc>
        <w:tc>
          <w:tcPr>
            <w:tcW w:w="6660" w:type="dxa"/>
            <w:gridSpan w:val="3"/>
            <w:noWrap w:val="0"/>
            <w:vAlign w:val="center"/>
          </w:tcPr>
          <w:p w14:paraId="5A820470">
            <w:pPr>
              <w:pStyle w:val="65"/>
              <w:jc w:val="center"/>
              <w:rPr>
                <w:rFonts w:ascii="Times New Roman" w:eastAsia="宋体"/>
                <w:color w:val="auto"/>
                <w:sz w:val="21"/>
                <w:szCs w:val="21"/>
              </w:rPr>
            </w:pPr>
            <w:r>
              <w:rPr>
                <w:rFonts w:ascii="Times New Roman" w:eastAsia="宋体"/>
                <w:color w:val="auto"/>
                <w:sz w:val="21"/>
                <w:szCs w:val="21"/>
              </w:rPr>
              <w:t>地表水功能敏感性</w:t>
            </w:r>
          </w:p>
        </w:tc>
      </w:tr>
      <w:tr w14:paraId="50BF0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220" w:type="dxa"/>
            <w:vMerge w:val="continue"/>
            <w:noWrap w:val="0"/>
            <w:vAlign w:val="center"/>
          </w:tcPr>
          <w:p w14:paraId="43E87EDE">
            <w:pPr>
              <w:pStyle w:val="65"/>
              <w:jc w:val="center"/>
              <w:rPr>
                <w:rFonts w:ascii="Times New Roman" w:eastAsia="宋体"/>
                <w:color w:val="auto"/>
                <w:sz w:val="21"/>
                <w:szCs w:val="21"/>
              </w:rPr>
            </w:pPr>
          </w:p>
        </w:tc>
        <w:tc>
          <w:tcPr>
            <w:tcW w:w="2220" w:type="dxa"/>
            <w:noWrap w:val="0"/>
            <w:vAlign w:val="center"/>
          </w:tcPr>
          <w:p w14:paraId="5324EE75">
            <w:pPr>
              <w:pStyle w:val="65"/>
              <w:jc w:val="center"/>
              <w:rPr>
                <w:rFonts w:ascii="Times New Roman" w:eastAsia="宋体"/>
                <w:color w:val="auto"/>
                <w:sz w:val="21"/>
                <w:szCs w:val="21"/>
              </w:rPr>
            </w:pPr>
            <w:r>
              <w:rPr>
                <w:rFonts w:ascii="Times New Roman" w:eastAsia="宋体"/>
                <w:color w:val="auto"/>
                <w:sz w:val="21"/>
                <w:szCs w:val="21"/>
              </w:rPr>
              <w:t>F1</w:t>
            </w:r>
          </w:p>
        </w:tc>
        <w:tc>
          <w:tcPr>
            <w:tcW w:w="2220" w:type="dxa"/>
            <w:noWrap w:val="0"/>
            <w:vAlign w:val="center"/>
          </w:tcPr>
          <w:p w14:paraId="20F45BF0">
            <w:pPr>
              <w:pStyle w:val="65"/>
              <w:jc w:val="center"/>
              <w:rPr>
                <w:rFonts w:ascii="Times New Roman" w:eastAsia="宋体"/>
                <w:color w:val="auto"/>
                <w:sz w:val="21"/>
                <w:szCs w:val="21"/>
              </w:rPr>
            </w:pPr>
            <w:r>
              <w:rPr>
                <w:rFonts w:ascii="Times New Roman" w:eastAsia="宋体"/>
                <w:color w:val="auto"/>
                <w:sz w:val="21"/>
                <w:szCs w:val="21"/>
              </w:rPr>
              <w:t>F2</w:t>
            </w:r>
          </w:p>
        </w:tc>
        <w:tc>
          <w:tcPr>
            <w:tcW w:w="2220" w:type="dxa"/>
            <w:noWrap w:val="0"/>
            <w:vAlign w:val="center"/>
          </w:tcPr>
          <w:p w14:paraId="42169795">
            <w:pPr>
              <w:pStyle w:val="65"/>
              <w:jc w:val="center"/>
              <w:rPr>
                <w:rFonts w:ascii="Times New Roman" w:eastAsia="宋体"/>
                <w:color w:val="auto"/>
                <w:sz w:val="21"/>
                <w:szCs w:val="21"/>
              </w:rPr>
            </w:pPr>
            <w:r>
              <w:rPr>
                <w:rFonts w:ascii="Times New Roman" w:eastAsia="宋体"/>
                <w:color w:val="auto"/>
                <w:sz w:val="21"/>
                <w:szCs w:val="21"/>
              </w:rPr>
              <w:t>F3</w:t>
            </w:r>
          </w:p>
        </w:tc>
      </w:tr>
      <w:tr w14:paraId="05E0C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220" w:type="dxa"/>
            <w:noWrap w:val="0"/>
            <w:vAlign w:val="center"/>
          </w:tcPr>
          <w:p w14:paraId="16415688">
            <w:pPr>
              <w:pStyle w:val="65"/>
              <w:jc w:val="center"/>
              <w:rPr>
                <w:rFonts w:ascii="Times New Roman" w:eastAsia="宋体"/>
                <w:color w:val="auto"/>
                <w:sz w:val="21"/>
                <w:szCs w:val="21"/>
              </w:rPr>
            </w:pPr>
            <w:r>
              <w:rPr>
                <w:rFonts w:ascii="Times New Roman" w:eastAsia="宋体"/>
                <w:color w:val="auto"/>
                <w:sz w:val="21"/>
                <w:szCs w:val="21"/>
              </w:rPr>
              <w:t>S1</w:t>
            </w:r>
          </w:p>
        </w:tc>
        <w:tc>
          <w:tcPr>
            <w:tcW w:w="2220" w:type="dxa"/>
            <w:noWrap w:val="0"/>
            <w:vAlign w:val="center"/>
          </w:tcPr>
          <w:p w14:paraId="511C16A5">
            <w:pPr>
              <w:pStyle w:val="65"/>
              <w:jc w:val="center"/>
              <w:rPr>
                <w:rFonts w:ascii="Times New Roman" w:eastAsia="宋体"/>
                <w:color w:val="auto"/>
                <w:sz w:val="21"/>
                <w:szCs w:val="21"/>
              </w:rPr>
            </w:pPr>
            <w:r>
              <w:rPr>
                <w:rFonts w:ascii="Times New Roman" w:eastAsia="宋体"/>
                <w:color w:val="auto"/>
                <w:sz w:val="21"/>
                <w:szCs w:val="21"/>
              </w:rPr>
              <w:t>E1</w:t>
            </w:r>
          </w:p>
        </w:tc>
        <w:tc>
          <w:tcPr>
            <w:tcW w:w="2220" w:type="dxa"/>
            <w:noWrap w:val="0"/>
            <w:vAlign w:val="center"/>
          </w:tcPr>
          <w:p w14:paraId="6EA39811">
            <w:pPr>
              <w:pStyle w:val="65"/>
              <w:jc w:val="center"/>
              <w:rPr>
                <w:rFonts w:ascii="Times New Roman" w:eastAsia="宋体"/>
                <w:color w:val="auto"/>
                <w:sz w:val="21"/>
                <w:szCs w:val="21"/>
              </w:rPr>
            </w:pPr>
            <w:r>
              <w:rPr>
                <w:rFonts w:ascii="Times New Roman" w:eastAsia="宋体"/>
                <w:color w:val="auto"/>
                <w:sz w:val="21"/>
                <w:szCs w:val="21"/>
              </w:rPr>
              <w:t>E1</w:t>
            </w:r>
          </w:p>
        </w:tc>
        <w:tc>
          <w:tcPr>
            <w:tcW w:w="2220" w:type="dxa"/>
            <w:noWrap w:val="0"/>
            <w:vAlign w:val="center"/>
          </w:tcPr>
          <w:p w14:paraId="7AAA87AD">
            <w:pPr>
              <w:pStyle w:val="65"/>
              <w:jc w:val="center"/>
              <w:rPr>
                <w:rFonts w:ascii="Times New Roman" w:eastAsia="宋体"/>
                <w:color w:val="auto"/>
                <w:sz w:val="21"/>
                <w:szCs w:val="21"/>
              </w:rPr>
            </w:pPr>
            <w:r>
              <w:rPr>
                <w:rFonts w:ascii="Times New Roman" w:eastAsia="宋体"/>
                <w:color w:val="auto"/>
                <w:sz w:val="21"/>
                <w:szCs w:val="21"/>
              </w:rPr>
              <w:t>E2</w:t>
            </w:r>
          </w:p>
        </w:tc>
      </w:tr>
      <w:tr w14:paraId="61270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2220" w:type="dxa"/>
            <w:noWrap w:val="0"/>
            <w:vAlign w:val="center"/>
          </w:tcPr>
          <w:p w14:paraId="557B5C4E">
            <w:pPr>
              <w:pStyle w:val="65"/>
              <w:jc w:val="center"/>
              <w:rPr>
                <w:rFonts w:ascii="Times New Roman" w:eastAsia="宋体"/>
                <w:color w:val="auto"/>
                <w:sz w:val="21"/>
                <w:szCs w:val="21"/>
              </w:rPr>
            </w:pPr>
            <w:r>
              <w:rPr>
                <w:rFonts w:ascii="Times New Roman" w:eastAsia="宋体"/>
                <w:color w:val="auto"/>
                <w:sz w:val="21"/>
                <w:szCs w:val="21"/>
              </w:rPr>
              <w:t>S2</w:t>
            </w:r>
          </w:p>
        </w:tc>
        <w:tc>
          <w:tcPr>
            <w:tcW w:w="2220" w:type="dxa"/>
            <w:noWrap w:val="0"/>
            <w:vAlign w:val="center"/>
          </w:tcPr>
          <w:p w14:paraId="7F7DEE84">
            <w:pPr>
              <w:pStyle w:val="65"/>
              <w:jc w:val="center"/>
              <w:rPr>
                <w:rFonts w:ascii="Times New Roman" w:eastAsia="宋体"/>
                <w:color w:val="auto"/>
                <w:sz w:val="21"/>
                <w:szCs w:val="21"/>
              </w:rPr>
            </w:pPr>
            <w:r>
              <w:rPr>
                <w:rFonts w:ascii="Times New Roman" w:eastAsia="宋体"/>
                <w:color w:val="auto"/>
                <w:sz w:val="21"/>
                <w:szCs w:val="21"/>
              </w:rPr>
              <w:t>E1</w:t>
            </w:r>
          </w:p>
        </w:tc>
        <w:tc>
          <w:tcPr>
            <w:tcW w:w="2220" w:type="dxa"/>
            <w:noWrap w:val="0"/>
            <w:vAlign w:val="center"/>
          </w:tcPr>
          <w:p w14:paraId="7F7EC187">
            <w:pPr>
              <w:pStyle w:val="65"/>
              <w:jc w:val="center"/>
              <w:rPr>
                <w:rFonts w:ascii="Times New Roman" w:eastAsia="宋体"/>
                <w:color w:val="auto"/>
                <w:sz w:val="21"/>
                <w:szCs w:val="21"/>
              </w:rPr>
            </w:pPr>
            <w:r>
              <w:rPr>
                <w:rFonts w:ascii="Times New Roman" w:eastAsia="宋体"/>
                <w:color w:val="auto"/>
                <w:sz w:val="21"/>
                <w:szCs w:val="21"/>
              </w:rPr>
              <w:t>E2</w:t>
            </w:r>
          </w:p>
        </w:tc>
        <w:tc>
          <w:tcPr>
            <w:tcW w:w="2220" w:type="dxa"/>
            <w:noWrap w:val="0"/>
            <w:vAlign w:val="center"/>
          </w:tcPr>
          <w:p w14:paraId="466FD7B9">
            <w:pPr>
              <w:pStyle w:val="65"/>
              <w:jc w:val="center"/>
              <w:rPr>
                <w:rFonts w:ascii="Times New Roman" w:eastAsia="宋体"/>
                <w:color w:val="auto"/>
                <w:sz w:val="21"/>
                <w:szCs w:val="21"/>
              </w:rPr>
            </w:pPr>
            <w:r>
              <w:rPr>
                <w:rFonts w:ascii="Times New Roman" w:eastAsia="宋体"/>
                <w:color w:val="auto"/>
                <w:sz w:val="21"/>
                <w:szCs w:val="21"/>
              </w:rPr>
              <w:t>E3</w:t>
            </w:r>
          </w:p>
        </w:tc>
      </w:tr>
      <w:tr w14:paraId="69177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2220" w:type="dxa"/>
            <w:noWrap w:val="0"/>
            <w:vAlign w:val="center"/>
          </w:tcPr>
          <w:p w14:paraId="512E681C">
            <w:pPr>
              <w:pStyle w:val="65"/>
              <w:jc w:val="center"/>
              <w:rPr>
                <w:rFonts w:ascii="Times New Roman" w:eastAsia="宋体"/>
                <w:color w:val="auto"/>
                <w:sz w:val="21"/>
                <w:szCs w:val="21"/>
              </w:rPr>
            </w:pPr>
            <w:r>
              <w:rPr>
                <w:rFonts w:ascii="Times New Roman" w:eastAsia="宋体"/>
                <w:color w:val="auto"/>
                <w:sz w:val="21"/>
                <w:szCs w:val="21"/>
              </w:rPr>
              <w:t>S3</w:t>
            </w:r>
          </w:p>
        </w:tc>
        <w:tc>
          <w:tcPr>
            <w:tcW w:w="2220" w:type="dxa"/>
            <w:noWrap w:val="0"/>
            <w:vAlign w:val="center"/>
          </w:tcPr>
          <w:p w14:paraId="33D9A141">
            <w:pPr>
              <w:pStyle w:val="65"/>
              <w:jc w:val="center"/>
              <w:rPr>
                <w:rFonts w:ascii="Times New Roman" w:eastAsia="宋体"/>
                <w:color w:val="auto"/>
                <w:sz w:val="21"/>
                <w:szCs w:val="21"/>
              </w:rPr>
            </w:pPr>
            <w:r>
              <w:rPr>
                <w:rFonts w:ascii="Times New Roman" w:eastAsia="宋体"/>
                <w:color w:val="auto"/>
                <w:sz w:val="21"/>
                <w:szCs w:val="21"/>
              </w:rPr>
              <w:t>E1</w:t>
            </w:r>
          </w:p>
        </w:tc>
        <w:tc>
          <w:tcPr>
            <w:tcW w:w="2220" w:type="dxa"/>
            <w:noWrap w:val="0"/>
            <w:vAlign w:val="center"/>
          </w:tcPr>
          <w:p w14:paraId="62AA03B5">
            <w:pPr>
              <w:pStyle w:val="65"/>
              <w:jc w:val="center"/>
              <w:rPr>
                <w:rFonts w:ascii="Times New Roman" w:eastAsia="宋体"/>
                <w:color w:val="auto"/>
                <w:sz w:val="21"/>
                <w:szCs w:val="21"/>
              </w:rPr>
            </w:pPr>
            <w:r>
              <w:rPr>
                <w:rFonts w:ascii="Times New Roman" w:eastAsia="宋体"/>
                <w:color w:val="auto"/>
                <w:sz w:val="21"/>
                <w:szCs w:val="21"/>
              </w:rPr>
              <w:t>E2</w:t>
            </w:r>
          </w:p>
        </w:tc>
        <w:tc>
          <w:tcPr>
            <w:tcW w:w="2220" w:type="dxa"/>
            <w:noWrap w:val="0"/>
            <w:vAlign w:val="center"/>
          </w:tcPr>
          <w:p w14:paraId="66DDDB19">
            <w:pPr>
              <w:pStyle w:val="65"/>
              <w:jc w:val="center"/>
              <w:rPr>
                <w:rFonts w:ascii="Times New Roman" w:eastAsia="宋体"/>
                <w:color w:val="auto"/>
                <w:sz w:val="21"/>
                <w:szCs w:val="21"/>
              </w:rPr>
            </w:pPr>
            <w:r>
              <w:rPr>
                <w:rFonts w:ascii="Times New Roman" w:eastAsia="宋体"/>
                <w:color w:val="auto"/>
                <w:sz w:val="21"/>
                <w:szCs w:val="21"/>
              </w:rPr>
              <w:t>E3（√）</w:t>
            </w:r>
          </w:p>
        </w:tc>
      </w:tr>
    </w:tbl>
    <w:p w14:paraId="5F3C7632">
      <w:pPr>
        <w:spacing w:line="500" w:lineRule="exact"/>
        <w:ind w:firstLine="360" w:firstLineChars="150"/>
        <w:rPr>
          <w:sz w:val="24"/>
        </w:rPr>
      </w:pPr>
      <w:r>
        <w:rPr>
          <w:sz w:val="24"/>
        </w:rPr>
        <w:t>根据表2.6-2</w:t>
      </w:r>
      <w:r>
        <w:rPr>
          <w:rFonts w:hint="eastAsia"/>
          <w:sz w:val="24"/>
          <w:lang w:val="en-US" w:eastAsia="zh-CN"/>
        </w:rPr>
        <w:t>2</w:t>
      </w:r>
      <w:r>
        <w:rPr>
          <w:sz w:val="24"/>
        </w:rPr>
        <w:t>可知，本项目地表水环境敏感程度为E3环境低敏感区。</w:t>
      </w:r>
    </w:p>
    <w:p w14:paraId="68636454">
      <w:pPr>
        <w:spacing w:line="500" w:lineRule="exact"/>
        <w:ind w:firstLine="480" w:firstLineChars="200"/>
        <w:rPr>
          <w:sz w:val="24"/>
          <w:szCs w:val="24"/>
        </w:rPr>
      </w:pPr>
      <w:r>
        <w:rPr>
          <w:rFonts w:hint="eastAsia" w:ascii="宋体" w:hAnsi="宋体" w:cs="宋体"/>
          <w:sz w:val="24"/>
          <w:szCs w:val="24"/>
        </w:rPr>
        <w:t>③</w:t>
      </w:r>
      <w:r>
        <w:rPr>
          <w:sz w:val="24"/>
          <w:szCs w:val="24"/>
        </w:rPr>
        <w:t>地下水环境敏感程度分级</w:t>
      </w:r>
    </w:p>
    <w:p w14:paraId="2F2F525F">
      <w:pPr>
        <w:spacing w:line="500" w:lineRule="exact"/>
        <w:ind w:firstLine="600" w:firstLineChars="250"/>
        <w:rPr>
          <w:sz w:val="24"/>
        </w:rPr>
      </w:pPr>
      <w:r>
        <w:rPr>
          <w:sz w:val="24"/>
        </w:rPr>
        <w:t>根据《建设项目环境风险评价技术导则》（HJ169-2018）附录D地下水功能敏感性分区表，本项目地表水功能敏感性分区见表2.</w:t>
      </w:r>
      <w:r>
        <w:rPr>
          <w:rFonts w:hint="eastAsia"/>
          <w:sz w:val="24"/>
          <w:lang w:val="en-US" w:eastAsia="zh-CN"/>
        </w:rPr>
        <w:t>4-23</w:t>
      </w:r>
      <w:r>
        <w:rPr>
          <w:sz w:val="24"/>
        </w:rPr>
        <w:t>。</w:t>
      </w:r>
    </w:p>
    <w:p w14:paraId="3DF16E8E">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4-23</w:t>
      </w:r>
      <w:r>
        <w:rPr>
          <w:rFonts w:ascii="Times New Roman" w:hAnsi="Times New Roman" w:cs="Times New Roman"/>
          <w:b/>
          <w:lang w:bidi="ar"/>
        </w:rPr>
        <w:t>地下水功能敏感性分区</w:t>
      </w:r>
    </w:p>
    <w:tbl>
      <w:tblPr>
        <w:tblStyle w:val="53"/>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6134"/>
        <w:gridCol w:w="1293"/>
      </w:tblGrid>
      <w:tr w14:paraId="6B583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293" w:type="dxa"/>
            <w:noWrap w:val="0"/>
            <w:vAlign w:val="center"/>
          </w:tcPr>
          <w:p w14:paraId="5FCC85AD">
            <w:pPr>
              <w:pStyle w:val="65"/>
              <w:spacing w:line="360" w:lineRule="exact"/>
              <w:jc w:val="center"/>
              <w:rPr>
                <w:rFonts w:ascii="Times New Roman" w:eastAsia="宋体"/>
                <w:color w:val="auto"/>
                <w:sz w:val="21"/>
                <w:szCs w:val="21"/>
              </w:rPr>
            </w:pPr>
            <w:r>
              <w:rPr>
                <w:rFonts w:ascii="Times New Roman" w:eastAsia="宋体"/>
                <w:color w:val="auto"/>
                <w:sz w:val="21"/>
                <w:szCs w:val="21"/>
              </w:rPr>
              <w:t>敏感性</w:t>
            </w:r>
          </w:p>
        </w:tc>
        <w:tc>
          <w:tcPr>
            <w:tcW w:w="6134" w:type="dxa"/>
            <w:noWrap w:val="0"/>
            <w:vAlign w:val="top"/>
          </w:tcPr>
          <w:p w14:paraId="0D8571EB">
            <w:pPr>
              <w:pStyle w:val="65"/>
              <w:spacing w:line="360" w:lineRule="exact"/>
              <w:rPr>
                <w:rFonts w:ascii="Times New Roman" w:eastAsia="宋体"/>
                <w:color w:val="auto"/>
                <w:sz w:val="21"/>
                <w:szCs w:val="21"/>
              </w:rPr>
            </w:pPr>
            <w:r>
              <w:rPr>
                <w:rFonts w:ascii="Times New Roman" w:eastAsia="宋体"/>
                <w:color w:val="auto"/>
                <w:sz w:val="21"/>
                <w:szCs w:val="21"/>
              </w:rPr>
              <w:t>地下水环境敏感特征</w:t>
            </w:r>
          </w:p>
        </w:tc>
        <w:tc>
          <w:tcPr>
            <w:tcW w:w="1293" w:type="dxa"/>
            <w:noWrap w:val="0"/>
            <w:vAlign w:val="center"/>
          </w:tcPr>
          <w:p w14:paraId="36E754BE">
            <w:pPr>
              <w:pStyle w:val="65"/>
              <w:spacing w:line="360" w:lineRule="exact"/>
              <w:jc w:val="center"/>
              <w:rPr>
                <w:rFonts w:ascii="Times New Roman" w:eastAsia="宋体"/>
                <w:color w:val="auto"/>
                <w:sz w:val="21"/>
                <w:szCs w:val="21"/>
              </w:rPr>
            </w:pPr>
            <w:r>
              <w:rPr>
                <w:rFonts w:ascii="Times New Roman" w:eastAsia="宋体"/>
                <w:color w:val="auto"/>
                <w:sz w:val="21"/>
                <w:szCs w:val="21"/>
              </w:rPr>
              <w:t>本项目</w:t>
            </w:r>
          </w:p>
        </w:tc>
      </w:tr>
      <w:tr w14:paraId="4AF81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3" w:type="dxa"/>
            <w:noWrap w:val="0"/>
            <w:vAlign w:val="center"/>
          </w:tcPr>
          <w:p w14:paraId="6DE45409">
            <w:pPr>
              <w:pStyle w:val="65"/>
              <w:spacing w:line="360" w:lineRule="exact"/>
              <w:jc w:val="center"/>
              <w:rPr>
                <w:rFonts w:ascii="Times New Roman" w:eastAsia="宋体"/>
                <w:color w:val="auto"/>
                <w:sz w:val="21"/>
                <w:szCs w:val="21"/>
              </w:rPr>
            </w:pPr>
            <w:r>
              <w:rPr>
                <w:rFonts w:ascii="Times New Roman" w:eastAsia="宋体"/>
                <w:color w:val="auto"/>
                <w:sz w:val="21"/>
                <w:szCs w:val="21"/>
              </w:rPr>
              <w:t>敏感 G1</w:t>
            </w:r>
          </w:p>
        </w:tc>
        <w:tc>
          <w:tcPr>
            <w:tcW w:w="6134" w:type="dxa"/>
            <w:noWrap w:val="0"/>
            <w:vAlign w:val="top"/>
          </w:tcPr>
          <w:p w14:paraId="0688073A">
            <w:pPr>
              <w:pStyle w:val="65"/>
              <w:spacing w:line="360" w:lineRule="exact"/>
              <w:rPr>
                <w:rFonts w:ascii="Times New Roman" w:eastAsia="宋体"/>
                <w:color w:val="auto"/>
                <w:sz w:val="21"/>
                <w:szCs w:val="21"/>
              </w:rPr>
            </w:pPr>
            <w:r>
              <w:rPr>
                <w:rFonts w:ascii="Times New Roman" w:eastAsia="宋体"/>
                <w:color w:val="auto"/>
                <w:sz w:val="21"/>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c>
          <w:tcPr>
            <w:tcW w:w="1293" w:type="dxa"/>
            <w:vMerge w:val="restart"/>
            <w:noWrap w:val="0"/>
            <w:vAlign w:val="center"/>
          </w:tcPr>
          <w:p w14:paraId="49A75C6E">
            <w:pPr>
              <w:pStyle w:val="65"/>
              <w:spacing w:line="360" w:lineRule="exact"/>
              <w:jc w:val="center"/>
              <w:rPr>
                <w:rFonts w:ascii="Times New Roman" w:eastAsia="宋体"/>
                <w:color w:val="auto"/>
                <w:sz w:val="21"/>
                <w:szCs w:val="21"/>
              </w:rPr>
            </w:pPr>
            <w:r>
              <w:rPr>
                <w:rFonts w:ascii="Times New Roman" w:eastAsia="宋体"/>
                <w:color w:val="auto"/>
                <w:sz w:val="21"/>
                <w:szCs w:val="21"/>
              </w:rPr>
              <w:t>评价区范围内</w:t>
            </w:r>
            <w:r>
              <w:rPr>
                <w:rFonts w:hint="eastAsia" w:ascii="Times New Roman" w:eastAsia="宋体"/>
                <w:color w:val="auto"/>
                <w:sz w:val="21"/>
                <w:szCs w:val="21"/>
                <w:lang w:val="en-US" w:eastAsia="zh-CN"/>
              </w:rPr>
              <w:t>存在</w:t>
            </w:r>
            <w:r>
              <w:rPr>
                <w:rFonts w:ascii="Times New Roman" w:eastAsia="宋体"/>
                <w:color w:val="auto"/>
                <w:sz w:val="21"/>
                <w:szCs w:val="21"/>
              </w:rPr>
              <w:t>分散式饮用水水源地，本项目地下水功能敏感性分区为G</w:t>
            </w:r>
            <w:r>
              <w:rPr>
                <w:rFonts w:hint="eastAsia" w:ascii="Times New Roman" w:eastAsia="宋体"/>
                <w:color w:val="auto"/>
                <w:sz w:val="21"/>
                <w:szCs w:val="21"/>
                <w:lang w:val="en-US" w:eastAsia="zh-CN"/>
              </w:rPr>
              <w:t>2较</w:t>
            </w:r>
            <w:r>
              <w:rPr>
                <w:rFonts w:ascii="Times New Roman" w:eastAsia="宋体"/>
                <w:color w:val="auto"/>
                <w:sz w:val="21"/>
                <w:szCs w:val="21"/>
              </w:rPr>
              <w:t>敏感区。</w:t>
            </w:r>
          </w:p>
        </w:tc>
      </w:tr>
      <w:tr w14:paraId="254B7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3" w:type="dxa"/>
            <w:noWrap w:val="0"/>
            <w:vAlign w:val="center"/>
          </w:tcPr>
          <w:p w14:paraId="469D8810">
            <w:pPr>
              <w:pStyle w:val="65"/>
              <w:spacing w:line="360" w:lineRule="exact"/>
              <w:jc w:val="center"/>
              <w:rPr>
                <w:rFonts w:ascii="Times New Roman" w:eastAsia="宋体"/>
                <w:color w:val="auto"/>
                <w:sz w:val="21"/>
                <w:szCs w:val="21"/>
              </w:rPr>
            </w:pPr>
            <w:r>
              <w:rPr>
                <w:rFonts w:ascii="Times New Roman" w:eastAsia="宋体"/>
                <w:color w:val="auto"/>
                <w:sz w:val="21"/>
                <w:szCs w:val="21"/>
              </w:rPr>
              <w:t>较敏感 G2</w:t>
            </w:r>
          </w:p>
        </w:tc>
        <w:tc>
          <w:tcPr>
            <w:tcW w:w="6134" w:type="dxa"/>
            <w:noWrap w:val="0"/>
            <w:vAlign w:val="top"/>
          </w:tcPr>
          <w:p w14:paraId="596A6199">
            <w:pPr>
              <w:pStyle w:val="65"/>
              <w:spacing w:line="360" w:lineRule="exact"/>
              <w:rPr>
                <w:rFonts w:ascii="Times New Roman" w:eastAsia="宋体"/>
                <w:color w:val="auto"/>
                <w:sz w:val="21"/>
                <w:szCs w:val="21"/>
              </w:rPr>
            </w:pPr>
            <w:r>
              <w:rPr>
                <w:rFonts w:ascii="Times New Roman" w:eastAsia="宋体"/>
                <w:color w:val="auto"/>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ascii="Times New Roman" w:eastAsia="宋体"/>
                <w:color w:val="auto"/>
                <w:sz w:val="21"/>
                <w:szCs w:val="21"/>
                <w:vertAlign w:val="superscript"/>
              </w:rPr>
              <w:t>a</w:t>
            </w:r>
            <w:r>
              <w:rPr>
                <w:rFonts w:ascii="Times New Roman" w:eastAsia="宋体"/>
                <w:color w:val="auto"/>
                <w:sz w:val="21"/>
                <w:szCs w:val="21"/>
              </w:rPr>
              <w:t>。</w:t>
            </w:r>
          </w:p>
        </w:tc>
        <w:tc>
          <w:tcPr>
            <w:tcW w:w="1293" w:type="dxa"/>
            <w:vMerge w:val="continue"/>
            <w:noWrap w:val="0"/>
            <w:vAlign w:val="top"/>
          </w:tcPr>
          <w:p w14:paraId="6F97F221">
            <w:pPr>
              <w:pStyle w:val="65"/>
              <w:spacing w:line="360" w:lineRule="exact"/>
              <w:rPr>
                <w:rFonts w:ascii="Times New Roman" w:eastAsia="宋体"/>
                <w:color w:val="auto"/>
                <w:sz w:val="21"/>
                <w:szCs w:val="21"/>
              </w:rPr>
            </w:pPr>
          </w:p>
        </w:tc>
      </w:tr>
      <w:tr w14:paraId="69A60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3" w:type="dxa"/>
            <w:noWrap w:val="0"/>
            <w:vAlign w:val="center"/>
          </w:tcPr>
          <w:p w14:paraId="749CC5F1">
            <w:pPr>
              <w:pStyle w:val="65"/>
              <w:spacing w:line="360" w:lineRule="exact"/>
              <w:jc w:val="center"/>
              <w:rPr>
                <w:rFonts w:ascii="Times New Roman" w:eastAsia="宋体"/>
                <w:color w:val="auto"/>
                <w:sz w:val="21"/>
                <w:szCs w:val="21"/>
              </w:rPr>
            </w:pPr>
            <w:r>
              <w:rPr>
                <w:rFonts w:ascii="Times New Roman" w:eastAsia="宋体"/>
                <w:color w:val="auto"/>
                <w:sz w:val="21"/>
                <w:szCs w:val="21"/>
              </w:rPr>
              <w:t>低敏感 G3</w:t>
            </w:r>
          </w:p>
        </w:tc>
        <w:tc>
          <w:tcPr>
            <w:tcW w:w="6134" w:type="dxa"/>
            <w:noWrap w:val="0"/>
            <w:vAlign w:val="top"/>
          </w:tcPr>
          <w:p w14:paraId="0FF27FBA">
            <w:pPr>
              <w:pStyle w:val="65"/>
              <w:spacing w:line="360" w:lineRule="exact"/>
              <w:rPr>
                <w:rFonts w:ascii="Times New Roman" w:eastAsia="宋体"/>
                <w:color w:val="auto"/>
                <w:sz w:val="21"/>
                <w:szCs w:val="21"/>
              </w:rPr>
            </w:pPr>
            <w:r>
              <w:rPr>
                <w:rFonts w:ascii="Times New Roman" w:eastAsia="宋体"/>
                <w:color w:val="auto"/>
                <w:sz w:val="21"/>
                <w:szCs w:val="21"/>
              </w:rPr>
              <w:t>上述地区之外的其他地区</w:t>
            </w:r>
          </w:p>
        </w:tc>
        <w:tc>
          <w:tcPr>
            <w:tcW w:w="1293" w:type="dxa"/>
            <w:vMerge w:val="continue"/>
            <w:noWrap w:val="0"/>
            <w:vAlign w:val="top"/>
          </w:tcPr>
          <w:p w14:paraId="7E0211B9">
            <w:pPr>
              <w:pStyle w:val="65"/>
              <w:spacing w:line="360" w:lineRule="exact"/>
              <w:rPr>
                <w:rFonts w:ascii="Times New Roman" w:eastAsia="宋体"/>
                <w:color w:val="auto"/>
                <w:sz w:val="21"/>
                <w:szCs w:val="21"/>
              </w:rPr>
            </w:pPr>
          </w:p>
        </w:tc>
      </w:tr>
      <w:tr w14:paraId="0227C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3"/>
            <w:noWrap w:val="0"/>
            <w:vAlign w:val="center"/>
          </w:tcPr>
          <w:p w14:paraId="727DC1EC">
            <w:pPr>
              <w:pStyle w:val="65"/>
              <w:spacing w:line="360" w:lineRule="exact"/>
              <w:rPr>
                <w:rFonts w:ascii="Times New Roman" w:eastAsia="宋体"/>
                <w:color w:val="auto"/>
                <w:sz w:val="21"/>
                <w:szCs w:val="21"/>
              </w:rPr>
            </w:pPr>
            <w:r>
              <w:rPr>
                <w:rFonts w:ascii="Times New Roman" w:eastAsia="宋体"/>
                <w:color w:val="auto"/>
                <w:sz w:val="21"/>
                <w:szCs w:val="21"/>
                <w:vertAlign w:val="superscript"/>
              </w:rPr>
              <w:t xml:space="preserve">a  </w:t>
            </w:r>
            <w:r>
              <w:rPr>
                <w:rFonts w:ascii="Times New Roman" w:eastAsia="宋体"/>
                <w:color w:val="auto"/>
                <w:sz w:val="21"/>
                <w:szCs w:val="21"/>
              </w:rPr>
              <w:t>“环境敏感区”是指《建设项目环境影响评价分类管理名录》中所界定的涉及地下水的环境敏感区。</w:t>
            </w:r>
          </w:p>
        </w:tc>
      </w:tr>
    </w:tbl>
    <w:p w14:paraId="3A5CAB28">
      <w:pPr>
        <w:spacing w:line="500" w:lineRule="exact"/>
        <w:ind w:firstLine="600" w:firstLineChars="250"/>
        <w:rPr>
          <w:sz w:val="24"/>
        </w:rPr>
      </w:pPr>
      <w:r>
        <w:rPr>
          <w:sz w:val="24"/>
          <w:lang w:val="zh-CN"/>
        </w:rPr>
        <w:t>根据</w:t>
      </w:r>
      <w:r>
        <w:rPr>
          <w:sz w:val="24"/>
        </w:rPr>
        <w:t>《建设项目环境风险评价技术导则》（HJ169-2018）附录D</w:t>
      </w:r>
      <w:r>
        <w:rPr>
          <w:sz w:val="24"/>
          <w:lang w:val="zh-CN"/>
        </w:rPr>
        <w:t>包气带防污性能分级参照表，本项目建设场地区包气</w:t>
      </w:r>
      <w:r>
        <w:rPr>
          <w:sz w:val="24"/>
        </w:rPr>
        <w:t>带防污性能分级见表2.</w:t>
      </w:r>
      <w:r>
        <w:rPr>
          <w:rFonts w:hint="eastAsia"/>
          <w:sz w:val="24"/>
          <w:lang w:val="en-US" w:eastAsia="zh-CN"/>
        </w:rPr>
        <w:t>4-24</w:t>
      </w:r>
      <w:r>
        <w:rPr>
          <w:sz w:val="24"/>
        </w:rPr>
        <w:t>。</w:t>
      </w:r>
    </w:p>
    <w:p w14:paraId="37D901B1">
      <w:pPr>
        <w:widowControl w:val="0"/>
        <w:spacing w:line="360" w:lineRule="auto"/>
        <w:jc w:val="center"/>
        <w:rPr>
          <w:rFonts w:ascii="Times New Roman" w:hAnsi="Times New Roman" w:cs="Times New Roman"/>
          <w:b/>
          <w:lang w:bidi="ar"/>
        </w:rPr>
      </w:pPr>
    </w:p>
    <w:p w14:paraId="125050EB">
      <w:pPr>
        <w:widowControl w:val="0"/>
        <w:spacing w:line="360" w:lineRule="auto"/>
        <w:jc w:val="center"/>
        <w:rPr>
          <w:rFonts w:ascii="Times New Roman" w:hAnsi="Times New Roman" w:cs="Times New Roman"/>
          <w:b/>
          <w:lang w:bidi="ar"/>
        </w:rPr>
      </w:pPr>
    </w:p>
    <w:p w14:paraId="156BF52B">
      <w:pPr>
        <w:widowControl w:val="0"/>
        <w:spacing w:line="360" w:lineRule="auto"/>
        <w:jc w:val="center"/>
        <w:rPr>
          <w:rFonts w:ascii="Times New Roman" w:hAnsi="Times New Roman" w:cs="Times New Roman"/>
          <w:b/>
          <w:lang w:bidi="ar"/>
        </w:rPr>
      </w:pPr>
    </w:p>
    <w:p w14:paraId="3DF95F89">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4-24</w:t>
      </w:r>
      <w:r>
        <w:rPr>
          <w:rFonts w:ascii="Times New Roman" w:hAnsi="Times New Roman" w:cs="Times New Roman"/>
          <w:b/>
          <w:lang w:bidi="ar"/>
        </w:rPr>
        <w:t xml:space="preserve"> 包气带防污性能分级</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18"/>
        <w:gridCol w:w="5499"/>
        <w:gridCol w:w="2343"/>
      </w:tblGrid>
      <w:tr w14:paraId="512AB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58" w:hRule="atLeast"/>
          <w:jc w:val="center"/>
        </w:trPr>
        <w:tc>
          <w:tcPr>
            <w:tcW w:w="718" w:type="dxa"/>
            <w:noWrap w:val="0"/>
            <w:vAlign w:val="center"/>
          </w:tcPr>
          <w:p w14:paraId="115C3936">
            <w:pPr>
              <w:autoSpaceDE w:val="0"/>
              <w:autoSpaceDN w:val="0"/>
              <w:adjustRightInd w:val="0"/>
              <w:spacing w:line="360" w:lineRule="exact"/>
              <w:jc w:val="center"/>
              <w:rPr>
                <w:b/>
                <w:kern w:val="0"/>
                <w:sz w:val="21"/>
                <w:szCs w:val="21"/>
              </w:rPr>
            </w:pPr>
            <w:r>
              <w:rPr>
                <w:sz w:val="21"/>
                <w:szCs w:val="21"/>
              </w:rPr>
              <w:t>分级</w:t>
            </w:r>
          </w:p>
        </w:tc>
        <w:tc>
          <w:tcPr>
            <w:tcW w:w="5499" w:type="dxa"/>
            <w:noWrap w:val="0"/>
            <w:vAlign w:val="center"/>
          </w:tcPr>
          <w:p w14:paraId="7F06054A">
            <w:pPr>
              <w:autoSpaceDE w:val="0"/>
              <w:autoSpaceDN w:val="0"/>
              <w:adjustRightInd w:val="0"/>
              <w:snapToGrid w:val="0"/>
              <w:spacing w:line="320" w:lineRule="exact"/>
              <w:jc w:val="center"/>
              <w:rPr>
                <w:b/>
                <w:kern w:val="0"/>
                <w:sz w:val="21"/>
                <w:szCs w:val="21"/>
              </w:rPr>
            </w:pPr>
            <w:r>
              <w:rPr>
                <w:b/>
                <w:kern w:val="0"/>
                <w:sz w:val="21"/>
                <w:szCs w:val="21"/>
              </w:rPr>
              <w:t>包气带岩土的渗透性能</w:t>
            </w:r>
          </w:p>
        </w:tc>
        <w:tc>
          <w:tcPr>
            <w:tcW w:w="2343" w:type="dxa"/>
            <w:noWrap w:val="0"/>
            <w:vAlign w:val="center"/>
          </w:tcPr>
          <w:p w14:paraId="2FFDAF17">
            <w:pPr>
              <w:autoSpaceDE w:val="0"/>
              <w:autoSpaceDN w:val="0"/>
              <w:adjustRightInd w:val="0"/>
              <w:snapToGrid w:val="0"/>
              <w:spacing w:line="320" w:lineRule="exact"/>
              <w:jc w:val="center"/>
              <w:rPr>
                <w:b/>
                <w:kern w:val="0"/>
                <w:sz w:val="21"/>
                <w:szCs w:val="21"/>
              </w:rPr>
            </w:pPr>
            <w:r>
              <w:rPr>
                <w:b/>
                <w:sz w:val="21"/>
                <w:szCs w:val="21"/>
              </w:rPr>
              <w:t>本工程</w:t>
            </w:r>
          </w:p>
        </w:tc>
      </w:tr>
      <w:tr w14:paraId="7633F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742" w:hRule="atLeast"/>
          <w:jc w:val="center"/>
        </w:trPr>
        <w:tc>
          <w:tcPr>
            <w:tcW w:w="718" w:type="dxa"/>
            <w:noWrap w:val="0"/>
            <w:vAlign w:val="center"/>
          </w:tcPr>
          <w:p w14:paraId="4D53F569">
            <w:pPr>
              <w:autoSpaceDE w:val="0"/>
              <w:autoSpaceDN w:val="0"/>
              <w:adjustRightInd w:val="0"/>
              <w:snapToGrid w:val="0"/>
              <w:spacing w:line="320" w:lineRule="exact"/>
              <w:jc w:val="center"/>
              <w:rPr>
                <w:kern w:val="0"/>
                <w:sz w:val="21"/>
                <w:szCs w:val="21"/>
              </w:rPr>
            </w:pPr>
            <w:r>
              <w:rPr>
                <w:kern w:val="0"/>
                <w:sz w:val="21"/>
                <w:szCs w:val="21"/>
              </w:rPr>
              <w:t>D3</w:t>
            </w:r>
          </w:p>
        </w:tc>
        <w:tc>
          <w:tcPr>
            <w:tcW w:w="5499" w:type="dxa"/>
            <w:noWrap w:val="0"/>
            <w:vAlign w:val="center"/>
          </w:tcPr>
          <w:p w14:paraId="7477CE1F">
            <w:pPr>
              <w:autoSpaceDE w:val="0"/>
              <w:autoSpaceDN w:val="0"/>
              <w:adjustRightInd w:val="0"/>
              <w:snapToGrid w:val="0"/>
              <w:spacing w:line="320" w:lineRule="exact"/>
              <w:jc w:val="center"/>
              <w:rPr>
                <w:kern w:val="0"/>
                <w:sz w:val="21"/>
                <w:szCs w:val="21"/>
              </w:rPr>
            </w:pPr>
            <w:r>
              <w:rPr>
                <w:kern w:val="0"/>
                <w:sz w:val="21"/>
                <w:szCs w:val="21"/>
              </w:rPr>
              <w:t>Mb≥1.0m，K≤10</w:t>
            </w:r>
            <w:r>
              <w:rPr>
                <w:kern w:val="0"/>
                <w:sz w:val="21"/>
                <w:szCs w:val="21"/>
                <w:vertAlign w:val="superscript"/>
              </w:rPr>
              <w:t>-6</w:t>
            </w:r>
            <w:r>
              <w:rPr>
                <w:kern w:val="0"/>
                <w:sz w:val="21"/>
                <w:szCs w:val="21"/>
              </w:rPr>
              <w:t>cm/s，且分布连续、稳定。</w:t>
            </w:r>
          </w:p>
        </w:tc>
        <w:tc>
          <w:tcPr>
            <w:tcW w:w="2343" w:type="dxa"/>
            <w:vMerge w:val="restart"/>
            <w:noWrap w:val="0"/>
            <w:vAlign w:val="center"/>
          </w:tcPr>
          <w:p w14:paraId="4805CBDF">
            <w:pPr>
              <w:autoSpaceDE w:val="0"/>
              <w:autoSpaceDN w:val="0"/>
              <w:adjustRightInd w:val="0"/>
              <w:snapToGrid w:val="0"/>
              <w:spacing w:line="320" w:lineRule="exact"/>
              <w:jc w:val="center"/>
              <w:rPr>
                <w:b/>
                <w:kern w:val="0"/>
                <w:sz w:val="21"/>
                <w:szCs w:val="21"/>
              </w:rPr>
            </w:pPr>
            <w:r>
              <w:rPr>
                <w:sz w:val="21"/>
                <w:szCs w:val="21"/>
              </w:rPr>
              <w:t>项目场地区粉质粘土厚度15</w:t>
            </w:r>
            <w:r>
              <w:rPr>
                <w:rFonts w:eastAsia="Times New Roman"/>
                <w:sz w:val="21"/>
                <w:szCs w:val="21"/>
              </w:rPr>
              <w:t>m</w:t>
            </w:r>
            <w:r>
              <w:rPr>
                <w:sz w:val="21"/>
                <w:szCs w:val="21"/>
              </w:rPr>
              <w:t>左右，渗透系数＜</w:t>
            </w:r>
            <w:r>
              <w:rPr>
                <w:rFonts w:eastAsia="Times New Roman"/>
                <w:sz w:val="21"/>
                <w:szCs w:val="21"/>
              </w:rPr>
              <w:t>1×10</w:t>
            </w:r>
            <w:r>
              <w:rPr>
                <w:rFonts w:eastAsia="Times New Roman"/>
                <w:sz w:val="21"/>
                <w:szCs w:val="21"/>
                <w:vertAlign w:val="superscript"/>
              </w:rPr>
              <w:t>-</w:t>
            </w:r>
            <w:r>
              <w:rPr>
                <w:sz w:val="21"/>
                <w:szCs w:val="21"/>
                <w:vertAlign w:val="superscript"/>
              </w:rPr>
              <w:t>7</w:t>
            </w:r>
            <w:r>
              <w:rPr>
                <w:rFonts w:eastAsia="Times New Roman"/>
                <w:sz w:val="21"/>
                <w:szCs w:val="21"/>
              </w:rPr>
              <w:t>cm/s</w:t>
            </w:r>
            <w:r>
              <w:rPr>
                <w:sz w:val="21"/>
                <w:szCs w:val="21"/>
              </w:rPr>
              <w:t>，包气带防污性能为D3</w:t>
            </w:r>
          </w:p>
        </w:tc>
      </w:tr>
      <w:tr w14:paraId="23732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718" w:type="dxa"/>
            <w:noWrap w:val="0"/>
            <w:vAlign w:val="center"/>
          </w:tcPr>
          <w:p w14:paraId="75074A29">
            <w:pPr>
              <w:autoSpaceDE w:val="0"/>
              <w:autoSpaceDN w:val="0"/>
              <w:adjustRightInd w:val="0"/>
              <w:snapToGrid w:val="0"/>
              <w:spacing w:line="320" w:lineRule="exact"/>
              <w:jc w:val="center"/>
              <w:rPr>
                <w:kern w:val="0"/>
                <w:sz w:val="21"/>
                <w:szCs w:val="21"/>
              </w:rPr>
            </w:pPr>
            <w:r>
              <w:rPr>
                <w:kern w:val="0"/>
                <w:sz w:val="21"/>
                <w:szCs w:val="21"/>
              </w:rPr>
              <w:t>D2</w:t>
            </w:r>
          </w:p>
        </w:tc>
        <w:tc>
          <w:tcPr>
            <w:tcW w:w="5499" w:type="dxa"/>
            <w:noWrap w:val="0"/>
            <w:vAlign w:val="center"/>
          </w:tcPr>
          <w:p w14:paraId="26A329F3">
            <w:pPr>
              <w:autoSpaceDE w:val="0"/>
              <w:autoSpaceDN w:val="0"/>
              <w:adjustRightInd w:val="0"/>
              <w:snapToGrid w:val="0"/>
              <w:spacing w:line="320" w:lineRule="exact"/>
              <w:jc w:val="center"/>
              <w:rPr>
                <w:kern w:val="0"/>
                <w:sz w:val="21"/>
                <w:szCs w:val="21"/>
              </w:rPr>
            </w:pPr>
            <w:r>
              <w:rPr>
                <w:kern w:val="0"/>
                <w:sz w:val="21"/>
                <w:szCs w:val="21"/>
              </w:rPr>
              <w:t>0.5m≤Mb＜1.0m，K≤10</w:t>
            </w:r>
            <w:r>
              <w:rPr>
                <w:kern w:val="0"/>
                <w:sz w:val="21"/>
                <w:szCs w:val="21"/>
                <w:vertAlign w:val="superscript"/>
              </w:rPr>
              <w:t>-6</w:t>
            </w:r>
            <w:r>
              <w:rPr>
                <w:kern w:val="0"/>
                <w:sz w:val="21"/>
                <w:szCs w:val="21"/>
              </w:rPr>
              <w:t>cm/s，且分布连续、稳定；</w:t>
            </w:r>
          </w:p>
          <w:p w14:paraId="4FDBA1A6">
            <w:pPr>
              <w:autoSpaceDE w:val="0"/>
              <w:autoSpaceDN w:val="0"/>
              <w:adjustRightInd w:val="0"/>
              <w:snapToGrid w:val="0"/>
              <w:spacing w:line="320" w:lineRule="exact"/>
              <w:jc w:val="center"/>
              <w:rPr>
                <w:kern w:val="0"/>
                <w:sz w:val="21"/>
                <w:szCs w:val="21"/>
              </w:rPr>
            </w:pPr>
            <w:r>
              <w:rPr>
                <w:kern w:val="0"/>
                <w:sz w:val="21"/>
                <w:szCs w:val="21"/>
              </w:rPr>
              <w:t>Mb≥1.0m，1×10</w:t>
            </w:r>
            <w:r>
              <w:rPr>
                <w:kern w:val="0"/>
                <w:sz w:val="21"/>
                <w:szCs w:val="21"/>
                <w:vertAlign w:val="superscript"/>
              </w:rPr>
              <w:t>-6</w:t>
            </w:r>
            <w:r>
              <w:rPr>
                <w:kern w:val="0"/>
                <w:sz w:val="21"/>
                <w:szCs w:val="21"/>
              </w:rPr>
              <w:t>cm/s＜K≤1×10</w:t>
            </w:r>
            <w:r>
              <w:rPr>
                <w:kern w:val="0"/>
                <w:sz w:val="21"/>
                <w:szCs w:val="21"/>
                <w:vertAlign w:val="superscript"/>
              </w:rPr>
              <w:t>-4</w:t>
            </w:r>
            <w:r>
              <w:rPr>
                <w:kern w:val="0"/>
                <w:sz w:val="21"/>
                <w:szCs w:val="21"/>
              </w:rPr>
              <w:t>cm/s，且分布连续、稳定。</w:t>
            </w:r>
          </w:p>
        </w:tc>
        <w:tc>
          <w:tcPr>
            <w:tcW w:w="2343" w:type="dxa"/>
            <w:vMerge w:val="continue"/>
            <w:noWrap w:val="0"/>
            <w:vAlign w:val="center"/>
          </w:tcPr>
          <w:p w14:paraId="4FA990A0">
            <w:pPr>
              <w:autoSpaceDE w:val="0"/>
              <w:autoSpaceDN w:val="0"/>
              <w:adjustRightInd w:val="0"/>
              <w:snapToGrid w:val="0"/>
              <w:spacing w:line="320" w:lineRule="exact"/>
              <w:jc w:val="left"/>
              <w:rPr>
                <w:kern w:val="0"/>
                <w:sz w:val="21"/>
                <w:szCs w:val="21"/>
              </w:rPr>
            </w:pPr>
          </w:p>
        </w:tc>
      </w:tr>
      <w:tr w14:paraId="41663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718" w:type="dxa"/>
            <w:noWrap w:val="0"/>
            <w:vAlign w:val="center"/>
          </w:tcPr>
          <w:p w14:paraId="7E89EC37">
            <w:pPr>
              <w:autoSpaceDE w:val="0"/>
              <w:autoSpaceDN w:val="0"/>
              <w:adjustRightInd w:val="0"/>
              <w:snapToGrid w:val="0"/>
              <w:spacing w:line="320" w:lineRule="exact"/>
              <w:jc w:val="center"/>
              <w:rPr>
                <w:kern w:val="0"/>
                <w:sz w:val="21"/>
                <w:szCs w:val="21"/>
              </w:rPr>
            </w:pPr>
            <w:r>
              <w:rPr>
                <w:kern w:val="0"/>
                <w:sz w:val="21"/>
                <w:szCs w:val="21"/>
              </w:rPr>
              <w:t>D1</w:t>
            </w:r>
          </w:p>
        </w:tc>
        <w:tc>
          <w:tcPr>
            <w:tcW w:w="5499" w:type="dxa"/>
            <w:noWrap w:val="0"/>
            <w:vAlign w:val="center"/>
          </w:tcPr>
          <w:p w14:paraId="00BE6C87">
            <w:pPr>
              <w:autoSpaceDE w:val="0"/>
              <w:autoSpaceDN w:val="0"/>
              <w:adjustRightInd w:val="0"/>
              <w:snapToGrid w:val="0"/>
              <w:spacing w:line="320" w:lineRule="exact"/>
              <w:jc w:val="center"/>
              <w:rPr>
                <w:kern w:val="0"/>
                <w:sz w:val="21"/>
                <w:szCs w:val="21"/>
              </w:rPr>
            </w:pPr>
            <w:r>
              <w:rPr>
                <w:kern w:val="0"/>
                <w:sz w:val="21"/>
                <w:szCs w:val="21"/>
              </w:rPr>
              <w:t>岩（土）层不满足上述“D2”和“D3”条件。</w:t>
            </w:r>
          </w:p>
        </w:tc>
        <w:tc>
          <w:tcPr>
            <w:tcW w:w="2343" w:type="dxa"/>
            <w:vMerge w:val="continue"/>
            <w:noWrap w:val="0"/>
            <w:vAlign w:val="center"/>
          </w:tcPr>
          <w:p w14:paraId="73F87EC8">
            <w:pPr>
              <w:autoSpaceDE w:val="0"/>
              <w:autoSpaceDN w:val="0"/>
              <w:adjustRightInd w:val="0"/>
              <w:snapToGrid w:val="0"/>
              <w:spacing w:line="320" w:lineRule="exact"/>
              <w:jc w:val="left"/>
              <w:rPr>
                <w:kern w:val="0"/>
                <w:sz w:val="21"/>
                <w:szCs w:val="21"/>
              </w:rPr>
            </w:pPr>
          </w:p>
        </w:tc>
      </w:tr>
      <w:tr w14:paraId="42A75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jc w:val="center"/>
        </w:trPr>
        <w:tc>
          <w:tcPr>
            <w:tcW w:w="8560" w:type="dxa"/>
            <w:gridSpan w:val="3"/>
            <w:noWrap w:val="0"/>
            <w:vAlign w:val="center"/>
          </w:tcPr>
          <w:p w14:paraId="2741241A">
            <w:pPr>
              <w:autoSpaceDE w:val="0"/>
              <w:autoSpaceDN w:val="0"/>
              <w:adjustRightInd w:val="0"/>
              <w:snapToGrid w:val="0"/>
              <w:spacing w:line="320" w:lineRule="exact"/>
              <w:jc w:val="left"/>
              <w:rPr>
                <w:kern w:val="0"/>
                <w:sz w:val="21"/>
                <w:szCs w:val="21"/>
              </w:rPr>
            </w:pPr>
            <w:r>
              <w:rPr>
                <w:kern w:val="0"/>
                <w:sz w:val="21"/>
                <w:szCs w:val="21"/>
              </w:rPr>
              <w:t>Mb：岩土层单层厚度。</w:t>
            </w:r>
            <w:r>
              <w:rPr>
                <w:rFonts w:hint="eastAsia"/>
                <w:kern w:val="0"/>
                <w:sz w:val="21"/>
                <w:szCs w:val="21"/>
                <w:lang w:val="en-US" w:eastAsia="zh-CN"/>
              </w:rPr>
              <w:t xml:space="preserve">   </w:t>
            </w:r>
            <w:r>
              <w:rPr>
                <w:kern w:val="0"/>
                <w:sz w:val="21"/>
                <w:szCs w:val="21"/>
              </w:rPr>
              <w:t>K：渗透系数。</w:t>
            </w:r>
          </w:p>
        </w:tc>
      </w:tr>
    </w:tbl>
    <w:p w14:paraId="6FCD553A">
      <w:pPr>
        <w:pStyle w:val="65"/>
        <w:spacing w:line="500" w:lineRule="exact"/>
        <w:ind w:firstLine="480" w:firstLineChars="200"/>
        <w:rPr>
          <w:rFonts w:ascii="Times New Roman" w:eastAsia="宋体"/>
          <w:color w:val="auto"/>
        </w:rPr>
      </w:pPr>
      <w:r>
        <w:rPr>
          <w:rFonts w:ascii="Times New Roman" w:eastAsia="宋体"/>
          <w:color w:val="auto"/>
        </w:rPr>
        <w:t>根据《建设项目环境风险评价技术导则》（HJ169-2018）附录D环境敏感目标分级表，本项目环境敏感目标分级见表2.</w:t>
      </w:r>
      <w:r>
        <w:rPr>
          <w:rFonts w:hint="eastAsia" w:ascii="Times New Roman" w:eastAsia="宋体"/>
          <w:color w:val="auto"/>
          <w:lang w:val="en-US" w:eastAsia="zh-CN"/>
        </w:rPr>
        <w:t>4-25</w:t>
      </w:r>
      <w:r>
        <w:rPr>
          <w:rFonts w:ascii="Times New Roman" w:eastAsia="宋体"/>
          <w:color w:val="auto"/>
        </w:rPr>
        <w:t>。</w:t>
      </w:r>
    </w:p>
    <w:p w14:paraId="49860996">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4-25</w:t>
      </w:r>
      <w:r>
        <w:rPr>
          <w:rFonts w:ascii="Times New Roman" w:hAnsi="Times New Roman" w:cs="Times New Roman"/>
          <w:b/>
          <w:lang w:bidi="ar"/>
        </w:rPr>
        <w:t xml:space="preserve"> 地下水环境敏感程度分级</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0"/>
        <w:gridCol w:w="2180"/>
        <w:gridCol w:w="2180"/>
        <w:gridCol w:w="2180"/>
      </w:tblGrid>
      <w:tr w14:paraId="2D131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0" w:type="dxa"/>
            <w:vMerge w:val="restart"/>
            <w:noWrap w:val="0"/>
            <w:vAlign w:val="center"/>
          </w:tcPr>
          <w:p w14:paraId="46BD937B">
            <w:pPr>
              <w:autoSpaceDE w:val="0"/>
              <w:autoSpaceDN w:val="0"/>
              <w:adjustRightInd w:val="0"/>
              <w:snapToGrid w:val="0"/>
              <w:spacing w:line="320" w:lineRule="exact"/>
              <w:jc w:val="center"/>
              <w:rPr>
                <w:kern w:val="0"/>
                <w:sz w:val="21"/>
                <w:szCs w:val="21"/>
              </w:rPr>
            </w:pPr>
            <w:r>
              <w:rPr>
                <w:kern w:val="0"/>
                <w:sz w:val="21"/>
                <w:szCs w:val="21"/>
              </w:rPr>
              <w:t>包气带防污性能</w:t>
            </w:r>
          </w:p>
        </w:tc>
        <w:tc>
          <w:tcPr>
            <w:tcW w:w="6540" w:type="dxa"/>
            <w:gridSpan w:val="3"/>
            <w:noWrap w:val="0"/>
            <w:vAlign w:val="center"/>
          </w:tcPr>
          <w:p w14:paraId="0EADB1A9">
            <w:pPr>
              <w:autoSpaceDE w:val="0"/>
              <w:autoSpaceDN w:val="0"/>
              <w:adjustRightInd w:val="0"/>
              <w:snapToGrid w:val="0"/>
              <w:spacing w:line="320" w:lineRule="exact"/>
              <w:jc w:val="center"/>
              <w:rPr>
                <w:kern w:val="0"/>
                <w:sz w:val="21"/>
                <w:szCs w:val="21"/>
              </w:rPr>
            </w:pPr>
            <w:r>
              <w:rPr>
                <w:kern w:val="0"/>
                <w:sz w:val="21"/>
                <w:szCs w:val="21"/>
              </w:rPr>
              <w:t>地下水功能敏感性</w:t>
            </w:r>
          </w:p>
        </w:tc>
      </w:tr>
      <w:tr w14:paraId="2D147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0" w:type="dxa"/>
            <w:vMerge w:val="continue"/>
            <w:noWrap w:val="0"/>
            <w:vAlign w:val="center"/>
          </w:tcPr>
          <w:p w14:paraId="68F59CEF">
            <w:pPr>
              <w:autoSpaceDE w:val="0"/>
              <w:autoSpaceDN w:val="0"/>
              <w:adjustRightInd w:val="0"/>
              <w:snapToGrid w:val="0"/>
              <w:spacing w:line="320" w:lineRule="exact"/>
              <w:jc w:val="center"/>
              <w:rPr>
                <w:kern w:val="0"/>
                <w:sz w:val="21"/>
                <w:szCs w:val="21"/>
              </w:rPr>
            </w:pPr>
          </w:p>
        </w:tc>
        <w:tc>
          <w:tcPr>
            <w:tcW w:w="2180" w:type="dxa"/>
            <w:noWrap w:val="0"/>
            <w:vAlign w:val="center"/>
          </w:tcPr>
          <w:p w14:paraId="4BC82F10">
            <w:pPr>
              <w:autoSpaceDE w:val="0"/>
              <w:autoSpaceDN w:val="0"/>
              <w:adjustRightInd w:val="0"/>
              <w:snapToGrid w:val="0"/>
              <w:spacing w:line="320" w:lineRule="exact"/>
              <w:jc w:val="center"/>
              <w:rPr>
                <w:kern w:val="0"/>
                <w:sz w:val="21"/>
                <w:szCs w:val="21"/>
              </w:rPr>
            </w:pPr>
            <w:r>
              <w:rPr>
                <w:kern w:val="0"/>
                <w:sz w:val="21"/>
                <w:szCs w:val="21"/>
              </w:rPr>
              <w:t>G1</w:t>
            </w:r>
          </w:p>
        </w:tc>
        <w:tc>
          <w:tcPr>
            <w:tcW w:w="2180" w:type="dxa"/>
            <w:noWrap w:val="0"/>
            <w:vAlign w:val="center"/>
          </w:tcPr>
          <w:p w14:paraId="3203FCC9">
            <w:pPr>
              <w:autoSpaceDE w:val="0"/>
              <w:autoSpaceDN w:val="0"/>
              <w:adjustRightInd w:val="0"/>
              <w:snapToGrid w:val="0"/>
              <w:spacing w:line="320" w:lineRule="exact"/>
              <w:jc w:val="center"/>
              <w:rPr>
                <w:kern w:val="0"/>
                <w:sz w:val="21"/>
                <w:szCs w:val="21"/>
              </w:rPr>
            </w:pPr>
            <w:r>
              <w:rPr>
                <w:kern w:val="0"/>
                <w:sz w:val="21"/>
                <w:szCs w:val="21"/>
              </w:rPr>
              <w:t>G2</w:t>
            </w:r>
          </w:p>
        </w:tc>
        <w:tc>
          <w:tcPr>
            <w:tcW w:w="2180" w:type="dxa"/>
            <w:noWrap w:val="0"/>
            <w:vAlign w:val="center"/>
          </w:tcPr>
          <w:p w14:paraId="297E09BE">
            <w:pPr>
              <w:autoSpaceDE w:val="0"/>
              <w:autoSpaceDN w:val="0"/>
              <w:adjustRightInd w:val="0"/>
              <w:snapToGrid w:val="0"/>
              <w:spacing w:line="320" w:lineRule="exact"/>
              <w:jc w:val="center"/>
              <w:rPr>
                <w:kern w:val="0"/>
                <w:sz w:val="21"/>
                <w:szCs w:val="21"/>
              </w:rPr>
            </w:pPr>
            <w:r>
              <w:rPr>
                <w:kern w:val="0"/>
                <w:sz w:val="21"/>
                <w:szCs w:val="21"/>
              </w:rPr>
              <w:t>G3</w:t>
            </w:r>
          </w:p>
        </w:tc>
      </w:tr>
      <w:tr w14:paraId="7B23D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0" w:type="dxa"/>
            <w:noWrap w:val="0"/>
            <w:vAlign w:val="center"/>
          </w:tcPr>
          <w:p w14:paraId="74FE5BDF">
            <w:pPr>
              <w:autoSpaceDE w:val="0"/>
              <w:autoSpaceDN w:val="0"/>
              <w:adjustRightInd w:val="0"/>
              <w:snapToGrid w:val="0"/>
              <w:spacing w:line="320" w:lineRule="exact"/>
              <w:jc w:val="center"/>
              <w:rPr>
                <w:kern w:val="0"/>
                <w:sz w:val="21"/>
                <w:szCs w:val="21"/>
              </w:rPr>
            </w:pPr>
            <w:r>
              <w:rPr>
                <w:kern w:val="0"/>
                <w:sz w:val="21"/>
                <w:szCs w:val="21"/>
              </w:rPr>
              <w:t>D1</w:t>
            </w:r>
          </w:p>
        </w:tc>
        <w:tc>
          <w:tcPr>
            <w:tcW w:w="2180" w:type="dxa"/>
            <w:noWrap w:val="0"/>
            <w:vAlign w:val="center"/>
          </w:tcPr>
          <w:p w14:paraId="7F6B9A9F">
            <w:pPr>
              <w:autoSpaceDE w:val="0"/>
              <w:autoSpaceDN w:val="0"/>
              <w:adjustRightInd w:val="0"/>
              <w:snapToGrid w:val="0"/>
              <w:spacing w:line="320" w:lineRule="exact"/>
              <w:jc w:val="center"/>
              <w:rPr>
                <w:kern w:val="0"/>
                <w:sz w:val="21"/>
                <w:szCs w:val="21"/>
              </w:rPr>
            </w:pPr>
            <w:r>
              <w:rPr>
                <w:kern w:val="0"/>
                <w:sz w:val="21"/>
                <w:szCs w:val="21"/>
              </w:rPr>
              <w:t>E1</w:t>
            </w:r>
          </w:p>
        </w:tc>
        <w:tc>
          <w:tcPr>
            <w:tcW w:w="2180" w:type="dxa"/>
            <w:noWrap w:val="0"/>
            <w:vAlign w:val="center"/>
          </w:tcPr>
          <w:p w14:paraId="244AB95D">
            <w:pPr>
              <w:autoSpaceDE w:val="0"/>
              <w:autoSpaceDN w:val="0"/>
              <w:adjustRightInd w:val="0"/>
              <w:snapToGrid w:val="0"/>
              <w:spacing w:line="320" w:lineRule="exact"/>
              <w:jc w:val="center"/>
              <w:rPr>
                <w:kern w:val="0"/>
                <w:sz w:val="21"/>
                <w:szCs w:val="21"/>
              </w:rPr>
            </w:pPr>
            <w:r>
              <w:rPr>
                <w:kern w:val="0"/>
                <w:sz w:val="21"/>
                <w:szCs w:val="21"/>
              </w:rPr>
              <w:t>E1</w:t>
            </w:r>
          </w:p>
        </w:tc>
        <w:tc>
          <w:tcPr>
            <w:tcW w:w="2180" w:type="dxa"/>
            <w:noWrap w:val="0"/>
            <w:vAlign w:val="center"/>
          </w:tcPr>
          <w:p w14:paraId="20FE54CB">
            <w:pPr>
              <w:autoSpaceDE w:val="0"/>
              <w:autoSpaceDN w:val="0"/>
              <w:adjustRightInd w:val="0"/>
              <w:snapToGrid w:val="0"/>
              <w:spacing w:line="320" w:lineRule="exact"/>
              <w:jc w:val="center"/>
              <w:rPr>
                <w:kern w:val="0"/>
                <w:sz w:val="21"/>
                <w:szCs w:val="21"/>
              </w:rPr>
            </w:pPr>
            <w:r>
              <w:rPr>
                <w:kern w:val="0"/>
                <w:sz w:val="21"/>
                <w:szCs w:val="21"/>
              </w:rPr>
              <w:t>E2</w:t>
            </w:r>
          </w:p>
        </w:tc>
      </w:tr>
      <w:tr w14:paraId="23F4E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0" w:type="dxa"/>
            <w:noWrap w:val="0"/>
            <w:vAlign w:val="center"/>
          </w:tcPr>
          <w:p w14:paraId="3236D489">
            <w:pPr>
              <w:autoSpaceDE w:val="0"/>
              <w:autoSpaceDN w:val="0"/>
              <w:adjustRightInd w:val="0"/>
              <w:snapToGrid w:val="0"/>
              <w:spacing w:line="320" w:lineRule="exact"/>
              <w:jc w:val="center"/>
              <w:rPr>
                <w:kern w:val="0"/>
                <w:sz w:val="21"/>
                <w:szCs w:val="21"/>
              </w:rPr>
            </w:pPr>
            <w:r>
              <w:rPr>
                <w:kern w:val="0"/>
                <w:sz w:val="21"/>
                <w:szCs w:val="21"/>
              </w:rPr>
              <w:t>D2</w:t>
            </w:r>
          </w:p>
        </w:tc>
        <w:tc>
          <w:tcPr>
            <w:tcW w:w="2180" w:type="dxa"/>
            <w:noWrap w:val="0"/>
            <w:vAlign w:val="center"/>
          </w:tcPr>
          <w:p w14:paraId="5FEFFC4A">
            <w:pPr>
              <w:autoSpaceDE w:val="0"/>
              <w:autoSpaceDN w:val="0"/>
              <w:adjustRightInd w:val="0"/>
              <w:snapToGrid w:val="0"/>
              <w:spacing w:line="320" w:lineRule="exact"/>
              <w:jc w:val="center"/>
              <w:rPr>
                <w:kern w:val="0"/>
                <w:sz w:val="21"/>
                <w:szCs w:val="21"/>
              </w:rPr>
            </w:pPr>
            <w:r>
              <w:rPr>
                <w:kern w:val="0"/>
                <w:sz w:val="21"/>
                <w:szCs w:val="21"/>
              </w:rPr>
              <w:t>E1</w:t>
            </w:r>
          </w:p>
        </w:tc>
        <w:tc>
          <w:tcPr>
            <w:tcW w:w="2180" w:type="dxa"/>
            <w:noWrap w:val="0"/>
            <w:vAlign w:val="center"/>
          </w:tcPr>
          <w:p w14:paraId="2C684C6D">
            <w:pPr>
              <w:autoSpaceDE w:val="0"/>
              <w:autoSpaceDN w:val="0"/>
              <w:adjustRightInd w:val="0"/>
              <w:snapToGrid w:val="0"/>
              <w:spacing w:line="320" w:lineRule="exact"/>
              <w:jc w:val="center"/>
              <w:rPr>
                <w:kern w:val="0"/>
                <w:sz w:val="21"/>
                <w:szCs w:val="21"/>
              </w:rPr>
            </w:pPr>
            <w:r>
              <w:rPr>
                <w:kern w:val="0"/>
                <w:sz w:val="21"/>
                <w:szCs w:val="21"/>
              </w:rPr>
              <w:t>E2</w:t>
            </w:r>
          </w:p>
        </w:tc>
        <w:tc>
          <w:tcPr>
            <w:tcW w:w="2180" w:type="dxa"/>
            <w:noWrap w:val="0"/>
            <w:vAlign w:val="center"/>
          </w:tcPr>
          <w:p w14:paraId="62440227">
            <w:pPr>
              <w:autoSpaceDE w:val="0"/>
              <w:autoSpaceDN w:val="0"/>
              <w:adjustRightInd w:val="0"/>
              <w:snapToGrid w:val="0"/>
              <w:spacing w:line="320" w:lineRule="exact"/>
              <w:jc w:val="center"/>
              <w:rPr>
                <w:kern w:val="0"/>
                <w:sz w:val="21"/>
                <w:szCs w:val="21"/>
              </w:rPr>
            </w:pPr>
            <w:r>
              <w:rPr>
                <w:kern w:val="0"/>
                <w:sz w:val="21"/>
                <w:szCs w:val="21"/>
              </w:rPr>
              <w:t>E3</w:t>
            </w:r>
          </w:p>
        </w:tc>
      </w:tr>
      <w:tr w14:paraId="2639D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80" w:type="dxa"/>
            <w:noWrap w:val="0"/>
            <w:vAlign w:val="center"/>
          </w:tcPr>
          <w:p w14:paraId="36232F3C">
            <w:pPr>
              <w:autoSpaceDE w:val="0"/>
              <w:autoSpaceDN w:val="0"/>
              <w:adjustRightInd w:val="0"/>
              <w:snapToGrid w:val="0"/>
              <w:spacing w:line="320" w:lineRule="exact"/>
              <w:jc w:val="center"/>
              <w:rPr>
                <w:kern w:val="0"/>
                <w:sz w:val="21"/>
                <w:szCs w:val="21"/>
              </w:rPr>
            </w:pPr>
            <w:r>
              <w:rPr>
                <w:kern w:val="0"/>
                <w:sz w:val="21"/>
                <w:szCs w:val="21"/>
              </w:rPr>
              <w:t>D3</w:t>
            </w:r>
          </w:p>
        </w:tc>
        <w:tc>
          <w:tcPr>
            <w:tcW w:w="2180" w:type="dxa"/>
            <w:noWrap w:val="0"/>
            <w:vAlign w:val="center"/>
          </w:tcPr>
          <w:p w14:paraId="538BBE37">
            <w:pPr>
              <w:autoSpaceDE w:val="0"/>
              <w:autoSpaceDN w:val="0"/>
              <w:adjustRightInd w:val="0"/>
              <w:snapToGrid w:val="0"/>
              <w:spacing w:line="320" w:lineRule="exact"/>
              <w:jc w:val="center"/>
              <w:rPr>
                <w:kern w:val="0"/>
                <w:sz w:val="21"/>
                <w:szCs w:val="21"/>
              </w:rPr>
            </w:pPr>
            <w:r>
              <w:rPr>
                <w:kern w:val="0"/>
                <w:sz w:val="21"/>
                <w:szCs w:val="21"/>
              </w:rPr>
              <w:t>E2</w:t>
            </w:r>
          </w:p>
        </w:tc>
        <w:tc>
          <w:tcPr>
            <w:tcW w:w="2180" w:type="dxa"/>
            <w:noWrap w:val="0"/>
            <w:vAlign w:val="center"/>
          </w:tcPr>
          <w:p w14:paraId="34F55256">
            <w:pPr>
              <w:autoSpaceDE w:val="0"/>
              <w:autoSpaceDN w:val="0"/>
              <w:adjustRightInd w:val="0"/>
              <w:snapToGrid w:val="0"/>
              <w:spacing w:line="320" w:lineRule="exact"/>
              <w:jc w:val="center"/>
              <w:rPr>
                <w:kern w:val="0"/>
                <w:sz w:val="21"/>
                <w:szCs w:val="21"/>
              </w:rPr>
            </w:pPr>
            <w:r>
              <w:rPr>
                <w:kern w:val="0"/>
                <w:sz w:val="21"/>
                <w:szCs w:val="21"/>
              </w:rPr>
              <w:t>E3（√）</w:t>
            </w:r>
          </w:p>
        </w:tc>
        <w:tc>
          <w:tcPr>
            <w:tcW w:w="2180" w:type="dxa"/>
            <w:noWrap w:val="0"/>
            <w:vAlign w:val="center"/>
          </w:tcPr>
          <w:p w14:paraId="3300BD08">
            <w:pPr>
              <w:autoSpaceDE w:val="0"/>
              <w:autoSpaceDN w:val="0"/>
              <w:adjustRightInd w:val="0"/>
              <w:snapToGrid w:val="0"/>
              <w:spacing w:line="320" w:lineRule="exact"/>
              <w:jc w:val="center"/>
              <w:rPr>
                <w:kern w:val="0"/>
                <w:sz w:val="21"/>
                <w:szCs w:val="21"/>
              </w:rPr>
            </w:pPr>
            <w:r>
              <w:rPr>
                <w:kern w:val="0"/>
                <w:sz w:val="21"/>
                <w:szCs w:val="21"/>
              </w:rPr>
              <w:t>E3</w:t>
            </w:r>
          </w:p>
        </w:tc>
      </w:tr>
    </w:tbl>
    <w:p w14:paraId="63B1D065">
      <w:pPr>
        <w:spacing w:line="360" w:lineRule="auto"/>
        <w:ind w:firstLine="720" w:firstLineChars="300"/>
        <w:rPr>
          <w:sz w:val="24"/>
        </w:rPr>
      </w:pPr>
      <w:r>
        <w:rPr>
          <w:sz w:val="24"/>
        </w:rPr>
        <w:t>根据表</w:t>
      </w:r>
      <w:r>
        <w:rPr>
          <w:rFonts w:hint="eastAsia"/>
          <w:sz w:val="24"/>
        </w:rPr>
        <w:t>2.</w:t>
      </w:r>
      <w:r>
        <w:rPr>
          <w:rFonts w:hint="eastAsia"/>
          <w:sz w:val="24"/>
          <w:lang w:val="en-US" w:eastAsia="zh-CN"/>
        </w:rPr>
        <w:t>4-25</w:t>
      </w:r>
      <w:r>
        <w:rPr>
          <w:sz w:val="24"/>
        </w:rPr>
        <w:t>，本项目地下水环境敏感程度为E3。</w:t>
      </w:r>
    </w:p>
    <w:p w14:paraId="306012CF">
      <w:pPr>
        <w:spacing w:line="360" w:lineRule="auto"/>
        <w:ind w:firstLine="480" w:firstLineChars="200"/>
        <w:rPr>
          <w:sz w:val="24"/>
          <w:szCs w:val="24"/>
        </w:rPr>
      </w:pPr>
      <w:r>
        <w:rPr>
          <w:sz w:val="24"/>
          <w:szCs w:val="24"/>
        </w:rPr>
        <w:t>（3）工作等级划分</w:t>
      </w:r>
    </w:p>
    <w:p w14:paraId="1B9F01FA">
      <w:pPr>
        <w:widowControl/>
        <w:spacing w:line="360" w:lineRule="auto"/>
        <w:ind w:firstLine="480" w:firstLineChars="200"/>
        <w:jc w:val="left"/>
        <w:rPr>
          <w:sz w:val="24"/>
        </w:rPr>
      </w:pPr>
      <w:r>
        <w:rPr>
          <w:sz w:val="24"/>
        </w:rPr>
        <w:t>根据建设项目涉及的物质和工艺系统的危险性及其所在地的环境敏感程度，结合事故情形下环境影响途径，对建设项目潜在环境危害程度进行概化分析，按照表</w:t>
      </w:r>
      <w:r>
        <w:rPr>
          <w:rFonts w:eastAsia="黑体"/>
          <w:sz w:val="24"/>
        </w:rPr>
        <w:t>2.</w:t>
      </w:r>
      <w:r>
        <w:rPr>
          <w:rFonts w:hint="eastAsia" w:eastAsia="黑体"/>
          <w:sz w:val="24"/>
          <w:lang w:val="en-US" w:eastAsia="zh-CN"/>
        </w:rPr>
        <w:t>4-26</w:t>
      </w:r>
      <w:r>
        <w:rPr>
          <w:sz w:val="24"/>
        </w:rPr>
        <w:t>确定环境风险潜势。本项目环境风险潜势为</w:t>
      </w:r>
      <w:r>
        <w:rPr>
          <w:sz w:val="24"/>
        </w:rPr>
        <w:fldChar w:fldCharType="begin"/>
      </w:r>
      <w:r>
        <w:rPr>
          <w:sz w:val="24"/>
        </w:rPr>
        <w:instrText xml:space="preserve"> = 1 \* ROMAN </w:instrText>
      </w:r>
      <w:r>
        <w:rPr>
          <w:sz w:val="24"/>
        </w:rPr>
        <w:fldChar w:fldCharType="separate"/>
      </w:r>
      <w:r>
        <w:rPr>
          <w:sz w:val="24"/>
        </w:rPr>
        <w:t>I</w:t>
      </w:r>
      <w:r>
        <w:rPr>
          <w:sz w:val="24"/>
        </w:rPr>
        <w:fldChar w:fldCharType="end"/>
      </w:r>
      <w:r>
        <w:rPr>
          <w:sz w:val="24"/>
        </w:rPr>
        <w:t>级。</w:t>
      </w:r>
    </w:p>
    <w:p w14:paraId="0C137F80">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4-26</w:t>
      </w:r>
      <w:r>
        <w:rPr>
          <w:rFonts w:ascii="Times New Roman" w:hAnsi="Times New Roman" w:cs="Times New Roman"/>
          <w:b/>
          <w:lang w:bidi="ar"/>
        </w:rPr>
        <w:t>建设项目环境风险潜势划分</w:t>
      </w:r>
    </w:p>
    <w:tbl>
      <w:tblPr>
        <w:tblStyle w:val="53"/>
        <w:tblW w:w="8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4"/>
        <w:gridCol w:w="1460"/>
        <w:gridCol w:w="1596"/>
        <w:gridCol w:w="1597"/>
        <w:gridCol w:w="1431"/>
      </w:tblGrid>
      <w:tr w14:paraId="4D9DF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4" w:type="dxa"/>
            <w:vMerge w:val="restart"/>
            <w:noWrap w:val="0"/>
            <w:vAlign w:val="center"/>
          </w:tcPr>
          <w:p w14:paraId="78945B71">
            <w:pPr>
              <w:widowControl/>
              <w:adjustRightInd w:val="0"/>
              <w:snapToGrid w:val="0"/>
              <w:jc w:val="center"/>
              <w:rPr>
                <w:snapToGrid w:val="0"/>
                <w:sz w:val="21"/>
                <w:szCs w:val="21"/>
              </w:rPr>
            </w:pPr>
            <w:r>
              <w:rPr>
                <w:snapToGrid w:val="0"/>
                <w:sz w:val="21"/>
                <w:szCs w:val="21"/>
              </w:rPr>
              <w:t>环境敏感程度（E）</w:t>
            </w:r>
          </w:p>
        </w:tc>
        <w:tc>
          <w:tcPr>
            <w:tcW w:w="6084" w:type="dxa"/>
            <w:gridSpan w:val="4"/>
            <w:noWrap w:val="0"/>
            <w:vAlign w:val="center"/>
          </w:tcPr>
          <w:p w14:paraId="43F1D1BA">
            <w:pPr>
              <w:widowControl/>
              <w:adjustRightInd w:val="0"/>
              <w:snapToGrid w:val="0"/>
              <w:jc w:val="center"/>
              <w:rPr>
                <w:snapToGrid w:val="0"/>
                <w:sz w:val="21"/>
                <w:szCs w:val="21"/>
              </w:rPr>
            </w:pPr>
            <w:r>
              <w:rPr>
                <w:snapToGrid w:val="0"/>
                <w:sz w:val="21"/>
                <w:szCs w:val="21"/>
              </w:rPr>
              <w:t>危险物资及工艺系统危险性（P）</w:t>
            </w:r>
          </w:p>
        </w:tc>
      </w:tr>
      <w:tr w14:paraId="2D142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4" w:type="dxa"/>
            <w:vMerge w:val="continue"/>
            <w:noWrap w:val="0"/>
            <w:vAlign w:val="center"/>
          </w:tcPr>
          <w:p w14:paraId="4C05A2B0">
            <w:pPr>
              <w:widowControl/>
              <w:adjustRightInd w:val="0"/>
              <w:snapToGrid w:val="0"/>
              <w:jc w:val="center"/>
              <w:rPr>
                <w:snapToGrid w:val="0"/>
                <w:sz w:val="21"/>
                <w:szCs w:val="21"/>
              </w:rPr>
            </w:pPr>
          </w:p>
        </w:tc>
        <w:tc>
          <w:tcPr>
            <w:tcW w:w="1460" w:type="dxa"/>
            <w:noWrap w:val="0"/>
            <w:vAlign w:val="center"/>
          </w:tcPr>
          <w:p w14:paraId="5DB50EEF">
            <w:pPr>
              <w:adjustRightInd w:val="0"/>
              <w:snapToGrid w:val="0"/>
              <w:jc w:val="center"/>
              <w:rPr>
                <w:iCs/>
                <w:snapToGrid w:val="0"/>
                <w:sz w:val="21"/>
                <w:szCs w:val="21"/>
              </w:rPr>
            </w:pPr>
            <w:r>
              <w:rPr>
                <w:iCs/>
                <w:snapToGrid w:val="0"/>
                <w:sz w:val="21"/>
                <w:szCs w:val="21"/>
              </w:rPr>
              <w:t>极度危害（P1）</w:t>
            </w:r>
          </w:p>
        </w:tc>
        <w:tc>
          <w:tcPr>
            <w:tcW w:w="1596" w:type="dxa"/>
            <w:noWrap w:val="0"/>
            <w:vAlign w:val="center"/>
          </w:tcPr>
          <w:p w14:paraId="2F90FA1B">
            <w:pPr>
              <w:adjustRightInd w:val="0"/>
              <w:snapToGrid w:val="0"/>
              <w:jc w:val="center"/>
              <w:rPr>
                <w:iCs/>
                <w:snapToGrid w:val="0"/>
                <w:sz w:val="21"/>
                <w:szCs w:val="21"/>
              </w:rPr>
            </w:pPr>
            <w:r>
              <w:rPr>
                <w:iCs/>
                <w:snapToGrid w:val="0"/>
                <w:sz w:val="21"/>
                <w:szCs w:val="21"/>
              </w:rPr>
              <w:t>高度危害（P2）</w:t>
            </w:r>
          </w:p>
        </w:tc>
        <w:tc>
          <w:tcPr>
            <w:tcW w:w="1597" w:type="dxa"/>
            <w:noWrap w:val="0"/>
            <w:vAlign w:val="center"/>
          </w:tcPr>
          <w:p w14:paraId="1A9579F8">
            <w:pPr>
              <w:adjustRightInd w:val="0"/>
              <w:snapToGrid w:val="0"/>
              <w:jc w:val="center"/>
              <w:rPr>
                <w:snapToGrid w:val="0"/>
                <w:sz w:val="21"/>
                <w:szCs w:val="21"/>
              </w:rPr>
            </w:pPr>
            <w:r>
              <w:rPr>
                <w:iCs/>
                <w:snapToGrid w:val="0"/>
                <w:sz w:val="21"/>
                <w:szCs w:val="21"/>
              </w:rPr>
              <w:t>中度危害（P3）</w:t>
            </w:r>
          </w:p>
        </w:tc>
        <w:tc>
          <w:tcPr>
            <w:tcW w:w="1431" w:type="dxa"/>
            <w:noWrap w:val="0"/>
            <w:vAlign w:val="center"/>
          </w:tcPr>
          <w:p w14:paraId="0D47DD04">
            <w:pPr>
              <w:adjustRightInd w:val="0"/>
              <w:snapToGrid w:val="0"/>
              <w:jc w:val="center"/>
              <w:rPr>
                <w:snapToGrid w:val="0"/>
                <w:sz w:val="21"/>
                <w:szCs w:val="21"/>
              </w:rPr>
            </w:pPr>
            <w:r>
              <w:rPr>
                <w:iCs/>
                <w:snapToGrid w:val="0"/>
                <w:sz w:val="21"/>
                <w:szCs w:val="21"/>
              </w:rPr>
              <w:t>轻度危害（P4）</w:t>
            </w:r>
          </w:p>
        </w:tc>
      </w:tr>
      <w:tr w14:paraId="7EE86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4" w:type="dxa"/>
            <w:noWrap w:val="0"/>
            <w:vAlign w:val="center"/>
          </w:tcPr>
          <w:p w14:paraId="5FA3510B">
            <w:pPr>
              <w:adjustRightInd w:val="0"/>
              <w:snapToGrid w:val="0"/>
              <w:jc w:val="center"/>
              <w:rPr>
                <w:iCs/>
                <w:snapToGrid w:val="0"/>
                <w:sz w:val="21"/>
                <w:szCs w:val="21"/>
              </w:rPr>
            </w:pPr>
            <w:r>
              <w:rPr>
                <w:iCs/>
                <w:snapToGrid w:val="0"/>
                <w:sz w:val="21"/>
                <w:szCs w:val="21"/>
              </w:rPr>
              <w:t>环境高度敏感区（E1）</w:t>
            </w:r>
          </w:p>
        </w:tc>
        <w:tc>
          <w:tcPr>
            <w:tcW w:w="1460" w:type="dxa"/>
            <w:noWrap w:val="0"/>
            <w:vAlign w:val="center"/>
          </w:tcPr>
          <w:p w14:paraId="59B41563">
            <w:pPr>
              <w:widowControl/>
              <w:adjustRightInd w:val="0"/>
              <w:snapToGrid w:val="0"/>
              <w:jc w:val="center"/>
              <w:rPr>
                <w:snapToGrid w:val="0"/>
                <w:sz w:val="21"/>
                <w:szCs w:val="21"/>
              </w:rPr>
            </w:pPr>
            <w:r>
              <w:rPr>
                <w:rFonts w:hint="eastAsia" w:ascii="宋体" w:hAnsi="宋体" w:cs="宋体"/>
                <w:snapToGrid w:val="0"/>
                <w:sz w:val="21"/>
                <w:szCs w:val="21"/>
              </w:rPr>
              <w:t>Ⅳ</w:t>
            </w:r>
            <w:r>
              <w:rPr>
                <w:snapToGrid w:val="0"/>
                <w:sz w:val="21"/>
                <w:szCs w:val="21"/>
              </w:rPr>
              <w:t>+</w:t>
            </w:r>
          </w:p>
        </w:tc>
        <w:tc>
          <w:tcPr>
            <w:tcW w:w="1596" w:type="dxa"/>
            <w:noWrap w:val="0"/>
            <w:vAlign w:val="center"/>
          </w:tcPr>
          <w:p w14:paraId="73F639B6">
            <w:pPr>
              <w:widowControl/>
              <w:adjustRightInd w:val="0"/>
              <w:snapToGrid w:val="0"/>
              <w:jc w:val="center"/>
              <w:rPr>
                <w:snapToGrid w:val="0"/>
                <w:sz w:val="21"/>
                <w:szCs w:val="21"/>
              </w:rPr>
            </w:pPr>
            <w:r>
              <w:rPr>
                <w:rFonts w:hint="eastAsia" w:ascii="宋体" w:hAnsi="宋体" w:cs="宋体"/>
                <w:snapToGrid w:val="0"/>
                <w:sz w:val="21"/>
                <w:szCs w:val="21"/>
              </w:rPr>
              <w:t>Ⅳ</w:t>
            </w:r>
          </w:p>
        </w:tc>
        <w:tc>
          <w:tcPr>
            <w:tcW w:w="1597" w:type="dxa"/>
            <w:noWrap w:val="0"/>
            <w:vAlign w:val="center"/>
          </w:tcPr>
          <w:p w14:paraId="3F39A48D">
            <w:pPr>
              <w:widowControl/>
              <w:adjustRightInd w:val="0"/>
              <w:snapToGrid w:val="0"/>
              <w:jc w:val="center"/>
              <w:rPr>
                <w:snapToGrid w:val="0"/>
                <w:sz w:val="21"/>
                <w:szCs w:val="21"/>
              </w:rPr>
            </w:pPr>
            <w:r>
              <w:rPr>
                <w:rFonts w:hint="eastAsia" w:ascii="宋体" w:hAnsi="宋体" w:cs="宋体"/>
                <w:snapToGrid w:val="0"/>
                <w:sz w:val="21"/>
                <w:szCs w:val="21"/>
              </w:rPr>
              <w:t>Ⅲ</w:t>
            </w:r>
          </w:p>
        </w:tc>
        <w:tc>
          <w:tcPr>
            <w:tcW w:w="1431" w:type="dxa"/>
            <w:noWrap w:val="0"/>
            <w:vAlign w:val="center"/>
          </w:tcPr>
          <w:p w14:paraId="7E14F193">
            <w:pPr>
              <w:widowControl/>
              <w:adjustRightInd w:val="0"/>
              <w:snapToGrid w:val="0"/>
              <w:jc w:val="center"/>
              <w:rPr>
                <w:snapToGrid w:val="0"/>
                <w:sz w:val="21"/>
                <w:szCs w:val="21"/>
              </w:rPr>
            </w:pPr>
            <w:r>
              <w:rPr>
                <w:rFonts w:hint="eastAsia" w:ascii="宋体" w:hAnsi="宋体" w:cs="宋体"/>
                <w:snapToGrid w:val="0"/>
                <w:sz w:val="21"/>
                <w:szCs w:val="21"/>
              </w:rPr>
              <w:t>Ⅲ</w:t>
            </w:r>
          </w:p>
        </w:tc>
      </w:tr>
      <w:tr w14:paraId="32B66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4" w:type="dxa"/>
            <w:noWrap w:val="0"/>
            <w:vAlign w:val="center"/>
          </w:tcPr>
          <w:p w14:paraId="1FAB26F2">
            <w:pPr>
              <w:adjustRightInd w:val="0"/>
              <w:snapToGrid w:val="0"/>
              <w:jc w:val="center"/>
              <w:rPr>
                <w:iCs/>
                <w:snapToGrid w:val="0"/>
                <w:sz w:val="21"/>
                <w:szCs w:val="21"/>
              </w:rPr>
            </w:pPr>
            <w:r>
              <w:rPr>
                <w:iCs/>
                <w:snapToGrid w:val="0"/>
                <w:sz w:val="21"/>
                <w:szCs w:val="21"/>
              </w:rPr>
              <w:t>环境中度敏感区（E2）</w:t>
            </w:r>
          </w:p>
        </w:tc>
        <w:tc>
          <w:tcPr>
            <w:tcW w:w="1460" w:type="dxa"/>
            <w:noWrap w:val="0"/>
            <w:vAlign w:val="center"/>
          </w:tcPr>
          <w:p w14:paraId="6B7F174C">
            <w:pPr>
              <w:widowControl/>
              <w:adjustRightInd w:val="0"/>
              <w:snapToGrid w:val="0"/>
              <w:jc w:val="center"/>
              <w:rPr>
                <w:snapToGrid w:val="0"/>
                <w:sz w:val="21"/>
                <w:szCs w:val="21"/>
              </w:rPr>
            </w:pPr>
            <w:r>
              <w:rPr>
                <w:rFonts w:hint="eastAsia" w:ascii="宋体" w:hAnsi="宋体" w:cs="宋体"/>
                <w:snapToGrid w:val="0"/>
                <w:sz w:val="21"/>
                <w:szCs w:val="21"/>
              </w:rPr>
              <w:t>Ⅳ</w:t>
            </w:r>
          </w:p>
        </w:tc>
        <w:tc>
          <w:tcPr>
            <w:tcW w:w="1596" w:type="dxa"/>
            <w:noWrap w:val="0"/>
            <w:vAlign w:val="center"/>
          </w:tcPr>
          <w:p w14:paraId="164CD4E7">
            <w:pPr>
              <w:widowControl/>
              <w:adjustRightInd w:val="0"/>
              <w:snapToGrid w:val="0"/>
              <w:jc w:val="center"/>
              <w:rPr>
                <w:snapToGrid w:val="0"/>
                <w:sz w:val="21"/>
                <w:szCs w:val="21"/>
              </w:rPr>
            </w:pPr>
            <w:r>
              <w:rPr>
                <w:rFonts w:hint="eastAsia" w:ascii="宋体" w:hAnsi="宋体" w:cs="宋体"/>
                <w:snapToGrid w:val="0"/>
                <w:sz w:val="21"/>
                <w:szCs w:val="21"/>
              </w:rPr>
              <w:t>Ⅲ</w:t>
            </w:r>
          </w:p>
        </w:tc>
        <w:tc>
          <w:tcPr>
            <w:tcW w:w="1597" w:type="dxa"/>
            <w:noWrap w:val="0"/>
            <w:vAlign w:val="center"/>
          </w:tcPr>
          <w:p w14:paraId="3A03CD26">
            <w:pPr>
              <w:widowControl/>
              <w:adjustRightInd w:val="0"/>
              <w:snapToGrid w:val="0"/>
              <w:jc w:val="center"/>
              <w:rPr>
                <w:snapToGrid w:val="0"/>
                <w:sz w:val="21"/>
                <w:szCs w:val="21"/>
              </w:rPr>
            </w:pPr>
            <w:r>
              <w:rPr>
                <w:rFonts w:hint="eastAsia" w:ascii="宋体" w:hAnsi="宋体" w:cs="宋体"/>
                <w:snapToGrid w:val="0"/>
                <w:sz w:val="21"/>
                <w:szCs w:val="21"/>
              </w:rPr>
              <w:t>Ⅲ</w:t>
            </w:r>
          </w:p>
        </w:tc>
        <w:tc>
          <w:tcPr>
            <w:tcW w:w="1431" w:type="dxa"/>
            <w:noWrap w:val="0"/>
            <w:vAlign w:val="center"/>
          </w:tcPr>
          <w:p w14:paraId="24F31C48">
            <w:pPr>
              <w:widowControl/>
              <w:adjustRightInd w:val="0"/>
              <w:snapToGrid w:val="0"/>
              <w:jc w:val="center"/>
              <w:rPr>
                <w:snapToGrid w:val="0"/>
                <w:sz w:val="21"/>
                <w:szCs w:val="21"/>
              </w:rPr>
            </w:pPr>
            <w:r>
              <w:rPr>
                <w:rFonts w:hint="eastAsia" w:ascii="宋体" w:hAnsi="宋体" w:cs="宋体"/>
                <w:snapToGrid w:val="0"/>
                <w:sz w:val="21"/>
                <w:szCs w:val="21"/>
              </w:rPr>
              <w:t>Ⅱ</w:t>
            </w:r>
          </w:p>
        </w:tc>
      </w:tr>
      <w:tr w14:paraId="35206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44" w:type="dxa"/>
            <w:noWrap w:val="0"/>
            <w:vAlign w:val="center"/>
          </w:tcPr>
          <w:p w14:paraId="0344FAA9">
            <w:pPr>
              <w:adjustRightInd w:val="0"/>
              <w:snapToGrid w:val="0"/>
              <w:jc w:val="center"/>
              <w:rPr>
                <w:iCs/>
                <w:snapToGrid w:val="0"/>
                <w:sz w:val="21"/>
                <w:szCs w:val="21"/>
              </w:rPr>
            </w:pPr>
            <w:r>
              <w:rPr>
                <w:iCs/>
                <w:snapToGrid w:val="0"/>
                <w:sz w:val="21"/>
                <w:szCs w:val="21"/>
              </w:rPr>
              <w:t>环境低度敏感区（E3）</w:t>
            </w:r>
          </w:p>
        </w:tc>
        <w:tc>
          <w:tcPr>
            <w:tcW w:w="1460" w:type="dxa"/>
            <w:noWrap w:val="0"/>
            <w:vAlign w:val="center"/>
          </w:tcPr>
          <w:p w14:paraId="301B1FA0">
            <w:pPr>
              <w:widowControl/>
              <w:adjustRightInd w:val="0"/>
              <w:snapToGrid w:val="0"/>
              <w:jc w:val="center"/>
              <w:rPr>
                <w:snapToGrid w:val="0"/>
                <w:sz w:val="21"/>
                <w:szCs w:val="21"/>
              </w:rPr>
            </w:pPr>
            <w:r>
              <w:rPr>
                <w:rFonts w:hint="eastAsia" w:ascii="宋体" w:hAnsi="宋体" w:cs="宋体"/>
                <w:snapToGrid w:val="0"/>
                <w:sz w:val="21"/>
                <w:szCs w:val="21"/>
              </w:rPr>
              <w:t>Ⅲ</w:t>
            </w:r>
          </w:p>
        </w:tc>
        <w:tc>
          <w:tcPr>
            <w:tcW w:w="1596" w:type="dxa"/>
            <w:noWrap w:val="0"/>
            <w:vAlign w:val="center"/>
          </w:tcPr>
          <w:p w14:paraId="0D05F87D">
            <w:pPr>
              <w:widowControl/>
              <w:adjustRightInd w:val="0"/>
              <w:snapToGrid w:val="0"/>
              <w:jc w:val="center"/>
              <w:rPr>
                <w:snapToGrid w:val="0"/>
                <w:sz w:val="21"/>
                <w:szCs w:val="21"/>
              </w:rPr>
            </w:pPr>
            <w:r>
              <w:rPr>
                <w:rFonts w:hint="eastAsia" w:ascii="宋体" w:hAnsi="宋体" w:cs="宋体"/>
                <w:snapToGrid w:val="0"/>
                <w:sz w:val="21"/>
                <w:szCs w:val="21"/>
              </w:rPr>
              <w:t>Ⅲ</w:t>
            </w:r>
          </w:p>
        </w:tc>
        <w:tc>
          <w:tcPr>
            <w:tcW w:w="1597" w:type="dxa"/>
            <w:noWrap w:val="0"/>
            <w:vAlign w:val="center"/>
          </w:tcPr>
          <w:p w14:paraId="197AA14B">
            <w:pPr>
              <w:widowControl/>
              <w:adjustRightInd w:val="0"/>
              <w:snapToGrid w:val="0"/>
              <w:jc w:val="center"/>
              <w:rPr>
                <w:snapToGrid w:val="0"/>
                <w:sz w:val="21"/>
                <w:szCs w:val="21"/>
              </w:rPr>
            </w:pPr>
            <w:r>
              <w:rPr>
                <w:rFonts w:hint="eastAsia" w:ascii="宋体" w:hAnsi="宋体" w:cs="宋体"/>
                <w:snapToGrid w:val="0"/>
                <w:sz w:val="21"/>
                <w:szCs w:val="21"/>
              </w:rPr>
              <w:t>Ⅱ</w:t>
            </w:r>
          </w:p>
        </w:tc>
        <w:tc>
          <w:tcPr>
            <w:tcW w:w="1431" w:type="dxa"/>
            <w:noWrap w:val="0"/>
            <w:vAlign w:val="center"/>
          </w:tcPr>
          <w:p w14:paraId="27A58277">
            <w:pPr>
              <w:widowControl/>
              <w:adjustRightInd w:val="0"/>
              <w:snapToGrid w:val="0"/>
              <w:jc w:val="center"/>
              <w:rPr>
                <w:snapToGrid w:val="0"/>
                <w:sz w:val="21"/>
                <w:szCs w:val="21"/>
              </w:rPr>
            </w:pPr>
            <w:r>
              <w:rPr>
                <w:rFonts w:hint="eastAsia" w:ascii="宋体" w:hAnsi="宋体" w:cs="宋体"/>
                <w:snapToGrid w:val="0"/>
                <w:sz w:val="21"/>
                <w:szCs w:val="21"/>
              </w:rPr>
              <w:t>Ⅰ</w:t>
            </w:r>
          </w:p>
        </w:tc>
      </w:tr>
    </w:tbl>
    <w:p w14:paraId="79A27D5E">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表2.</w:t>
      </w:r>
      <w:r>
        <w:rPr>
          <w:rFonts w:hint="eastAsia" w:cs="Times New Roman"/>
          <w:b/>
          <w:lang w:val="en-US" w:eastAsia="zh-CN" w:bidi="ar"/>
        </w:rPr>
        <w:t>4-27</w:t>
      </w:r>
      <w:r>
        <w:rPr>
          <w:rFonts w:ascii="Times New Roman" w:hAnsi="Times New Roman" w:cs="Times New Roman"/>
          <w:b/>
          <w:lang w:bidi="ar"/>
        </w:rPr>
        <w:t>本项目环境风险潜势划分情况</w:t>
      </w:r>
    </w:p>
    <w:tbl>
      <w:tblPr>
        <w:tblStyle w:val="53"/>
        <w:tblW w:w="852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7"/>
        <w:gridCol w:w="1520"/>
        <w:gridCol w:w="1790"/>
        <w:gridCol w:w="2080"/>
        <w:gridCol w:w="1492"/>
      </w:tblGrid>
      <w:tr w14:paraId="2BC16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1647" w:type="dxa"/>
            <w:noWrap w:val="0"/>
            <w:vAlign w:val="center"/>
          </w:tcPr>
          <w:p w14:paraId="5D2F7109">
            <w:pPr>
              <w:widowControl/>
              <w:adjustRightInd w:val="0"/>
              <w:snapToGrid w:val="0"/>
              <w:jc w:val="center"/>
              <w:rPr>
                <w:snapToGrid w:val="0"/>
                <w:sz w:val="21"/>
                <w:szCs w:val="21"/>
              </w:rPr>
            </w:pPr>
            <w:r>
              <w:rPr>
                <w:snapToGrid w:val="0"/>
                <w:sz w:val="21"/>
                <w:szCs w:val="21"/>
              </w:rPr>
              <w:t>环境要素</w:t>
            </w:r>
          </w:p>
        </w:tc>
        <w:tc>
          <w:tcPr>
            <w:tcW w:w="1520" w:type="dxa"/>
            <w:noWrap w:val="0"/>
            <w:vAlign w:val="center"/>
          </w:tcPr>
          <w:p w14:paraId="5C7A3025">
            <w:pPr>
              <w:widowControl/>
              <w:adjustRightInd w:val="0"/>
              <w:snapToGrid w:val="0"/>
              <w:jc w:val="center"/>
              <w:rPr>
                <w:snapToGrid w:val="0"/>
                <w:sz w:val="21"/>
                <w:szCs w:val="21"/>
              </w:rPr>
            </w:pPr>
            <w:r>
              <w:rPr>
                <w:snapToGrid w:val="0"/>
                <w:sz w:val="21"/>
                <w:szCs w:val="21"/>
              </w:rPr>
              <w:t>环境敏感程度</w:t>
            </w:r>
            <w:r>
              <w:rPr>
                <w:iCs/>
                <w:snapToGrid w:val="0"/>
                <w:sz w:val="21"/>
                <w:szCs w:val="21"/>
              </w:rPr>
              <w:t>（E）</w:t>
            </w:r>
          </w:p>
        </w:tc>
        <w:tc>
          <w:tcPr>
            <w:tcW w:w="1790" w:type="dxa"/>
            <w:noWrap w:val="0"/>
            <w:vAlign w:val="center"/>
          </w:tcPr>
          <w:p w14:paraId="76C8E922">
            <w:pPr>
              <w:widowControl/>
              <w:adjustRightInd w:val="0"/>
              <w:snapToGrid w:val="0"/>
              <w:jc w:val="center"/>
              <w:rPr>
                <w:snapToGrid w:val="0"/>
                <w:sz w:val="21"/>
                <w:szCs w:val="21"/>
              </w:rPr>
            </w:pPr>
            <w:r>
              <w:rPr>
                <w:snapToGrid w:val="0"/>
                <w:sz w:val="21"/>
                <w:szCs w:val="21"/>
              </w:rPr>
              <w:t>危险物资及工艺系统危险性（P）</w:t>
            </w:r>
          </w:p>
        </w:tc>
        <w:tc>
          <w:tcPr>
            <w:tcW w:w="2080" w:type="dxa"/>
            <w:noWrap w:val="0"/>
            <w:vAlign w:val="center"/>
          </w:tcPr>
          <w:p w14:paraId="6B9C2F40">
            <w:pPr>
              <w:widowControl/>
              <w:adjustRightInd w:val="0"/>
              <w:snapToGrid w:val="0"/>
              <w:jc w:val="center"/>
              <w:rPr>
                <w:snapToGrid w:val="0"/>
                <w:sz w:val="21"/>
                <w:szCs w:val="21"/>
              </w:rPr>
            </w:pPr>
            <w:r>
              <w:rPr>
                <w:snapToGrid w:val="0"/>
                <w:sz w:val="21"/>
                <w:szCs w:val="21"/>
              </w:rPr>
              <w:t>环境风险潜势划分</w:t>
            </w:r>
          </w:p>
        </w:tc>
        <w:tc>
          <w:tcPr>
            <w:tcW w:w="1492" w:type="dxa"/>
            <w:noWrap w:val="0"/>
            <w:vAlign w:val="center"/>
          </w:tcPr>
          <w:p w14:paraId="0BCA01EF">
            <w:pPr>
              <w:adjustRightInd w:val="0"/>
              <w:snapToGrid w:val="0"/>
              <w:jc w:val="center"/>
              <w:rPr>
                <w:snapToGrid w:val="0"/>
                <w:sz w:val="21"/>
                <w:szCs w:val="21"/>
              </w:rPr>
            </w:pPr>
            <w:r>
              <w:rPr>
                <w:iCs/>
                <w:snapToGrid w:val="0"/>
                <w:sz w:val="21"/>
                <w:szCs w:val="21"/>
              </w:rPr>
              <w:t>评价等级</w:t>
            </w:r>
          </w:p>
        </w:tc>
      </w:tr>
      <w:tr w14:paraId="056A4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7" w:type="dxa"/>
            <w:noWrap w:val="0"/>
            <w:vAlign w:val="center"/>
          </w:tcPr>
          <w:p w14:paraId="376BB955">
            <w:pPr>
              <w:adjustRightInd w:val="0"/>
              <w:snapToGrid w:val="0"/>
              <w:jc w:val="center"/>
              <w:rPr>
                <w:iCs/>
                <w:snapToGrid w:val="0"/>
                <w:sz w:val="21"/>
                <w:szCs w:val="21"/>
              </w:rPr>
            </w:pPr>
            <w:r>
              <w:rPr>
                <w:iCs/>
                <w:snapToGrid w:val="0"/>
                <w:sz w:val="21"/>
                <w:szCs w:val="21"/>
              </w:rPr>
              <w:t>大气环境</w:t>
            </w:r>
          </w:p>
        </w:tc>
        <w:tc>
          <w:tcPr>
            <w:tcW w:w="1520" w:type="dxa"/>
            <w:noWrap w:val="0"/>
            <w:vAlign w:val="center"/>
          </w:tcPr>
          <w:p w14:paraId="139D6242">
            <w:pPr>
              <w:adjustRightInd w:val="0"/>
              <w:snapToGrid w:val="0"/>
              <w:jc w:val="center"/>
              <w:rPr>
                <w:rFonts w:hint="eastAsia" w:eastAsia="宋体"/>
                <w:snapToGrid w:val="0"/>
                <w:sz w:val="21"/>
                <w:szCs w:val="21"/>
                <w:lang w:eastAsia="zh-CN"/>
              </w:rPr>
            </w:pPr>
            <w:r>
              <w:rPr>
                <w:iCs/>
                <w:snapToGrid w:val="0"/>
                <w:sz w:val="21"/>
                <w:szCs w:val="21"/>
              </w:rPr>
              <w:t>E</w:t>
            </w:r>
            <w:r>
              <w:rPr>
                <w:rFonts w:hint="eastAsia"/>
                <w:iCs/>
                <w:snapToGrid w:val="0"/>
                <w:sz w:val="21"/>
                <w:szCs w:val="21"/>
                <w:lang w:val="en-US" w:eastAsia="zh-CN"/>
              </w:rPr>
              <w:t>3</w:t>
            </w:r>
          </w:p>
        </w:tc>
        <w:tc>
          <w:tcPr>
            <w:tcW w:w="1790" w:type="dxa"/>
            <w:noWrap w:val="0"/>
            <w:vAlign w:val="center"/>
          </w:tcPr>
          <w:p w14:paraId="6079F154">
            <w:pPr>
              <w:adjustRightInd w:val="0"/>
              <w:snapToGrid w:val="0"/>
              <w:jc w:val="center"/>
              <w:rPr>
                <w:snapToGrid w:val="0"/>
                <w:sz w:val="21"/>
                <w:szCs w:val="21"/>
              </w:rPr>
            </w:pPr>
            <w:r>
              <w:rPr>
                <w:iCs/>
                <w:snapToGrid w:val="0"/>
                <w:sz w:val="21"/>
                <w:szCs w:val="21"/>
              </w:rPr>
              <w:t>P4</w:t>
            </w:r>
          </w:p>
        </w:tc>
        <w:tc>
          <w:tcPr>
            <w:tcW w:w="2080" w:type="dxa"/>
            <w:noWrap w:val="0"/>
            <w:vAlign w:val="center"/>
          </w:tcPr>
          <w:p w14:paraId="54431E5C">
            <w:pPr>
              <w:adjustRightInd w:val="0"/>
              <w:snapToGrid w:val="0"/>
              <w:jc w:val="center"/>
              <w:rPr>
                <w:snapToGrid w:val="0"/>
                <w:sz w:val="21"/>
                <w:szCs w:val="21"/>
              </w:rPr>
            </w:pPr>
            <w:r>
              <w:rPr>
                <w:rFonts w:hint="eastAsia" w:ascii="宋体" w:hAnsi="宋体" w:cs="宋体"/>
                <w:snapToGrid w:val="0"/>
                <w:sz w:val="21"/>
                <w:szCs w:val="21"/>
              </w:rPr>
              <w:t>Ⅰ</w:t>
            </w:r>
          </w:p>
        </w:tc>
        <w:tc>
          <w:tcPr>
            <w:tcW w:w="1492" w:type="dxa"/>
            <w:noWrap w:val="0"/>
            <w:vAlign w:val="center"/>
          </w:tcPr>
          <w:p w14:paraId="08819B46">
            <w:pPr>
              <w:adjustRightInd w:val="0"/>
              <w:snapToGrid w:val="0"/>
              <w:jc w:val="center"/>
              <w:rPr>
                <w:rFonts w:hint="eastAsia" w:eastAsia="宋体"/>
                <w:snapToGrid w:val="0"/>
                <w:sz w:val="21"/>
                <w:szCs w:val="21"/>
                <w:lang w:eastAsia="zh-CN"/>
              </w:rPr>
            </w:pPr>
            <w:r>
              <w:rPr>
                <w:rFonts w:hint="eastAsia"/>
                <w:iCs/>
                <w:snapToGrid w:val="0"/>
                <w:sz w:val="21"/>
                <w:szCs w:val="21"/>
                <w:lang w:val="en-US" w:eastAsia="zh-CN"/>
              </w:rPr>
              <w:t>简单分析</w:t>
            </w:r>
          </w:p>
        </w:tc>
      </w:tr>
      <w:tr w14:paraId="53414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7" w:type="dxa"/>
            <w:noWrap w:val="0"/>
            <w:vAlign w:val="center"/>
          </w:tcPr>
          <w:p w14:paraId="79471516">
            <w:pPr>
              <w:adjustRightInd w:val="0"/>
              <w:snapToGrid w:val="0"/>
              <w:jc w:val="center"/>
              <w:rPr>
                <w:iCs/>
                <w:snapToGrid w:val="0"/>
                <w:sz w:val="21"/>
                <w:szCs w:val="21"/>
              </w:rPr>
            </w:pPr>
            <w:r>
              <w:rPr>
                <w:iCs/>
                <w:snapToGrid w:val="0"/>
                <w:sz w:val="21"/>
                <w:szCs w:val="21"/>
              </w:rPr>
              <w:t>地表水环境</w:t>
            </w:r>
          </w:p>
        </w:tc>
        <w:tc>
          <w:tcPr>
            <w:tcW w:w="1520" w:type="dxa"/>
            <w:noWrap w:val="0"/>
            <w:vAlign w:val="center"/>
          </w:tcPr>
          <w:p w14:paraId="7E6AC9FD">
            <w:pPr>
              <w:adjustRightInd w:val="0"/>
              <w:snapToGrid w:val="0"/>
              <w:jc w:val="center"/>
              <w:rPr>
                <w:snapToGrid w:val="0"/>
                <w:sz w:val="21"/>
                <w:szCs w:val="21"/>
              </w:rPr>
            </w:pPr>
            <w:r>
              <w:rPr>
                <w:iCs/>
                <w:snapToGrid w:val="0"/>
                <w:sz w:val="21"/>
                <w:szCs w:val="21"/>
              </w:rPr>
              <w:t>E3</w:t>
            </w:r>
          </w:p>
        </w:tc>
        <w:tc>
          <w:tcPr>
            <w:tcW w:w="1790" w:type="dxa"/>
            <w:noWrap w:val="0"/>
            <w:vAlign w:val="center"/>
          </w:tcPr>
          <w:p w14:paraId="6D84643C">
            <w:pPr>
              <w:adjustRightInd w:val="0"/>
              <w:snapToGrid w:val="0"/>
              <w:jc w:val="center"/>
              <w:rPr>
                <w:snapToGrid w:val="0"/>
                <w:sz w:val="21"/>
                <w:szCs w:val="21"/>
              </w:rPr>
            </w:pPr>
            <w:r>
              <w:rPr>
                <w:iCs/>
                <w:snapToGrid w:val="0"/>
                <w:sz w:val="21"/>
                <w:szCs w:val="21"/>
              </w:rPr>
              <w:t>P4</w:t>
            </w:r>
          </w:p>
        </w:tc>
        <w:tc>
          <w:tcPr>
            <w:tcW w:w="2080" w:type="dxa"/>
            <w:noWrap w:val="0"/>
            <w:vAlign w:val="center"/>
          </w:tcPr>
          <w:p w14:paraId="38EED1B6">
            <w:pPr>
              <w:adjustRightInd w:val="0"/>
              <w:snapToGrid w:val="0"/>
              <w:jc w:val="center"/>
              <w:rPr>
                <w:snapToGrid w:val="0"/>
                <w:sz w:val="21"/>
                <w:szCs w:val="21"/>
              </w:rPr>
            </w:pPr>
            <w:r>
              <w:rPr>
                <w:rFonts w:hint="eastAsia" w:ascii="宋体" w:hAnsi="宋体" w:cs="宋体"/>
                <w:snapToGrid w:val="0"/>
                <w:sz w:val="21"/>
                <w:szCs w:val="21"/>
              </w:rPr>
              <w:t>Ⅰ</w:t>
            </w:r>
          </w:p>
        </w:tc>
        <w:tc>
          <w:tcPr>
            <w:tcW w:w="1492" w:type="dxa"/>
            <w:noWrap w:val="0"/>
            <w:vAlign w:val="center"/>
          </w:tcPr>
          <w:p w14:paraId="40BFD271">
            <w:pPr>
              <w:adjustRightInd w:val="0"/>
              <w:snapToGrid w:val="0"/>
              <w:jc w:val="center"/>
              <w:rPr>
                <w:snapToGrid w:val="0"/>
                <w:sz w:val="21"/>
                <w:szCs w:val="21"/>
              </w:rPr>
            </w:pPr>
            <w:r>
              <w:rPr>
                <w:iCs/>
                <w:snapToGrid w:val="0"/>
                <w:sz w:val="21"/>
                <w:szCs w:val="21"/>
              </w:rPr>
              <w:t>简单分析</w:t>
            </w:r>
          </w:p>
        </w:tc>
      </w:tr>
      <w:tr w14:paraId="2B2A8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47" w:type="dxa"/>
            <w:noWrap w:val="0"/>
            <w:vAlign w:val="center"/>
          </w:tcPr>
          <w:p w14:paraId="27ACEFD3">
            <w:pPr>
              <w:adjustRightInd w:val="0"/>
              <w:snapToGrid w:val="0"/>
              <w:jc w:val="center"/>
              <w:rPr>
                <w:iCs/>
                <w:snapToGrid w:val="0"/>
                <w:sz w:val="21"/>
                <w:szCs w:val="21"/>
              </w:rPr>
            </w:pPr>
            <w:r>
              <w:rPr>
                <w:iCs/>
                <w:snapToGrid w:val="0"/>
                <w:sz w:val="21"/>
                <w:szCs w:val="21"/>
              </w:rPr>
              <w:t>地下水环境</w:t>
            </w:r>
          </w:p>
        </w:tc>
        <w:tc>
          <w:tcPr>
            <w:tcW w:w="1520" w:type="dxa"/>
            <w:noWrap w:val="0"/>
            <w:vAlign w:val="center"/>
          </w:tcPr>
          <w:p w14:paraId="0836C679">
            <w:pPr>
              <w:widowControl/>
              <w:adjustRightInd w:val="0"/>
              <w:snapToGrid w:val="0"/>
              <w:jc w:val="center"/>
              <w:rPr>
                <w:snapToGrid w:val="0"/>
                <w:sz w:val="21"/>
                <w:szCs w:val="21"/>
              </w:rPr>
            </w:pPr>
            <w:r>
              <w:rPr>
                <w:iCs/>
                <w:snapToGrid w:val="0"/>
                <w:sz w:val="21"/>
                <w:szCs w:val="21"/>
              </w:rPr>
              <w:t>E3</w:t>
            </w:r>
          </w:p>
        </w:tc>
        <w:tc>
          <w:tcPr>
            <w:tcW w:w="1790" w:type="dxa"/>
            <w:noWrap w:val="0"/>
            <w:vAlign w:val="center"/>
          </w:tcPr>
          <w:p w14:paraId="77F47A66">
            <w:pPr>
              <w:adjustRightInd w:val="0"/>
              <w:snapToGrid w:val="0"/>
              <w:jc w:val="center"/>
              <w:rPr>
                <w:snapToGrid w:val="0"/>
                <w:sz w:val="21"/>
                <w:szCs w:val="21"/>
              </w:rPr>
            </w:pPr>
            <w:r>
              <w:rPr>
                <w:iCs/>
                <w:snapToGrid w:val="0"/>
                <w:sz w:val="21"/>
                <w:szCs w:val="21"/>
              </w:rPr>
              <w:t>P4</w:t>
            </w:r>
          </w:p>
        </w:tc>
        <w:tc>
          <w:tcPr>
            <w:tcW w:w="2080" w:type="dxa"/>
            <w:noWrap w:val="0"/>
            <w:vAlign w:val="center"/>
          </w:tcPr>
          <w:p w14:paraId="7017804D">
            <w:pPr>
              <w:adjustRightInd w:val="0"/>
              <w:snapToGrid w:val="0"/>
              <w:jc w:val="center"/>
              <w:rPr>
                <w:snapToGrid w:val="0"/>
                <w:sz w:val="21"/>
                <w:szCs w:val="21"/>
              </w:rPr>
            </w:pPr>
            <w:r>
              <w:rPr>
                <w:rFonts w:hint="eastAsia" w:ascii="宋体" w:hAnsi="宋体" w:cs="宋体"/>
                <w:snapToGrid w:val="0"/>
                <w:sz w:val="21"/>
                <w:szCs w:val="21"/>
              </w:rPr>
              <w:t>Ⅰ</w:t>
            </w:r>
          </w:p>
        </w:tc>
        <w:tc>
          <w:tcPr>
            <w:tcW w:w="1492" w:type="dxa"/>
            <w:noWrap w:val="0"/>
            <w:vAlign w:val="center"/>
          </w:tcPr>
          <w:p w14:paraId="0923340C">
            <w:pPr>
              <w:adjustRightInd w:val="0"/>
              <w:snapToGrid w:val="0"/>
              <w:jc w:val="center"/>
              <w:rPr>
                <w:snapToGrid w:val="0"/>
                <w:sz w:val="21"/>
                <w:szCs w:val="21"/>
              </w:rPr>
            </w:pPr>
            <w:r>
              <w:rPr>
                <w:iCs/>
                <w:snapToGrid w:val="0"/>
                <w:sz w:val="21"/>
                <w:szCs w:val="21"/>
              </w:rPr>
              <w:t>简单分析</w:t>
            </w:r>
          </w:p>
        </w:tc>
      </w:tr>
    </w:tbl>
    <w:p w14:paraId="5CC306D8">
      <w:pPr>
        <w:spacing w:line="500" w:lineRule="exact"/>
        <w:ind w:firstLine="480" w:firstLineChars="200"/>
        <w:rPr>
          <w:sz w:val="24"/>
        </w:rPr>
      </w:pPr>
      <w:r>
        <w:rPr>
          <w:sz w:val="24"/>
        </w:rPr>
        <w:t>根据建设项目涉及的危险物质及工艺系统危险性和所在地的环境敏感性确定环境风险潜势，按表2.</w:t>
      </w:r>
      <w:r>
        <w:rPr>
          <w:rFonts w:hint="eastAsia"/>
          <w:sz w:val="24"/>
          <w:lang w:val="en-US" w:eastAsia="zh-CN"/>
        </w:rPr>
        <w:t>4-27</w:t>
      </w:r>
      <w:r>
        <w:rPr>
          <w:sz w:val="24"/>
        </w:rPr>
        <w:t>划分评价工作等级。本项目环境风险评价等级为</w:t>
      </w:r>
      <w:r>
        <w:rPr>
          <w:rFonts w:hint="eastAsia"/>
          <w:sz w:val="24"/>
          <w:lang w:val="en-US" w:eastAsia="zh-CN"/>
        </w:rPr>
        <w:t>简单分析</w:t>
      </w:r>
      <w:r>
        <w:rPr>
          <w:sz w:val="24"/>
        </w:rPr>
        <w:t>。</w:t>
      </w:r>
    </w:p>
    <w:p w14:paraId="49E7B742">
      <w:pPr>
        <w:spacing w:line="360" w:lineRule="auto"/>
        <w:jc w:val="center"/>
        <w:rPr>
          <w:b/>
        </w:rPr>
      </w:pPr>
      <w:r>
        <w:rPr>
          <w:b/>
        </w:rPr>
        <w:t>表2.4-</w:t>
      </w:r>
      <w:r>
        <w:rPr>
          <w:rFonts w:hint="eastAsia"/>
          <w:b/>
          <w:lang w:val="en-US" w:eastAsia="zh-CN"/>
        </w:rPr>
        <w:t>28</w:t>
      </w:r>
      <w:r>
        <w:rPr>
          <w:b/>
        </w:rPr>
        <w:t xml:space="preserve"> 环境评价等级与范围汇总表</w:t>
      </w:r>
    </w:p>
    <w:tbl>
      <w:tblPr>
        <w:tblStyle w:val="53"/>
        <w:tblW w:w="8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2"/>
        <w:gridCol w:w="6019"/>
        <w:gridCol w:w="1147"/>
      </w:tblGrid>
      <w:tr w14:paraId="2B500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tcBorders>
              <w:tl2br w:val="nil"/>
              <w:tr2bl w:val="nil"/>
            </w:tcBorders>
            <w:vAlign w:val="center"/>
          </w:tcPr>
          <w:p w14:paraId="77040D86">
            <w:pPr>
              <w:jc w:val="center"/>
              <w:rPr>
                <w:b/>
                <w:bCs/>
                <w:sz w:val="21"/>
                <w:szCs w:val="21"/>
              </w:rPr>
            </w:pPr>
            <w:r>
              <w:rPr>
                <w:b/>
                <w:bCs/>
                <w:sz w:val="21"/>
                <w:szCs w:val="21"/>
              </w:rPr>
              <w:t>环境要素</w:t>
            </w:r>
          </w:p>
        </w:tc>
        <w:tc>
          <w:tcPr>
            <w:tcW w:w="6019" w:type="dxa"/>
            <w:tcBorders>
              <w:tl2br w:val="nil"/>
              <w:tr2bl w:val="nil"/>
            </w:tcBorders>
            <w:vAlign w:val="center"/>
          </w:tcPr>
          <w:p w14:paraId="330F8084">
            <w:pPr>
              <w:jc w:val="center"/>
              <w:rPr>
                <w:b/>
                <w:bCs/>
                <w:sz w:val="21"/>
                <w:szCs w:val="21"/>
              </w:rPr>
            </w:pPr>
            <w:r>
              <w:rPr>
                <w:b/>
                <w:bCs/>
                <w:sz w:val="21"/>
                <w:szCs w:val="21"/>
              </w:rPr>
              <w:t>评价范围</w:t>
            </w:r>
          </w:p>
        </w:tc>
        <w:tc>
          <w:tcPr>
            <w:tcW w:w="1147" w:type="dxa"/>
            <w:tcBorders>
              <w:tl2br w:val="nil"/>
              <w:tr2bl w:val="nil"/>
            </w:tcBorders>
            <w:vAlign w:val="center"/>
          </w:tcPr>
          <w:p w14:paraId="18DED210">
            <w:pPr>
              <w:jc w:val="center"/>
              <w:rPr>
                <w:b/>
                <w:bCs/>
                <w:sz w:val="21"/>
                <w:szCs w:val="21"/>
              </w:rPr>
            </w:pPr>
            <w:r>
              <w:rPr>
                <w:b/>
                <w:bCs/>
                <w:sz w:val="21"/>
                <w:szCs w:val="21"/>
              </w:rPr>
              <w:t>评价等级</w:t>
            </w:r>
          </w:p>
        </w:tc>
      </w:tr>
      <w:tr w14:paraId="791B2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vMerge w:val="restart"/>
            <w:tcBorders>
              <w:tl2br w:val="nil"/>
              <w:tr2bl w:val="nil"/>
            </w:tcBorders>
            <w:vAlign w:val="center"/>
          </w:tcPr>
          <w:p w14:paraId="05873AE5">
            <w:pPr>
              <w:jc w:val="center"/>
              <w:rPr>
                <w:sz w:val="21"/>
                <w:szCs w:val="21"/>
              </w:rPr>
            </w:pPr>
            <w:r>
              <w:rPr>
                <w:sz w:val="21"/>
                <w:szCs w:val="21"/>
              </w:rPr>
              <w:t>大气环境</w:t>
            </w:r>
          </w:p>
        </w:tc>
        <w:tc>
          <w:tcPr>
            <w:tcW w:w="6019" w:type="dxa"/>
            <w:tcBorders>
              <w:tl2br w:val="nil"/>
              <w:tr2bl w:val="nil"/>
            </w:tcBorders>
            <w:vAlign w:val="center"/>
          </w:tcPr>
          <w:p w14:paraId="1DC4A983">
            <w:pPr>
              <w:ind w:left="120" w:leftChars="50"/>
              <w:jc w:val="center"/>
              <w:rPr>
                <w:sz w:val="21"/>
                <w:szCs w:val="21"/>
              </w:rPr>
            </w:pPr>
            <w:r>
              <w:rPr>
                <w:rFonts w:ascii="Times New Roman" w:hAnsi="Times New Roman" w:eastAsia="宋体" w:cs="Times New Roman"/>
                <w:sz w:val="21"/>
                <w:szCs w:val="21"/>
              </w:rPr>
              <w:t>现状评价：</w:t>
            </w:r>
            <w:r>
              <w:rPr>
                <w:rFonts w:hint="default" w:ascii="Times New Roman" w:hAnsi="Times New Roman" w:eastAsia="宋体" w:cs="Times New Roman"/>
                <w:sz w:val="21"/>
                <w:szCs w:val="21"/>
              </w:rPr>
              <w:t>为以厂址为中心，边长5km的矩形区域。</w:t>
            </w:r>
          </w:p>
        </w:tc>
        <w:tc>
          <w:tcPr>
            <w:tcW w:w="1147" w:type="dxa"/>
            <w:vMerge w:val="restart"/>
            <w:tcBorders>
              <w:tl2br w:val="nil"/>
              <w:tr2bl w:val="nil"/>
            </w:tcBorders>
            <w:vAlign w:val="center"/>
          </w:tcPr>
          <w:p w14:paraId="3B83E496">
            <w:pPr>
              <w:jc w:val="center"/>
              <w:rPr>
                <w:sz w:val="21"/>
                <w:szCs w:val="21"/>
              </w:rPr>
            </w:pPr>
            <w:r>
              <w:rPr>
                <w:rFonts w:hint="eastAsia"/>
                <w:sz w:val="21"/>
                <w:szCs w:val="21"/>
                <w:lang w:val="en-US" w:eastAsia="zh-CN"/>
              </w:rPr>
              <w:t>二</w:t>
            </w:r>
            <w:r>
              <w:rPr>
                <w:sz w:val="21"/>
                <w:szCs w:val="21"/>
              </w:rPr>
              <w:t>级</w:t>
            </w:r>
          </w:p>
        </w:tc>
      </w:tr>
      <w:tr w14:paraId="5BE1A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vMerge w:val="continue"/>
            <w:tcBorders>
              <w:tl2br w:val="nil"/>
              <w:tr2bl w:val="nil"/>
            </w:tcBorders>
            <w:vAlign w:val="center"/>
          </w:tcPr>
          <w:p w14:paraId="4E9725A4">
            <w:pPr>
              <w:jc w:val="center"/>
              <w:rPr>
                <w:sz w:val="21"/>
                <w:szCs w:val="21"/>
              </w:rPr>
            </w:pPr>
          </w:p>
        </w:tc>
        <w:tc>
          <w:tcPr>
            <w:tcW w:w="6019" w:type="dxa"/>
            <w:tcBorders>
              <w:tl2br w:val="nil"/>
              <w:tr2bl w:val="nil"/>
            </w:tcBorders>
            <w:vAlign w:val="center"/>
          </w:tcPr>
          <w:p w14:paraId="50168459">
            <w:pPr>
              <w:ind w:left="120" w:leftChars="50"/>
              <w:jc w:val="center"/>
              <w:rPr>
                <w:sz w:val="21"/>
                <w:szCs w:val="21"/>
              </w:rPr>
            </w:pPr>
            <w:r>
              <w:rPr>
                <w:sz w:val="21"/>
                <w:szCs w:val="21"/>
              </w:rPr>
              <w:t>影响评价：同现状评价范围</w:t>
            </w:r>
          </w:p>
        </w:tc>
        <w:tc>
          <w:tcPr>
            <w:tcW w:w="1147" w:type="dxa"/>
            <w:vMerge w:val="continue"/>
            <w:tcBorders>
              <w:tl2br w:val="nil"/>
              <w:tr2bl w:val="nil"/>
            </w:tcBorders>
            <w:vAlign w:val="center"/>
          </w:tcPr>
          <w:p w14:paraId="2B985A8A">
            <w:pPr>
              <w:jc w:val="center"/>
              <w:rPr>
                <w:sz w:val="21"/>
                <w:szCs w:val="21"/>
              </w:rPr>
            </w:pPr>
          </w:p>
        </w:tc>
      </w:tr>
      <w:tr w14:paraId="6F7DD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vMerge w:val="restart"/>
            <w:tcBorders>
              <w:tl2br w:val="nil"/>
              <w:tr2bl w:val="nil"/>
            </w:tcBorders>
            <w:vAlign w:val="center"/>
          </w:tcPr>
          <w:p w14:paraId="5B7A9ABF">
            <w:pPr>
              <w:jc w:val="center"/>
              <w:rPr>
                <w:sz w:val="21"/>
                <w:szCs w:val="21"/>
              </w:rPr>
            </w:pPr>
            <w:r>
              <w:rPr>
                <w:sz w:val="21"/>
                <w:szCs w:val="21"/>
              </w:rPr>
              <w:t>声环境</w:t>
            </w:r>
          </w:p>
        </w:tc>
        <w:tc>
          <w:tcPr>
            <w:tcW w:w="6019" w:type="dxa"/>
            <w:tcBorders>
              <w:tl2br w:val="nil"/>
              <w:tr2bl w:val="nil"/>
            </w:tcBorders>
            <w:vAlign w:val="center"/>
          </w:tcPr>
          <w:p w14:paraId="489C8B99">
            <w:pPr>
              <w:ind w:left="120" w:leftChars="50"/>
              <w:jc w:val="center"/>
              <w:rPr>
                <w:sz w:val="21"/>
                <w:szCs w:val="21"/>
              </w:rPr>
            </w:pPr>
            <w:r>
              <w:rPr>
                <w:sz w:val="21"/>
                <w:szCs w:val="21"/>
              </w:rPr>
              <w:t>噪声现状评价范围以项目厂界为界</w:t>
            </w:r>
          </w:p>
        </w:tc>
        <w:tc>
          <w:tcPr>
            <w:tcW w:w="1147" w:type="dxa"/>
            <w:vMerge w:val="restart"/>
            <w:tcBorders>
              <w:tl2br w:val="nil"/>
              <w:tr2bl w:val="nil"/>
            </w:tcBorders>
            <w:vAlign w:val="center"/>
          </w:tcPr>
          <w:p w14:paraId="11C265A4">
            <w:pPr>
              <w:jc w:val="center"/>
              <w:rPr>
                <w:sz w:val="21"/>
                <w:szCs w:val="21"/>
              </w:rPr>
            </w:pPr>
            <w:r>
              <w:rPr>
                <w:rFonts w:hint="eastAsia"/>
                <w:sz w:val="21"/>
                <w:szCs w:val="21"/>
                <w:lang w:val="en-US" w:eastAsia="zh-CN"/>
              </w:rPr>
              <w:t>三</w:t>
            </w:r>
            <w:r>
              <w:rPr>
                <w:sz w:val="21"/>
                <w:szCs w:val="21"/>
              </w:rPr>
              <w:t>级</w:t>
            </w:r>
          </w:p>
        </w:tc>
      </w:tr>
      <w:tr w14:paraId="669F9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392" w:type="dxa"/>
            <w:vMerge w:val="continue"/>
            <w:tcBorders>
              <w:tl2br w:val="nil"/>
              <w:tr2bl w:val="nil"/>
            </w:tcBorders>
            <w:vAlign w:val="center"/>
          </w:tcPr>
          <w:p w14:paraId="24726927">
            <w:pPr>
              <w:jc w:val="center"/>
              <w:rPr>
                <w:sz w:val="21"/>
                <w:szCs w:val="21"/>
              </w:rPr>
            </w:pPr>
          </w:p>
        </w:tc>
        <w:tc>
          <w:tcPr>
            <w:tcW w:w="6019" w:type="dxa"/>
            <w:tcBorders>
              <w:tl2br w:val="nil"/>
              <w:tr2bl w:val="nil"/>
            </w:tcBorders>
            <w:vAlign w:val="center"/>
          </w:tcPr>
          <w:p w14:paraId="020C52AB">
            <w:pPr>
              <w:ind w:left="120" w:leftChars="50"/>
              <w:jc w:val="center"/>
              <w:rPr>
                <w:sz w:val="21"/>
                <w:szCs w:val="21"/>
              </w:rPr>
            </w:pPr>
            <w:r>
              <w:rPr>
                <w:sz w:val="21"/>
                <w:szCs w:val="21"/>
              </w:rPr>
              <w:t>噪声影响评价范围为：厂界和厂界外200m以内区域</w:t>
            </w:r>
          </w:p>
        </w:tc>
        <w:tc>
          <w:tcPr>
            <w:tcW w:w="1147" w:type="dxa"/>
            <w:vMerge w:val="continue"/>
            <w:tcBorders>
              <w:tl2br w:val="nil"/>
              <w:tr2bl w:val="nil"/>
            </w:tcBorders>
            <w:vAlign w:val="center"/>
          </w:tcPr>
          <w:p w14:paraId="47D2ADCF">
            <w:pPr>
              <w:jc w:val="center"/>
              <w:rPr>
                <w:sz w:val="21"/>
                <w:szCs w:val="21"/>
              </w:rPr>
            </w:pPr>
          </w:p>
        </w:tc>
      </w:tr>
      <w:tr w14:paraId="47DFB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vMerge w:val="restart"/>
            <w:tcBorders>
              <w:tl2br w:val="nil"/>
              <w:tr2bl w:val="nil"/>
            </w:tcBorders>
            <w:vAlign w:val="center"/>
          </w:tcPr>
          <w:p w14:paraId="3E4A4284">
            <w:pPr>
              <w:jc w:val="center"/>
              <w:rPr>
                <w:sz w:val="21"/>
                <w:szCs w:val="21"/>
              </w:rPr>
            </w:pPr>
            <w:r>
              <w:rPr>
                <w:sz w:val="21"/>
                <w:szCs w:val="21"/>
              </w:rPr>
              <w:t>地表水环境</w:t>
            </w:r>
          </w:p>
        </w:tc>
        <w:tc>
          <w:tcPr>
            <w:tcW w:w="6019" w:type="dxa"/>
            <w:tcBorders>
              <w:tl2br w:val="nil"/>
              <w:tr2bl w:val="nil"/>
            </w:tcBorders>
            <w:vAlign w:val="center"/>
          </w:tcPr>
          <w:p w14:paraId="7CB7C42F">
            <w:pPr>
              <w:ind w:left="120" w:leftChars="50"/>
              <w:jc w:val="center"/>
              <w:rPr>
                <w:rFonts w:hint="eastAsia"/>
                <w:sz w:val="21"/>
                <w:szCs w:val="21"/>
                <w:lang w:eastAsia="zh-CN"/>
              </w:rPr>
            </w:pPr>
            <w:r>
              <w:rPr>
                <w:sz w:val="21"/>
                <w:szCs w:val="21"/>
              </w:rPr>
              <w:t>现状评价：</w:t>
            </w:r>
            <w:r>
              <w:rPr>
                <w:rFonts w:hint="eastAsia"/>
                <w:sz w:val="21"/>
                <w:szCs w:val="21"/>
                <w:lang w:eastAsia="zh-CN"/>
              </w:rPr>
              <w:t>排污口上游500m的对照断面至排污口下游11857m的消减断面，评价河流段长度为12357m。</w:t>
            </w:r>
          </w:p>
        </w:tc>
        <w:tc>
          <w:tcPr>
            <w:tcW w:w="1147" w:type="dxa"/>
            <w:vMerge w:val="restart"/>
            <w:tcBorders>
              <w:tl2br w:val="nil"/>
              <w:tr2bl w:val="nil"/>
            </w:tcBorders>
            <w:vAlign w:val="center"/>
          </w:tcPr>
          <w:p w14:paraId="1F35951E">
            <w:pPr>
              <w:jc w:val="center"/>
              <w:rPr>
                <w:rFonts w:hint="default" w:eastAsia="宋体"/>
                <w:sz w:val="21"/>
                <w:szCs w:val="21"/>
                <w:lang w:val="en-US" w:eastAsia="zh-CN"/>
              </w:rPr>
            </w:pPr>
            <w:r>
              <w:rPr>
                <w:rFonts w:hint="eastAsia"/>
                <w:sz w:val="21"/>
                <w:szCs w:val="21"/>
                <w:lang w:val="en-US" w:eastAsia="zh-CN"/>
              </w:rPr>
              <w:t>二级</w:t>
            </w:r>
          </w:p>
        </w:tc>
      </w:tr>
      <w:tr w14:paraId="63AAB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vMerge w:val="continue"/>
            <w:tcBorders>
              <w:tl2br w:val="nil"/>
              <w:tr2bl w:val="nil"/>
            </w:tcBorders>
            <w:vAlign w:val="center"/>
          </w:tcPr>
          <w:p w14:paraId="0C5373FF">
            <w:pPr>
              <w:jc w:val="center"/>
              <w:rPr>
                <w:sz w:val="21"/>
                <w:szCs w:val="21"/>
              </w:rPr>
            </w:pPr>
          </w:p>
        </w:tc>
        <w:tc>
          <w:tcPr>
            <w:tcW w:w="6019" w:type="dxa"/>
            <w:tcBorders>
              <w:tl2br w:val="nil"/>
              <w:tr2bl w:val="nil"/>
            </w:tcBorders>
            <w:vAlign w:val="center"/>
          </w:tcPr>
          <w:p w14:paraId="1330710A">
            <w:pPr>
              <w:ind w:left="120" w:leftChars="50"/>
              <w:jc w:val="center"/>
              <w:rPr>
                <w:rFonts w:hint="default"/>
                <w:sz w:val="21"/>
                <w:szCs w:val="21"/>
                <w:lang w:val="en-US" w:eastAsia="zh-CN"/>
              </w:rPr>
            </w:pPr>
            <w:r>
              <w:rPr>
                <w:rFonts w:hint="eastAsia"/>
                <w:sz w:val="21"/>
                <w:szCs w:val="21"/>
                <w:lang w:val="en-US" w:eastAsia="zh-CN"/>
              </w:rPr>
              <w:t>影响评价：</w:t>
            </w:r>
            <w:r>
              <w:rPr>
                <w:rFonts w:hint="eastAsia"/>
                <w:sz w:val="21"/>
                <w:szCs w:val="21"/>
                <w:lang w:eastAsia="zh-CN"/>
              </w:rPr>
              <w:t>排污口上游500m的对照断面至排污口下游11857m的消减断面，评价河流段长度为12357m。</w:t>
            </w:r>
          </w:p>
        </w:tc>
        <w:tc>
          <w:tcPr>
            <w:tcW w:w="1147" w:type="dxa"/>
            <w:vMerge w:val="continue"/>
            <w:tcBorders>
              <w:tl2br w:val="nil"/>
              <w:tr2bl w:val="nil"/>
            </w:tcBorders>
            <w:vAlign w:val="center"/>
          </w:tcPr>
          <w:p w14:paraId="5FDEAD7A">
            <w:pPr>
              <w:jc w:val="center"/>
              <w:rPr>
                <w:sz w:val="21"/>
                <w:szCs w:val="21"/>
              </w:rPr>
            </w:pPr>
          </w:p>
        </w:tc>
      </w:tr>
      <w:tr w14:paraId="36FD5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vMerge w:val="restart"/>
            <w:tcBorders>
              <w:tl2br w:val="nil"/>
              <w:tr2bl w:val="nil"/>
            </w:tcBorders>
            <w:vAlign w:val="center"/>
          </w:tcPr>
          <w:p w14:paraId="3B0565FF">
            <w:pPr>
              <w:jc w:val="center"/>
              <w:rPr>
                <w:rFonts w:hint="default" w:eastAsia="宋体"/>
                <w:sz w:val="21"/>
                <w:szCs w:val="21"/>
                <w:lang w:val="en-US" w:eastAsia="zh-CN"/>
              </w:rPr>
            </w:pPr>
            <w:r>
              <w:rPr>
                <w:rFonts w:hint="eastAsia"/>
                <w:sz w:val="21"/>
                <w:szCs w:val="21"/>
                <w:lang w:val="en-US" w:eastAsia="zh-CN"/>
              </w:rPr>
              <w:t>地下水环境</w:t>
            </w:r>
          </w:p>
        </w:tc>
        <w:tc>
          <w:tcPr>
            <w:tcW w:w="6019" w:type="dxa"/>
            <w:tcBorders>
              <w:tl2br w:val="nil"/>
              <w:tr2bl w:val="nil"/>
            </w:tcBorders>
            <w:vAlign w:val="center"/>
          </w:tcPr>
          <w:p w14:paraId="63C75B0A">
            <w:pPr>
              <w:ind w:left="120" w:leftChars="50"/>
              <w:jc w:val="center"/>
              <w:rPr>
                <w:rFonts w:hint="default" w:eastAsia="宋体"/>
                <w:sz w:val="21"/>
                <w:szCs w:val="21"/>
                <w:lang w:val="en-US" w:eastAsia="zh-CN"/>
              </w:rPr>
            </w:pPr>
            <w:r>
              <w:rPr>
                <w:rFonts w:hint="eastAsia"/>
                <w:sz w:val="21"/>
                <w:szCs w:val="21"/>
                <w:lang w:val="en-US" w:eastAsia="zh-CN"/>
              </w:rPr>
              <w:t>现状评价：</w:t>
            </w:r>
            <w:r>
              <w:rPr>
                <w:rFonts w:hint="eastAsia" w:ascii="Times New Roman" w:hAnsi="Times New Roman" w:cs="Times New Roman"/>
                <w:sz w:val="21"/>
                <w:szCs w:val="21"/>
              </w:rPr>
              <w:t>6km</w:t>
            </w:r>
            <w:r>
              <w:rPr>
                <w:rFonts w:hint="eastAsia" w:ascii="Times New Roman" w:hAnsi="Times New Roman" w:cs="Times New Roman"/>
                <w:sz w:val="21"/>
                <w:szCs w:val="21"/>
                <w:vertAlign w:val="superscript"/>
              </w:rPr>
              <w:t>2</w:t>
            </w:r>
            <w:r>
              <w:rPr>
                <w:rFonts w:hint="eastAsia" w:ascii="Times New Roman" w:hAnsi="Times New Roman" w:cs="Times New Roman"/>
                <w:sz w:val="21"/>
                <w:szCs w:val="21"/>
                <w:vertAlign w:val="baseline"/>
                <w:lang w:val="en-US" w:eastAsia="zh-CN"/>
              </w:rPr>
              <w:t>的区域</w:t>
            </w:r>
          </w:p>
        </w:tc>
        <w:tc>
          <w:tcPr>
            <w:tcW w:w="1147" w:type="dxa"/>
            <w:vMerge w:val="restart"/>
            <w:tcBorders>
              <w:tl2br w:val="nil"/>
              <w:tr2bl w:val="nil"/>
            </w:tcBorders>
            <w:vAlign w:val="center"/>
          </w:tcPr>
          <w:p w14:paraId="338C4533">
            <w:pPr>
              <w:jc w:val="center"/>
              <w:rPr>
                <w:rFonts w:hint="eastAsia" w:eastAsia="宋体"/>
                <w:sz w:val="21"/>
                <w:szCs w:val="21"/>
                <w:lang w:val="en-US" w:eastAsia="zh-CN"/>
              </w:rPr>
            </w:pPr>
            <w:r>
              <w:rPr>
                <w:rFonts w:hint="eastAsia"/>
                <w:sz w:val="21"/>
                <w:szCs w:val="21"/>
                <w:lang w:val="en-US" w:eastAsia="zh-CN"/>
              </w:rPr>
              <w:t>三级</w:t>
            </w:r>
          </w:p>
        </w:tc>
      </w:tr>
      <w:tr w14:paraId="5C01F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vMerge w:val="continue"/>
            <w:tcBorders>
              <w:tl2br w:val="nil"/>
              <w:tr2bl w:val="nil"/>
            </w:tcBorders>
            <w:vAlign w:val="center"/>
          </w:tcPr>
          <w:p w14:paraId="01F75A0F">
            <w:pPr>
              <w:jc w:val="center"/>
              <w:rPr>
                <w:sz w:val="21"/>
                <w:szCs w:val="21"/>
              </w:rPr>
            </w:pPr>
          </w:p>
        </w:tc>
        <w:tc>
          <w:tcPr>
            <w:tcW w:w="6019" w:type="dxa"/>
            <w:tcBorders>
              <w:tl2br w:val="nil"/>
              <w:tr2bl w:val="nil"/>
            </w:tcBorders>
            <w:vAlign w:val="center"/>
          </w:tcPr>
          <w:p w14:paraId="3F6C8904">
            <w:pPr>
              <w:ind w:left="120" w:leftChars="50"/>
              <w:jc w:val="center"/>
              <w:rPr>
                <w:rFonts w:hint="default" w:eastAsia="宋体"/>
                <w:sz w:val="21"/>
                <w:szCs w:val="21"/>
                <w:lang w:val="en-US" w:eastAsia="zh-CN"/>
              </w:rPr>
            </w:pPr>
            <w:r>
              <w:rPr>
                <w:rFonts w:hint="eastAsia"/>
                <w:sz w:val="21"/>
                <w:szCs w:val="21"/>
                <w:lang w:val="en-US" w:eastAsia="zh-CN"/>
              </w:rPr>
              <w:t>影响评价：</w:t>
            </w:r>
            <w:r>
              <w:rPr>
                <w:rFonts w:hint="eastAsia" w:ascii="Times New Roman" w:hAnsi="Times New Roman" w:cs="Times New Roman"/>
                <w:sz w:val="21"/>
                <w:szCs w:val="21"/>
              </w:rPr>
              <w:t>6km</w:t>
            </w:r>
            <w:r>
              <w:rPr>
                <w:rFonts w:hint="eastAsia" w:ascii="Times New Roman" w:hAnsi="Times New Roman" w:cs="Times New Roman"/>
                <w:sz w:val="21"/>
                <w:szCs w:val="21"/>
                <w:vertAlign w:val="superscript"/>
              </w:rPr>
              <w:t>2</w:t>
            </w:r>
            <w:r>
              <w:rPr>
                <w:rFonts w:hint="eastAsia" w:ascii="Times New Roman" w:hAnsi="Times New Roman" w:cs="Times New Roman"/>
                <w:sz w:val="21"/>
                <w:szCs w:val="21"/>
                <w:vertAlign w:val="baseline"/>
                <w:lang w:val="en-US" w:eastAsia="zh-CN"/>
              </w:rPr>
              <w:t>的区域</w:t>
            </w:r>
          </w:p>
        </w:tc>
        <w:tc>
          <w:tcPr>
            <w:tcW w:w="1147" w:type="dxa"/>
            <w:vMerge w:val="continue"/>
            <w:tcBorders>
              <w:tl2br w:val="nil"/>
              <w:tr2bl w:val="nil"/>
            </w:tcBorders>
            <w:vAlign w:val="center"/>
          </w:tcPr>
          <w:p w14:paraId="373C4769">
            <w:pPr>
              <w:jc w:val="center"/>
              <w:rPr>
                <w:sz w:val="21"/>
                <w:szCs w:val="21"/>
              </w:rPr>
            </w:pPr>
          </w:p>
        </w:tc>
      </w:tr>
      <w:tr w14:paraId="24232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tcBorders>
              <w:tl2br w:val="nil"/>
              <w:tr2bl w:val="nil"/>
            </w:tcBorders>
            <w:vAlign w:val="center"/>
          </w:tcPr>
          <w:p w14:paraId="0C0910A9">
            <w:pPr>
              <w:pStyle w:val="489"/>
              <w:spacing w:line="240" w:lineRule="auto"/>
              <w:ind w:firstLine="0"/>
              <w:jc w:val="center"/>
              <w:rPr>
                <w:rFonts w:ascii="Times New Roman" w:hAnsi="Times New Roman" w:cs="Times New Roman"/>
                <w:sz w:val="20"/>
                <w:szCs w:val="20"/>
                <w:lang w:val="en-US" w:eastAsia="zh-CN"/>
              </w:rPr>
            </w:pPr>
            <w:r>
              <w:rPr>
                <w:rFonts w:ascii="Times New Roman" w:hAnsi="Times New Roman" w:cs="Times New Roman"/>
                <w:sz w:val="20"/>
                <w:szCs w:val="20"/>
              </w:rPr>
              <w:t>土壤</w:t>
            </w:r>
            <w:r>
              <w:rPr>
                <w:rFonts w:hint="eastAsia" w:ascii="Times New Roman" w:hAnsi="Times New Roman" w:cs="Times New Roman"/>
                <w:sz w:val="20"/>
                <w:szCs w:val="20"/>
                <w:lang w:val="en-US" w:eastAsia="zh-CN"/>
              </w:rPr>
              <w:t>环境</w:t>
            </w:r>
          </w:p>
        </w:tc>
        <w:tc>
          <w:tcPr>
            <w:tcW w:w="6019" w:type="dxa"/>
            <w:tcBorders>
              <w:tl2br w:val="nil"/>
              <w:tr2bl w:val="nil"/>
            </w:tcBorders>
            <w:vAlign w:val="center"/>
          </w:tcPr>
          <w:p w14:paraId="1073FE62">
            <w:pPr>
              <w:pStyle w:val="489"/>
              <w:spacing w:line="240" w:lineRule="auto"/>
              <w:ind w:firstLine="0"/>
              <w:jc w:val="center"/>
              <w:rPr>
                <w:rFonts w:ascii="Times New Roman" w:hAnsi="Times New Roman" w:cs="Times New Roman"/>
                <w:sz w:val="20"/>
                <w:szCs w:val="20"/>
                <w:lang w:val="en-US" w:eastAsia="zh-CN"/>
              </w:rPr>
            </w:pPr>
            <w:r>
              <w:rPr>
                <w:rFonts w:ascii="Times New Roman" w:hAnsi="Times New Roman" w:cs="Times New Roman"/>
                <w:sz w:val="21"/>
              </w:rPr>
              <w:t>厂内及厂区外</w:t>
            </w:r>
            <w:r>
              <w:rPr>
                <w:rFonts w:hint="eastAsia" w:ascii="Times New Roman" w:hAnsi="Times New Roman" w:cs="Times New Roman"/>
                <w:sz w:val="21"/>
                <w:lang w:val="en-US" w:eastAsia="zh-CN"/>
              </w:rPr>
              <w:t>20</w:t>
            </w:r>
            <w:r>
              <w:rPr>
                <w:rFonts w:ascii="Times New Roman" w:hAnsi="Times New Roman" w:cs="Times New Roman"/>
                <w:sz w:val="21"/>
              </w:rPr>
              <w:t>0m范围内土壤环境</w:t>
            </w:r>
          </w:p>
        </w:tc>
        <w:tc>
          <w:tcPr>
            <w:tcW w:w="1147" w:type="dxa"/>
            <w:tcBorders>
              <w:tl2br w:val="nil"/>
              <w:tr2bl w:val="nil"/>
            </w:tcBorders>
            <w:vAlign w:val="center"/>
          </w:tcPr>
          <w:p w14:paraId="108E20F8">
            <w:pPr>
              <w:jc w:val="center"/>
              <w:rPr>
                <w:sz w:val="21"/>
                <w:szCs w:val="21"/>
              </w:rPr>
            </w:pPr>
            <w:r>
              <w:rPr>
                <w:rFonts w:hint="eastAsia"/>
                <w:sz w:val="21"/>
                <w:szCs w:val="21"/>
                <w:lang w:val="en-US" w:eastAsia="zh-CN"/>
              </w:rPr>
              <w:t>二</w:t>
            </w:r>
            <w:r>
              <w:rPr>
                <w:sz w:val="21"/>
                <w:szCs w:val="21"/>
              </w:rPr>
              <w:t>级</w:t>
            </w:r>
          </w:p>
        </w:tc>
      </w:tr>
      <w:tr w14:paraId="485BA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tcBorders>
              <w:tl2br w:val="nil"/>
              <w:tr2bl w:val="nil"/>
            </w:tcBorders>
            <w:vAlign w:val="center"/>
          </w:tcPr>
          <w:p w14:paraId="1ADF9627">
            <w:pPr>
              <w:pStyle w:val="489"/>
              <w:spacing w:line="240" w:lineRule="auto"/>
              <w:ind w:firstLine="0"/>
              <w:jc w:val="center"/>
              <w:rPr>
                <w:rFonts w:ascii="Times New Roman" w:hAnsi="Times New Roman" w:cs="Times New Roman"/>
                <w:sz w:val="20"/>
                <w:szCs w:val="20"/>
                <w:lang w:val="en-US" w:eastAsia="zh-CN"/>
              </w:rPr>
            </w:pPr>
            <w:r>
              <w:rPr>
                <w:rFonts w:hint="eastAsia" w:ascii="Times New Roman" w:hAnsi="Times New Roman" w:cs="Times New Roman"/>
                <w:sz w:val="20"/>
                <w:szCs w:val="20"/>
                <w:lang w:val="en-US" w:eastAsia="zh-CN"/>
              </w:rPr>
              <w:t>生态环境</w:t>
            </w:r>
          </w:p>
        </w:tc>
        <w:tc>
          <w:tcPr>
            <w:tcW w:w="6019" w:type="dxa"/>
            <w:tcBorders>
              <w:tl2br w:val="nil"/>
              <w:tr2bl w:val="nil"/>
            </w:tcBorders>
            <w:vAlign w:val="center"/>
          </w:tcPr>
          <w:p w14:paraId="1D0FDCBB">
            <w:pPr>
              <w:pStyle w:val="489"/>
              <w:spacing w:line="240" w:lineRule="auto"/>
              <w:ind w:firstLine="0"/>
              <w:jc w:val="center"/>
              <w:rPr>
                <w:rFonts w:ascii="Times New Roman" w:hAnsi="Times New Roman" w:cs="Times New Roman"/>
                <w:sz w:val="21"/>
              </w:rPr>
            </w:pPr>
            <w:r>
              <w:rPr>
                <w:rFonts w:hint="eastAsia" w:ascii="Times New Roman" w:hAnsi="Times New Roman" w:eastAsia="宋体" w:cs="Times New Roman"/>
                <w:sz w:val="21"/>
                <w:lang w:val="en-US" w:eastAsia="zh-CN"/>
              </w:rPr>
              <w:t>厂区占地范围</w:t>
            </w:r>
          </w:p>
        </w:tc>
        <w:tc>
          <w:tcPr>
            <w:tcW w:w="1147" w:type="dxa"/>
            <w:tcBorders>
              <w:tl2br w:val="nil"/>
              <w:tr2bl w:val="nil"/>
            </w:tcBorders>
            <w:vAlign w:val="center"/>
          </w:tcPr>
          <w:p w14:paraId="222C690D">
            <w:pPr>
              <w:jc w:val="center"/>
              <w:rPr>
                <w:rFonts w:hint="eastAsia" w:eastAsia="宋体"/>
                <w:sz w:val="21"/>
                <w:szCs w:val="21"/>
                <w:lang w:val="en-US" w:eastAsia="zh-CN"/>
              </w:rPr>
            </w:pPr>
            <w:r>
              <w:rPr>
                <w:rFonts w:hint="eastAsia"/>
                <w:sz w:val="21"/>
                <w:szCs w:val="21"/>
                <w:lang w:val="en-US" w:eastAsia="zh-CN"/>
              </w:rPr>
              <w:t>简单分析</w:t>
            </w:r>
          </w:p>
        </w:tc>
      </w:tr>
      <w:tr w14:paraId="766AB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2" w:type="dxa"/>
            <w:tcBorders>
              <w:tl2br w:val="nil"/>
              <w:tr2bl w:val="nil"/>
            </w:tcBorders>
            <w:vAlign w:val="center"/>
          </w:tcPr>
          <w:p w14:paraId="07AD98C9">
            <w:pPr>
              <w:pStyle w:val="489"/>
              <w:spacing w:line="240" w:lineRule="auto"/>
              <w:ind w:firstLine="0"/>
              <w:jc w:val="center"/>
              <w:rPr>
                <w:rFonts w:ascii="Times New Roman" w:hAnsi="Times New Roman" w:cs="Times New Roman"/>
                <w:sz w:val="20"/>
                <w:szCs w:val="20"/>
                <w:lang w:val="en-US" w:eastAsia="zh-CN"/>
              </w:rPr>
            </w:pPr>
            <w:r>
              <w:rPr>
                <w:rFonts w:hint="eastAsia" w:ascii="Times New Roman" w:hAnsi="Times New Roman" w:cs="Times New Roman"/>
                <w:sz w:val="20"/>
                <w:szCs w:val="20"/>
                <w:lang w:val="en-US" w:eastAsia="zh-CN"/>
              </w:rPr>
              <w:t>风险</w:t>
            </w:r>
          </w:p>
        </w:tc>
        <w:tc>
          <w:tcPr>
            <w:tcW w:w="6019" w:type="dxa"/>
            <w:tcBorders>
              <w:tl2br w:val="nil"/>
              <w:tr2bl w:val="nil"/>
            </w:tcBorders>
            <w:vAlign w:val="center"/>
          </w:tcPr>
          <w:p w14:paraId="41B2E366">
            <w:pPr>
              <w:pStyle w:val="489"/>
              <w:spacing w:line="240" w:lineRule="auto"/>
              <w:ind w:firstLine="0"/>
              <w:jc w:val="center"/>
              <w:rPr>
                <w:rFonts w:ascii="Times New Roman" w:hAnsi="Times New Roman" w:cs="Times New Roman"/>
                <w:sz w:val="21"/>
              </w:rPr>
            </w:pPr>
            <w:r>
              <w:rPr>
                <w:rFonts w:ascii="Times New Roman" w:hAnsi="Times New Roman" w:cs="Times New Roman"/>
                <w:sz w:val="21"/>
                <w:szCs w:val="21"/>
              </w:rPr>
              <w:t>——</w:t>
            </w:r>
          </w:p>
        </w:tc>
        <w:tc>
          <w:tcPr>
            <w:tcW w:w="1147" w:type="dxa"/>
            <w:tcBorders>
              <w:tl2br w:val="nil"/>
              <w:tr2bl w:val="nil"/>
            </w:tcBorders>
            <w:vAlign w:val="center"/>
          </w:tcPr>
          <w:p w14:paraId="03EDFC69">
            <w:pPr>
              <w:jc w:val="center"/>
              <w:rPr>
                <w:rFonts w:hint="default" w:eastAsia="宋体"/>
                <w:sz w:val="21"/>
                <w:szCs w:val="21"/>
                <w:lang w:val="en-US" w:eastAsia="zh-CN"/>
              </w:rPr>
            </w:pPr>
            <w:r>
              <w:rPr>
                <w:rFonts w:hint="eastAsia"/>
                <w:sz w:val="21"/>
                <w:szCs w:val="21"/>
                <w:lang w:val="en-US" w:eastAsia="zh-CN"/>
              </w:rPr>
              <w:t>简单分析</w:t>
            </w:r>
          </w:p>
        </w:tc>
      </w:tr>
    </w:tbl>
    <w:p w14:paraId="141AF527">
      <w:pPr>
        <w:ind w:firstLine="480" w:firstLineChars="200"/>
      </w:pPr>
      <w:r>
        <w:t>评价范围详见图2.4-</w:t>
      </w:r>
      <w:r>
        <w:rPr>
          <w:rFonts w:hint="eastAsia"/>
          <w:lang w:val="en-US" w:eastAsia="zh-CN"/>
        </w:rPr>
        <w:t>2</w:t>
      </w:r>
      <w:r>
        <w:t>至2.4-</w:t>
      </w:r>
      <w:r>
        <w:rPr>
          <w:rFonts w:hint="eastAsia"/>
          <w:lang w:val="en-US" w:eastAsia="zh-CN"/>
        </w:rPr>
        <w:t>6</w:t>
      </w:r>
      <w:r>
        <w:t>。</w:t>
      </w:r>
    </w:p>
    <w:p w14:paraId="23DB7D73">
      <w:pPr>
        <w:pStyle w:val="42"/>
      </w:pPr>
    </w:p>
    <w:p w14:paraId="72F5BE74"/>
    <w:p w14:paraId="78252FDB">
      <w:pPr>
        <w:pStyle w:val="42"/>
      </w:pPr>
    </w:p>
    <w:p w14:paraId="185CA8ED"/>
    <w:p w14:paraId="431A33CA">
      <w:pPr>
        <w:pStyle w:val="42"/>
      </w:pPr>
    </w:p>
    <w:p w14:paraId="281D8A44">
      <w:pPr>
        <w:snapToGrid w:val="0"/>
        <w:jc w:val="center"/>
        <w:rPr>
          <w:b/>
          <w:sz w:val="30"/>
          <w:szCs w:val="30"/>
        </w:rPr>
      </w:pPr>
      <w:r>
        <w:rPr>
          <w:sz w:val="24"/>
        </w:rPr>
        <mc:AlternateContent>
          <mc:Choice Requires="wps">
            <w:drawing>
              <wp:anchor distT="0" distB="0" distL="114300" distR="114300" simplePos="0" relativeHeight="251714560" behindDoc="0" locked="0" layoutInCell="1" allowOverlap="1">
                <wp:simplePos x="0" y="0"/>
                <wp:positionH relativeFrom="column">
                  <wp:posOffset>2482215</wp:posOffset>
                </wp:positionH>
                <wp:positionV relativeFrom="paragraph">
                  <wp:posOffset>819785</wp:posOffset>
                </wp:positionV>
                <wp:extent cx="1047750" cy="334645"/>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1047750"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F08083">
                            <w:pPr>
                              <w:rPr>
                                <w:rFonts w:hint="default" w:eastAsia="宋体"/>
                                <w:color w:val="FF0000"/>
                                <w:lang w:val="en-US" w:eastAsia="zh-CN"/>
                              </w:rPr>
                            </w:pPr>
                            <w:r>
                              <w:rPr>
                                <w:rFonts w:hint="eastAsia"/>
                                <w:color w:val="FF0000"/>
                                <w:lang w:val="en-US" w:eastAsia="zh-CN"/>
                              </w:rPr>
                              <w:t>监测断面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45pt;margin-top:64.55pt;height:26.35pt;width:82.5pt;z-index:251714560;mso-width-relative:page;mso-height-relative:page;" filled="f" stroked="f" coordsize="21600,21600" o:gfxdata="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&#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KQTMnaAAAACwEAAA8AAAAAAAAAAQAgAAAAIgAAAGRy&#10;cy9kb3ducmV2LnhtbFBLAQIUABQAAAAIAIdO4kCXLQaqPAIAAGoEAAAOAAAAAAAAAAEAIAAAACkB&#10;AABkcnMvZTJvRG9jLnhtbFBLBQYAAAAABgAGAFkBAADXBQAAAAA=&#10;">
                <v:fill on="f" focussize="0,0"/>
                <v:stroke on="f" weight="0.5pt"/>
                <v:imagedata o:title=""/>
                <o:lock v:ext="edit" aspectratio="f"/>
                <v:textbox>
                  <w:txbxContent>
                    <w:p w14:paraId="7DF08083">
                      <w:pPr>
                        <w:rPr>
                          <w:rFonts w:hint="default" w:eastAsia="宋体"/>
                          <w:color w:val="FF0000"/>
                          <w:lang w:val="en-US" w:eastAsia="zh-CN"/>
                        </w:rPr>
                      </w:pPr>
                      <w:r>
                        <w:rPr>
                          <w:rFonts w:hint="eastAsia"/>
                          <w:color w:val="FF0000"/>
                          <w:lang w:val="en-US" w:eastAsia="zh-CN"/>
                        </w:rPr>
                        <w:t>监测断面</w:t>
                      </w:r>
                    </w:p>
                  </w:txbxContent>
                </v:textbox>
              </v:shape>
            </w:pict>
          </mc:Fallback>
        </mc:AlternateContent>
      </w:r>
      <w:r>
        <w:rPr>
          <w:sz w:val="24"/>
        </w:rPr>
        <mc:AlternateContent>
          <mc:Choice Requires="wps">
            <w:drawing>
              <wp:anchor distT="0" distB="0" distL="114300" distR="114300" simplePos="0" relativeHeight="251713536" behindDoc="0" locked="0" layoutInCell="1" allowOverlap="1">
                <wp:simplePos x="0" y="0"/>
                <wp:positionH relativeFrom="column">
                  <wp:posOffset>3115310</wp:posOffset>
                </wp:positionH>
                <wp:positionV relativeFrom="paragraph">
                  <wp:posOffset>1905000</wp:posOffset>
                </wp:positionV>
                <wp:extent cx="1047750" cy="334645"/>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047750"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8E9152">
                            <w:pPr>
                              <w:rPr>
                                <w:rFonts w:hint="default" w:eastAsia="宋体"/>
                                <w:color w:val="FF0000"/>
                                <w:lang w:val="en-US" w:eastAsia="zh-CN"/>
                              </w:rPr>
                            </w:pPr>
                            <w:r>
                              <w:rPr>
                                <w:rFonts w:hint="eastAsia"/>
                                <w:color w:val="FF0000"/>
                                <w:lang w:val="en-US" w:eastAsia="zh-CN"/>
                              </w:rPr>
                              <w:t>监测断面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3pt;margin-top:150pt;height:26.35pt;width:82.5pt;z-index:251713536;mso-width-relative:page;mso-height-relative:page;" filled="f" stroked="f" coordsize="21600,21600" o:gfxdata="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LeT+3aAAAACwEAAA8AAAAAAAAAAQAgAAAAIgAAAGRy&#10;cy9kb3ducmV2LnhtbFBLAQIUABQAAAAIAIdO4kAFyjk5PAIAAGoEAAAOAAAAAAAAAAEAIAAAACkB&#10;AABkcnMvZTJvRG9jLnhtbFBLBQYAAAAABgAGAFkBAADXBQAAAAA=&#10;">
                <v:fill on="f" focussize="0,0"/>
                <v:stroke on="f" weight="0.5pt"/>
                <v:imagedata o:title=""/>
                <o:lock v:ext="edit" aspectratio="f"/>
                <v:textbox>
                  <w:txbxContent>
                    <w:p w14:paraId="238E9152">
                      <w:pPr>
                        <w:rPr>
                          <w:rFonts w:hint="default" w:eastAsia="宋体"/>
                          <w:color w:val="FF0000"/>
                          <w:lang w:val="en-US" w:eastAsia="zh-CN"/>
                        </w:rPr>
                      </w:pPr>
                      <w:r>
                        <w:rPr>
                          <w:rFonts w:hint="eastAsia"/>
                          <w:color w:val="FF0000"/>
                          <w:lang w:val="en-US" w:eastAsia="zh-CN"/>
                        </w:rPr>
                        <w:t>监测断面</w:t>
                      </w:r>
                    </w:p>
                  </w:txbxContent>
                </v:textbox>
              </v:shape>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3380105</wp:posOffset>
                </wp:positionH>
                <wp:positionV relativeFrom="paragraph">
                  <wp:posOffset>1147445</wp:posOffset>
                </wp:positionV>
                <wp:extent cx="749935" cy="334645"/>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749935"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8BA8CB">
                            <w:pPr>
                              <w:rPr>
                                <w:rFonts w:hint="default" w:eastAsia="宋体"/>
                                <w:color w:val="FF0000"/>
                                <w:lang w:val="en-US" w:eastAsia="zh-CN"/>
                              </w:rPr>
                            </w:pPr>
                            <w:r>
                              <w:rPr>
                                <w:rFonts w:hint="eastAsia"/>
                                <w:color w:val="FF0000"/>
                                <w:lang w:val="en-US" w:eastAsia="zh-CN"/>
                              </w:rPr>
                              <w:t>入河口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15pt;margin-top:90.35pt;height:26.35pt;width:59.05pt;z-index:251712512;mso-width-relative:page;mso-height-relative:page;" filled="f" stroked="f" coordsize="21600,21600" o:gfxdata="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SzRHtwAAAALAQAADwAAAAAAAAABACAAAAAiAAAA&#10;ZHJzL2Rvd25yZXYueG1sUEsBAhQAFAAAAAgAh07iQPxgblI8AgAAaQQAAA4AAAAAAAAAAQAgAAAA&#10;KwEAAGRycy9lMm9Eb2MueG1sUEsFBgAAAAAGAAYAWQEAANkFAAAAAA==&#10;">
                <v:fill on="f" focussize="0,0"/>
                <v:stroke on="f" weight="0.5pt"/>
                <v:imagedata o:title=""/>
                <o:lock v:ext="edit" aspectratio="f"/>
                <v:textbox>
                  <w:txbxContent>
                    <w:p w14:paraId="4A8BA8CB">
                      <w:pPr>
                        <w:rPr>
                          <w:rFonts w:hint="default" w:eastAsia="宋体"/>
                          <w:color w:val="FF0000"/>
                          <w:lang w:val="en-US" w:eastAsia="zh-CN"/>
                        </w:rPr>
                      </w:pPr>
                      <w:r>
                        <w:rPr>
                          <w:rFonts w:hint="eastAsia"/>
                          <w:color w:val="FF0000"/>
                          <w:lang w:val="en-US" w:eastAsia="zh-CN"/>
                        </w:rPr>
                        <w:t>入河口</w:t>
                      </w:r>
                    </w:p>
                  </w:txbxContent>
                </v:textbox>
              </v:shap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4403090</wp:posOffset>
                </wp:positionH>
                <wp:positionV relativeFrom="paragraph">
                  <wp:posOffset>306705</wp:posOffset>
                </wp:positionV>
                <wp:extent cx="749935" cy="334645"/>
                <wp:effectExtent l="0" t="0" r="0" b="0"/>
                <wp:wrapNone/>
                <wp:docPr id="126" name="文本框 126"/>
                <wp:cNvGraphicFramePr/>
                <a:graphic xmlns:a="http://schemas.openxmlformats.org/drawingml/2006/main">
                  <a:graphicData uri="http://schemas.microsoft.com/office/word/2010/wordprocessingShape">
                    <wps:wsp>
                      <wps:cNvSpPr txBox="1"/>
                      <wps:spPr>
                        <a:xfrm>
                          <a:off x="5344795" y="1423670"/>
                          <a:ext cx="749935" cy="3346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48989F">
                            <w:pPr>
                              <w:rPr>
                                <w:rFonts w:hint="default" w:eastAsia="宋体"/>
                                <w:color w:val="FF0000"/>
                                <w:lang w:val="en-US" w:eastAsia="zh-CN"/>
                              </w:rPr>
                            </w:pPr>
                            <w:r>
                              <w:rPr>
                                <w:rFonts w:hint="eastAsia"/>
                                <w:color w:val="FF0000"/>
                                <w:lang w:val="en-US" w:eastAsia="zh-CN"/>
                              </w:rPr>
                              <w:t>排污口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6.7pt;margin-top:24.15pt;height:26.35pt;width:59.05pt;z-index:251711488;mso-width-relative:page;mso-height-relative:page;" filled="f" stroked="f" coordsize="21600,21600" o:gfxdata="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jWujaAAAACgEAAA8AAAAAAAAA&#10;AQAgAAAAIgAAAGRycy9kb3ducmV2LnhtbFBLAQIUABQAAAAIAIdO4kCCSeVeSAIAAHUEAAAOAAAA&#10;AAAAAAEAIAAAACkBAABkcnMvZTJvRG9jLnhtbFBLBQYAAAAABgAGAFkBAADjBQAAAAA=&#10;">
                <v:fill on="f" focussize="0,0"/>
                <v:stroke on="f" weight="0.5pt"/>
                <v:imagedata o:title=""/>
                <o:lock v:ext="edit" aspectratio="f"/>
                <v:textbox>
                  <w:txbxContent>
                    <w:p w14:paraId="6448989F">
                      <w:pPr>
                        <w:rPr>
                          <w:rFonts w:hint="default" w:eastAsia="宋体"/>
                          <w:color w:val="FF0000"/>
                          <w:lang w:val="en-US" w:eastAsia="zh-CN"/>
                        </w:rPr>
                      </w:pPr>
                      <w:r>
                        <w:rPr>
                          <w:rFonts w:hint="eastAsia"/>
                          <w:color w:val="FF0000"/>
                          <w:lang w:val="en-US" w:eastAsia="zh-CN"/>
                        </w:rPr>
                        <w:t>排污口</w:t>
                      </w:r>
                    </w:p>
                  </w:txbxContent>
                </v:textbox>
              </v:shape>
            </w:pict>
          </mc:Fallback>
        </mc:AlternateContent>
      </w:r>
      <w:r>
        <w:drawing>
          <wp:anchor distT="0" distB="0" distL="114300" distR="114300" simplePos="0" relativeHeight="251702272" behindDoc="0" locked="0" layoutInCell="1" allowOverlap="1">
            <wp:simplePos x="0" y="0"/>
            <wp:positionH relativeFrom="column">
              <wp:posOffset>3181985</wp:posOffset>
            </wp:positionH>
            <wp:positionV relativeFrom="paragraph">
              <wp:posOffset>4177030</wp:posOffset>
            </wp:positionV>
            <wp:extent cx="2562860" cy="511175"/>
            <wp:effectExtent l="0" t="0" r="8890" b="3175"/>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562860" cy="511175"/>
                    </a:xfrm>
                    <a:prstGeom prst="rect">
                      <a:avLst/>
                    </a:prstGeom>
                  </pic:spPr>
                </pic:pic>
              </a:graphicData>
            </a:graphic>
          </wp:anchor>
        </w:drawing>
      </w:r>
      <w:r>
        <w:drawing>
          <wp:inline distT="0" distB="0" distL="114300" distR="114300">
            <wp:extent cx="5728970" cy="4678045"/>
            <wp:effectExtent l="0" t="0" r="5080" b="8255"/>
            <wp:docPr id="1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1"/>
                    <pic:cNvPicPr>
                      <a:picLocks noChangeAspect="1"/>
                    </pic:cNvPicPr>
                  </pic:nvPicPr>
                  <pic:blipFill>
                    <a:blip r:embed="rId33"/>
                    <a:stretch>
                      <a:fillRect/>
                    </a:stretch>
                  </pic:blipFill>
                  <pic:spPr>
                    <a:xfrm>
                      <a:off x="0" y="0"/>
                      <a:ext cx="5728970" cy="4678045"/>
                    </a:xfrm>
                    <a:prstGeom prst="rect">
                      <a:avLst/>
                    </a:prstGeom>
                    <a:noFill/>
                    <a:ln>
                      <a:noFill/>
                    </a:ln>
                  </pic:spPr>
                </pic:pic>
              </a:graphicData>
            </a:graphic>
          </wp:inline>
        </w:drawing>
      </w:r>
      <w:r>
        <w:t xml:space="preserve"> </w:t>
      </w:r>
    </w:p>
    <w:p w14:paraId="01BF3223">
      <w:pPr>
        <w:pStyle w:val="21"/>
        <w:spacing w:line="510" w:lineRule="exact"/>
        <w:ind w:firstLine="0" w:firstLineChars="0"/>
        <w:jc w:val="center"/>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图2.4-2 地表水评价范围图</w:t>
      </w:r>
    </w:p>
    <w:p w14:paraId="33DD7DD9">
      <w:pPr>
        <w:rPr>
          <w:rFonts w:hint="eastAsia" w:ascii="Times New Roman" w:hAnsi="Times New Roman" w:eastAsia="宋体" w:cs="Times New Roman"/>
          <w:sz w:val="24"/>
          <w:szCs w:val="24"/>
          <w:lang w:val="en-US" w:eastAsia="zh-CN" w:bidi="ar-SA"/>
        </w:rPr>
        <w:sectPr>
          <w:pgSz w:w="11907" w:h="16840"/>
          <w:pgMar w:top="1440" w:right="1440" w:bottom="1440" w:left="1440" w:header="851" w:footer="992" w:gutter="0"/>
          <w:pgBorders>
            <w:top w:val="none" w:sz="0" w:space="0"/>
            <w:left w:val="none" w:sz="0" w:space="0"/>
            <w:bottom w:val="none" w:sz="0" w:space="0"/>
            <w:right w:val="none" w:sz="0" w:space="0"/>
          </w:pgBorders>
          <w:cols w:space="720" w:num="1"/>
          <w:docGrid w:linePitch="312" w:charSpace="0"/>
        </w:sectPr>
      </w:pPr>
    </w:p>
    <w:p w14:paraId="5A896B18">
      <w:pPr>
        <w:ind w:left="-480" w:leftChars="-200" w:firstLine="480" w:firstLineChars="200"/>
        <w:jc w:val="center"/>
      </w:pPr>
      <w:r>
        <mc:AlternateContent>
          <mc:Choice Requires="wps">
            <w:drawing>
              <wp:anchor distT="0" distB="0" distL="114300" distR="114300" simplePos="0" relativeHeight="251719680" behindDoc="0" locked="0" layoutInCell="1" allowOverlap="1">
                <wp:simplePos x="0" y="0"/>
                <wp:positionH relativeFrom="column">
                  <wp:posOffset>304165</wp:posOffset>
                </wp:positionH>
                <wp:positionV relativeFrom="paragraph">
                  <wp:posOffset>616585</wp:posOffset>
                </wp:positionV>
                <wp:extent cx="1522095" cy="367030"/>
                <wp:effectExtent l="8255" t="7620" r="146050" b="254000"/>
                <wp:wrapNone/>
                <wp:docPr id="27" name="自选图形 7417"/>
                <wp:cNvGraphicFramePr/>
                <a:graphic xmlns:a="http://schemas.openxmlformats.org/drawingml/2006/main">
                  <a:graphicData uri="http://schemas.microsoft.com/office/word/2010/wordprocessingShape">
                    <wps:wsp>
                      <wps:cNvSpPr/>
                      <wps:spPr>
                        <a:xfrm>
                          <a:off x="0" y="0"/>
                          <a:ext cx="1522095" cy="367030"/>
                        </a:xfrm>
                        <a:prstGeom prst="wedgeRectCallout">
                          <a:avLst>
                            <a:gd name="adj1" fmla="val 55298"/>
                            <a:gd name="adj2" fmla="val 109656"/>
                          </a:avLst>
                        </a:prstGeom>
                        <a:solidFill>
                          <a:srgbClr val="FFFF00"/>
                        </a:solidFill>
                        <a:ln w="15875" cap="flat" cmpd="sng">
                          <a:solidFill>
                            <a:srgbClr val="FF0000"/>
                          </a:solidFill>
                          <a:prstDash val="solid"/>
                          <a:miter/>
                          <a:headEnd type="none" w="med" len="med"/>
                          <a:tailEnd type="none" w="med" len="med"/>
                        </a:ln>
                      </wps:spPr>
                      <wps:txbx>
                        <w:txbxContent>
                          <w:p w14:paraId="461ACE19">
                            <w:pPr>
                              <w:rPr>
                                <w:rFonts w:ascii="宋体" w:hAnsi="宋体" w:cs="宋体"/>
                                <w:b/>
                                <w:bCs/>
                              </w:rPr>
                            </w:pPr>
                            <w:r>
                              <w:rPr>
                                <w:rFonts w:hint="eastAsia" w:ascii="宋体" w:hAnsi="宋体" w:cs="宋体"/>
                                <w:b/>
                                <w:bCs/>
                                <w:lang w:val="en-US" w:eastAsia="zh-CN"/>
                              </w:rPr>
                              <w:t>大气</w:t>
                            </w:r>
                            <w:r>
                              <w:rPr>
                                <w:rFonts w:hint="eastAsia" w:ascii="宋体" w:hAnsi="宋体" w:cs="宋体"/>
                                <w:b/>
                                <w:bCs/>
                              </w:rPr>
                              <w:t>环境评价范围</w:t>
                            </w:r>
                          </w:p>
                          <w:p w14:paraId="2E5B9B48">
                            <w:pPr>
                              <w:pStyle w:val="65"/>
                              <w:rPr>
                                <w:b/>
                                <w:bCs/>
                                <w:sz w:val="21"/>
                                <w:szCs w:val="21"/>
                              </w:rPr>
                            </w:pPr>
                          </w:p>
                        </w:txbxContent>
                      </wps:txbx>
                      <wps:bodyPr upright="1"/>
                    </wps:wsp>
                  </a:graphicData>
                </a:graphic>
              </wp:anchor>
            </w:drawing>
          </mc:Choice>
          <mc:Fallback>
            <w:pict>
              <v:shape id="自选图形 7417" o:spid="_x0000_s1026" o:spt="61" type="#_x0000_t61" style="position:absolute;left:0pt;margin-left:23.95pt;margin-top:48.55pt;height:28.9pt;width:119.85pt;z-index:251719680;mso-width-relative:page;mso-height-relative:page;" fillcolor="#FFFF00" filled="t" stroked="t" coordsize="21600,21600" o:gfxdata="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&#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36rqTZAAAACQEAAA8AAAAAAAAAAQAgAAAAIgAAAGRy&#10;cy9kb3ducmV2LnhtbFBLAQIUABQAAAAIAIdO4kCSoy/7PQIAAJIEAAAOAAAAAAAAAAEAIAAAACgB&#10;AABkcnMvZTJvRG9jLnhtbFBLBQYAAAAABgAGAFkBAADXBQAAAAA=&#10;" adj="22744,34486">
                <v:fill on="t" focussize="0,0"/>
                <v:stroke weight="1.25pt" color="#FF0000" joinstyle="miter"/>
                <v:imagedata o:title=""/>
                <o:lock v:ext="edit" aspectratio="f"/>
                <v:textbox>
                  <w:txbxContent>
                    <w:p w14:paraId="461ACE19">
                      <w:pPr>
                        <w:rPr>
                          <w:rFonts w:ascii="宋体" w:hAnsi="宋体" w:cs="宋体"/>
                          <w:b/>
                          <w:bCs/>
                        </w:rPr>
                      </w:pPr>
                      <w:r>
                        <w:rPr>
                          <w:rFonts w:hint="eastAsia" w:ascii="宋体" w:hAnsi="宋体" w:cs="宋体"/>
                          <w:b/>
                          <w:bCs/>
                          <w:lang w:val="en-US" w:eastAsia="zh-CN"/>
                        </w:rPr>
                        <w:t>大气</w:t>
                      </w:r>
                      <w:r>
                        <w:rPr>
                          <w:rFonts w:hint="eastAsia" w:ascii="宋体" w:hAnsi="宋体" w:cs="宋体"/>
                          <w:b/>
                          <w:bCs/>
                        </w:rPr>
                        <w:t>环境评价范围</w:t>
                      </w:r>
                    </w:p>
                    <w:p w14:paraId="2E5B9B48">
                      <w:pPr>
                        <w:pStyle w:val="65"/>
                        <w:rPr>
                          <w:b/>
                          <w:bCs/>
                          <w:sz w:val="21"/>
                          <w:szCs w:val="21"/>
                        </w:rPr>
                      </w:pPr>
                    </w:p>
                  </w:txbxContent>
                </v:textbox>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7392670</wp:posOffset>
                </wp:positionH>
                <wp:positionV relativeFrom="paragraph">
                  <wp:posOffset>12700</wp:posOffset>
                </wp:positionV>
                <wp:extent cx="966470" cy="1082040"/>
                <wp:effectExtent l="0" t="0" r="5080" b="3810"/>
                <wp:wrapNone/>
                <wp:docPr id="88" name="矩形 88"/>
                <wp:cNvGraphicFramePr/>
                <a:graphic xmlns:a="http://schemas.openxmlformats.org/drawingml/2006/main">
                  <a:graphicData uri="http://schemas.microsoft.com/office/word/2010/wordprocessingShape">
                    <wps:wsp>
                      <wps:cNvSpPr/>
                      <wps:spPr>
                        <a:xfrm>
                          <a:off x="0" y="0"/>
                          <a:ext cx="966470" cy="1082040"/>
                        </a:xfrm>
                        <a:prstGeom prst="rect">
                          <a:avLst/>
                        </a:prstGeom>
                        <a:solidFill>
                          <a:srgbClr val="FFFFFF"/>
                        </a:solidFill>
                        <a:ln>
                          <a:noFill/>
                        </a:ln>
                      </wps:spPr>
                      <wps:txbx>
                        <w:txbxContent>
                          <w:p w14:paraId="05FC2ED2">
                            <w:r>
                              <w:drawing>
                                <wp:inline distT="0" distB="0" distL="114300" distR="114300">
                                  <wp:extent cx="779780" cy="897255"/>
                                  <wp:effectExtent l="0" t="0" r="1270" b="17145"/>
                                  <wp:docPr id="100" name="图片 10"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wps:txbx>
                      <wps:bodyPr wrap="none" upright="1">
                        <a:spAutoFit/>
                      </wps:bodyPr>
                    </wps:wsp>
                  </a:graphicData>
                </a:graphic>
              </wp:anchor>
            </w:drawing>
          </mc:Choice>
          <mc:Fallback>
            <w:pict>
              <v:rect id="_x0000_s1026" o:spid="_x0000_s1026" o:spt="1" style="position:absolute;left:0pt;margin-left:582.1pt;margin-top:1pt;height:85.2pt;width:76.1pt;mso-wrap-style:none;z-index:251663360;mso-width-relative:page;mso-height-relative:page;" fillcolor="#FFFFFF" filled="t" stroked="f" coordsize="21600,21600" o:gfxdata="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&#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w4c+fXAAAACwEAAA8AAAAAAAAAAQAgAAAAIgAAAGRy&#10;cy9kb3ducmV2LnhtbFBLAQIUABQAAAAIAIdO4kCCMKvgzQEAAJIDAAAOAAAAAAAAAAEAIAAAACYB&#10;AABkcnMvZTJvRG9jLnhtbFBLBQYAAAAABgAGAFkBAABlBQAAAAA=&#10;">
                <v:fill on="t" focussize="0,0"/>
                <v:stroke on="f"/>
                <v:imagedata o:title=""/>
                <o:lock v:ext="edit" aspectratio="f"/>
                <v:textbox style="mso-fit-shape-to-text:t;">
                  <w:txbxContent>
                    <w:p w14:paraId="05FC2ED2">
                      <w:r>
                        <w:drawing>
                          <wp:inline distT="0" distB="0" distL="114300" distR="114300">
                            <wp:extent cx="779780" cy="897255"/>
                            <wp:effectExtent l="0" t="0" r="1270" b="17145"/>
                            <wp:docPr id="100" name="图片 10"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v:textbox>
              </v:rect>
            </w:pict>
          </mc:Fallback>
        </mc:AlternateContent>
      </w:r>
      <w:r>
        <w:drawing>
          <wp:inline distT="0" distB="0" distL="114300" distR="114300">
            <wp:extent cx="8248650" cy="5326380"/>
            <wp:effectExtent l="0" t="0" r="0" b="762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35"/>
                    <a:stretch>
                      <a:fillRect/>
                    </a:stretch>
                  </pic:blipFill>
                  <pic:spPr>
                    <a:xfrm>
                      <a:off x="0" y="0"/>
                      <a:ext cx="8248650" cy="5326380"/>
                    </a:xfrm>
                    <a:prstGeom prst="rect">
                      <a:avLst/>
                    </a:prstGeom>
                    <a:noFill/>
                    <a:ln>
                      <a:noFill/>
                    </a:ln>
                  </pic:spPr>
                </pic:pic>
              </a:graphicData>
            </a:graphic>
          </wp:inline>
        </w:drawing>
      </w:r>
    </w:p>
    <w:p w14:paraId="5AA4F95A">
      <w:pPr>
        <w:spacing w:line="360" w:lineRule="auto"/>
        <w:jc w:val="center"/>
        <w:rPr>
          <w:rFonts w:hint="eastAsia" w:eastAsia="宋体"/>
          <w:sz w:val="24"/>
          <w:lang w:val="en-US" w:eastAsia="zh-CN"/>
        </w:rPr>
      </w:pPr>
      <w:r>
        <w:rPr>
          <w:rFonts w:hint="eastAsia"/>
          <w:sz w:val="24"/>
        </w:rPr>
        <w:t>图2.</w:t>
      </w:r>
      <w:r>
        <w:rPr>
          <w:rFonts w:hint="eastAsia"/>
          <w:sz w:val="24"/>
          <w:lang w:val="en-US" w:eastAsia="zh-CN"/>
        </w:rPr>
        <w:t>4-3</w:t>
      </w:r>
      <w:r>
        <w:rPr>
          <w:rFonts w:hint="eastAsia"/>
          <w:sz w:val="24"/>
        </w:rPr>
        <w:t xml:space="preserve">  环境空气评价范围</w:t>
      </w:r>
      <w:r>
        <w:rPr>
          <w:rFonts w:hint="eastAsia"/>
          <w:sz w:val="24"/>
          <w:lang w:val="en-US" w:eastAsia="zh-CN"/>
        </w:rPr>
        <w:t>及</w:t>
      </w:r>
      <w:r>
        <w:rPr>
          <w:rFonts w:hint="eastAsia" w:eastAsia="宋体"/>
          <w:sz w:val="24"/>
        </w:rPr>
        <w:t>环境保护目标分布</w:t>
      </w:r>
      <w:r>
        <w:rPr>
          <w:rFonts w:hint="eastAsia" w:eastAsia="宋体"/>
          <w:sz w:val="24"/>
          <w:lang w:val="en-US" w:eastAsia="zh-CN"/>
        </w:rPr>
        <w:t>图</w:t>
      </w:r>
    </w:p>
    <w:p w14:paraId="6E29629C">
      <w:pPr>
        <w:spacing w:line="360" w:lineRule="auto"/>
        <w:jc w:val="center"/>
      </w:pPr>
      <w:r>
        <mc:AlternateContent>
          <mc:Choice Requires="wps">
            <w:drawing>
              <wp:anchor distT="0" distB="0" distL="114300" distR="114300" simplePos="0" relativeHeight="251700224" behindDoc="0" locked="0" layoutInCell="1" allowOverlap="1">
                <wp:simplePos x="0" y="0"/>
                <wp:positionH relativeFrom="column">
                  <wp:posOffset>6484620</wp:posOffset>
                </wp:positionH>
                <wp:positionV relativeFrom="paragraph">
                  <wp:posOffset>41275</wp:posOffset>
                </wp:positionV>
                <wp:extent cx="966470" cy="1082040"/>
                <wp:effectExtent l="0" t="0" r="5080" b="3810"/>
                <wp:wrapNone/>
                <wp:docPr id="332" name="矩形 332"/>
                <wp:cNvGraphicFramePr/>
                <a:graphic xmlns:a="http://schemas.openxmlformats.org/drawingml/2006/main">
                  <a:graphicData uri="http://schemas.microsoft.com/office/word/2010/wordprocessingShape">
                    <wps:wsp>
                      <wps:cNvSpPr/>
                      <wps:spPr>
                        <a:xfrm>
                          <a:off x="0" y="0"/>
                          <a:ext cx="966470" cy="1082040"/>
                        </a:xfrm>
                        <a:prstGeom prst="rect">
                          <a:avLst/>
                        </a:prstGeom>
                        <a:solidFill>
                          <a:srgbClr val="FFFFFF"/>
                        </a:solidFill>
                        <a:ln>
                          <a:noFill/>
                        </a:ln>
                      </wps:spPr>
                      <wps:txbx>
                        <w:txbxContent>
                          <w:p w14:paraId="2E3599DB">
                            <w:r>
                              <w:drawing>
                                <wp:inline distT="0" distB="0" distL="114300" distR="114300">
                                  <wp:extent cx="779780" cy="897255"/>
                                  <wp:effectExtent l="0" t="0" r="1270" b="17145"/>
                                  <wp:docPr id="333" name="图片 16"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6"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wps:txbx>
                      <wps:bodyPr wrap="none" upright="1">
                        <a:spAutoFit/>
                      </wps:bodyPr>
                    </wps:wsp>
                  </a:graphicData>
                </a:graphic>
              </wp:anchor>
            </w:drawing>
          </mc:Choice>
          <mc:Fallback>
            <w:pict>
              <v:rect id="_x0000_s1026" o:spid="_x0000_s1026" o:spt="1" style="position:absolute;left:0pt;margin-left:510.6pt;margin-top:3.25pt;height:85.2pt;width:76.1pt;mso-wrap-style:none;z-index:251700224;mso-width-relative:page;mso-height-relative:page;" fillcolor="#FFFFFF" filled="t" stroked="f" coordsize="21600,21600" o:gfxdata="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Z/hhHYAAAACwEAAA8AAAAAAAAAAQAgAAAAIgAA&#10;AGRycy9kb3ducmV2LnhtbFBLAQIUABQAAAAIAIdO4kBCv9Q5zwEAAJQDAAAOAAAAAAAAAAEAIAAA&#10;ACcBAABkcnMvZTJvRG9jLnhtbFBLBQYAAAAABgAGAFkBAABoBQAAAAA=&#10;">
                <v:fill on="t" focussize="0,0"/>
                <v:stroke on="f"/>
                <v:imagedata o:title=""/>
                <o:lock v:ext="edit" aspectratio="f"/>
                <v:textbox style="mso-fit-shape-to-text:t;">
                  <w:txbxContent>
                    <w:p w14:paraId="2E3599DB">
                      <w:r>
                        <w:drawing>
                          <wp:inline distT="0" distB="0" distL="114300" distR="114300">
                            <wp:extent cx="779780" cy="897255"/>
                            <wp:effectExtent l="0" t="0" r="1270" b="17145"/>
                            <wp:docPr id="333" name="图片 16"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6"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v:textbox>
              </v:rect>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3112770</wp:posOffset>
                </wp:positionH>
                <wp:positionV relativeFrom="paragraph">
                  <wp:posOffset>995045</wp:posOffset>
                </wp:positionV>
                <wp:extent cx="656590" cy="333375"/>
                <wp:effectExtent l="0" t="0" r="0" b="0"/>
                <wp:wrapNone/>
                <wp:docPr id="325" name="矩形 4030"/>
                <wp:cNvGraphicFramePr/>
                <a:graphic xmlns:a="http://schemas.openxmlformats.org/drawingml/2006/main">
                  <a:graphicData uri="http://schemas.microsoft.com/office/word/2010/wordprocessingShape">
                    <wps:wsp>
                      <wps:cNvSpPr/>
                      <wps:spPr>
                        <a:xfrm>
                          <a:off x="0" y="0"/>
                          <a:ext cx="656590" cy="333375"/>
                        </a:xfrm>
                        <a:prstGeom prst="rect">
                          <a:avLst/>
                        </a:prstGeom>
                        <a:noFill/>
                        <a:ln w="25400">
                          <a:noFill/>
                        </a:ln>
                      </wps:spPr>
                      <wps:txbx>
                        <w:txbxContent>
                          <w:p w14:paraId="09470EA2">
                            <w:pPr>
                              <w:rPr>
                                <w:b/>
                                <w:color w:val="00B0F0"/>
                                <w:shd w:val="clear" w:color="FFFFFF" w:fill="D9D9D9"/>
                              </w:rPr>
                            </w:pPr>
                            <w:r>
                              <w:rPr>
                                <w:rFonts w:hint="eastAsia"/>
                                <w:b/>
                                <w:color w:val="00B0F0"/>
                                <w:shd w:val="clear" w:color="FFFFFF" w:fill="D9D9D9"/>
                              </w:rPr>
                              <w:t>200m</w:t>
                            </w:r>
                          </w:p>
                        </w:txbxContent>
                      </wps:txbx>
                      <wps:bodyPr upright="1"/>
                    </wps:wsp>
                  </a:graphicData>
                </a:graphic>
              </wp:anchor>
            </w:drawing>
          </mc:Choice>
          <mc:Fallback>
            <w:pict>
              <v:rect id="矩形 4030" o:spid="_x0000_s1026" o:spt="1" style="position:absolute;left:0pt;margin-left:245.1pt;margin-top:78.35pt;height:26.25pt;width:51.7pt;z-index:251675648;mso-width-relative:page;mso-height-relative:page;" filled="f" stroked="f" coordsize="21600,21600" o:gfxdata="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Tov2&#10;HNoAAAALAQAADwAAAAAAAAABACAAAAAiAAAAZHJzL2Rvd25yZXYueG1sUEsBAhQAFAAAAAgAh07i&#10;QPeGsWCuAQAATwMAAA4AAAAAAAAAAQAgAAAAKQEAAGRycy9lMm9Eb2MueG1sUEsFBgAAAAAGAAYA&#10;WQEAAEkFAAAAAA==&#10;">
                <v:fill on="f" focussize="0,0"/>
                <v:stroke on="f" weight="2pt"/>
                <v:imagedata o:title=""/>
                <o:lock v:ext="edit" aspectratio="f"/>
                <v:textbox>
                  <w:txbxContent>
                    <w:p w14:paraId="09470EA2">
                      <w:pPr>
                        <w:rPr>
                          <w:b/>
                          <w:color w:val="00B0F0"/>
                          <w:shd w:val="clear" w:color="FFFFFF" w:fill="D9D9D9"/>
                        </w:rPr>
                      </w:pPr>
                      <w:r>
                        <w:rPr>
                          <w:rFonts w:hint="eastAsia"/>
                          <w:b/>
                          <w:color w:val="00B0F0"/>
                          <w:shd w:val="clear" w:color="FFFFFF" w:fill="D9D9D9"/>
                        </w:rPr>
                        <w:t>200m</w:t>
                      </w:r>
                    </w:p>
                  </w:txbxContent>
                </v:textbox>
              </v:rect>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3013075</wp:posOffset>
                </wp:positionH>
                <wp:positionV relativeFrom="paragraph">
                  <wp:posOffset>863600</wp:posOffset>
                </wp:positionV>
                <wp:extent cx="64770" cy="653415"/>
                <wp:effectExtent l="30480" t="0" r="38100" b="13335"/>
                <wp:wrapNone/>
                <wp:docPr id="323" name="自选图形 4029"/>
                <wp:cNvGraphicFramePr/>
                <a:graphic xmlns:a="http://schemas.openxmlformats.org/drawingml/2006/main">
                  <a:graphicData uri="http://schemas.microsoft.com/office/word/2010/wordprocessingShape">
                    <wps:wsp>
                      <wps:cNvCnPr/>
                      <wps:spPr>
                        <a:xfrm>
                          <a:off x="0" y="0"/>
                          <a:ext cx="64770" cy="653415"/>
                        </a:xfrm>
                        <a:prstGeom prst="straightConnector1">
                          <a:avLst/>
                        </a:prstGeom>
                        <a:ln w="25400" cap="flat" cmpd="sng">
                          <a:solidFill>
                            <a:srgbClr val="00B0F0"/>
                          </a:solidFill>
                          <a:prstDash val="solid"/>
                          <a:headEnd type="triangle" w="med" len="med"/>
                          <a:tailEnd type="triangle" w="med" len="med"/>
                        </a:ln>
                      </wps:spPr>
                      <wps:bodyPr/>
                    </wps:wsp>
                  </a:graphicData>
                </a:graphic>
              </wp:anchor>
            </w:drawing>
          </mc:Choice>
          <mc:Fallback>
            <w:pict>
              <v:shape id="自选图形 4029" o:spid="_x0000_s1026" o:spt="32" type="#_x0000_t32" style="position:absolute;left:0pt;margin-left:237.25pt;margin-top:68pt;height:51.45pt;width:5.1pt;z-index:251674624;mso-width-relative:page;mso-height-relative:page;" filled="f" stroked="t" coordsize="21600,21600" o:gfxdata="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7zBMYdsAAAALAQAADwAAAAAAAAABACAAAAAiAAAAZHJz&#10;L2Rvd25yZXYueG1sUEsBAhQAFAAAAAgAh07iQI5SRcsBAgAA9AMAAA4AAAAAAAAAAQAgAAAAKgEA&#10;AGRycy9lMm9Eb2MueG1sUEsFBgAAAAAGAAYAWQEAAJ0FAAAAAA==&#10;">
                <v:fill on="f" focussize="0,0"/>
                <v:stroke weight="2pt" color="#00B0F0" joinstyle="round" startarrow="block" endarrow="block"/>
                <v:imagedata o:title=""/>
                <o:lock v:ext="edit" aspectratio="f"/>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492125</wp:posOffset>
                </wp:positionH>
                <wp:positionV relativeFrom="paragraph">
                  <wp:posOffset>616585</wp:posOffset>
                </wp:positionV>
                <wp:extent cx="1522095" cy="367030"/>
                <wp:effectExtent l="8255" t="7620" r="146050" b="254000"/>
                <wp:wrapNone/>
                <wp:docPr id="322" name="自选图形 7417"/>
                <wp:cNvGraphicFramePr/>
                <a:graphic xmlns:a="http://schemas.openxmlformats.org/drawingml/2006/main">
                  <a:graphicData uri="http://schemas.microsoft.com/office/word/2010/wordprocessingShape">
                    <wps:wsp>
                      <wps:cNvSpPr/>
                      <wps:spPr>
                        <a:xfrm>
                          <a:off x="0" y="0"/>
                          <a:ext cx="1522095" cy="367030"/>
                        </a:xfrm>
                        <a:prstGeom prst="wedgeRectCallout">
                          <a:avLst>
                            <a:gd name="adj1" fmla="val 55298"/>
                            <a:gd name="adj2" fmla="val 109656"/>
                          </a:avLst>
                        </a:prstGeom>
                        <a:solidFill>
                          <a:srgbClr val="FFFF00"/>
                        </a:solidFill>
                        <a:ln w="15875" cap="flat" cmpd="sng">
                          <a:solidFill>
                            <a:srgbClr val="FF0000"/>
                          </a:solidFill>
                          <a:prstDash val="solid"/>
                          <a:miter/>
                          <a:headEnd type="none" w="med" len="med"/>
                          <a:tailEnd type="none" w="med" len="med"/>
                        </a:ln>
                      </wps:spPr>
                      <wps:txbx>
                        <w:txbxContent>
                          <w:p w14:paraId="176FA84E">
                            <w:pPr>
                              <w:rPr>
                                <w:rFonts w:ascii="宋体" w:hAnsi="宋体" w:cs="宋体"/>
                                <w:b/>
                                <w:bCs/>
                              </w:rPr>
                            </w:pPr>
                            <w:r>
                              <w:rPr>
                                <w:rFonts w:hint="eastAsia" w:ascii="宋体" w:hAnsi="宋体" w:cs="宋体"/>
                                <w:b/>
                                <w:bCs/>
                              </w:rPr>
                              <w:t>声环境评价范围</w:t>
                            </w:r>
                          </w:p>
                          <w:p w14:paraId="4A5C8D19">
                            <w:pPr>
                              <w:pStyle w:val="65"/>
                              <w:rPr>
                                <w:b/>
                                <w:bCs/>
                                <w:sz w:val="21"/>
                                <w:szCs w:val="21"/>
                              </w:rPr>
                            </w:pPr>
                          </w:p>
                        </w:txbxContent>
                      </wps:txbx>
                      <wps:bodyPr upright="1"/>
                    </wps:wsp>
                  </a:graphicData>
                </a:graphic>
              </wp:anchor>
            </w:drawing>
          </mc:Choice>
          <mc:Fallback>
            <w:pict>
              <v:shape id="自选图形 7417" o:spid="_x0000_s1026" o:spt="61" type="#_x0000_t61" style="position:absolute;left:0pt;margin-left:38.75pt;margin-top:48.55pt;height:28.9pt;width:119.85pt;z-index:251673600;mso-width-relative:page;mso-height-relative:page;" fillcolor="#FFFF00" filled="t" stroked="t" coordsize="21600,21600" o:gfxdata="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wu7NkAAAAJAQAADwAAAAAAAAABACAAAAAiAAAA&#10;ZHJzL2Rvd25yZXYueG1sUEsBAhQAFAAAAAgAh07iQOGG04w/AgAAkwQAAA4AAAAAAAAAAQAgAAAA&#10;KAEAAGRycy9lMm9Eb2MueG1sUEsFBgAAAAAGAAYAWQEAANkFAAAAAA==&#10;" adj="22744,34486">
                <v:fill on="t" focussize="0,0"/>
                <v:stroke weight="1.25pt" color="#FF0000" joinstyle="miter"/>
                <v:imagedata o:title=""/>
                <o:lock v:ext="edit" aspectratio="f"/>
                <v:textbox>
                  <w:txbxContent>
                    <w:p w14:paraId="176FA84E">
                      <w:pPr>
                        <w:rPr>
                          <w:rFonts w:ascii="宋体" w:hAnsi="宋体" w:cs="宋体"/>
                          <w:b/>
                          <w:bCs/>
                        </w:rPr>
                      </w:pPr>
                      <w:r>
                        <w:rPr>
                          <w:rFonts w:hint="eastAsia" w:ascii="宋体" w:hAnsi="宋体" w:cs="宋体"/>
                          <w:b/>
                          <w:bCs/>
                        </w:rPr>
                        <w:t>声环境评价范围</w:t>
                      </w:r>
                    </w:p>
                    <w:p w14:paraId="4A5C8D19">
                      <w:pPr>
                        <w:pStyle w:val="65"/>
                        <w:rPr>
                          <w:b/>
                          <w:bCs/>
                          <w:sz w:val="21"/>
                          <w:szCs w:val="21"/>
                        </w:rPr>
                      </w:pPr>
                    </w:p>
                  </w:txbxContent>
                </v:textbox>
              </v:shape>
            </w:pict>
          </mc:Fallback>
        </mc:AlternateContent>
      </w:r>
      <w:r>
        <w:rPr>
          <w:sz w:val="20"/>
        </w:rPr>
        <mc:AlternateContent>
          <mc:Choice Requires="wps">
            <w:drawing>
              <wp:anchor distT="0" distB="0" distL="114300" distR="114300" simplePos="0" relativeHeight="251676672" behindDoc="0" locked="0" layoutInCell="1" allowOverlap="1">
                <wp:simplePos x="0" y="0"/>
                <wp:positionH relativeFrom="column">
                  <wp:posOffset>3337560</wp:posOffset>
                </wp:positionH>
                <wp:positionV relativeFrom="paragraph">
                  <wp:posOffset>2536825</wp:posOffset>
                </wp:positionV>
                <wp:extent cx="734695" cy="333375"/>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734695" cy="3333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C3D444">
                            <w:pPr>
                              <w:rPr>
                                <w:b/>
                                <w:bCs/>
                                <w:color w:val="FF0000"/>
                              </w:rPr>
                            </w:pPr>
                            <w:r>
                              <w:rPr>
                                <w:rFonts w:hint="eastAsia"/>
                                <w:b/>
                                <w:bCs/>
                                <w:color w:val="FF0000"/>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8pt;margin-top:199.75pt;height:26.25pt;width:57.85pt;z-index:251676672;mso-width-relative:page;mso-height-relative:page;" filled="f" stroked="f" coordsize="21600,21600" o:gfxdata="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aNExdwAAAALAQAADwAAAAAAAAABACAAAAAiAAAA&#10;ZHJzL2Rvd25yZXYueG1sUEsBAhQAFAAAAAgAh07iQPRzphE8AgAAaQQAAA4AAAAAAAAAAQAgAAAA&#10;KwEAAGRycy9lMm9Eb2MueG1sUEsFBgAAAAAGAAYAWQEAANkFAAAAAA==&#10;">
                <v:fill on="f" focussize="0,0"/>
                <v:stroke on="f" weight="0.5pt"/>
                <v:imagedata o:title=""/>
                <o:lock v:ext="edit" aspectratio="f"/>
                <v:textbox>
                  <w:txbxContent>
                    <w:p w14:paraId="2FC3D444">
                      <w:pPr>
                        <w:rPr>
                          <w:b/>
                          <w:bCs/>
                          <w:color w:val="FF0000"/>
                        </w:rPr>
                      </w:pPr>
                      <w:r>
                        <w:rPr>
                          <w:rFonts w:hint="eastAsia"/>
                          <w:b/>
                          <w:bCs/>
                          <w:color w:val="FF0000"/>
                        </w:rPr>
                        <w:t>本项目</w:t>
                      </w:r>
                    </w:p>
                  </w:txbxContent>
                </v:textbox>
              </v:shape>
            </w:pict>
          </mc:Fallback>
        </mc:AlternateContent>
      </w:r>
      <w:r>
        <w:drawing>
          <wp:inline distT="0" distB="0" distL="114300" distR="114300">
            <wp:extent cx="6447155" cy="5074920"/>
            <wp:effectExtent l="0" t="0" r="10795" b="11430"/>
            <wp:docPr id="1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7"/>
                    <pic:cNvPicPr>
                      <a:picLocks noChangeAspect="1"/>
                    </pic:cNvPicPr>
                  </pic:nvPicPr>
                  <pic:blipFill>
                    <a:blip r:embed="rId36"/>
                    <a:stretch>
                      <a:fillRect/>
                    </a:stretch>
                  </pic:blipFill>
                  <pic:spPr>
                    <a:xfrm>
                      <a:off x="0" y="0"/>
                      <a:ext cx="6447155" cy="5074920"/>
                    </a:xfrm>
                    <a:prstGeom prst="rect">
                      <a:avLst/>
                    </a:prstGeom>
                    <a:noFill/>
                    <a:ln>
                      <a:noFill/>
                    </a:ln>
                  </pic:spPr>
                </pic:pic>
              </a:graphicData>
            </a:graphic>
          </wp:inline>
        </w:drawing>
      </w:r>
    </w:p>
    <w:p w14:paraId="051F0301">
      <w:pPr>
        <w:pStyle w:val="42"/>
        <w:jc w:val="center"/>
      </w:pPr>
      <w:r>
        <w:rPr>
          <w:b/>
        </w:rPr>
        <w:t>图2.4-</w:t>
      </w:r>
      <w:r>
        <w:rPr>
          <w:rFonts w:hint="eastAsia"/>
          <w:b/>
          <w:lang w:val="en-US" w:eastAsia="zh-CN"/>
        </w:rPr>
        <w:t>4</w:t>
      </w:r>
      <w:r>
        <w:rPr>
          <w:b/>
        </w:rPr>
        <w:t xml:space="preserve">   噪声环境影响评价范围图</w:t>
      </w:r>
    </w:p>
    <w:p w14:paraId="70D638EB">
      <w:pPr>
        <w:jc w:val="center"/>
      </w:pPr>
      <w:r>
        <mc:AlternateContent>
          <mc:Choice Requires="wps">
            <w:drawing>
              <wp:anchor distT="0" distB="0" distL="114300" distR="114300" simplePos="0" relativeHeight="251666432" behindDoc="0" locked="0" layoutInCell="1" allowOverlap="1">
                <wp:simplePos x="0" y="0"/>
                <wp:positionH relativeFrom="column">
                  <wp:posOffset>7219950</wp:posOffset>
                </wp:positionH>
                <wp:positionV relativeFrom="paragraph">
                  <wp:posOffset>32385</wp:posOffset>
                </wp:positionV>
                <wp:extent cx="966470" cy="1082040"/>
                <wp:effectExtent l="0" t="0" r="5080" b="3810"/>
                <wp:wrapNone/>
                <wp:docPr id="268" name="矩形 268"/>
                <wp:cNvGraphicFramePr/>
                <a:graphic xmlns:a="http://schemas.openxmlformats.org/drawingml/2006/main">
                  <a:graphicData uri="http://schemas.microsoft.com/office/word/2010/wordprocessingShape">
                    <wps:wsp>
                      <wps:cNvSpPr/>
                      <wps:spPr>
                        <a:xfrm>
                          <a:off x="0" y="0"/>
                          <a:ext cx="966470" cy="1082040"/>
                        </a:xfrm>
                        <a:prstGeom prst="rect">
                          <a:avLst/>
                        </a:prstGeom>
                        <a:solidFill>
                          <a:srgbClr val="FFFFFF"/>
                        </a:solidFill>
                        <a:ln>
                          <a:noFill/>
                        </a:ln>
                      </wps:spPr>
                      <wps:txbx>
                        <w:txbxContent>
                          <w:p w14:paraId="02C0D9A1">
                            <w:r>
                              <w:drawing>
                                <wp:inline distT="0" distB="0" distL="114300" distR="114300">
                                  <wp:extent cx="779780" cy="897255"/>
                                  <wp:effectExtent l="0" t="0" r="1270" b="17145"/>
                                  <wp:docPr id="264" name="图片 16"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6"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wps:txbx>
                      <wps:bodyPr wrap="none" upright="1">
                        <a:spAutoFit/>
                      </wps:bodyPr>
                    </wps:wsp>
                  </a:graphicData>
                </a:graphic>
              </wp:anchor>
            </w:drawing>
          </mc:Choice>
          <mc:Fallback>
            <w:pict>
              <v:rect id="_x0000_s1026" o:spid="_x0000_s1026" o:spt="1" style="position:absolute;left:0pt;margin-left:568.5pt;margin-top:2.55pt;height:85.2pt;width:76.1pt;mso-wrap-style:none;z-index:251666432;mso-width-relative:page;mso-height-relative:page;" fillcolor="#FFFFFF" filled="t" stroked="f" coordsize="21600,21600" o:gfxdata="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vtqPNtgAAAALAQAADwAAAAAAAAABACAAAAAiAAAA&#10;ZHJzL2Rvd25yZXYueG1sUEsBAhQAFAAAAAgAh07iQKXc5TzOAQAAlAMAAA4AAAAAAAAAAQAgAAAA&#10;JwEAAGRycy9lMm9Eb2MueG1sUEsFBgAAAAAGAAYAWQEAAGcFAAAAAA==&#10;">
                <v:fill on="t" focussize="0,0"/>
                <v:stroke on="f"/>
                <v:imagedata o:title=""/>
                <o:lock v:ext="edit" aspectratio="f"/>
                <v:textbox style="mso-fit-shape-to-text:t;">
                  <w:txbxContent>
                    <w:p w14:paraId="02C0D9A1">
                      <w:r>
                        <w:drawing>
                          <wp:inline distT="0" distB="0" distL="114300" distR="114300">
                            <wp:extent cx="779780" cy="897255"/>
                            <wp:effectExtent l="0" t="0" r="1270" b="17145"/>
                            <wp:docPr id="264" name="图片 16"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6"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v:textbox>
              </v:rect>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2785745</wp:posOffset>
                </wp:positionH>
                <wp:positionV relativeFrom="paragraph">
                  <wp:posOffset>1475105</wp:posOffset>
                </wp:positionV>
                <wp:extent cx="1117600" cy="311150"/>
                <wp:effectExtent l="0" t="0" r="0" b="0"/>
                <wp:wrapNone/>
                <wp:docPr id="72" name="文本框 72"/>
                <wp:cNvGraphicFramePr/>
                <a:graphic xmlns:a="http://schemas.openxmlformats.org/drawingml/2006/main">
                  <a:graphicData uri="http://schemas.microsoft.com/office/word/2010/wordprocessingShape">
                    <wps:wsp>
                      <wps:cNvSpPr txBox="1"/>
                      <wps:spPr>
                        <a:xfrm>
                          <a:off x="3979545" y="2313305"/>
                          <a:ext cx="1117600"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BC2241">
                            <w:pPr>
                              <w:rPr>
                                <w:rFonts w:hint="default" w:eastAsia="宋体"/>
                                <w:lang w:val="en-US" w:eastAsia="zh-CN"/>
                              </w:rPr>
                            </w:pPr>
                            <w:r>
                              <w:rPr>
                                <w:rFonts w:hint="eastAsia"/>
                                <w:color w:val="FFFF00"/>
                                <w:lang w:val="en-US" w:eastAsia="zh-CN"/>
                              </w:rPr>
                              <w:t>东北向西南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35pt;margin-top:116.15pt;height:24.5pt;width:88pt;z-index:251689984;mso-width-relative:page;mso-height-relative:page;" filled="f" stroked="f" coordsize="21600,21600" o:gfxdata="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J5eau2wAAAAsBAAAPAAAAAAAA&#10;AAEAIAAAACIAAABkcnMvZG93bnJldi54bWxQSwECFAAUAAAACACHTuJAb5HsNUgCAAB0BAAADgAA&#10;AAAAAAABACAAAAAqAQAAZHJzL2Uyb0RvYy54bWxQSwUGAAAAAAYABgBZAQAA5AUAAAAA&#10;">
                <v:fill on="f" focussize="0,0"/>
                <v:stroke on="f" weight="0.5pt"/>
                <v:imagedata o:title=""/>
                <o:lock v:ext="edit" aspectratio="f"/>
                <v:textbox>
                  <w:txbxContent>
                    <w:p w14:paraId="14BC2241">
                      <w:pPr>
                        <w:rPr>
                          <w:rFonts w:hint="default" w:eastAsia="宋体"/>
                          <w:lang w:val="en-US" w:eastAsia="zh-CN"/>
                        </w:rPr>
                      </w:pPr>
                      <w:r>
                        <w:rPr>
                          <w:rFonts w:hint="eastAsia"/>
                          <w:color w:val="FFFF00"/>
                          <w:lang w:val="en-US" w:eastAsia="zh-CN"/>
                        </w:rPr>
                        <w:t>东北向西南</w:t>
                      </w:r>
                    </w:p>
                  </w:txbxContent>
                </v:textbox>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6452235</wp:posOffset>
                </wp:positionH>
                <wp:positionV relativeFrom="paragraph">
                  <wp:posOffset>4808220</wp:posOffset>
                </wp:positionV>
                <wp:extent cx="313690" cy="249555"/>
                <wp:effectExtent l="0" t="3810" r="10160" b="13335"/>
                <wp:wrapNone/>
                <wp:docPr id="255" name="直接连接符 255"/>
                <wp:cNvGraphicFramePr/>
                <a:graphic xmlns:a="http://schemas.openxmlformats.org/drawingml/2006/main">
                  <a:graphicData uri="http://schemas.microsoft.com/office/word/2010/wordprocessingShape">
                    <wps:wsp>
                      <wps:cNvCnPr/>
                      <wps:spPr>
                        <a:xfrm flipH="1">
                          <a:off x="0" y="0"/>
                          <a:ext cx="313690" cy="249555"/>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508.05pt;margin-top:378.6pt;height:19.65pt;width:24.7pt;z-index:251670528;mso-width-relative:page;mso-height-relative:page;" filled="f" stroked="t" coordsize="21600,21600" o:gfxdata="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Hqan21wAAAA0BAAAPAAAAAAAAAAEAIAAAACIA&#10;AABkcnMvZG93bnJldi54bWxQSwECFAAUAAAACACHTuJAYFiTLQoCAAD3AwAADgAAAAAAAAABACAA&#10;AAAmAQAAZHJzL2Uyb0RvYy54bWxQSwUGAAAAAAYABgBZAQAAogUAAAAA&#10;">
                <v:fill on="f" focussize="0,0"/>
                <v:stroke color="#FFFF00" joinstyle="round" endarrow="open"/>
                <v:imagedata o:title=""/>
                <o:lock v:ext="edit" aspectratio="f"/>
              </v:lin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6478905</wp:posOffset>
                </wp:positionH>
                <wp:positionV relativeFrom="paragraph">
                  <wp:posOffset>4498975</wp:posOffset>
                </wp:positionV>
                <wp:extent cx="228600" cy="153670"/>
                <wp:effectExtent l="6350" t="6350" r="12700" b="11430"/>
                <wp:wrapNone/>
                <wp:docPr id="238" name="矩形 238"/>
                <wp:cNvGraphicFramePr/>
                <a:graphic xmlns:a="http://schemas.openxmlformats.org/drawingml/2006/main">
                  <a:graphicData uri="http://schemas.microsoft.com/office/word/2010/wordprocessingShape">
                    <wps:wsp>
                      <wps:cNvSpPr/>
                      <wps:spPr>
                        <a:xfrm>
                          <a:off x="0" y="0"/>
                          <a:ext cx="228600" cy="153670"/>
                        </a:xfrm>
                        <a:prstGeom prst="rect">
                          <a:avLst/>
                        </a:prstGeom>
                        <a:noFill/>
                        <a:ln w="12700" cap="flat" cmpd="sng">
                          <a:solidFill>
                            <a:srgbClr val="FF00FF"/>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10.15pt;margin-top:354.25pt;height:12.1pt;width:18pt;z-index:251669504;mso-width-relative:page;mso-height-relative:page;" filled="f" stroked="t" coordsize="21600,21600" o:gfxdata="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gjQzDYAAAADQEAAA8AAAAAAAAAAQAgAAAAIgAAAGRycy9kb3ducmV2Lnht&#10;bFBLAQIUABQAAAAIAIdO4kCI/7Hh+QEAAPkDAAAOAAAAAAAAAAEAIAAAACcBAABkcnMvZTJvRG9j&#10;LnhtbFBLBQYAAAAABgAGAFkBAACSBQAAAAA=&#10;">
                <v:fill on="f" focussize="0,0"/>
                <v:stroke weight="1pt" color="#FF00FF" joinstyle="miter"/>
                <v:imagedata o:title=""/>
                <o:lock v:ext="edit" aspectratio="f"/>
              </v:rect>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6473825</wp:posOffset>
                </wp:positionH>
                <wp:positionV relativeFrom="paragraph">
                  <wp:posOffset>4227195</wp:posOffset>
                </wp:positionV>
                <wp:extent cx="228600" cy="198120"/>
                <wp:effectExtent l="6350" t="6350" r="12700" b="24130"/>
                <wp:wrapNone/>
                <wp:docPr id="32" name="任意多边形 32"/>
                <wp:cNvGraphicFramePr/>
                <a:graphic xmlns:a="http://schemas.openxmlformats.org/drawingml/2006/main">
                  <a:graphicData uri="http://schemas.microsoft.com/office/word/2010/wordprocessingShape">
                    <wps:wsp>
                      <wps:cNvSpPr/>
                      <wps:spPr>
                        <a:xfrm>
                          <a:off x="0" y="0"/>
                          <a:ext cx="228600" cy="198120"/>
                        </a:xfrm>
                        <a:custGeom>
                          <a:avLst/>
                          <a:gdLst/>
                          <a:ahLst/>
                          <a:cxnLst/>
                          <a:pathLst>
                            <a:path w="6840" h="6708">
                              <a:moveTo>
                                <a:pt x="5040" y="0"/>
                              </a:moveTo>
                              <a:lnTo>
                                <a:pt x="1080" y="624"/>
                              </a:lnTo>
                              <a:lnTo>
                                <a:pt x="1260" y="2964"/>
                              </a:lnTo>
                              <a:lnTo>
                                <a:pt x="0" y="3120"/>
                              </a:lnTo>
                              <a:lnTo>
                                <a:pt x="360" y="6084"/>
                              </a:lnTo>
                              <a:lnTo>
                                <a:pt x="4320" y="6084"/>
                              </a:lnTo>
                              <a:lnTo>
                                <a:pt x="4680" y="6084"/>
                              </a:lnTo>
                              <a:lnTo>
                                <a:pt x="5400" y="6240"/>
                              </a:lnTo>
                              <a:lnTo>
                                <a:pt x="5760" y="6396"/>
                              </a:lnTo>
                              <a:lnTo>
                                <a:pt x="5940" y="6552"/>
                              </a:lnTo>
                              <a:lnTo>
                                <a:pt x="6120" y="6708"/>
                              </a:lnTo>
                              <a:lnTo>
                                <a:pt x="6480" y="6552"/>
                              </a:lnTo>
                              <a:lnTo>
                                <a:pt x="6480" y="5304"/>
                              </a:lnTo>
                              <a:lnTo>
                                <a:pt x="6480" y="4992"/>
                              </a:lnTo>
                              <a:lnTo>
                                <a:pt x="6840" y="4992"/>
                              </a:lnTo>
                              <a:lnTo>
                                <a:pt x="6840" y="4368"/>
                              </a:lnTo>
                              <a:lnTo>
                                <a:pt x="6300" y="4368"/>
                              </a:lnTo>
                              <a:lnTo>
                                <a:pt x="6120" y="1872"/>
                              </a:lnTo>
                              <a:lnTo>
                                <a:pt x="5040" y="2028"/>
                              </a:lnTo>
                              <a:lnTo>
                                <a:pt x="5040" y="0"/>
                              </a:lnTo>
                              <a:close/>
                            </a:path>
                          </a:pathLst>
                        </a:custGeom>
                        <a:solidFill>
                          <a:srgbClr val="FF0000">
                            <a:alpha val="50000"/>
                          </a:srgbClr>
                        </a:solidFill>
                        <a:ln w="1270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09.75pt;margin-top:332.85pt;height:15.6pt;width:18pt;z-index:251668480;mso-width-relative:page;mso-height-relative:page;" fillcolor="#FF0000" filled="t" stroked="t" coordsize="6840,6708" o:gfxdata="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CbQ3tY2wAAAA0BAAAPAAAAAAAAAAEAIAAAACIAAABk&#10;cnMvZG93bnJldi54bWxQSwECFAAUAAAACACHTuJAnfk4rOcCAADYBwAADgAAAAAAAAABACAAAAAq&#10;AQAAZHJzL2Uyb0RvYy54bWxQSwUGAAAAAAYABgBZAQAAgwYAAAAA&#10;" path="m5040,0l1080,624,1260,2964,0,3120,360,6084,4320,6084,4680,6084,5400,6240,5760,6396,5940,6552,6120,6708,6480,6552,6480,5304,6480,4992,6840,4992,6840,4368,6300,4368,6120,1872,5040,2028,5040,0xe">
                <v:fill on="t" opacity="32768f" focussize="0,0"/>
                <v:stroke weight="1pt" color="#FF0000" joinstyle="round"/>
                <v:imagedata o:title=""/>
                <o:lock v:ext="edit" aspectratio="f"/>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6279515</wp:posOffset>
                </wp:positionH>
                <wp:positionV relativeFrom="paragraph">
                  <wp:posOffset>3735070</wp:posOffset>
                </wp:positionV>
                <wp:extent cx="1905000" cy="1344295"/>
                <wp:effectExtent l="0" t="0" r="0" b="8255"/>
                <wp:wrapNone/>
                <wp:docPr id="246" name="矩形 246"/>
                <wp:cNvGraphicFramePr/>
                <a:graphic xmlns:a="http://schemas.openxmlformats.org/drawingml/2006/main">
                  <a:graphicData uri="http://schemas.microsoft.com/office/word/2010/wordprocessingShape">
                    <wps:wsp>
                      <wps:cNvSpPr/>
                      <wps:spPr>
                        <a:xfrm>
                          <a:off x="0" y="0"/>
                          <a:ext cx="1905000" cy="1344295"/>
                        </a:xfrm>
                        <a:prstGeom prst="rect">
                          <a:avLst/>
                        </a:prstGeom>
                        <a:solidFill>
                          <a:srgbClr val="FFFFFF"/>
                        </a:solidFill>
                        <a:ln>
                          <a:noFill/>
                        </a:ln>
                      </wps:spPr>
                      <wps:txbx>
                        <w:txbxContent>
                          <w:p w14:paraId="79824105">
                            <w:pPr>
                              <w:ind w:firstLine="720" w:firstLineChars="300"/>
                            </w:pPr>
                            <w:r>
                              <w:rPr>
                                <w:rFonts w:hint="eastAsia"/>
                              </w:rPr>
                              <w:t>图例</w:t>
                            </w:r>
                          </w:p>
                          <w:p w14:paraId="02D790C4">
                            <w:pPr>
                              <w:ind w:firstLine="720" w:firstLineChars="300"/>
                            </w:pPr>
                          </w:p>
                          <w:p w14:paraId="735B6FDF">
                            <w:r>
                              <w:rPr>
                                <w:rFonts w:hint="eastAsia"/>
                              </w:rPr>
                              <w:t xml:space="preserve"> </w:t>
                            </w:r>
                            <w:r>
                              <w:rPr>
                                <w:rFonts w:hint="eastAsia"/>
                                <w:lang w:val="en-US" w:eastAsia="zh-CN"/>
                              </w:rPr>
                              <w:t xml:space="preserve"> </w:t>
                            </w:r>
                            <w:r>
                              <w:rPr>
                                <w:rFonts w:hint="eastAsia"/>
                              </w:rPr>
                              <w:t xml:space="preserve"> </w:t>
                            </w:r>
                            <w:r>
                              <w:rPr>
                                <w:rFonts w:hint="eastAsia"/>
                                <w:lang w:val="en-US" w:eastAsia="zh-CN"/>
                              </w:rPr>
                              <w:t xml:space="preserve">    </w:t>
                            </w:r>
                            <w:r>
                              <w:rPr>
                                <w:rFonts w:hint="eastAsia"/>
                              </w:rPr>
                              <w:t>厂址</w:t>
                            </w:r>
                          </w:p>
                          <w:p w14:paraId="25136436">
                            <w:pPr>
                              <w:ind w:firstLine="720" w:firstLineChars="300"/>
                              <w:rPr>
                                <w:rFonts w:hint="eastAsia"/>
                              </w:rPr>
                            </w:pPr>
                            <w:r>
                              <w:rPr>
                                <w:rFonts w:hint="eastAsia"/>
                              </w:rPr>
                              <w:t>地下水评价范围</w:t>
                            </w:r>
                          </w:p>
                          <w:p w14:paraId="615845D7">
                            <w:pPr>
                              <w:pStyle w:val="42"/>
                              <w:rPr>
                                <w:rFonts w:hint="eastAsia"/>
                              </w:rPr>
                            </w:pPr>
                          </w:p>
                          <w:p w14:paraId="6E5E4868">
                            <w:pPr>
                              <w:rPr>
                                <w:rFonts w:hint="eastAsia" w:eastAsia="宋体"/>
                                <w:lang w:val="en-US" w:eastAsia="zh-CN"/>
                              </w:rPr>
                            </w:pPr>
                            <w:r>
                              <w:rPr>
                                <w:rFonts w:hint="eastAsia"/>
                                <w:lang w:val="en-US" w:eastAsia="zh-CN"/>
                              </w:rPr>
                              <w:t xml:space="preserve">       地下水流向</w:t>
                            </w:r>
                          </w:p>
                        </w:txbxContent>
                      </wps:txbx>
                      <wps:bodyPr upright="1"/>
                    </wps:wsp>
                  </a:graphicData>
                </a:graphic>
              </wp:anchor>
            </w:drawing>
          </mc:Choice>
          <mc:Fallback>
            <w:pict>
              <v:rect id="_x0000_s1026" o:spid="_x0000_s1026" o:spt="1" style="position:absolute;left:0pt;margin-left:494.45pt;margin-top:294.1pt;height:105.85pt;width:150pt;z-index:251666432;mso-width-relative:page;mso-height-relative:page;" fillcolor="#FFFFFF" filled="t" stroked="f" coordsize="21600,21600" o:gfxdata="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D8VMsf2AAAAAwBAAAPAAAAAAAAAAEAIAAAACIAAABkcnMvZG93bnJldi54bWxQSwECFAAU&#10;AAAACACHTuJAmcXt6bgBAABvAwAADgAAAAAAAAABACAAAAAnAQAAZHJzL2Uyb0RvYy54bWxQSwUG&#10;AAAAAAYABgBZAQAAUQUAAAAA&#10;">
                <v:fill on="t" focussize="0,0"/>
                <v:stroke on="f"/>
                <v:imagedata o:title=""/>
                <o:lock v:ext="edit" aspectratio="f"/>
                <v:textbox>
                  <w:txbxContent>
                    <w:p w14:paraId="79824105">
                      <w:pPr>
                        <w:ind w:firstLine="720" w:firstLineChars="300"/>
                      </w:pPr>
                      <w:r>
                        <w:rPr>
                          <w:rFonts w:hint="eastAsia"/>
                        </w:rPr>
                        <w:t>图例</w:t>
                      </w:r>
                    </w:p>
                    <w:p w14:paraId="02D790C4">
                      <w:pPr>
                        <w:ind w:firstLine="720" w:firstLineChars="300"/>
                      </w:pPr>
                    </w:p>
                    <w:p w14:paraId="735B6FDF">
                      <w:r>
                        <w:rPr>
                          <w:rFonts w:hint="eastAsia"/>
                        </w:rPr>
                        <w:t xml:space="preserve"> </w:t>
                      </w:r>
                      <w:r>
                        <w:rPr>
                          <w:rFonts w:hint="eastAsia"/>
                          <w:lang w:val="en-US" w:eastAsia="zh-CN"/>
                        </w:rPr>
                        <w:t xml:space="preserve"> </w:t>
                      </w:r>
                      <w:r>
                        <w:rPr>
                          <w:rFonts w:hint="eastAsia"/>
                        </w:rPr>
                        <w:t xml:space="preserve"> </w:t>
                      </w:r>
                      <w:r>
                        <w:rPr>
                          <w:rFonts w:hint="eastAsia"/>
                          <w:lang w:val="en-US" w:eastAsia="zh-CN"/>
                        </w:rPr>
                        <w:t xml:space="preserve">    </w:t>
                      </w:r>
                      <w:r>
                        <w:rPr>
                          <w:rFonts w:hint="eastAsia"/>
                        </w:rPr>
                        <w:t>厂址</w:t>
                      </w:r>
                    </w:p>
                    <w:p w14:paraId="25136436">
                      <w:pPr>
                        <w:ind w:firstLine="720" w:firstLineChars="300"/>
                        <w:rPr>
                          <w:rFonts w:hint="eastAsia"/>
                        </w:rPr>
                      </w:pPr>
                      <w:r>
                        <w:rPr>
                          <w:rFonts w:hint="eastAsia"/>
                        </w:rPr>
                        <w:t>地下水评价范围</w:t>
                      </w:r>
                    </w:p>
                    <w:p w14:paraId="615845D7">
                      <w:pPr>
                        <w:pStyle w:val="42"/>
                        <w:rPr>
                          <w:rFonts w:hint="eastAsia"/>
                        </w:rPr>
                      </w:pPr>
                    </w:p>
                    <w:p w14:paraId="6E5E4868">
                      <w:pPr>
                        <w:rPr>
                          <w:rFonts w:hint="eastAsia" w:eastAsia="宋体"/>
                          <w:lang w:val="en-US" w:eastAsia="zh-CN"/>
                        </w:rPr>
                      </w:pPr>
                      <w:r>
                        <w:rPr>
                          <w:rFonts w:hint="eastAsia"/>
                          <w:lang w:val="en-US" w:eastAsia="zh-CN"/>
                        </w:rPr>
                        <w:t xml:space="preserve">       地下水流向</w:t>
                      </w:r>
                    </w:p>
                  </w:txbxContent>
                </v:textbox>
              </v: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3790950</wp:posOffset>
                </wp:positionH>
                <wp:positionV relativeFrom="paragraph">
                  <wp:posOffset>2294255</wp:posOffset>
                </wp:positionV>
                <wp:extent cx="457200" cy="495300"/>
                <wp:effectExtent l="4445" t="4445" r="14605" b="14605"/>
                <wp:wrapNone/>
                <wp:docPr id="266" name="任意多边形 266"/>
                <wp:cNvGraphicFramePr/>
                <a:graphic xmlns:a="http://schemas.openxmlformats.org/drawingml/2006/main">
                  <a:graphicData uri="http://schemas.microsoft.com/office/word/2010/wordprocessingShape">
                    <wps:wsp>
                      <wps:cNvSpPr/>
                      <wps:spPr>
                        <a:xfrm>
                          <a:off x="0" y="0"/>
                          <a:ext cx="457200" cy="495300"/>
                        </a:xfrm>
                        <a:custGeom>
                          <a:avLst/>
                          <a:gdLst/>
                          <a:ahLst/>
                          <a:cxnLst/>
                          <a:pathLst>
                            <a:path w="6840" h="6708">
                              <a:moveTo>
                                <a:pt x="5040" y="0"/>
                              </a:moveTo>
                              <a:lnTo>
                                <a:pt x="1080" y="624"/>
                              </a:lnTo>
                              <a:lnTo>
                                <a:pt x="1260" y="2964"/>
                              </a:lnTo>
                              <a:lnTo>
                                <a:pt x="0" y="3120"/>
                              </a:lnTo>
                              <a:lnTo>
                                <a:pt x="360" y="6084"/>
                              </a:lnTo>
                              <a:lnTo>
                                <a:pt x="4320" y="6084"/>
                              </a:lnTo>
                              <a:lnTo>
                                <a:pt x="4680" y="6084"/>
                              </a:lnTo>
                              <a:lnTo>
                                <a:pt x="5400" y="6240"/>
                              </a:lnTo>
                              <a:lnTo>
                                <a:pt x="5760" y="6396"/>
                              </a:lnTo>
                              <a:lnTo>
                                <a:pt x="5940" y="6552"/>
                              </a:lnTo>
                              <a:lnTo>
                                <a:pt x="6120" y="6708"/>
                              </a:lnTo>
                              <a:lnTo>
                                <a:pt x="6480" y="6552"/>
                              </a:lnTo>
                              <a:lnTo>
                                <a:pt x="6480" y="5304"/>
                              </a:lnTo>
                              <a:lnTo>
                                <a:pt x="6480" y="4992"/>
                              </a:lnTo>
                              <a:lnTo>
                                <a:pt x="6840" y="4992"/>
                              </a:lnTo>
                              <a:lnTo>
                                <a:pt x="6840" y="4368"/>
                              </a:lnTo>
                              <a:lnTo>
                                <a:pt x="6300" y="4368"/>
                              </a:lnTo>
                              <a:lnTo>
                                <a:pt x="6120" y="1872"/>
                              </a:lnTo>
                              <a:lnTo>
                                <a:pt x="5040" y="2028"/>
                              </a:lnTo>
                              <a:lnTo>
                                <a:pt x="5040" y="0"/>
                              </a:lnTo>
                              <a:close/>
                            </a:path>
                          </a:pathLst>
                        </a:custGeom>
                        <a:solidFill>
                          <a:srgbClr val="FF0000">
                            <a:alpha val="50000"/>
                          </a:srgbClr>
                        </a:solid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98.5pt;margin-top:180.65pt;height:39pt;width:36pt;z-index:251666432;mso-width-relative:page;mso-height-relative:page;" fillcolor="#FF0000" filled="t" stroked="t" coordsize="6840,6708" o:gfxdata="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" path="m5040,0l1080,624,1260,2964,0,3120,360,6084,4320,6084,4680,6084,5400,6240,5760,6396,5940,6552,6120,6708,6480,6552,6480,5304,6480,4992,6840,4992,6840,4368,6300,4368,6120,1872,5040,2028,5040,0xe">
                <v:fill on="t" opacity="32768f" focussize="0,0"/>
                <v:stroke color="#FF0000" joinstyle="round"/>
                <v:imagedata o:title=""/>
                <o:lock v:ext="edit" aspectratio="f"/>
              </v:shape>
            </w:pict>
          </mc:Fallback>
        </mc:AlternateContent>
      </w:r>
      <w:r>
        <w:rPr>
          <w:sz w:val="21"/>
        </w:rPr>
        <mc:AlternateContent>
          <mc:Choice Requires="wps">
            <w:drawing>
              <wp:anchor distT="0" distB="0" distL="114300" distR="114300" simplePos="0" relativeHeight="251667456" behindDoc="0" locked="0" layoutInCell="1" allowOverlap="1">
                <wp:simplePos x="0" y="0"/>
                <wp:positionH relativeFrom="column">
                  <wp:posOffset>3141980</wp:posOffset>
                </wp:positionH>
                <wp:positionV relativeFrom="paragraph">
                  <wp:posOffset>1717040</wp:posOffset>
                </wp:positionV>
                <wp:extent cx="579120" cy="471170"/>
                <wp:effectExtent l="0" t="3810" r="11430" b="1270"/>
                <wp:wrapNone/>
                <wp:docPr id="260" name="直接连接符 260"/>
                <wp:cNvGraphicFramePr/>
                <a:graphic xmlns:a="http://schemas.openxmlformats.org/drawingml/2006/main">
                  <a:graphicData uri="http://schemas.microsoft.com/office/word/2010/wordprocessingShape">
                    <wps:wsp>
                      <wps:cNvCnPr/>
                      <wps:spPr>
                        <a:xfrm flipH="1">
                          <a:off x="0" y="0"/>
                          <a:ext cx="579120" cy="471170"/>
                        </a:xfrm>
                        <a:prstGeom prst="line">
                          <a:avLst/>
                        </a:prstGeom>
                        <a:ln w="9525" cap="flat" cmpd="sng">
                          <a:solidFill>
                            <a:srgbClr val="FFFF0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247.4pt;margin-top:135.2pt;height:37.1pt;width:45.6pt;z-index:251667456;mso-width-relative:page;mso-height-relative:page;" filled="f" stroked="t" coordsize="21600,21600" o:gfxdata="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xf7IG2AAAAAsBAAAPAAAAAAAAAAEAIAAAACIA&#10;AABkcnMvZG93bnJldi54bWxQSwECFAAUAAAACACHTuJAH9lMhAkCAAD3AwAADgAAAAAAAAABACAA&#10;AAAnAQAAZHJzL2Uyb0RvYy54bWxQSwUGAAAAAAYABgBZAQAAogUAAAAA&#10;">
                <v:fill on="f" focussize="0,0"/>
                <v:stroke color="#FFFF00" joinstyle="round" endarrow="open"/>
                <v:imagedata o:title=""/>
                <o:lock v:ext="edit" aspectratio="f"/>
              </v:lin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2846070</wp:posOffset>
                </wp:positionH>
                <wp:positionV relativeFrom="paragraph">
                  <wp:posOffset>2242185</wp:posOffset>
                </wp:positionV>
                <wp:extent cx="1993265" cy="1210310"/>
                <wp:effectExtent l="172085" t="497205" r="177800" b="502285"/>
                <wp:wrapNone/>
                <wp:docPr id="257" name="矩形 257"/>
                <wp:cNvGraphicFramePr/>
                <a:graphic xmlns:a="http://schemas.openxmlformats.org/drawingml/2006/main">
                  <a:graphicData uri="http://schemas.microsoft.com/office/word/2010/wordprocessingShape">
                    <wps:wsp>
                      <wps:cNvSpPr/>
                      <wps:spPr>
                        <a:xfrm rot="8516241">
                          <a:off x="0" y="0"/>
                          <a:ext cx="1993265" cy="1210310"/>
                        </a:xfrm>
                        <a:prstGeom prst="rect">
                          <a:avLst/>
                        </a:prstGeom>
                        <a:noFill/>
                        <a:ln w="15875" cap="flat" cmpd="sng">
                          <a:solidFill>
                            <a:srgbClr val="FF00FF"/>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24.1pt;margin-top:176.55pt;height:95.3pt;width:156.95pt;rotation:9302006f;z-index:251666432;mso-width-relative:page;mso-height-relative:page;" filled="f" stroked="t" coordsize="21600,21600" o:gfxdata="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FGi99oAAAALAQAADwAAAAAAAAABACAAAAAi&#10;AAAAZHJzL2Rvd25yZXYueG1sUEsBAhQAFAAAAAgAh07iQAq1SpwIAgAACQQAAA4AAAAAAAAAAQAg&#10;AAAAKQEAAGRycy9lMm9Eb2MueG1sUEsFBgAAAAAGAAYAWQEAAKMFAAAAAA==&#10;">
                <v:fill on="f" focussize="0,0"/>
                <v:stroke weight="1.25pt" color="#FF00FF" joinstyle="miter"/>
                <v:imagedata o:title=""/>
                <o:lock v:ext="edit" aspectratio="f"/>
              </v:rect>
            </w:pict>
          </mc:Fallback>
        </mc:AlternateContent>
      </w:r>
      <w:r>
        <w:drawing>
          <wp:inline distT="0" distB="0" distL="114300" distR="114300">
            <wp:extent cx="7934960" cy="5061585"/>
            <wp:effectExtent l="0" t="0" r="8890" b="5715"/>
            <wp:docPr id="269" name="图片 17" descr="QQ截图2017042513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7" descr="QQ截图20170425135349"/>
                    <pic:cNvPicPr>
                      <a:picLocks noChangeAspect="1"/>
                    </pic:cNvPicPr>
                  </pic:nvPicPr>
                  <pic:blipFill>
                    <a:blip r:embed="rId37"/>
                    <a:stretch>
                      <a:fillRect/>
                    </a:stretch>
                  </pic:blipFill>
                  <pic:spPr>
                    <a:xfrm>
                      <a:off x="0" y="0"/>
                      <a:ext cx="7934960" cy="5061585"/>
                    </a:xfrm>
                    <a:prstGeom prst="rect">
                      <a:avLst/>
                    </a:prstGeom>
                    <a:noFill/>
                    <a:ln>
                      <a:noFill/>
                    </a:ln>
                  </pic:spPr>
                </pic:pic>
              </a:graphicData>
            </a:graphic>
          </wp:inline>
        </w:drawing>
      </w:r>
    </w:p>
    <w:p w14:paraId="434BD62A">
      <w:pPr>
        <w:pStyle w:val="42"/>
        <w:jc w:val="center"/>
        <w:rPr>
          <w:rFonts w:ascii="Times New Roman" w:hAnsi="Times New Roman" w:cs="Times New Roman"/>
          <w:b/>
          <w:bCs/>
        </w:rPr>
      </w:pPr>
      <w:r>
        <w:rPr>
          <w:rFonts w:hint="eastAsia" w:ascii="Times New Roman" w:hAnsi="Times New Roman" w:cs="Times New Roman"/>
          <w:b/>
          <w:bCs/>
        </w:rPr>
        <w:t>图2.4-</w:t>
      </w:r>
      <w:r>
        <w:rPr>
          <w:rFonts w:hint="eastAsia" w:cs="Times New Roman"/>
          <w:b/>
          <w:bCs/>
          <w:lang w:val="en-US" w:eastAsia="zh-CN"/>
        </w:rPr>
        <w:t>5</w:t>
      </w:r>
      <w:r>
        <w:rPr>
          <w:rFonts w:hint="eastAsia" w:ascii="Times New Roman" w:hAnsi="Times New Roman" w:cs="Times New Roman"/>
          <w:b/>
          <w:bCs/>
        </w:rPr>
        <w:t xml:space="preserve">  地下水现状监测点分布及地下水评价范围</w:t>
      </w:r>
    </w:p>
    <w:p w14:paraId="53F31531">
      <w:pPr>
        <w:spacing w:line="360" w:lineRule="auto"/>
        <w:jc w:val="center"/>
      </w:pPr>
      <w:r>
        <mc:AlternateContent>
          <mc:Choice Requires="wps">
            <w:drawing>
              <wp:anchor distT="0" distB="0" distL="114300" distR="114300" simplePos="0" relativeHeight="251680768" behindDoc="0" locked="0" layoutInCell="1" allowOverlap="1">
                <wp:simplePos x="0" y="0"/>
                <wp:positionH relativeFrom="column">
                  <wp:posOffset>3333750</wp:posOffset>
                </wp:positionH>
                <wp:positionV relativeFrom="paragraph">
                  <wp:posOffset>996315</wp:posOffset>
                </wp:positionV>
                <wp:extent cx="656590" cy="328930"/>
                <wp:effectExtent l="0" t="0" r="0" b="0"/>
                <wp:wrapNone/>
                <wp:docPr id="191" name="矩形 4030"/>
                <wp:cNvGraphicFramePr/>
                <a:graphic xmlns:a="http://schemas.openxmlformats.org/drawingml/2006/main">
                  <a:graphicData uri="http://schemas.microsoft.com/office/word/2010/wordprocessingShape">
                    <wps:wsp>
                      <wps:cNvSpPr/>
                      <wps:spPr>
                        <a:xfrm>
                          <a:off x="0" y="0"/>
                          <a:ext cx="656590" cy="328930"/>
                        </a:xfrm>
                        <a:prstGeom prst="rect">
                          <a:avLst/>
                        </a:prstGeom>
                        <a:noFill/>
                        <a:ln w="25400">
                          <a:noFill/>
                        </a:ln>
                      </wps:spPr>
                      <wps:txbx>
                        <w:txbxContent>
                          <w:p w14:paraId="11CB78FA">
                            <w:pPr>
                              <w:rPr>
                                <w:b/>
                                <w:color w:val="0070C0"/>
                                <w:shd w:val="clear" w:color="FFFFFF" w:fill="D9D9D9"/>
                              </w:rPr>
                            </w:pPr>
                            <w:r>
                              <w:rPr>
                                <w:rFonts w:hint="eastAsia"/>
                                <w:b/>
                                <w:color w:val="0070C0"/>
                                <w:shd w:val="clear" w:color="FFFFFF" w:fill="D9D9D9"/>
                                <w:lang w:val="en-US" w:eastAsia="zh-CN"/>
                              </w:rPr>
                              <w:t>5</w:t>
                            </w:r>
                            <w:r>
                              <w:rPr>
                                <w:rFonts w:hint="eastAsia"/>
                                <w:b/>
                                <w:color w:val="0070C0"/>
                                <w:shd w:val="clear" w:color="FFFFFF" w:fill="D9D9D9"/>
                              </w:rPr>
                              <w:t>0m</w:t>
                            </w:r>
                          </w:p>
                        </w:txbxContent>
                      </wps:txbx>
                      <wps:bodyPr upright="1"/>
                    </wps:wsp>
                  </a:graphicData>
                </a:graphic>
              </wp:anchor>
            </w:drawing>
          </mc:Choice>
          <mc:Fallback>
            <w:pict>
              <v:rect id="矩形 4030" o:spid="_x0000_s1026" o:spt="1" style="position:absolute;left:0pt;margin-left:262.5pt;margin-top:78.45pt;height:25.9pt;width:51.7pt;z-index:251680768;mso-width-relative:page;mso-height-relative:page;" filled="f" stroked="f" coordsize="21600,21600" o:gfxdata="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0tU0&#10;X9oAAAALAQAADwAAAAAAAAABACAAAAAiAAAAZHJzL2Rvd25yZXYueG1sUEsBAhQAFAAAAAgAh07i&#10;QGUve+WuAQAATwMAAA4AAAAAAAAAAQAgAAAAKQEAAGRycy9lMm9Eb2MueG1sUEsFBgAAAAAGAAYA&#10;WQEAAEkFAAAAAA==&#10;">
                <v:fill on="f" focussize="0,0"/>
                <v:stroke on="f" weight="2pt"/>
                <v:imagedata o:title=""/>
                <o:lock v:ext="edit" aspectratio="f"/>
                <v:textbox>
                  <w:txbxContent>
                    <w:p w14:paraId="11CB78FA">
                      <w:pPr>
                        <w:rPr>
                          <w:b/>
                          <w:color w:val="0070C0"/>
                          <w:shd w:val="clear" w:color="FFFFFF" w:fill="D9D9D9"/>
                        </w:rPr>
                      </w:pPr>
                      <w:r>
                        <w:rPr>
                          <w:rFonts w:hint="eastAsia"/>
                          <w:b/>
                          <w:color w:val="0070C0"/>
                          <w:shd w:val="clear" w:color="FFFFFF" w:fill="D9D9D9"/>
                          <w:lang w:val="en-US" w:eastAsia="zh-CN"/>
                        </w:rPr>
                        <w:t>5</w:t>
                      </w:r>
                      <w:r>
                        <w:rPr>
                          <w:rFonts w:hint="eastAsia"/>
                          <w:b/>
                          <w:color w:val="0070C0"/>
                          <w:shd w:val="clear" w:color="FFFFFF" w:fill="D9D9D9"/>
                        </w:rPr>
                        <w:t>0m</w:t>
                      </w:r>
                    </w:p>
                  </w:txbxContent>
                </v:textbox>
              </v:rect>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3307080</wp:posOffset>
                </wp:positionH>
                <wp:positionV relativeFrom="paragraph">
                  <wp:posOffset>1061720</wp:posOffset>
                </wp:positionV>
                <wp:extent cx="27940" cy="182880"/>
                <wp:effectExtent l="26035" t="0" r="41275" b="7620"/>
                <wp:wrapNone/>
                <wp:docPr id="187" name="自选图形 4029"/>
                <wp:cNvGraphicFramePr/>
                <a:graphic xmlns:a="http://schemas.openxmlformats.org/drawingml/2006/main">
                  <a:graphicData uri="http://schemas.microsoft.com/office/word/2010/wordprocessingShape">
                    <wps:wsp>
                      <wps:cNvCnPr/>
                      <wps:spPr>
                        <a:xfrm>
                          <a:off x="0" y="0"/>
                          <a:ext cx="27940" cy="182880"/>
                        </a:xfrm>
                        <a:prstGeom prst="straightConnector1">
                          <a:avLst/>
                        </a:prstGeom>
                        <a:ln w="25400" cap="flat" cmpd="sng">
                          <a:solidFill>
                            <a:srgbClr val="0070C0"/>
                          </a:solidFill>
                          <a:prstDash val="solid"/>
                          <a:headEnd type="triangle" w="med" len="med"/>
                          <a:tailEnd type="triangle" w="med" len="med"/>
                        </a:ln>
                      </wps:spPr>
                      <wps:bodyPr/>
                    </wps:wsp>
                  </a:graphicData>
                </a:graphic>
              </wp:anchor>
            </w:drawing>
          </mc:Choice>
          <mc:Fallback>
            <w:pict>
              <v:shape id="自选图形 4029" o:spid="_x0000_s1026" o:spt="32" type="#_x0000_t32" style="position:absolute;left:0pt;margin-left:260.4pt;margin-top:83.6pt;height:14.4pt;width:2.2pt;z-index:251679744;mso-width-relative:page;mso-height-relative:page;" filled="f" stroked="t" coordsize="21600,21600" o:gfxdata="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U8v0b1wAAAAsBAAAPAAAAAAAAAAEAIAAAACIAAABkcnMvZG93bnJl&#10;di54bWxQSwECFAAUAAAACACHTuJAfuETBf4BAAD0AwAADgAAAAAAAAABACAAAAAmAQAAZHJzL2Uy&#10;b0RvYy54bWxQSwUGAAAAAAYABgBZAQAAlgUAAAAA&#10;">
                <v:fill on="f" focussize="0,0"/>
                <v:stroke weight="2pt" color="#0070C0" joinstyle="round" startarrow="block" endarrow="block"/>
                <v:imagedata o:title=""/>
                <o:lock v:ext="edit" aspectratio="f"/>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5415280</wp:posOffset>
                </wp:positionH>
                <wp:positionV relativeFrom="paragraph">
                  <wp:posOffset>3042285</wp:posOffset>
                </wp:positionV>
                <wp:extent cx="1522095" cy="306705"/>
                <wp:effectExtent l="459740" t="7620" r="18415" b="9525"/>
                <wp:wrapNone/>
                <wp:docPr id="192" name="自选图形 7417"/>
                <wp:cNvGraphicFramePr/>
                <a:graphic xmlns:a="http://schemas.openxmlformats.org/drawingml/2006/main">
                  <a:graphicData uri="http://schemas.microsoft.com/office/word/2010/wordprocessingShape">
                    <wps:wsp>
                      <wps:cNvSpPr/>
                      <wps:spPr>
                        <a:xfrm>
                          <a:off x="0" y="0"/>
                          <a:ext cx="1522095" cy="306705"/>
                        </a:xfrm>
                        <a:prstGeom prst="wedgeRectCallout">
                          <a:avLst>
                            <a:gd name="adj1" fmla="val -76032"/>
                            <a:gd name="adj2" fmla="val -14803"/>
                          </a:avLst>
                        </a:prstGeom>
                        <a:solidFill>
                          <a:srgbClr val="FFFF00"/>
                        </a:solidFill>
                        <a:ln w="15875" cap="flat" cmpd="sng">
                          <a:solidFill>
                            <a:srgbClr val="FF0000"/>
                          </a:solidFill>
                          <a:prstDash val="solid"/>
                          <a:miter/>
                          <a:headEnd type="none" w="med" len="med"/>
                          <a:tailEnd type="none" w="med" len="med"/>
                        </a:ln>
                      </wps:spPr>
                      <wps:txbx>
                        <w:txbxContent>
                          <w:p w14:paraId="10FEAF3D">
                            <w:pPr>
                              <w:pStyle w:val="65"/>
                              <w:rPr>
                                <w:b/>
                                <w:bCs/>
                                <w:sz w:val="21"/>
                                <w:szCs w:val="21"/>
                              </w:rPr>
                            </w:pPr>
                            <w:r>
                              <w:rPr>
                                <w:rFonts w:hint="eastAsia" w:ascii="宋体" w:hAnsi="宋体" w:eastAsia="宋体" w:cs="宋体"/>
                                <w:b/>
                                <w:bCs/>
                              </w:rPr>
                              <w:t>土壤环境评价范围</w:t>
                            </w:r>
                          </w:p>
                        </w:txbxContent>
                      </wps:txbx>
                      <wps:bodyPr upright="1"/>
                    </wps:wsp>
                  </a:graphicData>
                </a:graphic>
              </wp:anchor>
            </w:drawing>
          </mc:Choice>
          <mc:Fallback>
            <w:pict>
              <v:shape id="自选图形 7417" o:spid="_x0000_s1026" o:spt="61" type="#_x0000_t61" style="position:absolute;left:0pt;margin-left:426.4pt;margin-top:239.55pt;height:24.15pt;width:119.85pt;z-index:251678720;mso-width-relative:page;mso-height-relative:page;" fillcolor="#FFFF00" filled="t" stroked="t" coordsize="21600,21600" o:gfxdata="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LJ2GX7dAAAADAEAAA8AAAAAAAAAAQAg&#10;AAAAIgAAAGRycy9kb3ducmV2LnhtbFBLAQIUABQAAAAIAIdO4kC2sOPuQgIAAJQEAAAOAAAAAAAA&#10;AAEAIAAAACwBAABkcnMvZTJvRG9jLnhtbFBLBQYAAAAABgAGAFkBAADgBQAAAAA=&#10;" adj="-5623,7603">
                <v:fill on="t" focussize="0,0"/>
                <v:stroke weight="1.25pt" color="#FF0000" joinstyle="miter"/>
                <v:imagedata o:title=""/>
                <o:lock v:ext="edit" aspectratio="f"/>
                <v:textbox>
                  <w:txbxContent>
                    <w:p w14:paraId="10FEAF3D">
                      <w:pPr>
                        <w:pStyle w:val="65"/>
                        <w:rPr>
                          <w:b/>
                          <w:bCs/>
                          <w:sz w:val="21"/>
                          <w:szCs w:val="21"/>
                        </w:rPr>
                      </w:pPr>
                      <w:r>
                        <w:rPr>
                          <w:rFonts w:hint="eastAsia" w:ascii="宋体" w:hAnsi="宋体" w:eastAsia="宋体" w:cs="宋体"/>
                          <w:b/>
                          <w:bCs/>
                        </w:rPr>
                        <w:t>土壤环境评价范围</w:t>
                      </w:r>
                    </w:p>
                  </w:txbxContent>
                </v:textbox>
              </v:shap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7042150</wp:posOffset>
                </wp:positionH>
                <wp:positionV relativeFrom="paragraph">
                  <wp:posOffset>26035</wp:posOffset>
                </wp:positionV>
                <wp:extent cx="966470" cy="1082040"/>
                <wp:effectExtent l="0" t="0" r="5080" b="3810"/>
                <wp:wrapNone/>
                <wp:docPr id="329" name="矩形 329"/>
                <wp:cNvGraphicFramePr/>
                <a:graphic xmlns:a="http://schemas.openxmlformats.org/drawingml/2006/main">
                  <a:graphicData uri="http://schemas.microsoft.com/office/word/2010/wordprocessingShape">
                    <wps:wsp>
                      <wps:cNvSpPr/>
                      <wps:spPr>
                        <a:xfrm>
                          <a:off x="0" y="0"/>
                          <a:ext cx="966470" cy="1082040"/>
                        </a:xfrm>
                        <a:prstGeom prst="rect">
                          <a:avLst/>
                        </a:prstGeom>
                        <a:solidFill>
                          <a:srgbClr val="FFFFFF"/>
                        </a:solidFill>
                        <a:ln>
                          <a:noFill/>
                        </a:ln>
                      </wps:spPr>
                      <wps:txbx>
                        <w:txbxContent>
                          <w:p w14:paraId="42C27719">
                            <w:r>
                              <w:drawing>
                                <wp:inline distT="0" distB="0" distL="114300" distR="114300">
                                  <wp:extent cx="779780" cy="897255"/>
                                  <wp:effectExtent l="0" t="0" r="1270" b="17145"/>
                                  <wp:docPr id="331" name="图片 16"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6"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wps:txbx>
                      <wps:bodyPr wrap="none" upright="1">
                        <a:spAutoFit/>
                      </wps:bodyPr>
                    </wps:wsp>
                  </a:graphicData>
                </a:graphic>
              </wp:anchor>
            </w:drawing>
          </mc:Choice>
          <mc:Fallback>
            <w:pict>
              <v:rect id="_x0000_s1026" o:spid="_x0000_s1026" o:spt="1" style="position:absolute;left:0pt;margin-left:554.5pt;margin-top:2.05pt;height:85.2pt;width:76.1pt;mso-wrap-style:none;z-index:251699200;mso-width-relative:page;mso-height-relative:page;" fillcolor="#FFFFFF" filled="t" stroked="f" coordsize="21600,21600" o:gfxdata="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FzpaCrYAAAACwEAAA8AAAAAAAAAAQAgAAAAIgAA&#10;AGRycy9kb3ducmV2LnhtbFBLAQIUABQAAAAIAIdO4kBM57kLzwEAAJQDAAAOAAAAAAAAAAEAIAAA&#10;ACcBAABkcnMvZTJvRG9jLnhtbFBLBQYAAAAABgAGAFkBAABoBQAAAAA=&#10;">
                <v:fill on="t" focussize="0,0"/>
                <v:stroke on="f"/>
                <v:imagedata o:title=""/>
                <o:lock v:ext="edit" aspectratio="f"/>
                <v:textbox style="mso-fit-shape-to-text:t;">
                  <w:txbxContent>
                    <w:p w14:paraId="42C27719">
                      <w:r>
                        <w:drawing>
                          <wp:inline distT="0" distB="0" distL="114300" distR="114300">
                            <wp:extent cx="779780" cy="897255"/>
                            <wp:effectExtent l="0" t="0" r="1270" b="17145"/>
                            <wp:docPr id="331" name="图片 16" descr="风玫瑰图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6" descr="风玫瑰图指北针"/>
                                    <pic:cNvPicPr>
                                      <a:picLocks noChangeAspect="1"/>
                                    </pic:cNvPicPr>
                                  </pic:nvPicPr>
                                  <pic:blipFill>
                                    <a:blip r:embed="rId34"/>
                                    <a:stretch>
                                      <a:fillRect/>
                                    </a:stretch>
                                  </pic:blipFill>
                                  <pic:spPr>
                                    <a:xfrm>
                                      <a:off x="0" y="0"/>
                                      <a:ext cx="779780" cy="897255"/>
                                    </a:xfrm>
                                    <a:prstGeom prst="rect">
                                      <a:avLst/>
                                    </a:prstGeom>
                                    <a:noFill/>
                                    <a:ln>
                                      <a:noFill/>
                                    </a:ln>
                                  </pic:spPr>
                                </pic:pic>
                              </a:graphicData>
                            </a:graphic>
                          </wp:inline>
                        </w:drawing>
                      </w:r>
                    </w:p>
                  </w:txbxContent>
                </v:textbox>
              </v:rect>
            </w:pict>
          </mc:Fallback>
        </mc:AlternateContent>
      </w:r>
      <w:r>
        <w:drawing>
          <wp:inline distT="0" distB="0" distL="114300" distR="114300">
            <wp:extent cx="6877685" cy="5101590"/>
            <wp:effectExtent l="0" t="0" r="18415" b="3810"/>
            <wp:docPr id="1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6"/>
                    <pic:cNvPicPr>
                      <a:picLocks noChangeAspect="1"/>
                    </pic:cNvPicPr>
                  </pic:nvPicPr>
                  <pic:blipFill>
                    <a:blip r:embed="rId38"/>
                    <a:stretch>
                      <a:fillRect/>
                    </a:stretch>
                  </pic:blipFill>
                  <pic:spPr>
                    <a:xfrm>
                      <a:off x="0" y="0"/>
                      <a:ext cx="6877685" cy="5101590"/>
                    </a:xfrm>
                    <a:prstGeom prst="rect">
                      <a:avLst/>
                    </a:prstGeom>
                    <a:noFill/>
                    <a:ln>
                      <a:noFill/>
                    </a:ln>
                  </pic:spPr>
                </pic:pic>
              </a:graphicData>
            </a:graphic>
          </wp:inline>
        </w:drawing>
      </w:r>
    </w:p>
    <w:p w14:paraId="2D80071B">
      <w:pPr>
        <w:pStyle w:val="42"/>
        <w:jc w:val="center"/>
      </w:pPr>
      <w:r>
        <w:rPr>
          <w:b/>
          <w:bCs/>
        </w:rPr>
        <w:t>图2.4-</w:t>
      </w:r>
      <w:r>
        <w:rPr>
          <w:rFonts w:hint="eastAsia"/>
          <w:b/>
          <w:bCs/>
          <w:lang w:val="en-US" w:eastAsia="zh-CN"/>
        </w:rPr>
        <w:t>6</w:t>
      </w:r>
      <w:r>
        <w:rPr>
          <w:b/>
          <w:bCs/>
        </w:rPr>
        <w:t xml:space="preserve">  土壤</w:t>
      </w:r>
      <w:r>
        <w:rPr>
          <w:b/>
        </w:rPr>
        <w:t>环境影响评价范围图</w:t>
      </w:r>
    </w:p>
    <w:p w14:paraId="2DC0DB4D">
      <w:pPr>
        <w:spacing w:line="360" w:lineRule="auto"/>
        <w:sectPr>
          <w:pgSz w:w="16838" w:h="11906" w:orient="landscape"/>
          <w:pgMar w:top="1440" w:right="1800" w:bottom="1440" w:left="1800" w:header="851" w:footer="992" w:gutter="0"/>
          <w:pgBorders>
            <w:top w:val="none" w:sz="0" w:space="0"/>
            <w:left w:val="none" w:sz="0" w:space="0"/>
            <w:bottom w:val="none" w:sz="0" w:space="0"/>
            <w:right w:val="none" w:sz="0" w:space="0"/>
          </w:pgBorders>
          <w:cols w:space="720" w:num="1"/>
          <w:docGrid w:type="lines" w:linePitch="338" w:charSpace="0"/>
        </w:sectPr>
      </w:pPr>
    </w:p>
    <w:p w14:paraId="78F9C242">
      <w:pPr>
        <w:pStyle w:val="3"/>
        <w:rPr>
          <w:szCs w:val="30"/>
        </w:rPr>
      </w:pPr>
      <w:bookmarkStart w:id="179" w:name="_Toc18445"/>
      <w:r>
        <w:rPr>
          <w:szCs w:val="30"/>
        </w:rPr>
        <w:t>2.</w:t>
      </w:r>
      <w:bookmarkStart w:id="180" w:name="_Toc13210"/>
      <w:r>
        <w:rPr>
          <w:szCs w:val="30"/>
        </w:rPr>
        <w:t>5主要环境保护目标</w:t>
      </w:r>
      <w:bookmarkEnd w:id="179"/>
      <w:bookmarkEnd w:id="180"/>
    </w:p>
    <w:p w14:paraId="586E54D2">
      <w:pPr>
        <w:spacing w:line="360" w:lineRule="auto"/>
        <w:ind w:firstLine="480"/>
      </w:pPr>
      <w:r>
        <w:rPr>
          <w:rFonts w:hint="eastAsia"/>
          <w:lang w:eastAsia="zh-CN"/>
        </w:rPr>
        <w:t>本项目</w:t>
      </w:r>
      <w:r>
        <w:t>位于</w:t>
      </w:r>
      <w:r>
        <w:rPr>
          <w:rFonts w:hint="eastAsia"/>
          <w:lang w:eastAsia="zh-CN"/>
        </w:rPr>
        <w:t>拉哈生物技术与化学制药产业园黑龙江鸿展生物科技股份有限公司院内</w:t>
      </w:r>
      <w:r>
        <w:t>，</w:t>
      </w:r>
      <w:r>
        <w:rPr>
          <w:rFonts w:hint="eastAsia"/>
          <w:lang w:eastAsia="zh-CN"/>
        </w:rPr>
        <w:t>厂址北侧为鸿展仓储物流项目</w:t>
      </w:r>
      <w:r>
        <w:rPr>
          <w:rFonts w:hint="eastAsia"/>
          <w:lang w:val="en-US" w:eastAsia="zh-CN"/>
        </w:rPr>
        <w:t>；</w:t>
      </w:r>
      <w:r>
        <w:rPr>
          <w:rFonts w:hint="eastAsia"/>
          <w:lang w:eastAsia="zh-CN"/>
        </w:rPr>
        <w:t>东北侧为前屯；东南侧为齐齐哈尔鹏程北方糖业股份有限公司；南侧为示范场村，西侧为空地。本项目</w:t>
      </w:r>
      <w:r>
        <w:t>主要环境保护目标具体见表2.5-1和2.5-2。</w:t>
      </w:r>
    </w:p>
    <w:p w14:paraId="189DF9BB">
      <w:pPr>
        <w:jc w:val="center"/>
        <w:rPr>
          <w:b/>
        </w:rPr>
      </w:pPr>
      <w:r>
        <w:rPr>
          <w:b/>
        </w:rPr>
        <w:t>表2.5-1    环境空气敏感目标一览表</w:t>
      </w:r>
    </w:p>
    <w:tbl>
      <w:tblPr>
        <w:tblStyle w:val="54"/>
        <w:tblW w:w="8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262"/>
        <w:gridCol w:w="1115"/>
        <w:gridCol w:w="667"/>
        <w:gridCol w:w="979"/>
        <w:gridCol w:w="712"/>
        <w:gridCol w:w="965"/>
        <w:gridCol w:w="1143"/>
        <w:gridCol w:w="1087"/>
      </w:tblGrid>
      <w:tr w14:paraId="35AD2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063" w:type="dxa"/>
            <w:vMerge w:val="restart"/>
            <w:tcBorders>
              <w:tl2br w:val="nil"/>
              <w:tr2bl w:val="nil"/>
            </w:tcBorders>
            <w:vAlign w:val="center"/>
          </w:tcPr>
          <w:p w14:paraId="4FDA5094">
            <w:pPr>
              <w:widowControl w:val="0"/>
              <w:jc w:val="center"/>
              <w:rPr>
                <w:b/>
                <w:bCs/>
                <w:sz w:val="21"/>
                <w:szCs w:val="21"/>
              </w:rPr>
            </w:pPr>
            <w:r>
              <w:rPr>
                <w:b/>
                <w:bCs/>
                <w:sz w:val="21"/>
                <w:szCs w:val="21"/>
              </w:rPr>
              <w:t>名称</w:t>
            </w:r>
          </w:p>
        </w:tc>
        <w:tc>
          <w:tcPr>
            <w:tcW w:w="2377" w:type="dxa"/>
            <w:gridSpan w:val="2"/>
            <w:tcBorders>
              <w:tl2br w:val="nil"/>
              <w:tr2bl w:val="nil"/>
            </w:tcBorders>
            <w:vAlign w:val="center"/>
          </w:tcPr>
          <w:p w14:paraId="6A51802C">
            <w:pPr>
              <w:widowControl w:val="0"/>
              <w:jc w:val="center"/>
              <w:rPr>
                <w:b/>
                <w:bCs/>
                <w:sz w:val="21"/>
                <w:szCs w:val="21"/>
              </w:rPr>
            </w:pPr>
            <w:r>
              <w:rPr>
                <w:b/>
                <w:bCs/>
                <w:sz w:val="21"/>
                <w:szCs w:val="21"/>
              </w:rPr>
              <w:t>坐标/m</w:t>
            </w:r>
          </w:p>
        </w:tc>
        <w:tc>
          <w:tcPr>
            <w:tcW w:w="667" w:type="dxa"/>
            <w:vMerge w:val="restart"/>
            <w:tcBorders>
              <w:tl2br w:val="nil"/>
              <w:tr2bl w:val="nil"/>
            </w:tcBorders>
            <w:vAlign w:val="center"/>
          </w:tcPr>
          <w:p w14:paraId="21ABB2AF">
            <w:pPr>
              <w:widowControl w:val="0"/>
              <w:jc w:val="center"/>
              <w:rPr>
                <w:b/>
                <w:bCs/>
                <w:sz w:val="21"/>
                <w:szCs w:val="21"/>
              </w:rPr>
            </w:pPr>
            <w:r>
              <w:rPr>
                <w:b/>
                <w:bCs/>
                <w:sz w:val="21"/>
                <w:szCs w:val="21"/>
              </w:rPr>
              <w:t>保护对象</w:t>
            </w:r>
          </w:p>
        </w:tc>
        <w:tc>
          <w:tcPr>
            <w:tcW w:w="979" w:type="dxa"/>
            <w:vMerge w:val="restart"/>
            <w:tcBorders>
              <w:tl2br w:val="nil"/>
              <w:tr2bl w:val="nil"/>
            </w:tcBorders>
            <w:vAlign w:val="center"/>
          </w:tcPr>
          <w:p w14:paraId="17F9422B">
            <w:pPr>
              <w:widowControl w:val="0"/>
              <w:jc w:val="center"/>
              <w:rPr>
                <w:b/>
                <w:bCs/>
                <w:sz w:val="21"/>
                <w:szCs w:val="21"/>
              </w:rPr>
            </w:pPr>
            <w:r>
              <w:rPr>
                <w:b/>
                <w:bCs/>
                <w:sz w:val="21"/>
                <w:szCs w:val="21"/>
              </w:rPr>
              <w:t>保护内容</w:t>
            </w:r>
          </w:p>
        </w:tc>
        <w:tc>
          <w:tcPr>
            <w:tcW w:w="712" w:type="dxa"/>
            <w:vMerge w:val="restart"/>
            <w:tcBorders>
              <w:tl2br w:val="nil"/>
              <w:tr2bl w:val="nil"/>
            </w:tcBorders>
            <w:vAlign w:val="center"/>
          </w:tcPr>
          <w:p w14:paraId="3DB5FF1F">
            <w:pPr>
              <w:widowControl w:val="0"/>
              <w:jc w:val="center"/>
              <w:rPr>
                <w:b/>
                <w:bCs/>
                <w:sz w:val="21"/>
                <w:szCs w:val="21"/>
              </w:rPr>
            </w:pPr>
            <w:r>
              <w:rPr>
                <w:b/>
                <w:bCs/>
                <w:sz w:val="21"/>
                <w:szCs w:val="21"/>
              </w:rPr>
              <w:t>环境</w:t>
            </w:r>
          </w:p>
          <w:p w14:paraId="6E5BBBA7">
            <w:pPr>
              <w:widowControl w:val="0"/>
              <w:jc w:val="center"/>
              <w:rPr>
                <w:b/>
                <w:bCs/>
                <w:sz w:val="21"/>
                <w:szCs w:val="21"/>
              </w:rPr>
            </w:pPr>
            <w:r>
              <w:rPr>
                <w:b/>
                <w:bCs/>
                <w:sz w:val="21"/>
                <w:szCs w:val="21"/>
              </w:rPr>
              <w:t>功能区</w:t>
            </w:r>
          </w:p>
        </w:tc>
        <w:tc>
          <w:tcPr>
            <w:tcW w:w="965" w:type="dxa"/>
            <w:vMerge w:val="restart"/>
            <w:tcBorders>
              <w:tl2br w:val="nil"/>
              <w:tr2bl w:val="nil"/>
            </w:tcBorders>
            <w:vAlign w:val="center"/>
          </w:tcPr>
          <w:p w14:paraId="54F893FE">
            <w:pPr>
              <w:widowControl w:val="0"/>
              <w:jc w:val="center"/>
              <w:rPr>
                <w:b/>
                <w:bCs/>
                <w:sz w:val="21"/>
                <w:szCs w:val="21"/>
              </w:rPr>
            </w:pPr>
            <w:r>
              <w:rPr>
                <w:b/>
                <w:bCs/>
                <w:sz w:val="21"/>
                <w:szCs w:val="21"/>
              </w:rPr>
              <w:t>相对厂址方位</w:t>
            </w:r>
          </w:p>
        </w:tc>
        <w:tc>
          <w:tcPr>
            <w:tcW w:w="1143" w:type="dxa"/>
            <w:vMerge w:val="restart"/>
            <w:tcBorders>
              <w:tl2br w:val="nil"/>
              <w:tr2bl w:val="nil"/>
            </w:tcBorders>
            <w:vAlign w:val="center"/>
          </w:tcPr>
          <w:p w14:paraId="0DE3EDD7">
            <w:pPr>
              <w:widowControl w:val="0"/>
              <w:jc w:val="center"/>
              <w:rPr>
                <w:b/>
                <w:bCs/>
                <w:sz w:val="21"/>
                <w:szCs w:val="21"/>
              </w:rPr>
            </w:pPr>
            <w:r>
              <w:rPr>
                <w:b/>
                <w:bCs/>
                <w:sz w:val="21"/>
                <w:szCs w:val="21"/>
              </w:rPr>
              <w:t>相对厂界距离范围/</w:t>
            </w:r>
            <w:r>
              <w:rPr>
                <w:rFonts w:hint="eastAsia"/>
                <w:b/>
                <w:bCs/>
                <w:sz w:val="21"/>
                <w:szCs w:val="21"/>
              </w:rPr>
              <w:t>k</w:t>
            </w:r>
            <w:r>
              <w:rPr>
                <w:b/>
                <w:bCs/>
                <w:sz w:val="21"/>
                <w:szCs w:val="21"/>
              </w:rPr>
              <w:t>m</w:t>
            </w:r>
          </w:p>
        </w:tc>
        <w:tc>
          <w:tcPr>
            <w:tcW w:w="1087" w:type="dxa"/>
            <w:vMerge w:val="restart"/>
            <w:tcBorders>
              <w:tl2br w:val="nil"/>
              <w:tr2bl w:val="nil"/>
            </w:tcBorders>
            <w:vAlign w:val="center"/>
          </w:tcPr>
          <w:p w14:paraId="3B339988">
            <w:pPr>
              <w:widowControl w:val="0"/>
              <w:jc w:val="center"/>
              <w:rPr>
                <w:b/>
                <w:bCs/>
                <w:sz w:val="21"/>
                <w:szCs w:val="21"/>
              </w:rPr>
            </w:pPr>
            <w:r>
              <w:rPr>
                <w:b/>
                <w:bCs/>
                <w:sz w:val="21"/>
                <w:szCs w:val="21"/>
              </w:rPr>
              <w:t>执行标准</w:t>
            </w:r>
          </w:p>
        </w:tc>
      </w:tr>
      <w:tr w14:paraId="286BC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063" w:type="dxa"/>
            <w:vMerge w:val="continue"/>
            <w:tcBorders>
              <w:tl2br w:val="nil"/>
              <w:tr2bl w:val="nil"/>
            </w:tcBorders>
            <w:vAlign w:val="center"/>
          </w:tcPr>
          <w:p w14:paraId="7F390C08">
            <w:pPr>
              <w:widowControl w:val="0"/>
              <w:jc w:val="center"/>
              <w:rPr>
                <w:sz w:val="21"/>
                <w:szCs w:val="21"/>
              </w:rPr>
            </w:pPr>
          </w:p>
        </w:tc>
        <w:tc>
          <w:tcPr>
            <w:tcW w:w="1262" w:type="dxa"/>
            <w:tcBorders>
              <w:tl2br w:val="nil"/>
              <w:tr2bl w:val="nil"/>
            </w:tcBorders>
            <w:vAlign w:val="center"/>
          </w:tcPr>
          <w:p w14:paraId="60B67C1D">
            <w:pPr>
              <w:widowControl w:val="0"/>
              <w:jc w:val="center"/>
              <w:rPr>
                <w:b/>
                <w:bCs/>
                <w:sz w:val="21"/>
                <w:szCs w:val="21"/>
              </w:rPr>
            </w:pPr>
            <w:r>
              <w:rPr>
                <w:b/>
                <w:bCs/>
                <w:sz w:val="21"/>
                <w:szCs w:val="21"/>
              </w:rPr>
              <w:t>X</w:t>
            </w:r>
          </w:p>
        </w:tc>
        <w:tc>
          <w:tcPr>
            <w:tcW w:w="1115" w:type="dxa"/>
            <w:tcBorders>
              <w:tl2br w:val="nil"/>
              <w:tr2bl w:val="nil"/>
            </w:tcBorders>
            <w:vAlign w:val="center"/>
          </w:tcPr>
          <w:p w14:paraId="021E7393">
            <w:pPr>
              <w:widowControl w:val="0"/>
              <w:jc w:val="center"/>
              <w:rPr>
                <w:b/>
                <w:bCs/>
                <w:sz w:val="21"/>
                <w:szCs w:val="21"/>
              </w:rPr>
            </w:pPr>
            <w:r>
              <w:rPr>
                <w:b/>
                <w:bCs/>
                <w:sz w:val="21"/>
                <w:szCs w:val="21"/>
              </w:rPr>
              <w:t>Y</w:t>
            </w:r>
          </w:p>
        </w:tc>
        <w:tc>
          <w:tcPr>
            <w:tcW w:w="667" w:type="dxa"/>
            <w:vMerge w:val="continue"/>
            <w:tcBorders>
              <w:tl2br w:val="nil"/>
              <w:tr2bl w:val="nil"/>
            </w:tcBorders>
            <w:vAlign w:val="center"/>
          </w:tcPr>
          <w:p w14:paraId="557785DC">
            <w:pPr>
              <w:widowControl w:val="0"/>
              <w:jc w:val="center"/>
              <w:rPr>
                <w:sz w:val="21"/>
                <w:szCs w:val="21"/>
              </w:rPr>
            </w:pPr>
          </w:p>
        </w:tc>
        <w:tc>
          <w:tcPr>
            <w:tcW w:w="979" w:type="dxa"/>
            <w:vMerge w:val="continue"/>
            <w:tcBorders>
              <w:tl2br w:val="nil"/>
              <w:tr2bl w:val="nil"/>
            </w:tcBorders>
            <w:vAlign w:val="center"/>
          </w:tcPr>
          <w:p w14:paraId="3710D9BA">
            <w:pPr>
              <w:widowControl w:val="0"/>
              <w:jc w:val="center"/>
              <w:rPr>
                <w:sz w:val="21"/>
                <w:szCs w:val="21"/>
              </w:rPr>
            </w:pPr>
          </w:p>
        </w:tc>
        <w:tc>
          <w:tcPr>
            <w:tcW w:w="712" w:type="dxa"/>
            <w:vMerge w:val="continue"/>
            <w:tcBorders>
              <w:tl2br w:val="nil"/>
              <w:tr2bl w:val="nil"/>
            </w:tcBorders>
            <w:vAlign w:val="center"/>
          </w:tcPr>
          <w:p w14:paraId="187B05B0">
            <w:pPr>
              <w:widowControl w:val="0"/>
              <w:jc w:val="center"/>
              <w:rPr>
                <w:sz w:val="21"/>
                <w:szCs w:val="21"/>
              </w:rPr>
            </w:pPr>
          </w:p>
        </w:tc>
        <w:tc>
          <w:tcPr>
            <w:tcW w:w="965" w:type="dxa"/>
            <w:vMerge w:val="continue"/>
            <w:tcBorders>
              <w:tl2br w:val="nil"/>
              <w:tr2bl w:val="nil"/>
            </w:tcBorders>
            <w:vAlign w:val="center"/>
          </w:tcPr>
          <w:p w14:paraId="508A0A1C">
            <w:pPr>
              <w:widowControl w:val="0"/>
              <w:jc w:val="center"/>
              <w:rPr>
                <w:sz w:val="21"/>
                <w:szCs w:val="21"/>
              </w:rPr>
            </w:pPr>
          </w:p>
        </w:tc>
        <w:tc>
          <w:tcPr>
            <w:tcW w:w="1143" w:type="dxa"/>
            <w:vMerge w:val="continue"/>
            <w:tcBorders>
              <w:tl2br w:val="nil"/>
              <w:tr2bl w:val="nil"/>
            </w:tcBorders>
            <w:vAlign w:val="center"/>
          </w:tcPr>
          <w:p w14:paraId="2C68F2A5">
            <w:pPr>
              <w:widowControl w:val="0"/>
              <w:jc w:val="center"/>
              <w:rPr>
                <w:sz w:val="21"/>
                <w:szCs w:val="21"/>
              </w:rPr>
            </w:pPr>
          </w:p>
        </w:tc>
        <w:tc>
          <w:tcPr>
            <w:tcW w:w="1087" w:type="dxa"/>
            <w:vMerge w:val="continue"/>
            <w:tcBorders>
              <w:tl2br w:val="nil"/>
              <w:tr2bl w:val="nil"/>
            </w:tcBorders>
            <w:vAlign w:val="center"/>
          </w:tcPr>
          <w:p w14:paraId="271F6A55">
            <w:pPr>
              <w:widowControl w:val="0"/>
              <w:jc w:val="center"/>
              <w:rPr>
                <w:sz w:val="21"/>
                <w:szCs w:val="21"/>
              </w:rPr>
            </w:pPr>
          </w:p>
        </w:tc>
      </w:tr>
      <w:tr w14:paraId="7A3B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708E8A64">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前屯</w:t>
            </w:r>
          </w:p>
        </w:tc>
        <w:tc>
          <w:tcPr>
            <w:tcW w:w="1262" w:type="dxa"/>
            <w:tcBorders>
              <w:tl2br w:val="nil"/>
              <w:tr2bl w:val="nil"/>
            </w:tcBorders>
            <w:vAlign w:val="center"/>
          </w:tcPr>
          <w:p w14:paraId="79ECDDF8">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124.61699</w:t>
            </w:r>
          </w:p>
        </w:tc>
        <w:tc>
          <w:tcPr>
            <w:tcW w:w="1115" w:type="dxa"/>
            <w:tcBorders>
              <w:tl2br w:val="nil"/>
              <w:tr2bl w:val="nil"/>
            </w:tcBorders>
            <w:vAlign w:val="center"/>
          </w:tcPr>
          <w:p w14:paraId="3EA06DA8">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48.21989</w:t>
            </w:r>
          </w:p>
        </w:tc>
        <w:tc>
          <w:tcPr>
            <w:tcW w:w="667" w:type="dxa"/>
            <w:vMerge w:val="restart"/>
            <w:tcBorders>
              <w:tl2br w:val="nil"/>
              <w:tr2bl w:val="nil"/>
            </w:tcBorders>
            <w:vAlign w:val="center"/>
          </w:tcPr>
          <w:p w14:paraId="625457F8">
            <w:pPr>
              <w:pStyle w:val="262"/>
              <w:autoSpaceDE w:val="0"/>
              <w:autoSpaceDN w:val="0"/>
              <w:spacing w:line="320" w:lineRule="exact"/>
              <w:ind w:left="0" w:leftChars="0" w:firstLine="0" w:firstLineChars="0"/>
              <w:jc w:val="center"/>
              <w:textAlignment w:val="bottom"/>
              <w:rPr>
                <w:rFonts w:hint="eastAsia" w:ascii="Times New Roman"/>
                <w:sz w:val="21"/>
                <w:szCs w:val="21"/>
                <w:lang w:eastAsia="zh-CN"/>
              </w:rPr>
            </w:pPr>
            <w:r>
              <w:rPr>
                <w:rFonts w:hint="eastAsia" w:ascii="Times New Roman"/>
                <w:sz w:val="21"/>
                <w:szCs w:val="21"/>
                <w:lang w:val="en-US" w:eastAsia="zh-CN"/>
              </w:rPr>
              <w:t>居民</w:t>
            </w:r>
          </w:p>
        </w:tc>
        <w:tc>
          <w:tcPr>
            <w:tcW w:w="979" w:type="dxa"/>
            <w:vMerge w:val="restart"/>
            <w:tcBorders>
              <w:tl2br w:val="nil"/>
              <w:tr2bl w:val="nil"/>
            </w:tcBorders>
            <w:vAlign w:val="center"/>
          </w:tcPr>
          <w:p w14:paraId="44CBD1B9">
            <w:pPr>
              <w:pStyle w:val="262"/>
              <w:autoSpaceDE w:val="0"/>
              <w:autoSpaceDN w:val="0"/>
              <w:spacing w:line="320" w:lineRule="exact"/>
              <w:ind w:left="0" w:leftChars="0" w:firstLine="0" w:firstLineChars="0"/>
              <w:jc w:val="center"/>
              <w:textAlignment w:val="bottom"/>
              <w:rPr>
                <w:rFonts w:ascii="Times New Roman"/>
                <w:sz w:val="21"/>
                <w:szCs w:val="21"/>
              </w:rPr>
            </w:pPr>
            <w:r>
              <w:rPr>
                <w:rFonts w:ascii="Times New Roman"/>
                <w:sz w:val="21"/>
                <w:szCs w:val="21"/>
              </w:rPr>
              <w:t>环境空气</w:t>
            </w:r>
          </w:p>
          <w:p w14:paraId="0785574E">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restart"/>
            <w:tcBorders>
              <w:tl2br w:val="nil"/>
              <w:tr2bl w:val="nil"/>
            </w:tcBorders>
            <w:vAlign w:val="center"/>
          </w:tcPr>
          <w:p w14:paraId="161BF559">
            <w:pPr>
              <w:pStyle w:val="262"/>
              <w:autoSpaceDE w:val="0"/>
              <w:autoSpaceDN w:val="0"/>
              <w:spacing w:line="320" w:lineRule="exact"/>
              <w:ind w:left="0" w:leftChars="0" w:firstLine="0" w:firstLineChars="0"/>
              <w:jc w:val="center"/>
              <w:textAlignment w:val="bottom"/>
              <w:rPr>
                <w:rFonts w:ascii="Times New Roman"/>
                <w:sz w:val="21"/>
                <w:szCs w:val="21"/>
              </w:rPr>
            </w:pPr>
            <w:r>
              <w:rPr>
                <w:rFonts w:ascii="Times New Roman"/>
                <w:sz w:val="21"/>
                <w:szCs w:val="21"/>
              </w:rPr>
              <w:t>二类</w:t>
            </w:r>
          </w:p>
          <w:p w14:paraId="3B1DCEA0">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6848471D">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NE</w:t>
            </w:r>
          </w:p>
        </w:tc>
        <w:tc>
          <w:tcPr>
            <w:tcW w:w="1143" w:type="dxa"/>
            <w:tcBorders>
              <w:tl2br w:val="nil"/>
              <w:tr2bl w:val="nil"/>
            </w:tcBorders>
            <w:vAlign w:val="center"/>
          </w:tcPr>
          <w:p w14:paraId="23DDDE4A">
            <w:pPr>
              <w:pStyle w:val="262"/>
              <w:autoSpaceDE w:val="0"/>
              <w:autoSpaceDN w:val="0"/>
              <w:spacing w:line="320" w:lineRule="exact"/>
              <w:ind w:left="0" w:leftChars="0" w:firstLine="0" w:firstLineChars="0"/>
              <w:jc w:val="center"/>
              <w:textAlignment w:val="bottom"/>
              <w:rPr>
                <w:rFonts w:hint="default" w:ascii="Times New Roman"/>
                <w:sz w:val="21"/>
                <w:szCs w:val="21"/>
                <w:lang w:val="en-US"/>
              </w:rPr>
            </w:pPr>
            <w:r>
              <w:rPr>
                <w:rFonts w:hint="eastAsia" w:ascii="Times New Roman"/>
                <w:sz w:val="21"/>
                <w:szCs w:val="21"/>
                <w:lang w:val="en-US" w:eastAsia="zh-CN"/>
              </w:rPr>
              <w:t>0.03</w:t>
            </w:r>
          </w:p>
        </w:tc>
        <w:tc>
          <w:tcPr>
            <w:tcW w:w="1087" w:type="dxa"/>
            <w:vMerge w:val="restart"/>
            <w:tcBorders>
              <w:tl2br w:val="nil"/>
              <w:tr2bl w:val="nil"/>
            </w:tcBorders>
            <w:vAlign w:val="center"/>
          </w:tcPr>
          <w:p w14:paraId="58D18A1B">
            <w:pPr>
              <w:widowControl w:val="0"/>
              <w:jc w:val="center"/>
              <w:rPr>
                <w:sz w:val="21"/>
                <w:szCs w:val="21"/>
              </w:rPr>
            </w:pPr>
            <w:r>
              <w:rPr>
                <w:sz w:val="21"/>
                <w:szCs w:val="21"/>
              </w:rPr>
              <w:t>《环</w:t>
            </w:r>
          </w:p>
          <w:p w14:paraId="37F67043">
            <w:pPr>
              <w:widowControl w:val="0"/>
              <w:jc w:val="center"/>
            </w:pPr>
            <w:r>
              <w:rPr>
                <w:sz w:val="21"/>
                <w:szCs w:val="21"/>
              </w:rPr>
              <w:t>境空气质量标准》</w:t>
            </w:r>
            <w:r>
              <w:rPr>
                <w:rFonts w:hint="eastAsia"/>
                <w:sz w:val="21"/>
                <w:szCs w:val="21"/>
                <w:lang w:eastAsia="zh-CN"/>
              </w:rPr>
              <w:t>（GB3095–2026）</w:t>
            </w:r>
            <w:r>
              <w:rPr>
                <w:sz w:val="21"/>
                <w:szCs w:val="21"/>
              </w:rPr>
              <w:t>二级标准</w:t>
            </w:r>
          </w:p>
        </w:tc>
      </w:tr>
      <w:tr w14:paraId="33D64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40D56056">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大桥口</w:t>
            </w:r>
          </w:p>
        </w:tc>
        <w:tc>
          <w:tcPr>
            <w:tcW w:w="1262" w:type="dxa"/>
            <w:tcBorders>
              <w:tl2br w:val="nil"/>
              <w:tr2bl w:val="nil"/>
            </w:tcBorders>
            <w:vAlign w:val="center"/>
          </w:tcPr>
          <w:p w14:paraId="420991F4">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124.64199</w:t>
            </w:r>
          </w:p>
        </w:tc>
        <w:tc>
          <w:tcPr>
            <w:tcW w:w="1115" w:type="dxa"/>
            <w:tcBorders>
              <w:tl2br w:val="nil"/>
              <w:tr2bl w:val="nil"/>
            </w:tcBorders>
            <w:vAlign w:val="center"/>
          </w:tcPr>
          <w:p w14:paraId="0AAE3B49">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48.23580</w:t>
            </w:r>
          </w:p>
        </w:tc>
        <w:tc>
          <w:tcPr>
            <w:tcW w:w="667" w:type="dxa"/>
            <w:vMerge w:val="continue"/>
            <w:tcBorders>
              <w:tl2br w:val="nil"/>
              <w:tr2bl w:val="nil"/>
            </w:tcBorders>
            <w:vAlign w:val="center"/>
          </w:tcPr>
          <w:p w14:paraId="66042823">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720103F2">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4CA7F7AF">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4984E01A">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NE</w:t>
            </w:r>
          </w:p>
        </w:tc>
        <w:tc>
          <w:tcPr>
            <w:tcW w:w="1143" w:type="dxa"/>
            <w:tcBorders>
              <w:tl2br w:val="nil"/>
              <w:tr2bl w:val="nil"/>
            </w:tcBorders>
            <w:vAlign w:val="center"/>
          </w:tcPr>
          <w:p w14:paraId="4F27C9C9">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3.43</w:t>
            </w:r>
          </w:p>
        </w:tc>
        <w:tc>
          <w:tcPr>
            <w:tcW w:w="1087" w:type="dxa"/>
            <w:vMerge w:val="continue"/>
            <w:tcBorders>
              <w:tl2br w:val="nil"/>
              <w:tr2bl w:val="nil"/>
            </w:tcBorders>
            <w:vAlign w:val="center"/>
          </w:tcPr>
          <w:p w14:paraId="3DD7F886">
            <w:pPr>
              <w:widowControl w:val="0"/>
              <w:jc w:val="center"/>
              <w:rPr>
                <w:sz w:val="21"/>
                <w:szCs w:val="21"/>
              </w:rPr>
            </w:pPr>
          </w:p>
        </w:tc>
      </w:tr>
      <w:tr w14:paraId="74EB0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030EBA72">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后屯</w:t>
            </w:r>
          </w:p>
        </w:tc>
        <w:tc>
          <w:tcPr>
            <w:tcW w:w="1262" w:type="dxa"/>
            <w:tcBorders>
              <w:tl2br w:val="nil"/>
              <w:tr2bl w:val="nil"/>
            </w:tcBorders>
            <w:vAlign w:val="center"/>
          </w:tcPr>
          <w:p w14:paraId="0AE6E821">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124.61199</w:t>
            </w:r>
          </w:p>
        </w:tc>
        <w:tc>
          <w:tcPr>
            <w:tcW w:w="1115" w:type="dxa"/>
            <w:tcBorders>
              <w:tl2br w:val="nil"/>
              <w:tr2bl w:val="nil"/>
            </w:tcBorders>
            <w:vAlign w:val="center"/>
          </w:tcPr>
          <w:p w14:paraId="036CFF7F">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48.23009</w:t>
            </w:r>
          </w:p>
        </w:tc>
        <w:tc>
          <w:tcPr>
            <w:tcW w:w="667" w:type="dxa"/>
            <w:vMerge w:val="continue"/>
            <w:tcBorders>
              <w:tl2br w:val="nil"/>
              <w:tr2bl w:val="nil"/>
            </w:tcBorders>
            <w:vAlign w:val="center"/>
          </w:tcPr>
          <w:p w14:paraId="43660044">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25361844">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4E0014D2">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71218A21">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N</w:t>
            </w:r>
          </w:p>
        </w:tc>
        <w:tc>
          <w:tcPr>
            <w:tcW w:w="1143" w:type="dxa"/>
            <w:tcBorders>
              <w:tl2br w:val="nil"/>
              <w:tr2bl w:val="nil"/>
            </w:tcBorders>
            <w:vAlign w:val="center"/>
          </w:tcPr>
          <w:p w14:paraId="666FCF6B">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1.74</w:t>
            </w:r>
          </w:p>
        </w:tc>
        <w:tc>
          <w:tcPr>
            <w:tcW w:w="1087" w:type="dxa"/>
            <w:vMerge w:val="continue"/>
            <w:tcBorders>
              <w:tl2br w:val="nil"/>
              <w:tr2bl w:val="nil"/>
            </w:tcBorders>
            <w:vAlign w:val="center"/>
          </w:tcPr>
          <w:p w14:paraId="4A58C867">
            <w:pPr>
              <w:widowControl w:val="0"/>
              <w:jc w:val="center"/>
              <w:rPr>
                <w:sz w:val="21"/>
                <w:szCs w:val="21"/>
              </w:rPr>
            </w:pPr>
          </w:p>
        </w:tc>
      </w:tr>
      <w:tr w14:paraId="1C480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354EEABA">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示范场村</w:t>
            </w:r>
          </w:p>
        </w:tc>
        <w:tc>
          <w:tcPr>
            <w:tcW w:w="1262" w:type="dxa"/>
            <w:tcBorders>
              <w:tl2br w:val="nil"/>
              <w:tr2bl w:val="nil"/>
            </w:tcBorders>
            <w:vAlign w:val="center"/>
          </w:tcPr>
          <w:p w14:paraId="7A381D59">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124.60700</w:t>
            </w:r>
          </w:p>
        </w:tc>
        <w:tc>
          <w:tcPr>
            <w:tcW w:w="1115" w:type="dxa"/>
            <w:tcBorders>
              <w:tl2br w:val="nil"/>
              <w:tr2bl w:val="nil"/>
            </w:tcBorders>
            <w:vAlign w:val="center"/>
          </w:tcPr>
          <w:p w14:paraId="7E39CE3A">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48.21319</w:t>
            </w:r>
          </w:p>
        </w:tc>
        <w:tc>
          <w:tcPr>
            <w:tcW w:w="667" w:type="dxa"/>
            <w:vMerge w:val="continue"/>
            <w:tcBorders>
              <w:tl2br w:val="nil"/>
              <w:tr2bl w:val="nil"/>
            </w:tcBorders>
            <w:vAlign w:val="center"/>
          </w:tcPr>
          <w:p w14:paraId="2C6AB444">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07CA0E5E">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5AB9543D">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5A850BF4">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SW</w:t>
            </w:r>
          </w:p>
        </w:tc>
        <w:tc>
          <w:tcPr>
            <w:tcW w:w="1143" w:type="dxa"/>
            <w:tcBorders>
              <w:tl2br w:val="nil"/>
              <w:tr2bl w:val="nil"/>
            </w:tcBorders>
            <w:vAlign w:val="center"/>
          </w:tcPr>
          <w:p w14:paraId="415E1CB6">
            <w:pPr>
              <w:pStyle w:val="262"/>
              <w:autoSpaceDE w:val="0"/>
              <w:autoSpaceDN w:val="0"/>
              <w:spacing w:line="320" w:lineRule="exact"/>
              <w:ind w:left="0" w:leftChars="0" w:firstLine="0" w:firstLineChars="0"/>
              <w:jc w:val="center"/>
              <w:textAlignment w:val="bottom"/>
              <w:rPr>
                <w:rFonts w:hint="default" w:ascii="Times New Roman"/>
                <w:sz w:val="21"/>
                <w:szCs w:val="21"/>
                <w:lang w:val="en-US"/>
              </w:rPr>
            </w:pPr>
            <w:r>
              <w:rPr>
                <w:rFonts w:hint="eastAsia" w:ascii="Times New Roman"/>
                <w:sz w:val="21"/>
                <w:szCs w:val="21"/>
                <w:lang w:val="en-US" w:eastAsia="zh-CN"/>
              </w:rPr>
              <w:t>0.18</w:t>
            </w:r>
          </w:p>
        </w:tc>
        <w:tc>
          <w:tcPr>
            <w:tcW w:w="1087" w:type="dxa"/>
            <w:vMerge w:val="continue"/>
            <w:tcBorders>
              <w:tl2br w:val="nil"/>
              <w:tr2bl w:val="nil"/>
            </w:tcBorders>
            <w:vAlign w:val="center"/>
          </w:tcPr>
          <w:p w14:paraId="578A3BF5">
            <w:pPr>
              <w:widowControl w:val="0"/>
              <w:jc w:val="center"/>
              <w:rPr>
                <w:sz w:val="21"/>
                <w:szCs w:val="21"/>
              </w:rPr>
            </w:pPr>
          </w:p>
        </w:tc>
      </w:tr>
      <w:tr w14:paraId="4D5B9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1063" w:type="dxa"/>
            <w:tcBorders>
              <w:tl2br w:val="nil"/>
              <w:tr2bl w:val="nil"/>
            </w:tcBorders>
            <w:vAlign w:val="center"/>
          </w:tcPr>
          <w:p w14:paraId="324CB54B">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永富村</w:t>
            </w:r>
          </w:p>
        </w:tc>
        <w:tc>
          <w:tcPr>
            <w:tcW w:w="1262" w:type="dxa"/>
            <w:tcBorders>
              <w:tl2br w:val="nil"/>
              <w:tr2bl w:val="nil"/>
            </w:tcBorders>
            <w:vAlign w:val="center"/>
          </w:tcPr>
          <w:p w14:paraId="01730C3E">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124.59600</w:t>
            </w:r>
          </w:p>
        </w:tc>
        <w:tc>
          <w:tcPr>
            <w:tcW w:w="1115" w:type="dxa"/>
            <w:tcBorders>
              <w:tl2br w:val="nil"/>
              <w:tr2bl w:val="nil"/>
            </w:tcBorders>
            <w:vAlign w:val="center"/>
          </w:tcPr>
          <w:p w14:paraId="246DCCC7">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48.19319</w:t>
            </w:r>
          </w:p>
        </w:tc>
        <w:tc>
          <w:tcPr>
            <w:tcW w:w="667" w:type="dxa"/>
            <w:vMerge w:val="continue"/>
            <w:tcBorders>
              <w:tl2br w:val="nil"/>
              <w:tr2bl w:val="nil"/>
            </w:tcBorders>
            <w:vAlign w:val="center"/>
          </w:tcPr>
          <w:p w14:paraId="592E3A41">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100AC072">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1DDC4D2D">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382AC4BD">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SSW</w:t>
            </w:r>
          </w:p>
        </w:tc>
        <w:tc>
          <w:tcPr>
            <w:tcW w:w="1143" w:type="dxa"/>
            <w:tcBorders>
              <w:tl2br w:val="nil"/>
              <w:tr2bl w:val="nil"/>
            </w:tcBorders>
            <w:vAlign w:val="center"/>
          </w:tcPr>
          <w:p w14:paraId="0931684B">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2.55</w:t>
            </w:r>
          </w:p>
        </w:tc>
        <w:tc>
          <w:tcPr>
            <w:tcW w:w="1087" w:type="dxa"/>
            <w:vMerge w:val="continue"/>
            <w:tcBorders>
              <w:tl2br w:val="nil"/>
              <w:tr2bl w:val="nil"/>
            </w:tcBorders>
            <w:vAlign w:val="center"/>
          </w:tcPr>
          <w:p w14:paraId="518E597E">
            <w:pPr>
              <w:widowControl w:val="0"/>
              <w:jc w:val="center"/>
              <w:rPr>
                <w:sz w:val="21"/>
                <w:szCs w:val="21"/>
              </w:rPr>
            </w:pPr>
          </w:p>
        </w:tc>
      </w:tr>
    </w:tbl>
    <w:p w14:paraId="1CEF52CA">
      <w:pPr>
        <w:pStyle w:val="42"/>
        <w:ind w:left="0"/>
        <w:jc w:val="center"/>
        <w:rPr>
          <w:b/>
          <w:bCs/>
          <w:szCs w:val="22"/>
        </w:rPr>
      </w:pPr>
    </w:p>
    <w:p w14:paraId="4C43A570">
      <w:pPr>
        <w:pStyle w:val="42"/>
        <w:ind w:left="0"/>
        <w:jc w:val="center"/>
        <w:rPr>
          <w:b/>
          <w:bCs/>
          <w:color w:val="auto"/>
        </w:rPr>
      </w:pPr>
      <w:r>
        <w:rPr>
          <w:b/>
          <w:bCs/>
          <w:color w:val="auto"/>
          <w:szCs w:val="22"/>
        </w:rPr>
        <w:t>表2.5-2  环境敏感目标一览表</w:t>
      </w:r>
    </w:p>
    <w:tbl>
      <w:tblPr>
        <w:tblStyle w:val="53"/>
        <w:tblW w:w="525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9"/>
        <w:gridCol w:w="2072"/>
        <w:gridCol w:w="713"/>
        <w:gridCol w:w="852"/>
        <w:gridCol w:w="1144"/>
        <w:gridCol w:w="3085"/>
      </w:tblGrid>
      <w:tr w14:paraId="1144D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608" w:type="pct"/>
            <w:tcBorders>
              <w:tl2br w:val="nil"/>
              <w:tr2bl w:val="nil"/>
            </w:tcBorders>
            <w:vAlign w:val="center"/>
          </w:tcPr>
          <w:p w14:paraId="115C9D5C">
            <w:pPr>
              <w:jc w:val="center"/>
              <w:rPr>
                <w:b/>
                <w:bCs/>
                <w:color w:val="auto"/>
                <w:sz w:val="21"/>
                <w:szCs w:val="21"/>
              </w:rPr>
            </w:pPr>
            <w:r>
              <w:rPr>
                <w:b/>
                <w:bCs/>
                <w:color w:val="auto"/>
                <w:sz w:val="21"/>
                <w:szCs w:val="21"/>
              </w:rPr>
              <w:t>环境要素</w:t>
            </w:r>
          </w:p>
        </w:tc>
        <w:tc>
          <w:tcPr>
            <w:tcW w:w="1156" w:type="pct"/>
            <w:tcBorders>
              <w:tl2br w:val="nil"/>
              <w:tr2bl w:val="nil"/>
            </w:tcBorders>
            <w:vAlign w:val="center"/>
          </w:tcPr>
          <w:p w14:paraId="525FC154">
            <w:pPr>
              <w:jc w:val="center"/>
              <w:rPr>
                <w:b/>
                <w:bCs/>
                <w:color w:val="auto"/>
                <w:sz w:val="21"/>
                <w:szCs w:val="21"/>
              </w:rPr>
            </w:pPr>
            <w:r>
              <w:rPr>
                <w:b/>
                <w:bCs/>
                <w:color w:val="auto"/>
                <w:sz w:val="21"/>
                <w:szCs w:val="21"/>
              </w:rPr>
              <w:t>保护对象</w:t>
            </w:r>
          </w:p>
        </w:tc>
        <w:tc>
          <w:tcPr>
            <w:tcW w:w="398" w:type="pct"/>
            <w:tcBorders>
              <w:tl2br w:val="nil"/>
              <w:tr2bl w:val="nil"/>
            </w:tcBorders>
            <w:vAlign w:val="center"/>
          </w:tcPr>
          <w:p w14:paraId="35A00392">
            <w:pPr>
              <w:jc w:val="center"/>
              <w:rPr>
                <w:b/>
                <w:bCs/>
                <w:color w:val="auto"/>
                <w:sz w:val="21"/>
                <w:szCs w:val="21"/>
              </w:rPr>
            </w:pPr>
            <w:r>
              <w:rPr>
                <w:b/>
                <w:bCs/>
                <w:color w:val="auto"/>
                <w:sz w:val="21"/>
                <w:szCs w:val="21"/>
              </w:rPr>
              <w:t>方位</w:t>
            </w:r>
          </w:p>
        </w:tc>
        <w:tc>
          <w:tcPr>
            <w:tcW w:w="475" w:type="pct"/>
            <w:tcBorders>
              <w:tl2br w:val="nil"/>
              <w:tr2bl w:val="nil"/>
            </w:tcBorders>
            <w:vAlign w:val="center"/>
          </w:tcPr>
          <w:p w14:paraId="2B4ACD97">
            <w:pPr>
              <w:jc w:val="center"/>
              <w:rPr>
                <w:b/>
                <w:bCs/>
                <w:color w:val="auto"/>
                <w:sz w:val="21"/>
                <w:szCs w:val="21"/>
              </w:rPr>
            </w:pPr>
            <w:r>
              <w:rPr>
                <w:b/>
                <w:bCs/>
                <w:color w:val="auto"/>
                <w:sz w:val="21"/>
                <w:szCs w:val="21"/>
              </w:rPr>
              <w:t>距离（m）</w:t>
            </w:r>
          </w:p>
        </w:tc>
        <w:tc>
          <w:tcPr>
            <w:tcW w:w="638" w:type="pct"/>
            <w:tcBorders>
              <w:tl2br w:val="nil"/>
              <w:tr2bl w:val="nil"/>
            </w:tcBorders>
            <w:vAlign w:val="center"/>
          </w:tcPr>
          <w:p w14:paraId="56972EC2">
            <w:pPr>
              <w:jc w:val="center"/>
              <w:rPr>
                <w:b/>
                <w:bCs/>
                <w:color w:val="auto"/>
                <w:sz w:val="21"/>
                <w:szCs w:val="21"/>
              </w:rPr>
            </w:pPr>
            <w:r>
              <w:rPr>
                <w:b/>
                <w:bCs/>
                <w:color w:val="auto"/>
                <w:sz w:val="21"/>
                <w:szCs w:val="21"/>
              </w:rPr>
              <w:t>受影响人数（人）</w:t>
            </w:r>
          </w:p>
        </w:tc>
        <w:tc>
          <w:tcPr>
            <w:tcW w:w="1722" w:type="pct"/>
            <w:tcBorders>
              <w:tl2br w:val="nil"/>
              <w:tr2bl w:val="nil"/>
            </w:tcBorders>
            <w:vAlign w:val="center"/>
          </w:tcPr>
          <w:p w14:paraId="2E01908C">
            <w:pPr>
              <w:jc w:val="center"/>
              <w:rPr>
                <w:b/>
                <w:bCs/>
                <w:color w:val="auto"/>
                <w:sz w:val="21"/>
                <w:szCs w:val="21"/>
              </w:rPr>
            </w:pPr>
            <w:r>
              <w:rPr>
                <w:b/>
                <w:bCs/>
                <w:color w:val="auto"/>
                <w:sz w:val="21"/>
                <w:szCs w:val="21"/>
              </w:rPr>
              <w:t>执行标准</w:t>
            </w:r>
          </w:p>
        </w:tc>
      </w:tr>
      <w:tr w14:paraId="7A50C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08" w:type="pct"/>
            <w:vMerge w:val="restart"/>
            <w:tcBorders>
              <w:tl2br w:val="nil"/>
              <w:tr2bl w:val="nil"/>
            </w:tcBorders>
            <w:vAlign w:val="center"/>
          </w:tcPr>
          <w:p w14:paraId="2652B109">
            <w:pPr>
              <w:jc w:val="center"/>
              <w:rPr>
                <w:b/>
                <w:bCs/>
                <w:color w:val="auto"/>
                <w:sz w:val="21"/>
                <w:szCs w:val="21"/>
              </w:rPr>
            </w:pPr>
            <w:r>
              <w:rPr>
                <w:color w:val="auto"/>
                <w:sz w:val="21"/>
                <w:szCs w:val="21"/>
              </w:rPr>
              <w:t>声环境</w:t>
            </w:r>
          </w:p>
        </w:tc>
        <w:tc>
          <w:tcPr>
            <w:tcW w:w="1156" w:type="pct"/>
            <w:tcBorders>
              <w:tl2br w:val="nil"/>
              <w:tr2bl w:val="nil"/>
            </w:tcBorders>
            <w:vAlign w:val="center"/>
          </w:tcPr>
          <w:p w14:paraId="738F4BA5">
            <w:pPr>
              <w:pStyle w:val="262"/>
              <w:autoSpaceDE w:val="0"/>
              <w:autoSpaceDN w:val="0"/>
              <w:spacing w:line="320" w:lineRule="exact"/>
              <w:ind w:left="0" w:leftChars="0" w:firstLine="0" w:firstLineChars="0"/>
              <w:jc w:val="center"/>
              <w:textAlignment w:val="bottom"/>
              <w:rPr>
                <w:rFonts w:hint="eastAsia" w:eastAsia="宋体"/>
                <w:color w:val="auto"/>
                <w:sz w:val="21"/>
                <w:szCs w:val="21"/>
                <w:lang w:eastAsia="zh-CN"/>
              </w:rPr>
            </w:pPr>
            <w:r>
              <w:rPr>
                <w:rFonts w:hint="eastAsia" w:ascii="Times New Roman"/>
                <w:color w:val="auto"/>
                <w:sz w:val="21"/>
                <w:szCs w:val="21"/>
                <w:lang w:eastAsia="zh-CN"/>
              </w:rPr>
              <w:t>前屯</w:t>
            </w:r>
          </w:p>
        </w:tc>
        <w:tc>
          <w:tcPr>
            <w:tcW w:w="398" w:type="pct"/>
            <w:tcBorders>
              <w:tl2br w:val="nil"/>
              <w:tr2bl w:val="nil"/>
            </w:tcBorders>
            <w:vAlign w:val="center"/>
          </w:tcPr>
          <w:p w14:paraId="51298206">
            <w:pPr>
              <w:pStyle w:val="262"/>
              <w:autoSpaceDE w:val="0"/>
              <w:autoSpaceDN w:val="0"/>
              <w:spacing w:line="320" w:lineRule="exact"/>
              <w:ind w:left="0" w:leftChars="0" w:firstLine="0" w:firstLineChars="0"/>
              <w:jc w:val="center"/>
              <w:textAlignment w:val="bottom"/>
              <w:rPr>
                <w:color w:val="auto"/>
                <w:sz w:val="21"/>
                <w:szCs w:val="21"/>
              </w:rPr>
            </w:pPr>
            <w:r>
              <w:rPr>
                <w:rFonts w:hint="default" w:ascii="Times New Roman"/>
                <w:color w:val="auto"/>
                <w:sz w:val="21"/>
                <w:szCs w:val="21"/>
              </w:rPr>
              <w:t>NE</w:t>
            </w:r>
          </w:p>
        </w:tc>
        <w:tc>
          <w:tcPr>
            <w:tcW w:w="475" w:type="pct"/>
            <w:tcBorders>
              <w:tl2br w:val="nil"/>
              <w:tr2bl w:val="nil"/>
            </w:tcBorders>
            <w:vAlign w:val="center"/>
          </w:tcPr>
          <w:p w14:paraId="0716029B">
            <w:pPr>
              <w:pStyle w:val="262"/>
              <w:autoSpaceDE w:val="0"/>
              <w:autoSpaceDN w:val="0"/>
              <w:spacing w:line="320" w:lineRule="exact"/>
              <w:ind w:left="0" w:leftChars="0" w:firstLine="0" w:firstLineChars="0"/>
              <w:jc w:val="center"/>
              <w:textAlignment w:val="bottom"/>
              <w:rPr>
                <w:color w:val="auto"/>
                <w:sz w:val="21"/>
                <w:szCs w:val="21"/>
              </w:rPr>
            </w:pPr>
            <w:r>
              <w:rPr>
                <w:rFonts w:hint="eastAsia" w:ascii="Times New Roman"/>
                <w:color w:val="auto"/>
                <w:sz w:val="21"/>
                <w:szCs w:val="21"/>
                <w:lang w:val="en-US" w:eastAsia="zh-CN"/>
              </w:rPr>
              <w:t>3</w:t>
            </w:r>
            <w:r>
              <w:rPr>
                <w:rFonts w:ascii="Times New Roman"/>
                <w:color w:val="auto"/>
                <w:sz w:val="21"/>
                <w:szCs w:val="21"/>
              </w:rPr>
              <w:t>0</w:t>
            </w:r>
          </w:p>
        </w:tc>
        <w:tc>
          <w:tcPr>
            <w:tcW w:w="638" w:type="pct"/>
            <w:tcBorders>
              <w:tl2br w:val="nil"/>
              <w:tr2bl w:val="nil"/>
            </w:tcBorders>
            <w:vAlign w:val="center"/>
          </w:tcPr>
          <w:p w14:paraId="3A44E299">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500</w:t>
            </w:r>
          </w:p>
        </w:tc>
        <w:tc>
          <w:tcPr>
            <w:tcW w:w="1722" w:type="pct"/>
            <w:vMerge w:val="restart"/>
            <w:tcBorders>
              <w:tl2br w:val="nil"/>
              <w:tr2bl w:val="nil"/>
            </w:tcBorders>
            <w:vAlign w:val="center"/>
          </w:tcPr>
          <w:p w14:paraId="21BCE889">
            <w:pPr>
              <w:jc w:val="center"/>
              <w:rPr>
                <w:b/>
                <w:bCs/>
                <w:color w:val="auto"/>
                <w:sz w:val="21"/>
                <w:szCs w:val="21"/>
              </w:rPr>
            </w:pPr>
            <w:r>
              <w:rPr>
                <w:color w:val="auto"/>
                <w:sz w:val="21"/>
                <w:szCs w:val="21"/>
              </w:rPr>
              <w:t>《声环境质量标准》(GB3096-2008)</w:t>
            </w:r>
            <w:r>
              <w:rPr>
                <w:rFonts w:hint="eastAsia"/>
                <w:color w:val="auto"/>
                <w:sz w:val="21"/>
                <w:szCs w:val="21"/>
                <w:lang w:val="en-US" w:eastAsia="zh-CN"/>
              </w:rPr>
              <w:t>2</w:t>
            </w:r>
            <w:r>
              <w:rPr>
                <w:rFonts w:hint="eastAsia"/>
                <w:color w:val="auto"/>
                <w:sz w:val="21"/>
                <w:szCs w:val="21"/>
                <w:lang w:eastAsia="zh-CN"/>
              </w:rPr>
              <w:t>类</w:t>
            </w:r>
            <w:r>
              <w:rPr>
                <w:color w:val="auto"/>
                <w:sz w:val="21"/>
                <w:szCs w:val="21"/>
              </w:rPr>
              <w:t>区标准</w:t>
            </w:r>
          </w:p>
        </w:tc>
      </w:tr>
      <w:tr w14:paraId="77DB5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08" w:type="pct"/>
            <w:vMerge w:val="continue"/>
            <w:tcBorders>
              <w:tl2br w:val="nil"/>
              <w:tr2bl w:val="nil"/>
            </w:tcBorders>
            <w:vAlign w:val="center"/>
          </w:tcPr>
          <w:p w14:paraId="24BE82E6">
            <w:pPr>
              <w:jc w:val="center"/>
              <w:rPr>
                <w:color w:val="auto"/>
                <w:sz w:val="21"/>
                <w:szCs w:val="21"/>
              </w:rPr>
            </w:pPr>
          </w:p>
        </w:tc>
        <w:tc>
          <w:tcPr>
            <w:tcW w:w="1156" w:type="pct"/>
            <w:tcBorders>
              <w:tl2br w:val="nil"/>
              <w:tr2bl w:val="nil"/>
            </w:tcBorders>
            <w:vAlign w:val="center"/>
          </w:tcPr>
          <w:p w14:paraId="52E44411">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示范场村</w:t>
            </w:r>
          </w:p>
        </w:tc>
        <w:tc>
          <w:tcPr>
            <w:tcW w:w="398" w:type="pct"/>
            <w:tcBorders>
              <w:tl2br w:val="nil"/>
              <w:tr2bl w:val="nil"/>
            </w:tcBorders>
            <w:vAlign w:val="center"/>
          </w:tcPr>
          <w:p w14:paraId="57F6AF04">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S</w:t>
            </w:r>
          </w:p>
        </w:tc>
        <w:tc>
          <w:tcPr>
            <w:tcW w:w="475" w:type="pct"/>
            <w:tcBorders>
              <w:tl2br w:val="nil"/>
              <w:tr2bl w:val="nil"/>
            </w:tcBorders>
            <w:vAlign w:val="center"/>
          </w:tcPr>
          <w:p w14:paraId="6F53A15A">
            <w:pPr>
              <w:pStyle w:val="262"/>
              <w:autoSpaceDE w:val="0"/>
              <w:autoSpaceDN w:val="0"/>
              <w:spacing w:line="320" w:lineRule="exact"/>
              <w:ind w:left="0" w:leftChars="0" w:firstLine="0" w:firstLineChars="0"/>
              <w:jc w:val="center"/>
              <w:textAlignment w:val="bottom"/>
              <w:rPr>
                <w:color w:val="auto"/>
                <w:sz w:val="21"/>
                <w:szCs w:val="21"/>
              </w:rPr>
            </w:pPr>
            <w:r>
              <w:rPr>
                <w:rFonts w:hint="eastAsia" w:ascii="Times New Roman"/>
                <w:color w:val="auto"/>
                <w:sz w:val="21"/>
                <w:szCs w:val="21"/>
                <w:lang w:val="en-US" w:eastAsia="zh-CN"/>
              </w:rPr>
              <w:t>5</w:t>
            </w:r>
            <w:r>
              <w:rPr>
                <w:rFonts w:ascii="Times New Roman"/>
                <w:color w:val="auto"/>
                <w:sz w:val="21"/>
                <w:szCs w:val="21"/>
              </w:rPr>
              <w:t>0</w:t>
            </w:r>
          </w:p>
        </w:tc>
        <w:tc>
          <w:tcPr>
            <w:tcW w:w="638" w:type="pct"/>
            <w:tcBorders>
              <w:tl2br w:val="nil"/>
              <w:tr2bl w:val="nil"/>
            </w:tcBorders>
            <w:vAlign w:val="center"/>
          </w:tcPr>
          <w:p w14:paraId="5DBABDAD">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100</w:t>
            </w:r>
          </w:p>
        </w:tc>
        <w:tc>
          <w:tcPr>
            <w:tcW w:w="1722" w:type="pct"/>
            <w:vMerge w:val="continue"/>
            <w:tcBorders>
              <w:tl2br w:val="nil"/>
              <w:tr2bl w:val="nil"/>
            </w:tcBorders>
            <w:vAlign w:val="center"/>
          </w:tcPr>
          <w:p w14:paraId="306C5466">
            <w:pPr>
              <w:jc w:val="center"/>
              <w:rPr>
                <w:color w:val="auto"/>
                <w:sz w:val="21"/>
                <w:szCs w:val="21"/>
              </w:rPr>
            </w:pPr>
          </w:p>
        </w:tc>
      </w:tr>
      <w:tr w14:paraId="7B866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608" w:type="pct"/>
            <w:tcBorders>
              <w:tl2br w:val="nil"/>
              <w:tr2bl w:val="nil"/>
            </w:tcBorders>
            <w:vAlign w:val="center"/>
          </w:tcPr>
          <w:p w14:paraId="3B9C8A2A">
            <w:pPr>
              <w:jc w:val="center"/>
              <w:rPr>
                <w:color w:val="auto"/>
                <w:sz w:val="21"/>
                <w:szCs w:val="21"/>
              </w:rPr>
            </w:pPr>
            <w:r>
              <w:rPr>
                <w:color w:val="auto"/>
                <w:sz w:val="21"/>
                <w:szCs w:val="21"/>
              </w:rPr>
              <w:t>地表水</w:t>
            </w:r>
          </w:p>
        </w:tc>
        <w:tc>
          <w:tcPr>
            <w:tcW w:w="1156" w:type="pct"/>
            <w:tcBorders>
              <w:tl2br w:val="nil"/>
              <w:tr2bl w:val="nil"/>
            </w:tcBorders>
            <w:vAlign w:val="center"/>
          </w:tcPr>
          <w:p w14:paraId="6542D514">
            <w:pPr>
              <w:tabs>
                <w:tab w:val="left" w:leader="middleDot" w:pos="0"/>
              </w:tabs>
              <w:jc w:val="center"/>
              <w:rPr>
                <w:rFonts w:hint="eastAsia" w:eastAsia="宋体"/>
                <w:color w:val="auto"/>
                <w:sz w:val="21"/>
                <w:szCs w:val="21"/>
                <w:lang w:eastAsia="zh-CN"/>
              </w:rPr>
            </w:pPr>
            <w:r>
              <w:rPr>
                <w:rFonts w:hint="eastAsia"/>
                <w:color w:val="auto"/>
                <w:sz w:val="21"/>
                <w:szCs w:val="21"/>
                <w:lang w:val="en-US" w:eastAsia="zh-CN"/>
              </w:rPr>
              <w:t>嫩江</w:t>
            </w:r>
          </w:p>
        </w:tc>
        <w:tc>
          <w:tcPr>
            <w:tcW w:w="398" w:type="pct"/>
            <w:tcBorders>
              <w:tl2br w:val="nil"/>
              <w:tr2bl w:val="nil"/>
            </w:tcBorders>
            <w:vAlign w:val="center"/>
          </w:tcPr>
          <w:p w14:paraId="6D4B229F">
            <w:pPr>
              <w:tabs>
                <w:tab w:val="left" w:leader="middleDot" w:pos="0"/>
              </w:tabs>
              <w:jc w:val="center"/>
              <w:rPr>
                <w:rFonts w:hint="eastAsia" w:eastAsia="宋体"/>
                <w:color w:val="auto"/>
                <w:sz w:val="21"/>
                <w:szCs w:val="21"/>
                <w:lang w:eastAsia="zh-CN"/>
              </w:rPr>
            </w:pPr>
            <w:r>
              <w:rPr>
                <w:rFonts w:hint="eastAsia"/>
                <w:color w:val="auto"/>
                <w:sz w:val="21"/>
                <w:szCs w:val="21"/>
                <w:lang w:val="en-US" w:eastAsia="zh-CN"/>
              </w:rPr>
              <w:t>W</w:t>
            </w:r>
          </w:p>
        </w:tc>
        <w:tc>
          <w:tcPr>
            <w:tcW w:w="475" w:type="pct"/>
            <w:tcBorders>
              <w:tl2br w:val="nil"/>
              <w:tr2bl w:val="nil"/>
            </w:tcBorders>
            <w:vAlign w:val="center"/>
          </w:tcPr>
          <w:p w14:paraId="28D2B901">
            <w:pPr>
              <w:tabs>
                <w:tab w:val="left" w:leader="middleDot" w:pos="0"/>
              </w:tabs>
              <w:jc w:val="center"/>
              <w:rPr>
                <w:rFonts w:hint="default" w:eastAsia="宋体"/>
                <w:color w:val="auto"/>
                <w:sz w:val="21"/>
                <w:szCs w:val="21"/>
                <w:lang w:val="en-US" w:eastAsia="zh-CN"/>
              </w:rPr>
            </w:pPr>
            <w:r>
              <w:rPr>
                <w:rFonts w:hint="eastAsia"/>
                <w:color w:val="auto"/>
                <w:sz w:val="21"/>
                <w:szCs w:val="21"/>
                <w:lang w:val="en-US" w:eastAsia="zh-CN"/>
              </w:rPr>
              <w:t>3000</w:t>
            </w:r>
          </w:p>
        </w:tc>
        <w:tc>
          <w:tcPr>
            <w:tcW w:w="638" w:type="pct"/>
            <w:tcBorders>
              <w:tl2br w:val="nil"/>
              <w:tr2bl w:val="nil"/>
            </w:tcBorders>
            <w:vAlign w:val="center"/>
          </w:tcPr>
          <w:p w14:paraId="741C6798">
            <w:pPr>
              <w:tabs>
                <w:tab w:val="left" w:leader="middleDot" w:pos="0"/>
              </w:tabs>
              <w:jc w:val="center"/>
              <w:rPr>
                <w:color w:val="auto"/>
                <w:sz w:val="21"/>
                <w:szCs w:val="21"/>
              </w:rPr>
            </w:pPr>
            <w:r>
              <w:rPr>
                <w:color w:val="auto"/>
                <w:sz w:val="21"/>
                <w:szCs w:val="21"/>
              </w:rPr>
              <w:t>/</w:t>
            </w:r>
          </w:p>
        </w:tc>
        <w:tc>
          <w:tcPr>
            <w:tcW w:w="1722" w:type="pct"/>
            <w:tcBorders>
              <w:tl2br w:val="nil"/>
              <w:tr2bl w:val="nil"/>
            </w:tcBorders>
            <w:vAlign w:val="center"/>
          </w:tcPr>
          <w:p w14:paraId="0407337C">
            <w:pPr>
              <w:jc w:val="center"/>
              <w:rPr>
                <w:color w:val="auto"/>
                <w:sz w:val="21"/>
                <w:szCs w:val="21"/>
              </w:rPr>
            </w:pPr>
            <w:r>
              <w:rPr>
                <w:color w:val="auto"/>
                <w:sz w:val="21"/>
                <w:szCs w:val="21"/>
              </w:rPr>
              <w:t>《地表水环境质量标准》（GB3838-2002）</w:t>
            </w:r>
            <w:r>
              <w:rPr>
                <w:rFonts w:hint="eastAsia"/>
                <w:color w:val="auto"/>
                <w:spacing w:val="-38"/>
                <w:sz w:val="21"/>
                <w:szCs w:val="21"/>
              </w:rPr>
              <w:t xml:space="preserve"> </w:t>
            </w:r>
            <w:r>
              <w:rPr>
                <w:rFonts w:hint="eastAsia"/>
                <w:color w:val="auto"/>
                <w:sz w:val="21"/>
                <w:szCs w:val="21"/>
              </w:rPr>
              <w:t>III</w:t>
            </w:r>
            <w:r>
              <w:rPr>
                <w:color w:val="auto"/>
                <w:sz w:val="21"/>
                <w:szCs w:val="21"/>
              </w:rPr>
              <w:t>类标准</w:t>
            </w:r>
          </w:p>
        </w:tc>
      </w:tr>
      <w:tr w14:paraId="3E5C8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608" w:type="pct"/>
            <w:vMerge w:val="restart"/>
            <w:tcBorders>
              <w:tl2br w:val="nil"/>
              <w:tr2bl w:val="nil"/>
            </w:tcBorders>
            <w:vAlign w:val="center"/>
          </w:tcPr>
          <w:p w14:paraId="42E68913">
            <w:pPr>
              <w:jc w:val="center"/>
              <w:rPr>
                <w:rFonts w:hint="eastAsia" w:eastAsia="宋体"/>
                <w:color w:val="auto"/>
                <w:sz w:val="21"/>
                <w:szCs w:val="21"/>
                <w:lang w:val="en-US" w:eastAsia="zh-CN"/>
              </w:rPr>
            </w:pPr>
            <w:r>
              <w:rPr>
                <w:rFonts w:hint="eastAsia"/>
                <w:color w:val="auto"/>
                <w:sz w:val="21"/>
                <w:szCs w:val="21"/>
                <w:lang w:val="en-US" w:eastAsia="zh-CN"/>
              </w:rPr>
              <w:t>地下水</w:t>
            </w:r>
          </w:p>
        </w:tc>
        <w:tc>
          <w:tcPr>
            <w:tcW w:w="1156" w:type="pct"/>
            <w:tcBorders>
              <w:tl2br w:val="nil"/>
              <w:tr2bl w:val="nil"/>
            </w:tcBorders>
            <w:vAlign w:val="center"/>
          </w:tcPr>
          <w:p w14:paraId="7CC3F2A6">
            <w:pPr>
              <w:pStyle w:val="262"/>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拉哈镇集中式水井</w:t>
            </w:r>
            <w:r>
              <w:rPr>
                <w:rFonts w:hint="eastAsia" w:ascii="Times New Roman" w:cs="Times New Roman"/>
                <w:color w:val="auto"/>
                <w:sz w:val="21"/>
                <w:szCs w:val="21"/>
                <w:lang w:val="en-US" w:eastAsia="zh-CN"/>
              </w:rPr>
              <w:t>1</w:t>
            </w:r>
          </w:p>
        </w:tc>
        <w:tc>
          <w:tcPr>
            <w:tcW w:w="398" w:type="pct"/>
            <w:tcBorders>
              <w:tl2br w:val="nil"/>
              <w:tr2bl w:val="nil"/>
            </w:tcBorders>
            <w:vAlign w:val="center"/>
          </w:tcPr>
          <w:p w14:paraId="2AC6059F">
            <w:pPr>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S</w:t>
            </w:r>
          </w:p>
        </w:tc>
        <w:tc>
          <w:tcPr>
            <w:tcW w:w="475" w:type="pct"/>
            <w:tcBorders>
              <w:tl2br w:val="nil"/>
              <w:tr2bl w:val="nil"/>
            </w:tcBorders>
            <w:vAlign w:val="center"/>
          </w:tcPr>
          <w:p w14:paraId="6285BF2D">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1500</w:t>
            </w:r>
          </w:p>
        </w:tc>
        <w:tc>
          <w:tcPr>
            <w:tcW w:w="638" w:type="pct"/>
            <w:tcBorders>
              <w:tl2br w:val="nil"/>
              <w:tr2bl w:val="nil"/>
            </w:tcBorders>
            <w:vAlign w:val="center"/>
          </w:tcPr>
          <w:p w14:paraId="1536AEC3">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20000</w:t>
            </w:r>
          </w:p>
        </w:tc>
        <w:tc>
          <w:tcPr>
            <w:tcW w:w="1722" w:type="pct"/>
            <w:vMerge w:val="restart"/>
            <w:tcBorders>
              <w:tl2br w:val="nil"/>
              <w:tr2bl w:val="nil"/>
            </w:tcBorders>
            <w:vAlign w:val="center"/>
          </w:tcPr>
          <w:p w14:paraId="4FD91DA7">
            <w:pPr>
              <w:pStyle w:val="262"/>
              <w:autoSpaceDE w:val="0"/>
              <w:autoSpaceDN w:val="0"/>
              <w:spacing w:line="320" w:lineRule="exact"/>
              <w:ind w:left="0" w:leftChars="0" w:firstLine="0" w:firstLineChars="0"/>
              <w:jc w:val="center"/>
              <w:textAlignment w:val="bottom"/>
              <w:rPr>
                <w:rFonts w:ascii="Times New Roman" w:hAnsi="宋体" w:eastAsia="宋体" w:cs="Times New Roman"/>
                <w:color w:val="auto"/>
                <w:sz w:val="21"/>
                <w:szCs w:val="21"/>
              </w:rPr>
            </w:pPr>
            <w:r>
              <w:rPr>
                <w:rFonts w:hint="default" w:ascii="Times New Roman" w:hAnsi="Times New Roman" w:eastAsia="宋体" w:cs="Times New Roman"/>
                <w:color w:val="auto"/>
                <w:spacing w:val="-2"/>
                <w:sz w:val="21"/>
                <w:szCs w:val="21"/>
              </w:rPr>
              <w:t>《地下水</w:t>
            </w:r>
            <w:r>
              <w:rPr>
                <w:rFonts w:hint="default" w:ascii="Times New Roman" w:hAnsi="Times New Roman" w:eastAsia="宋体" w:cs="Times New Roman"/>
                <w:color w:val="auto"/>
                <w:spacing w:val="-2"/>
                <w:sz w:val="21"/>
                <w:szCs w:val="21"/>
                <w:lang w:val="en-US" w:eastAsia="zh-CN"/>
              </w:rPr>
              <w:t>环境</w:t>
            </w:r>
            <w:r>
              <w:rPr>
                <w:rFonts w:hint="default" w:ascii="Times New Roman" w:hAnsi="Times New Roman" w:eastAsia="宋体" w:cs="Times New Roman"/>
                <w:color w:val="auto"/>
                <w:spacing w:val="-2"/>
                <w:sz w:val="21"/>
                <w:szCs w:val="21"/>
              </w:rPr>
              <w:t>质量标准》</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
                <w:sz w:val="21"/>
                <w:szCs w:val="21"/>
              </w:rPr>
              <w:t>（</w:t>
            </w:r>
            <w:r>
              <w:rPr>
                <w:rFonts w:hint="default" w:ascii="Times New Roman" w:hAnsi="Times New Roman" w:eastAsia="Times New Roman" w:cs="Times New Roman"/>
                <w:color w:val="auto"/>
                <w:spacing w:val="-1"/>
                <w:sz w:val="21"/>
                <w:szCs w:val="21"/>
              </w:rPr>
              <w:t>GB/T14848-2017</w:t>
            </w:r>
            <w:r>
              <w:rPr>
                <w:rFonts w:hint="default" w:ascii="Times New Roman" w:hAnsi="Times New Roman" w:eastAsia="宋体" w:cs="Times New Roman"/>
                <w:color w:val="auto"/>
                <w:spacing w:val="-1"/>
                <w:sz w:val="21"/>
                <w:szCs w:val="21"/>
              </w:rPr>
              <w:t>）Ⅲ类</w:t>
            </w:r>
          </w:p>
        </w:tc>
      </w:tr>
      <w:tr w14:paraId="50D05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08" w:type="pct"/>
            <w:vMerge w:val="continue"/>
            <w:tcBorders>
              <w:tl2br w:val="nil"/>
              <w:tr2bl w:val="nil"/>
            </w:tcBorders>
            <w:vAlign w:val="center"/>
          </w:tcPr>
          <w:p w14:paraId="7FEB33AF">
            <w:pPr>
              <w:jc w:val="center"/>
              <w:rPr>
                <w:color w:val="auto"/>
                <w:sz w:val="21"/>
                <w:szCs w:val="21"/>
              </w:rPr>
            </w:pPr>
          </w:p>
        </w:tc>
        <w:tc>
          <w:tcPr>
            <w:tcW w:w="1156" w:type="pct"/>
            <w:tcBorders>
              <w:tl2br w:val="nil"/>
              <w:tr2bl w:val="nil"/>
            </w:tcBorders>
            <w:vAlign w:val="center"/>
          </w:tcPr>
          <w:p w14:paraId="6629E3E8">
            <w:pPr>
              <w:pStyle w:val="262"/>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拉哈镇集中式水井</w:t>
            </w:r>
            <w:r>
              <w:rPr>
                <w:rFonts w:hint="eastAsia" w:ascii="Times New Roman" w:cs="Times New Roman"/>
                <w:color w:val="auto"/>
                <w:sz w:val="21"/>
                <w:szCs w:val="21"/>
                <w:lang w:val="en-US" w:eastAsia="zh-CN"/>
              </w:rPr>
              <w:t>2</w:t>
            </w:r>
          </w:p>
        </w:tc>
        <w:tc>
          <w:tcPr>
            <w:tcW w:w="398" w:type="pct"/>
            <w:tcBorders>
              <w:tl2br w:val="nil"/>
              <w:tr2bl w:val="nil"/>
            </w:tcBorders>
            <w:vAlign w:val="center"/>
          </w:tcPr>
          <w:p w14:paraId="70D98F22">
            <w:pPr>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S</w:t>
            </w:r>
          </w:p>
        </w:tc>
        <w:tc>
          <w:tcPr>
            <w:tcW w:w="475" w:type="pct"/>
            <w:tcBorders>
              <w:tl2br w:val="nil"/>
              <w:tr2bl w:val="nil"/>
            </w:tcBorders>
            <w:vAlign w:val="center"/>
          </w:tcPr>
          <w:p w14:paraId="17110D47">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1800</w:t>
            </w:r>
          </w:p>
        </w:tc>
        <w:tc>
          <w:tcPr>
            <w:tcW w:w="638" w:type="pct"/>
            <w:tcBorders>
              <w:tl2br w:val="nil"/>
              <w:tr2bl w:val="nil"/>
            </w:tcBorders>
            <w:vAlign w:val="center"/>
          </w:tcPr>
          <w:p w14:paraId="23E704A4">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20000</w:t>
            </w:r>
          </w:p>
        </w:tc>
        <w:tc>
          <w:tcPr>
            <w:tcW w:w="1722" w:type="pct"/>
            <w:vMerge w:val="continue"/>
            <w:tcBorders>
              <w:tl2br w:val="nil"/>
              <w:tr2bl w:val="nil"/>
            </w:tcBorders>
            <w:vAlign w:val="center"/>
          </w:tcPr>
          <w:p w14:paraId="2B18F678">
            <w:pPr>
              <w:pStyle w:val="262"/>
              <w:autoSpaceDE w:val="0"/>
              <w:autoSpaceDN w:val="0"/>
              <w:spacing w:line="320" w:lineRule="exact"/>
              <w:ind w:left="0" w:leftChars="0" w:firstLine="0" w:firstLineChars="0"/>
              <w:jc w:val="center"/>
              <w:textAlignment w:val="bottom"/>
              <w:rPr>
                <w:rFonts w:ascii="Times New Roman" w:hAnsi="宋体" w:eastAsia="宋体" w:cs="Times New Roman"/>
                <w:color w:val="auto"/>
                <w:sz w:val="21"/>
                <w:szCs w:val="21"/>
              </w:rPr>
            </w:pPr>
          </w:p>
        </w:tc>
      </w:tr>
      <w:tr w14:paraId="1964A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608" w:type="pct"/>
            <w:tcBorders>
              <w:tl2br w:val="nil"/>
              <w:tr2bl w:val="nil"/>
            </w:tcBorders>
            <w:vAlign w:val="center"/>
          </w:tcPr>
          <w:p w14:paraId="71D0095A">
            <w:pPr>
              <w:pStyle w:val="99"/>
              <w:jc w:val="center"/>
              <w:textAlignment w:val="auto"/>
              <w:rPr>
                <w:rFonts w:ascii="Times New Roman" w:hAnsi="Times New Roman"/>
                <w:color w:val="auto"/>
                <w:sz w:val="21"/>
                <w:szCs w:val="21"/>
              </w:rPr>
            </w:pPr>
            <w:r>
              <w:rPr>
                <w:rFonts w:ascii="Times New Roman" w:hAnsi="Times New Roman" w:eastAsia="宋体"/>
                <w:color w:val="auto"/>
                <w:spacing w:val="0"/>
                <w:kern w:val="2"/>
                <w:sz w:val="21"/>
                <w:szCs w:val="21"/>
              </w:rPr>
              <w:t>生态</w:t>
            </w:r>
          </w:p>
        </w:tc>
        <w:tc>
          <w:tcPr>
            <w:tcW w:w="2669" w:type="pct"/>
            <w:gridSpan w:val="4"/>
            <w:tcBorders>
              <w:tl2br w:val="nil"/>
              <w:tr2bl w:val="nil"/>
            </w:tcBorders>
            <w:vAlign w:val="center"/>
          </w:tcPr>
          <w:p w14:paraId="5F9F4E7A">
            <w:pPr>
              <w:tabs>
                <w:tab w:val="left" w:leader="middleDot" w:pos="0"/>
              </w:tabs>
              <w:jc w:val="center"/>
              <w:rPr>
                <w:color w:val="auto"/>
                <w:sz w:val="21"/>
                <w:szCs w:val="21"/>
              </w:rPr>
            </w:pPr>
            <w:r>
              <w:rPr>
                <w:color w:val="auto"/>
                <w:sz w:val="21"/>
                <w:szCs w:val="21"/>
              </w:rPr>
              <w:t>建设场地</w:t>
            </w:r>
          </w:p>
        </w:tc>
        <w:tc>
          <w:tcPr>
            <w:tcW w:w="1722" w:type="pct"/>
            <w:tcBorders>
              <w:tl2br w:val="nil"/>
              <w:tr2bl w:val="nil"/>
            </w:tcBorders>
            <w:vAlign w:val="center"/>
          </w:tcPr>
          <w:p w14:paraId="180FC96C">
            <w:pPr>
              <w:jc w:val="center"/>
              <w:rPr>
                <w:color w:val="auto"/>
                <w:sz w:val="21"/>
                <w:szCs w:val="21"/>
              </w:rPr>
            </w:pPr>
            <w:r>
              <w:rPr>
                <w:color w:val="auto"/>
                <w:sz w:val="21"/>
                <w:szCs w:val="21"/>
              </w:rPr>
              <w:t>——</w:t>
            </w:r>
          </w:p>
        </w:tc>
      </w:tr>
      <w:tr w14:paraId="0B152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3" w:hRule="atLeast"/>
          <w:jc w:val="center"/>
        </w:trPr>
        <w:tc>
          <w:tcPr>
            <w:tcW w:w="608" w:type="pct"/>
            <w:tcBorders>
              <w:tl2br w:val="nil"/>
              <w:tr2bl w:val="nil"/>
            </w:tcBorders>
            <w:vAlign w:val="center"/>
          </w:tcPr>
          <w:p w14:paraId="30EBBF6D">
            <w:pPr>
              <w:pStyle w:val="99"/>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土壤</w:t>
            </w:r>
          </w:p>
        </w:tc>
        <w:tc>
          <w:tcPr>
            <w:tcW w:w="2669" w:type="pct"/>
            <w:gridSpan w:val="4"/>
            <w:tcBorders>
              <w:tl2br w:val="nil"/>
              <w:tr2bl w:val="nil"/>
            </w:tcBorders>
            <w:vAlign w:val="center"/>
          </w:tcPr>
          <w:p w14:paraId="2BC7383E">
            <w:pPr>
              <w:tabs>
                <w:tab w:val="left" w:leader="middleDot" w:pos="0"/>
              </w:tabs>
              <w:jc w:val="center"/>
              <w:rPr>
                <w:color w:val="auto"/>
                <w:sz w:val="21"/>
                <w:szCs w:val="21"/>
              </w:rPr>
            </w:pPr>
            <w:r>
              <w:rPr>
                <w:color w:val="auto"/>
                <w:sz w:val="21"/>
                <w:szCs w:val="21"/>
              </w:rPr>
              <w:t>厂界外</w:t>
            </w:r>
            <w:r>
              <w:rPr>
                <w:rFonts w:hint="eastAsia"/>
                <w:color w:val="auto"/>
                <w:sz w:val="21"/>
                <w:szCs w:val="21"/>
                <w:lang w:val="en-US" w:eastAsia="zh-CN"/>
              </w:rPr>
              <w:t>200</w:t>
            </w:r>
            <w:r>
              <w:rPr>
                <w:color w:val="auto"/>
                <w:sz w:val="21"/>
                <w:szCs w:val="21"/>
                <w:lang w:eastAsia="en-US"/>
              </w:rPr>
              <w:t>m</w:t>
            </w:r>
          </w:p>
        </w:tc>
        <w:tc>
          <w:tcPr>
            <w:tcW w:w="1722" w:type="pct"/>
            <w:tcBorders>
              <w:tl2br w:val="nil"/>
              <w:tr2bl w:val="nil"/>
            </w:tcBorders>
            <w:vAlign w:val="center"/>
          </w:tcPr>
          <w:p w14:paraId="459C3DD4">
            <w:pPr>
              <w:jc w:val="center"/>
              <w:rPr>
                <w:color w:val="auto"/>
                <w:sz w:val="21"/>
                <w:szCs w:val="21"/>
              </w:rPr>
            </w:pPr>
            <w:r>
              <w:rPr>
                <w:color w:val="auto"/>
                <w:sz w:val="21"/>
                <w:szCs w:val="21"/>
              </w:rPr>
              <w:t>《土壤环境质量 建设用地土壤污染风险管控标准（试行）》（GB 36600-2018）中第二类建设用地风险筛选值限值</w:t>
            </w:r>
          </w:p>
        </w:tc>
      </w:tr>
    </w:tbl>
    <w:p w14:paraId="49FDF82E">
      <w:pPr>
        <w:rPr>
          <w:color w:val="0000FF"/>
        </w:rPr>
      </w:pPr>
    </w:p>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14:paraId="022B53CD">
      <w:pPr>
        <w:pStyle w:val="42"/>
        <w:ind w:left="0"/>
        <w:rPr>
          <w:color w:val="0000FF"/>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26" w:charSpace="0"/>
        </w:sectPr>
      </w:pPr>
    </w:p>
    <w:p w14:paraId="65250511">
      <w:pPr>
        <w:pStyle w:val="42"/>
        <w:rPr>
          <w:b/>
          <w:bCs/>
          <w:color w:val="0000FF"/>
        </w:rPr>
      </w:pPr>
    </w:p>
    <w:p w14:paraId="6C098C79">
      <w:pPr>
        <w:spacing w:line="480" w:lineRule="auto"/>
        <w:jc w:val="center"/>
        <w:rPr>
          <w:sz w:val="24"/>
        </w:rPr>
      </w:pPr>
      <w:r>
        <mc:AlternateContent>
          <mc:Choice Requires="wps">
            <w:drawing>
              <wp:anchor distT="0" distB="0" distL="114300" distR="114300" simplePos="0" relativeHeight="251661312" behindDoc="0" locked="0" layoutInCell="1" allowOverlap="1">
                <wp:simplePos x="0" y="0"/>
                <wp:positionH relativeFrom="column">
                  <wp:posOffset>3627120</wp:posOffset>
                </wp:positionH>
                <wp:positionV relativeFrom="paragraph">
                  <wp:posOffset>2178050</wp:posOffset>
                </wp:positionV>
                <wp:extent cx="685800" cy="247650"/>
                <wp:effectExtent l="0" t="0" r="0" b="0"/>
                <wp:wrapNone/>
                <wp:docPr id="339" name="文本框 339"/>
                <wp:cNvGraphicFramePr/>
                <a:graphic xmlns:a="http://schemas.openxmlformats.org/drawingml/2006/main">
                  <a:graphicData uri="http://schemas.microsoft.com/office/word/2010/wordprocessingShape">
                    <wps:wsp>
                      <wps:cNvSpPr txBox="1"/>
                      <wps:spPr>
                        <a:xfrm>
                          <a:off x="0" y="0"/>
                          <a:ext cx="685800" cy="247650"/>
                        </a:xfrm>
                        <a:prstGeom prst="rect">
                          <a:avLst/>
                        </a:prstGeom>
                        <a:noFill/>
                        <a:ln>
                          <a:noFill/>
                        </a:ln>
                      </wps:spPr>
                      <wps:txbx>
                        <w:txbxContent>
                          <w:p w14:paraId="2D66C77D">
                            <w:pPr>
                              <w:rPr>
                                <w:color w:val="FFFF00"/>
                              </w:rPr>
                            </w:pPr>
                            <w:r>
                              <w:rPr>
                                <w:rFonts w:hint="eastAsia"/>
                                <w:color w:val="FFFF00"/>
                              </w:rPr>
                              <w:t>本项目</w:t>
                            </w:r>
                          </w:p>
                        </w:txbxContent>
                      </wps:txbx>
                      <wps:bodyPr upright="1"/>
                    </wps:wsp>
                  </a:graphicData>
                </a:graphic>
              </wp:anchor>
            </w:drawing>
          </mc:Choice>
          <mc:Fallback>
            <w:pict>
              <v:shape id="_x0000_s1026" o:spid="_x0000_s1026" o:spt="202" type="#_x0000_t202" style="position:absolute;left:0pt;margin-left:285.6pt;margin-top:171.5pt;height:19.5pt;width:54pt;z-index:251661312;mso-width-relative:page;mso-height-relative:page;" filled="f" stroked="f" coordsize="21600,21600" o:gfxdata="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viHTD&#10;1wAAAAsBAAAPAAAAAAAAAAEAIAAAACIAAABkcnMvZG93bnJldi54bWxQSwECFAAUAAAACACHTuJA&#10;+dvL0LABAABRAwAADgAAAAAAAAABACAAAAAmAQAAZHJzL2Uyb0RvYy54bWxQSwUGAAAAAAYABgBZ&#10;AQAASAUAAAAA&#10;">
                <v:fill on="f" focussize="0,0"/>
                <v:stroke on="f"/>
                <v:imagedata o:title=""/>
                <o:lock v:ext="edit" aspectratio="f"/>
                <v:textbox>
                  <w:txbxContent>
                    <w:p w14:paraId="2D66C77D">
                      <w:pPr>
                        <w:rPr>
                          <w:color w:val="FFFF00"/>
                        </w:rPr>
                      </w:pPr>
                      <w:r>
                        <w:rPr>
                          <w:rFonts w:hint="eastAsia"/>
                          <w:color w:val="FFFF00"/>
                        </w:rPr>
                        <w:t>本项目</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4403090</wp:posOffset>
                </wp:positionH>
                <wp:positionV relativeFrom="paragraph">
                  <wp:posOffset>1375410</wp:posOffset>
                </wp:positionV>
                <wp:extent cx="894715" cy="275590"/>
                <wp:effectExtent l="0" t="0" r="0" b="0"/>
                <wp:wrapNone/>
                <wp:docPr id="343" name="文本框 343"/>
                <wp:cNvGraphicFramePr/>
                <a:graphic xmlns:a="http://schemas.openxmlformats.org/drawingml/2006/main">
                  <a:graphicData uri="http://schemas.microsoft.com/office/word/2010/wordprocessingShape">
                    <wps:wsp>
                      <wps:cNvSpPr txBox="1"/>
                      <wps:spPr>
                        <a:xfrm>
                          <a:off x="0" y="0"/>
                          <a:ext cx="894715" cy="275590"/>
                        </a:xfrm>
                        <a:prstGeom prst="rect">
                          <a:avLst/>
                        </a:prstGeom>
                        <a:noFill/>
                        <a:ln>
                          <a:noFill/>
                        </a:ln>
                      </wps:spPr>
                      <wps:txbx>
                        <w:txbxContent>
                          <w:p w14:paraId="3E10EF7F">
                            <w:pPr>
                              <w:rPr>
                                <w:rFonts w:hint="eastAsia" w:eastAsia="宋体"/>
                                <w:color w:val="FFFF00"/>
                                <w:lang w:val="en-US" w:eastAsia="zh-CN"/>
                              </w:rPr>
                            </w:pPr>
                            <w:r>
                              <w:rPr>
                                <w:rFonts w:hint="eastAsia"/>
                                <w:color w:val="FFFF00"/>
                                <w:lang w:val="en-US" w:eastAsia="zh-CN"/>
                              </w:rPr>
                              <w:t>前屯</w:t>
                            </w:r>
                          </w:p>
                        </w:txbxContent>
                      </wps:txbx>
                      <wps:bodyPr upright="1"/>
                    </wps:wsp>
                  </a:graphicData>
                </a:graphic>
              </wp:anchor>
            </w:drawing>
          </mc:Choice>
          <mc:Fallback>
            <w:pict>
              <v:shape id="_x0000_s1026" o:spid="_x0000_s1026" o:spt="202" type="#_x0000_t202" style="position:absolute;left:0pt;margin-left:346.7pt;margin-top:108.3pt;height:21.7pt;width:70.45pt;z-index:251661312;mso-width-relative:page;mso-height-relative:page;" filled="f" stroked="f" coordsize="21600,21600" o:gfxdata="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lW&#10;JmzYAAAACwEAAA8AAAAAAAAAAQAgAAAAIgAAAGRycy9kb3ducmV2LnhtbFBLAQIUABQAAAAIAIdO&#10;4kAMWq+ysQEAAFEDAAAOAAAAAAAAAAEAIAAAACcBAABkcnMvZTJvRG9jLnhtbFBLBQYAAAAABgAG&#10;AFkBAABKBQAAAAA=&#10;">
                <v:fill on="f" focussize="0,0"/>
                <v:stroke on="f"/>
                <v:imagedata o:title=""/>
                <o:lock v:ext="edit" aspectratio="f"/>
                <v:textbox>
                  <w:txbxContent>
                    <w:p w14:paraId="3E10EF7F">
                      <w:pPr>
                        <w:rPr>
                          <w:rFonts w:hint="eastAsia" w:eastAsia="宋体"/>
                          <w:color w:val="FFFF00"/>
                          <w:lang w:val="en-US" w:eastAsia="zh-CN"/>
                        </w:rPr>
                      </w:pPr>
                      <w:r>
                        <w:rPr>
                          <w:rFonts w:hint="eastAsia"/>
                          <w:color w:val="FFFF00"/>
                          <w:lang w:val="en-US" w:eastAsia="zh-CN"/>
                        </w:rPr>
                        <w:t>前屯</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4693920</wp:posOffset>
                </wp:positionH>
                <wp:positionV relativeFrom="paragraph">
                  <wp:posOffset>2113280</wp:posOffset>
                </wp:positionV>
                <wp:extent cx="1028065" cy="773430"/>
                <wp:effectExtent l="0" t="0" r="0" b="0"/>
                <wp:wrapNone/>
                <wp:docPr id="338" name="文本框 338"/>
                <wp:cNvGraphicFramePr/>
                <a:graphic xmlns:a="http://schemas.openxmlformats.org/drawingml/2006/main">
                  <a:graphicData uri="http://schemas.microsoft.com/office/word/2010/wordprocessingShape">
                    <wps:wsp>
                      <wps:cNvSpPr txBox="1"/>
                      <wps:spPr>
                        <a:xfrm>
                          <a:off x="0" y="0"/>
                          <a:ext cx="1028065" cy="773430"/>
                        </a:xfrm>
                        <a:prstGeom prst="rect">
                          <a:avLst/>
                        </a:prstGeom>
                        <a:noFill/>
                        <a:ln>
                          <a:noFill/>
                        </a:ln>
                      </wps:spPr>
                      <wps:txbx>
                        <w:txbxContent>
                          <w:p w14:paraId="5D7F8556">
                            <w:pPr>
                              <w:rPr>
                                <w:color w:val="FFFF00"/>
                              </w:rPr>
                            </w:pPr>
                            <w:r>
                              <w:rPr>
                                <w:rFonts w:hint="eastAsia"/>
                                <w:color w:val="FFFF00"/>
                              </w:rPr>
                              <w:t>齐齐哈尔鹏程北方糖业有限公司</w:t>
                            </w:r>
                          </w:p>
                        </w:txbxContent>
                      </wps:txbx>
                      <wps:bodyPr upright="1"/>
                    </wps:wsp>
                  </a:graphicData>
                </a:graphic>
              </wp:anchor>
            </w:drawing>
          </mc:Choice>
          <mc:Fallback>
            <w:pict>
              <v:shape id="_x0000_s1026" o:spid="_x0000_s1026" o:spt="202" type="#_x0000_t202" style="position:absolute;left:0pt;margin-left:369.6pt;margin-top:166.4pt;height:60.9pt;width:80.95pt;z-index:251661312;mso-width-relative:page;mso-height-relative:page;" filled="f" stroked="f" coordsize="21600,21600" o:gfxdata="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h8Hn&#10;/NgAAAALAQAADwAAAAAAAAABACAAAAAiAAAAZHJzL2Rvd25yZXYueG1sUEsBAhQAFAAAAAgAh07i&#10;QCsvVUewAQAAUgMAAA4AAAAAAAAAAQAgAAAAJwEAAGRycy9lMm9Eb2MueG1sUEsFBgAAAAAGAAYA&#10;WQEAAEkFAAAAAA==&#10;">
                <v:fill on="f" focussize="0,0"/>
                <v:stroke on="f"/>
                <v:imagedata o:title=""/>
                <o:lock v:ext="edit" aspectratio="f"/>
                <v:textbox>
                  <w:txbxContent>
                    <w:p w14:paraId="5D7F8556">
                      <w:pPr>
                        <w:rPr>
                          <w:color w:val="FFFF00"/>
                        </w:rPr>
                      </w:pPr>
                      <w:r>
                        <w:rPr>
                          <w:rFonts w:hint="eastAsia"/>
                          <w:color w:val="FFFF00"/>
                        </w:rPr>
                        <w:t>齐齐哈尔鹏程北方糖业有限公司</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3481070</wp:posOffset>
                </wp:positionH>
                <wp:positionV relativeFrom="paragraph">
                  <wp:posOffset>3194050</wp:posOffset>
                </wp:positionV>
                <wp:extent cx="894715" cy="302895"/>
                <wp:effectExtent l="0" t="0" r="0" b="0"/>
                <wp:wrapNone/>
                <wp:docPr id="345" name="文本框 345"/>
                <wp:cNvGraphicFramePr/>
                <a:graphic xmlns:a="http://schemas.openxmlformats.org/drawingml/2006/main">
                  <a:graphicData uri="http://schemas.microsoft.com/office/word/2010/wordprocessingShape">
                    <wps:wsp>
                      <wps:cNvSpPr txBox="1"/>
                      <wps:spPr>
                        <a:xfrm>
                          <a:off x="0" y="0"/>
                          <a:ext cx="894715" cy="302895"/>
                        </a:xfrm>
                        <a:prstGeom prst="rect">
                          <a:avLst/>
                        </a:prstGeom>
                        <a:noFill/>
                        <a:ln>
                          <a:noFill/>
                        </a:ln>
                      </wps:spPr>
                      <wps:txbx>
                        <w:txbxContent>
                          <w:p w14:paraId="2BEB8C59">
                            <w:pPr>
                              <w:rPr>
                                <w:color w:val="FFFF00"/>
                              </w:rPr>
                            </w:pPr>
                            <w:r>
                              <w:rPr>
                                <w:rFonts w:hint="eastAsia"/>
                                <w:color w:val="FFFF00"/>
                              </w:rPr>
                              <w:t>示范场村</w:t>
                            </w:r>
                          </w:p>
                        </w:txbxContent>
                      </wps:txbx>
                      <wps:bodyPr upright="1"/>
                    </wps:wsp>
                  </a:graphicData>
                </a:graphic>
              </wp:anchor>
            </w:drawing>
          </mc:Choice>
          <mc:Fallback>
            <w:pict>
              <v:shape id="_x0000_s1026" o:spid="_x0000_s1026" o:spt="202" type="#_x0000_t202" style="position:absolute;left:0pt;margin-left:274.1pt;margin-top:251.5pt;height:23.85pt;width:70.45pt;z-index:251661312;mso-width-relative:page;mso-height-relative:page;" filled="f" stroked="f" coordsize="21600,21600" o:gfxdata="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OzGD&#10;cNkAAAALAQAADwAAAAAAAAABACAAAAAiAAAAZHJzL2Rvd25yZXYueG1sUEsBAhQAFAAAAAgAh07i&#10;QGLifkavAQAAUQMAAA4AAAAAAAAAAQAgAAAAKAEAAGRycy9lMm9Eb2MueG1sUEsFBgAAAAAGAAYA&#10;WQEAAEkFAAAAAA==&#10;">
                <v:fill on="f" focussize="0,0"/>
                <v:stroke on="f"/>
                <v:imagedata o:title=""/>
                <o:lock v:ext="edit" aspectratio="f"/>
                <v:textbox>
                  <w:txbxContent>
                    <w:p w14:paraId="2BEB8C59">
                      <w:pPr>
                        <w:rPr>
                          <w:color w:val="FFFF00"/>
                        </w:rPr>
                      </w:pPr>
                      <w:r>
                        <w:rPr>
                          <w:rFonts w:hint="eastAsia"/>
                          <w:color w:val="FFFF00"/>
                        </w:rPr>
                        <w:t>示范场村</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2667635</wp:posOffset>
                </wp:positionH>
                <wp:positionV relativeFrom="paragraph">
                  <wp:posOffset>2283460</wp:posOffset>
                </wp:positionV>
                <wp:extent cx="894715" cy="316230"/>
                <wp:effectExtent l="0" t="0" r="0" b="0"/>
                <wp:wrapNone/>
                <wp:docPr id="344" name="文本框 344"/>
                <wp:cNvGraphicFramePr/>
                <a:graphic xmlns:a="http://schemas.openxmlformats.org/drawingml/2006/main">
                  <a:graphicData uri="http://schemas.microsoft.com/office/word/2010/wordprocessingShape">
                    <wps:wsp>
                      <wps:cNvSpPr txBox="1"/>
                      <wps:spPr>
                        <a:xfrm>
                          <a:off x="0" y="0"/>
                          <a:ext cx="894715" cy="316230"/>
                        </a:xfrm>
                        <a:prstGeom prst="rect">
                          <a:avLst/>
                        </a:prstGeom>
                        <a:noFill/>
                        <a:ln>
                          <a:noFill/>
                        </a:ln>
                      </wps:spPr>
                      <wps:txbx>
                        <w:txbxContent>
                          <w:p w14:paraId="4F50A9A7">
                            <w:pPr>
                              <w:rPr>
                                <w:color w:val="FFFF00"/>
                              </w:rPr>
                            </w:pPr>
                            <w:r>
                              <w:rPr>
                                <w:rFonts w:hint="eastAsia"/>
                                <w:color w:val="FFFF00"/>
                              </w:rPr>
                              <w:t>空地</w:t>
                            </w:r>
                          </w:p>
                        </w:txbxContent>
                      </wps:txbx>
                      <wps:bodyPr upright="1"/>
                    </wps:wsp>
                  </a:graphicData>
                </a:graphic>
              </wp:anchor>
            </w:drawing>
          </mc:Choice>
          <mc:Fallback>
            <w:pict>
              <v:shape id="_x0000_s1026" o:spid="_x0000_s1026" o:spt="202" type="#_x0000_t202" style="position:absolute;left:0pt;margin-left:210.05pt;margin-top:179.8pt;height:24.9pt;width:70.45pt;z-index:251661312;mso-width-relative:page;mso-height-relative:page;" filled="f" stroked="f" coordsize="21600,21600" o:gfxdata="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NWn9&#10;+tcAAAALAQAADwAAAAAAAAABACAAAAAiAAAAZHJzL2Rvd25yZXYueG1sUEsBAhQAFAAAAAgAh07i&#10;QLMPPHuxAQAAUQMAAA4AAAAAAAAAAQAgAAAAJgEAAGRycy9lMm9Eb2MueG1sUEsFBgAAAAAGAAYA&#10;WQEAAEkFAAAAAA==&#10;">
                <v:fill on="f" focussize="0,0"/>
                <v:stroke on="f"/>
                <v:imagedata o:title=""/>
                <o:lock v:ext="edit" aspectratio="f"/>
                <v:textbox>
                  <w:txbxContent>
                    <w:p w14:paraId="4F50A9A7">
                      <w:pPr>
                        <w:rPr>
                          <w:color w:val="FFFF00"/>
                        </w:rPr>
                      </w:pPr>
                      <w:r>
                        <w:rPr>
                          <w:rFonts w:hint="eastAsia"/>
                          <w:color w:val="FFFF00"/>
                        </w:rPr>
                        <w:t>空地</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2913380</wp:posOffset>
                </wp:positionH>
                <wp:positionV relativeFrom="paragraph">
                  <wp:posOffset>1143000</wp:posOffset>
                </wp:positionV>
                <wp:extent cx="1421765" cy="323850"/>
                <wp:effectExtent l="0" t="0" r="0" b="0"/>
                <wp:wrapNone/>
                <wp:docPr id="346" name="文本框 346"/>
                <wp:cNvGraphicFramePr/>
                <a:graphic xmlns:a="http://schemas.openxmlformats.org/drawingml/2006/main">
                  <a:graphicData uri="http://schemas.microsoft.com/office/word/2010/wordprocessingShape">
                    <wps:wsp>
                      <wps:cNvSpPr txBox="1"/>
                      <wps:spPr>
                        <a:xfrm>
                          <a:off x="0" y="0"/>
                          <a:ext cx="1421765" cy="323850"/>
                        </a:xfrm>
                        <a:prstGeom prst="rect">
                          <a:avLst/>
                        </a:prstGeom>
                        <a:noFill/>
                        <a:ln>
                          <a:noFill/>
                        </a:ln>
                      </wps:spPr>
                      <wps:txbx>
                        <w:txbxContent>
                          <w:p w14:paraId="23AC7C6A">
                            <w:pPr>
                              <w:rPr>
                                <w:color w:val="FFFF00"/>
                              </w:rPr>
                            </w:pPr>
                            <w:r>
                              <w:rPr>
                                <w:rFonts w:hint="eastAsia" w:ascii="宋体" w:hAnsi="宋体" w:eastAsia="宋体" w:cs="宋体"/>
                                <w:color w:val="FFFF00"/>
                                <w:lang w:val="en-US" w:eastAsia="zh-CN"/>
                              </w:rPr>
                              <w:t>鸿展仓储物流项目</w:t>
                            </w:r>
                          </w:p>
                        </w:txbxContent>
                      </wps:txbx>
                      <wps:bodyPr upright="1"/>
                    </wps:wsp>
                  </a:graphicData>
                </a:graphic>
              </wp:anchor>
            </w:drawing>
          </mc:Choice>
          <mc:Fallback>
            <w:pict>
              <v:shape id="_x0000_s1026" o:spid="_x0000_s1026" o:spt="202" type="#_x0000_t202" style="position:absolute;left:0pt;margin-left:229.4pt;margin-top:90pt;height:25.5pt;width:111.95pt;z-index:251662336;mso-width-relative:page;mso-height-relative:page;" filled="f" stroked="f" coordsize="21600,21600" o:gfxdata="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PAq&#10;MEPYAAAACwEAAA8AAAAAAAAAAQAgAAAAIgAAAGRycy9kb3ducmV2LnhtbFBLAQIUABQAAAAIAIdO&#10;4kBggWFqsQEAAFIDAAAOAAAAAAAAAAEAIAAAACcBAABkcnMvZTJvRG9jLnhtbFBLBQYAAAAABgAG&#10;AFkBAABKBQAAAAA=&#10;">
                <v:fill on="f" focussize="0,0"/>
                <v:stroke on="f"/>
                <v:imagedata o:title=""/>
                <o:lock v:ext="edit" aspectratio="f"/>
                <v:textbox>
                  <w:txbxContent>
                    <w:p w14:paraId="23AC7C6A">
                      <w:pPr>
                        <w:rPr>
                          <w:color w:val="FFFF00"/>
                        </w:rPr>
                      </w:pPr>
                      <w:r>
                        <w:rPr>
                          <w:rFonts w:hint="eastAsia" w:ascii="宋体" w:hAnsi="宋体" w:eastAsia="宋体" w:cs="宋体"/>
                          <w:color w:val="FFFF00"/>
                          <w:lang w:val="en-US" w:eastAsia="zh-CN"/>
                        </w:rPr>
                        <w:t>鸿展仓储物流项目</w:t>
                      </w:r>
                    </w:p>
                  </w:txbxContent>
                </v:textbox>
              </v:shape>
            </w:pict>
          </mc:Fallback>
        </mc:AlternateContent>
      </w:r>
      <w:r>
        <w:drawing>
          <wp:inline distT="0" distB="0" distL="114300" distR="114300">
            <wp:extent cx="7106285" cy="5022215"/>
            <wp:effectExtent l="0" t="0" r="18415" b="6985"/>
            <wp:docPr id="1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
                    <pic:cNvPicPr>
                      <a:picLocks noChangeAspect="1"/>
                    </pic:cNvPicPr>
                  </pic:nvPicPr>
                  <pic:blipFill>
                    <a:blip r:embed="rId39"/>
                    <a:stretch>
                      <a:fillRect/>
                    </a:stretch>
                  </pic:blipFill>
                  <pic:spPr>
                    <a:xfrm>
                      <a:off x="0" y="0"/>
                      <a:ext cx="7106285" cy="5022215"/>
                    </a:xfrm>
                    <a:prstGeom prst="rect">
                      <a:avLst/>
                    </a:prstGeom>
                    <a:noFill/>
                    <a:ln>
                      <a:noFill/>
                    </a:ln>
                  </pic:spPr>
                </pic:pic>
              </a:graphicData>
            </a:graphic>
          </wp:inline>
        </w:drawing>
      </w:r>
    </w:p>
    <w:p w14:paraId="01109FA1">
      <w:pPr>
        <w:pStyle w:val="42"/>
        <w:jc w:val="both"/>
        <w:rPr>
          <w:b/>
          <w:bCs/>
          <w:color w:val="auto"/>
        </w:rPr>
      </w:pPr>
      <w:r>
        <w:rPr>
          <w:rFonts w:hint="eastAsia"/>
          <w:sz w:val="24"/>
        </w:rPr>
        <w:t xml:space="preserve">                                    </w:t>
      </w:r>
      <w:r>
        <w:rPr>
          <w:rFonts w:hint="eastAsia"/>
          <w:color w:val="auto"/>
          <w:sz w:val="24"/>
        </w:rPr>
        <w:t>图2.</w:t>
      </w:r>
      <w:r>
        <w:rPr>
          <w:rFonts w:hint="eastAsia"/>
          <w:color w:val="auto"/>
          <w:sz w:val="24"/>
          <w:lang w:val="en-US" w:eastAsia="zh-CN"/>
        </w:rPr>
        <w:t>5</w:t>
      </w:r>
      <w:r>
        <w:rPr>
          <w:rFonts w:hint="eastAsia"/>
          <w:color w:val="auto"/>
          <w:sz w:val="24"/>
        </w:rPr>
        <w:t>-</w:t>
      </w:r>
      <w:r>
        <w:rPr>
          <w:rFonts w:hint="eastAsia"/>
          <w:color w:val="auto"/>
          <w:sz w:val="24"/>
          <w:lang w:val="en-US" w:eastAsia="zh-CN"/>
        </w:rPr>
        <w:t>1</w:t>
      </w:r>
      <w:r>
        <w:rPr>
          <w:rFonts w:hint="eastAsia"/>
          <w:color w:val="auto"/>
          <w:sz w:val="24"/>
        </w:rPr>
        <w:t xml:space="preserve"> </w:t>
      </w:r>
      <w:r>
        <w:rPr>
          <w:rFonts w:hint="eastAsia"/>
          <w:b/>
          <w:bCs/>
          <w:color w:val="auto"/>
        </w:rPr>
        <w:t>周围环境关系</w:t>
      </w:r>
      <w:r>
        <w:rPr>
          <w:b/>
          <w:bCs/>
          <w:color w:val="auto"/>
        </w:rPr>
        <w:t>图</w:t>
      </w:r>
    </w:p>
    <w:p w14:paraId="64012C4A">
      <w:pPr>
        <w:spacing w:line="480" w:lineRule="auto"/>
        <w:jc w:val="center"/>
        <w:rPr>
          <w:sz w:val="24"/>
        </w:rPr>
      </w:pPr>
      <w:r>
        <w:drawing>
          <wp:anchor distT="0" distB="0" distL="114300" distR="114300" simplePos="0" relativeHeight="251661312" behindDoc="0" locked="0" layoutInCell="1" allowOverlap="0">
            <wp:simplePos x="0" y="0"/>
            <wp:positionH relativeFrom="column">
              <wp:posOffset>388620</wp:posOffset>
            </wp:positionH>
            <wp:positionV relativeFrom="paragraph">
              <wp:posOffset>-161925</wp:posOffset>
            </wp:positionV>
            <wp:extent cx="3213735" cy="2411095"/>
            <wp:effectExtent l="0" t="0" r="5715" b="8255"/>
            <wp:wrapNone/>
            <wp:docPr id="349" name="图片 25"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5" descr="东"/>
                    <pic:cNvPicPr>
                      <a:picLocks noChangeAspect="1"/>
                    </pic:cNvPicPr>
                  </pic:nvPicPr>
                  <pic:blipFill>
                    <a:blip r:embed="rId40"/>
                    <a:stretch>
                      <a:fillRect/>
                    </a:stretch>
                  </pic:blipFill>
                  <pic:spPr>
                    <a:xfrm>
                      <a:off x="0" y="0"/>
                      <a:ext cx="3213735" cy="2411095"/>
                    </a:xfrm>
                    <a:prstGeom prst="rect">
                      <a:avLst/>
                    </a:prstGeom>
                    <a:noFill/>
                    <a:ln>
                      <a:noFill/>
                    </a:ln>
                  </pic:spPr>
                </pic:pic>
              </a:graphicData>
            </a:graphic>
          </wp:anchor>
        </w:drawing>
      </w:r>
      <w:r>
        <w:drawing>
          <wp:anchor distT="0" distB="0" distL="114300" distR="114300" simplePos="0" relativeHeight="251661312" behindDoc="0" locked="0" layoutInCell="1" allowOverlap="1">
            <wp:simplePos x="0" y="0"/>
            <wp:positionH relativeFrom="column">
              <wp:posOffset>4900930</wp:posOffset>
            </wp:positionH>
            <wp:positionV relativeFrom="paragraph">
              <wp:posOffset>-112395</wp:posOffset>
            </wp:positionV>
            <wp:extent cx="3190875" cy="2393315"/>
            <wp:effectExtent l="0" t="0" r="9525" b="6985"/>
            <wp:wrapNone/>
            <wp:docPr id="348" name="图片 24"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24" descr="南"/>
                    <pic:cNvPicPr>
                      <a:picLocks noChangeAspect="1"/>
                    </pic:cNvPicPr>
                  </pic:nvPicPr>
                  <pic:blipFill>
                    <a:blip r:embed="rId41"/>
                    <a:stretch>
                      <a:fillRect/>
                    </a:stretch>
                  </pic:blipFill>
                  <pic:spPr>
                    <a:xfrm>
                      <a:off x="0" y="0"/>
                      <a:ext cx="3190875" cy="2393315"/>
                    </a:xfrm>
                    <a:prstGeom prst="rect">
                      <a:avLst/>
                    </a:prstGeom>
                    <a:noFill/>
                    <a:ln>
                      <a:noFill/>
                    </a:ln>
                  </pic:spPr>
                </pic:pic>
              </a:graphicData>
            </a:graphic>
          </wp:anchor>
        </w:drawing>
      </w:r>
    </w:p>
    <w:p w14:paraId="66D42404">
      <w:pPr>
        <w:spacing w:line="480" w:lineRule="auto"/>
        <w:jc w:val="center"/>
        <w:rPr>
          <w:sz w:val="24"/>
        </w:rPr>
      </w:pPr>
    </w:p>
    <w:p w14:paraId="20BC87CB">
      <w:pPr>
        <w:spacing w:line="480" w:lineRule="auto"/>
        <w:jc w:val="center"/>
        <w:rPr>
          <w:sz w:val="24"/>
        </w:rPr>
      </w:pPr>
    </w:p>
    <w:p w14:paraId="1A69809D">
      <w:pPr>
        <w:spacing w:line="480" w:lineRule="auto"/>
        <w:jc w:val="center"/>
        <w:rPr>
          <w:sz w:val="24"/>
        </w:rPr>
      </w:pPr>
    </w:p>
    <w:p w14:paraId="6C9F18B6">
      <w:pPr>
        <w:spacing w:line="480" w:lineRule="auto"/>
        <w:jc w:val="center"/>
        <w:rPr>
          <w:sz w:val="24"/>
        </w:rPr>
      </w:pPr>
    </w:p>
    <w:p w14:paraId="7558DE98">
      <w:pPr>
        <w:pStyle w:val="42"/>
        <w:rPr>
          <w:sz w:val="24"/>
        </w:rPr>
      </w:pPr>
    </w:p>
    <w:p w14:paraId="1D41D33F">
      <w:pPr>
        <w:rPr>
          <w:sz w:val="24"/>
        </w:rPr>
      </w:pPr>
    </w:p>
    <w:p w14:paraId="6CF117FC">
      <w:pPr>
        <w:pStyle w:val="42"/>
      </w:pPr>
    </w:p>
    <w:p w14:paraId="19E1844B">
      <w:pPr>
        <w:spacing w:line="480" w:lineRule="auto"/>
        <w:jc w:val="center"/>
        <w:rPr>
          <w:sz w:val="24"/>
        </w:rPr>
      </w:pPr>
      <w:r>
        <w:rPr>
          <w:rFonts w:hint="eastAsia"/>
          <w:sz w:val="24"/>
        </w:rPr>
        <w:t xml:space="preserve">   东南侧： 鹏程北方糖业                                      南侧：示范场村平房居民</w:t>
      </w:r>
    </w:p>
    <w:p w14:paraId="0F5B54DB">
      <w:pPr>
        <w:spacing w:line="480" w:lineRule="auto"/>
        <w:rPr>
          <w:rFonts w:hint="default" w:eastAsia="宋体"/>
          <w:sz w:val="24"/>
          <w:lang w:val="en-US" w:eastAsia="zh-CN"/>
        </w:rPr>
      </w:pPr>
      <w:r>
        <w:rPr>
          <w:rFonts w:hint="eastAsia"/>
          <w:sz w:val="24"/>
        </w:rPr>
        <w:t xml:space="preserve">       </w:t>
      </w:r>
      <w:r>
        <w:rPr>
          <w:sz w:val="24"/>
        </w:rPr>
        <w:drawing>
          <wp:inline distT="0" distB="0" distL="114300" distR="114300">
            <wp:extent cx="2916555" cy="2249170"/>
            <wp:effectExtent l="0" t="0" r="17145" b="17780"/>
            <wp:docPr id="351" name="图片 15"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5" descr="无标题"/>
                    <pic:cNvPicPr>
                      <a:picLocks noChangeAspect="1"/>
                    </pic:cNvPicPr>
                  </pic:nvPicPr>
                  <pic:blipFill>
                    <a:blip r:embed="rId42"/>
                    <a:stretch>
                      <a:fillRect/>
                    </a:stretch>
                  </pic:blipFill>
                  <pic:spPr>
                    <a:xfrm>
                      <a:off x="0" y="0"/>
                      <a:ext cx="2916555" cy="2249170"/>
                    </a:xfrm>
                    <a:prstGeom prst="rect">
                      <a:avLst/>
                    </a:prstGeom>
                    <a:noFill/>
                    <a:ln>
                      <a:noFill/>
                    </a:ln>
                  </pic:spPr>
                </pic:pic>
              </a:graphicData>
            </a:graphic>
          </wp:inline>
        </w:drawing>
      </w:r>
      <w:r>
        <w:rPr>
          <w:rFonts w:hint="eastAsia"/>
          <w:sz w:val="24"/>
          <w:lang w:val="en-US" w:eastAsia="zh-CN"/>
        </w:rPr>
        <w:t xml:space="preserve">                    </w:t>
      </w:r>
      <w:r>
        <w:rPr>
          <w:rFonts w:hint="default" w:eastAsia="宋体"/>
          <w:sz w:val="24"/>
          <w:lang w:val="en-US" w:eastAsia="zh-CN"/>
        </w:rPr>
        <w:drawing>
          <wp:inline distT="0" distB="0" distL="114300" distR="114300">
            <wp:extent cx="3083560" cy="2305685"/>
            <wp:effectExtent l="0" t="0" r="2540" b="18415"/>
            <wp:docPr id="352" name="图片 352" descr="微信图片_2022091615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微信图片_20220916153810"/>
                    <pic:cNvPicPr>
                      <a:picLocks noChangeAspect="1"/>
                    </pic:cNvPicPr>
                  </pic:nvPicPr>
                  <pic:blipFill>
                    <a:blip r:embed="rId43"/>
                    <a:stretch>
                      <a:fillRect/>
                    </a:stretch>
                  </pic:blipFill>
                  <pic:spPr>
                    <a:xfrm>
                      <a:off x="0" y="0"/>
                      <a:ext cx="3083560" cy="2305685"/>
                    </a:xfrm>
                    <a:prstGeom prst="rect">
                      <a:avLst/>
                    </a:prstGeom>
                  </pic:spPr>
                </pic:pic>
              </a:graphicData>
            </a:graphic>
          </wp:inline>
        </w:drawing>
      </w:r>
    </w:p>
    <w:p w14:paraId="5EF364F9">
      <w:pPr>
        <w:pStyle w:val="42"/>
        <w:jc w:val="center"/>
        <w:rPr>
          <w:rFonts w:hint="default" w:eastAsia="宋体"/>
          <w:lang w:val="en-US" w:eastAsia="zh-CN"/>
        </w:rPr>
        <w:sectPr>
          <w:headerReference r:id="rId8" w:type="default"/>
          <w:pgSz w:w="16838" w:h="11906" w:orient="landscape"/>
          <w:pgMar w:top="1440" w:right="1800" w:bottom="1440" w:left="1800" w:header="851" w:footer="992" w:gutter="0"/>
          <w:pgBorders>
            <w:top w:val="none" w:sz="0" w:space="0"/>
            <w:left w:val="none" w:sz="0" w:space="0"/>
            <w:bottom w:val="none" w:sz="0" w:space="0"/>
            <w:right w:val="none" w:sz="0" w:space="0"/>
          </w:pgBorders>
          <w:cols w:space="720" w:num="1"/>
          <w:docGrid w:linePitch="312" w:charSpace="0"/>
        </w:sectPr>
      </w:pPr>
      <w:r>
        <w:rPr>
          <w:rFonts w:hint="eastAsia"/>
          <w:sz w:val="24"/>
        </w:rPr>
        <w:t>西侧：空地                                               北侧：</w:t>
      </w:r>
      <w:r>
        <w:rPr>
          <w:rFonts w:hint="eastAsia"/>
          <w:sz w:val="24"/>
          <w:lang w:val="en-US" w:eastAsia="zh-CN"/>
        </w:rPr>
        <w:t>鸿展仓储物流项目</w:t>
      </w:r>
    </w:p>
    <w:p w14:paraId="40A5C516">
      <w:pPr>
        <w:pStyle w:val="2"/>
        <w:jc w:val="both"/>
      </w:pPr>
      <w:bookmarkStart w:id="181" w:name="_Toc25512"/>
      <w:bookmarkStart w:id="182" w:name="_Toc20684"/>
      <w:r>
        <w:t>3.建设项目工程分析</w:t>
      </w:r>
      <w:bookmarkEnd w:id="181"/>
      <w:bookmarkEnd w:id="182"/>
    </w:p>
    <w:p w14:paraId="566455FD">
      <w:pPr>
        <w:pStyle w:val="3"/>
      </w:pPr>
      <w:bookmarkStart w:id="183" w:name="_Toc6738"/>
      <w:r>
        <w:t>3.1现有工程情况回顾</w:t>
      </w:r>
      <w:bookmarkEnd w:id="183"/>
    </w:p>
    <w:p w14:paraId="31AE1B05">
      <w:pPr>
        <w:pStyle w:val="4"/>
      </w:pPr>
      <w:r>
        <w:t>3.1.1现有工程概况</w:t>
      </w:r>
    </w:p>
    <w:p w14:paraId="0EB1766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Hans"/>
        </w:rPr>
        <w:t>黑龙江鸿展生物科技股份有限公司于</w:t>
      </w:r>
      <w:r>
        <w:rPr>
          <w:rFonts w:hint="default" w:ascii="Times New Roman" w:hAnsi="Times New Roman" w:eastAsia="宋体" w:cs="Times New Roman"/>
          <w:color w:val="auto"/>
          <w:lang w:eastAsia="zh-Hans"/>
        </w:rPr>
        <w:t>201</w:t>
      </w:r>
      <w:r>
        <w:rPr>
          <w:rFonts w:hint="default" w:ascii="Times New Roman" w:hAnsi="Times New Roman" w:eastAsia="宋体" w:cs="Times New Roman"/>
          <w:color w:val="auto"/>
          <w:lang w:val="en-US" w:eastAsia="zh-CN"/>
        </w:rPr>
        <w:t>7</w:t>
      </w:r>
      <w:r>
        <w:rPr>
          <w:rFonts w:hint="default" w:ascii="Times New Roman" w:hAnsi="Times New Roman" w:eastAsia="宋体" w:cs="Times New Roman"/>
          <w:color w:val="auto"/>
          <w:lang w:val="en-US" w:eastAsia="zh-Hans"/>
        </w:rPr>
        <w:t>年成立</w:t>
      </w:r>
      <w:r>
        <w:rPr>
          <w:rFonts w:hint="default" w:ascii="Times New Roman" w:hAnsi="Times New Roman" w:eastAsia="宋体" w:cs="Times New Roman"/>
          <w:color w:val="auto"/>
          <w:lang w:eastAsia="zh-Hans"/>
        </w:rPr>
        <w:t>，</w:t>
      </w:r>
      <w:r>
        <w:rPr>
          <w:rFonts w:hint="default" w:ascii="Times New Roman" w:hAnsi="Times New Roman" w:eastAsia="宋体" w:cs="Times New Roman"/>
          <w:color w:val="auto"/>
          <w:lang w:val="en-US" w:eastAsia="zh-CN"/>
        </w:rPr>
        <w:t>目前该企业共建设</w:t>
      </w:r>
      <w:r>
        <w:rPr>
          <w:rFonts w:hint="eastAsia" w:ascii="Times New Roman" w:hAnsi="Times New Roman" w:eastAsia="宋体" w:cs="Times New Roman"/>
          <w:color w:val="auto"/>
          <w:lang w:val="en-US" w:eastAsia="zh-CN"/>
        </w:rPr>
        <w:t>四</w:t>
      </w:r>
      <w:r>
        <w:rPr>
          <w:rFonts w:hint="default" w:ascii="Times New Roman" w:hAnsi="Times New Roman" w:eastAsia="宋体" w:cs="Times New Roman"/>
          <w:color w:val="auto"/>
          <w:lang w:val="en-US" w:eastAsia="zh-CN"/>
        </w:rPr>
        <w:t>个项目，即</w:t>
      </w:r>
      <w:r>
        <w:rPr>
          <w:rFonts w:hint="eastAsia" w:ascii="Times New Roman" w:hAnsi="Times New Roman" w:eastAsia="宋体" w:cs="Times New Roman"/>
          <w:color w:val="auto"/>
          <w:lang w:val="en-US" w:eastAsia="zh-CN"/>
        </w:rPr>
        <w:t>：</w:t>
      </w:r>
    </w:p>
    <w:p w14:paraId="54C7514E">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年200万吨玉米深加工项目》于2017年10月23日取得《关于黑龙江鸿展生物科技股份有限公司年200万吨玉米深加工项目环境影响报告书的批复》文件（齐环行审[2017]50号）。项目分别于2019年7月及2020年8月完成了一期及二期竣工环境保护验收</w:t>
      </w:r>
      <w:r>
        <w:rPr>
          <w:rFonts w:hint="eastAsia" w:ascii="Times New Roman" w:hAnsi="Times New Roman" w:eastAsia="宋体" w:cs="Times New Roman"/>
          <w:color w:val="auto"/>
          <w:lang w:val="en-US" w:eastAsia="zh-CN"/>
        </w:rPr>
        <w:t>；</w:t>
      </w:r>
    </w:p>
    <w:p w14:paraId="4332AC76">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《鸿展仓储物流项目》于2022年6月28日取得《关于黑龙江鸿展生物科技股份有限公司鸿展仓储物流项目环境影响报告表的批复》文件（讷环行审[2022]12号）</w:t>
      </w:r>
      <w:r>
        <w:rPr>
          <w:rFonts w:hint="eastAsia" w:ascii="Times New Roman" w:hAnsi="Times New Roman" w:eastAsia="宋体" w:cs="Times New Roman"/>
          <w:color w:val="auto"/>
          <w:lang w:val="en-US" w:eastAsia="zh-CN"/>
        </w:rPr>
        <w:t>，于2024年12月5日完成了黑龙江省齐齐哈尔市讷河市鸿展仓储物流项目竣工(分期)环境保护验收；</w:t>
      </w:r>
    </w:p>
    <w:p w14:paraId="20ED31CA">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黑龙江省齐齐哈尔市讷河市黑龙江鸿展生物科技股份有限公司碳资源开发利用项目</w:t>
      </w:r>
      <w:r>
        <w:rPr>
          <w:rFonts w:hint="default" w:ascii="Times New Roman" w:hAnsi="Times New Roman" w:eastAsia="宋体" w:cs="Times New Roman"/>
          <w:color w:val="auto"/>
          <w:lang w:val="en-US" w:eastAsia="zh-CN"/>
        </w:rPr>
        <w:t>》于2022年10月21日取得《关于</w:t>
      </w:r>
      <w:r>
        <w:rPr>
          <w:rFonts w:hint="default" w:ascii="Times New Roman" w:hAnsi="Times New Roman" w:eastAsia="宋体" w:cs="Times New Roman"/>
          <w:color w:val="auto"/>
        </w:rPr>
        <w:t>黑龙江省齐齐哈尔市讷河市黑龙江鸿展生物科技股份有限公司碳资源开发利用项目</w:t>
      </w:r>
      <w:r>
        <w:rPr>
          <w:rFonts w:hint="default" w:ascii="Times New Roman" w:hAnsi="Times New Roman" w:eastAsia="宋体" w:cs="Times New Roman"/>
          <w:color w:val="auto"/>
          <w:lang w:val="en-US" w:eastAsia="zh-CN"/>
        </w:rPr>
        <w:t>环境影响报告表的批复》文件（讷环行审[2022]21号），</w:t>
      </w:r>
      <w:r>
        <w:rPr>
          <w:rFonts w:hint="eastAsia" w:ascii="Times New Roman" w:hAnsi="Times New Roman" w:eastAsia="宋体" w:cs="Times New Roman"/>
          <w:color w:val="auto"/>
          <w:lang w:val="en-US" w:eastAsia="zh-CN"/>
        </w:rPr>
        <w:t>于2023年7月19日完成了</w:t>
      </w:r>
      <w:r>
        <w:rPr>
          <w:rFonts w:hint="default" w:ascii="Times New Roman" w:hAnsi="Times New Roman" w:eastAsia="宋体" w:cs="Times New Roman"/>
          <w:color w:val="auto"/>
          <w:lang w:val="en-US" w:eastAsia="zh-CN"/>
        </w:rPr>
        <w:t>黑龙江省齐齐哈尔市讷河市黑龙江鸿展生物科技股份有限公司碳资源开发利用项目</w:t>
      </w:r>
      <w:r>
        <w:rPr>
          <w:rFonts w:hint="eastAsia" w:ascii="Times New Roman" w:hAnsi="Times New Roman" w:eastAsia="宋体" w:cs="Times New Roman"/>
          <w:color w:val="auto"/>
          <w:lang w:val="en-US" w:eastAsia="zh-CN"/>
        </w:rPr>
        <w:t>竣工环境保护验收；</w:t>
      </w:r>
    </w:p>
    <w:p w14:paraId="4C92BCA6">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《黑龙江省齐齐哈尔市讷河市鸿展年10万吨脱胚、榨油项目》于2023年5月24日取得《关于黑龙江省齐齐哈尔市讷河市鸿展年10万吨脱胚、榨油项目环境影响报告表的批复》文件（讷环行审讷环行审[202</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zh-CN"/>
        </w:rPr>
        <w:t>]9号）</w:t>
      </w:r>
      <w:r>
        <w:rPr>
          <w:rFonts w:hint="eastAsia" w:cs="Times New Roman"/>
          <w:color w:val="auto"/>
          <w:lang w:val="en-US" w:eastAsia="zh-CN"/>
        </w:rPr>
        <w:t>，</w:t>
      </w:r>
      <w:r>
        <w:rPr>
          <w:rFonts w:hint="default" w:ascii="Times New Roman" w:hAnsi="Times New Roman" w:eastAsia="宋体" w:cs="Times New Roman"/>
          <w:color w:val="auto"/>
          <w:lang w:val="en-US" w:eastAsia="zh-CN"/>
        </w:rPr>
        <w:t>《黑龙江省齐齐哈尔市讷河市鸿展年10万吨脱胚、榨油项目（变更）》于202</w:t>
      </w:r>
      <w:r>
        <w:rPr>
          <w:rFonts w:hint="eastAsia" w:ascii="Times New Roman" w:hAnsi="Times New Roman" w:eastAsia="宋体" w:cs="Times New Roman"/>
          <w:color w:val="auto"/>
          <w:lang w:val="en-US" w:eastAsia="zh-CN"/>
        </w:rPr>
        <w:t>5</w:t>
      </w:r>
      <w:r>
        <w:rPr>
          <w:rFonts w:hint="default" w:ascii="Times New Roman" w:hAnsi="Times New Roman" w:eastAsia="宋体" w:cs="Times New Roman"/>
          <w:color w:val="auto"/>
          <w:lang w:val="en-US" w:eastAsia="zh-CN"/>
        </w:rPr>
        <w:t>年5月</w:t>
      </w:r>
      <w:r>
        <w:rPr>
          <w:rFonts w:hint="eastAsia" w:ascii="Times New Roman" w:hAnsi="Times New Roman" w:eastAsia="宋体" w:cs="Times New Roman"/>
          <w:color w:val="auto"/>
          <w:lang w:val="en-US" w:eastAsia="zh-CN"/>
        </w:rPr>
        <w:t>30</w:t>
      </w:r>
      <w:r>
        <w:rPr>
          <w:rFonts w:hint="default" w:ascii="Times New Roman" w:hAnsi="Times New Roman" w:eastAsia="宋体" w:cs="Times New Roman"/>
          <w:color w:val="auto"/>
          <w:lang w:val="en-US" w:eastAsia="zh-CN"/>
        </w:rPr>
        <w:t>日取得《关于黑龙江省齐齐哈尔市讷河市鸿展年10万吨脱胚、榨油项目（变更）环境影响报告表的批复》文件（讷环行审[202</w:t>
      </w:r>
      <w:r>
        <w:rPr>
          <w:rFonts w:hint="eastAsia" w:ascii="Times New Roman" w:hAnsi="Times New Roman" w:eastAsia="宋体" w:cs="Times New Roman"/>
          <w:color w:val="auto"/>
          <w:lang w:val="en-US" w:eastAsia="zh-CN"/>
        </w:rPr>
        <w:t>5</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zh-CN"/>
        </w:rPr>
        <w:t>号）</w:t>
      </w:r>
      <w:r>
        <w:rPr>
          <w:rFonts w:hint="eastAsia" w:ascii="Times New Roman" w:hAnsi="Times New Roman" w:eastAsia="宋体" w:cs="Times New Roman"/>
          <w:color w:val="auto"/>
          <w:lang w:val="en-US" w:eastAsia="zh-CN"/>
        </w:rPr>
        <w:t>，于2026年1月20日完成了</w:t>
      </w:r>
      <w:r>
        <w:rPr>
          <w:rFonts w:hint="default" w:ascii="Times New Roman" w:hAnsi="Times New Roman" w:eastAsia="宋体" w:cs="Times New Roman"/>
          <w:color w:val="auto"/>
          <w:lang w:val="en-US" w:eastAsia="zh-CN"/>
        </w:rPr>
        <w:t>黑龙江省齐齐哈尔市讷河市鸿展年10万吨脱胚、榨油项目（变更）</w:t>
      </w:r>
      <w:r>
        <w:rPr>
          <w:rFonts w:hint="eastAsia" w:ascii="Times New Roman" w:hAnsi="Times New Roman" w:eastAsia="宋体" w:cs="Times New Roman"/>
          <w:color w:val="auto"/>
          <w:lang w:val="en-US" w:eastAsia="zh-CN"/>
        </w:rPr>
        <w:t>竣工环境保护验收。</w:t>
      </w:r>
    </w:p>
    <w:p w14:paraId="2B2C2E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企业于2022年8月12日取得排污许可证，证书编号91230200MA1977NW21001U（见附件），目前排污许可排气筒编号是DA001-DA033。</w:t>
      </w:r>
    </w:p>
    <w:p w14:paraId="246DBF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建设内容见下表。</w:t>
      </w:r>
    </w:p>
    <w:p w14:paraId="7B1B5E12">
      <w:pPr>
        <w:spacing w:line="360" w:lineRule="auto"/>
        <w:jc w:val="center"/>
        <w:rPr>
          <w:rFonts w:hint="eastAsia" w:ascii="Times New Roman" w:hAnsi="Times New Roman" w:eastAsia="宋体" w:cs="Times New Roman"/>
          <w:b/>
          <w:bCs/>
          <w:lang w:val="en-US" w:eastAsia="zh-CN"/>
        </w:rPr>
      </w:pPr>
    </w:p>
    <w:p w14:paraId="3C068D88">
      <w:pPr>
        <w:spacing w:line="360" w:lineRule="auto"/>
        <w:jc w:val="center"/>
        <w:rPr>
          <w:rFonts w:hint="eastAsia" w:ascii="Times New Roman" w:hAnsi="Times New Roman" w:eastAsia="宋体" w:cs="Times New Roman"/>
          <w:b/>
          <w:bCs/>
          <w:lang w:val="en-US" w:eastAsia="zh-CN"/>
        </w:rPr>
      </w:pPr>
      <w:r>
        <w:rPr>
          <w:rFonts w:hint="eastAsia" w:ascii="Times New Roman" w:hAnsi="Times New Roman" w:eastAsia="宋体" w:cs="Times New Roman"/>
          <w:b/>
          <w:bCs/>
          <w:lang w:val="en-US" w:eastAsia="zh-CN"/>
        </w:rPr>
        <w:t>表3.1-1  现有项目建设内容</w:t>
      </w:r>
    </w:p>
    <w:tbl>
      <w:tblPr>
        <w:tblStyle w:val="53"/>
        <w:tblW w:w="9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
        <w:gridCol w:w="870"/>
        <w:gridCol w:w="1515"/>
        <w:gridCol w:w="4756"/>
        <w:gridCol w:w="1527"/>
      </w:tblGrid>
      <w:tr w14:paraId="78CD7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tcBorders>
              <w:tl2br w:val="nil"/>
              <w:tr2bl w:val="nil"/>
            </w:tcBorders>
            <w:noWrap w:val="0"/>
            <w:vAlign w:val="center"/>
          </w:tcPr>
          <w:p w14:paraId="4C23288F">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类别</w:t>
            </w:r>
          </w:p>
        </w:tc>
        <w:tc>
          <w:tcPr>
            <w:tcW w:w="2385" w:type="dxa"/>
            <w:gridSpan w:val="2"/>
            <w:tcBorders>
              <w:tl2br w:val="nil"/>
              <w:tr2bl w:val="nil"/>
            </w:tcBorders>
            <w:noWrap w:val="0"/>
            <w:vAlign w:val="center"/>
          </w:tcPr>
          <w:p w14:paraId="043644F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工程名称</w:t>
            </w:r>
          </w:p>
        </w:tc>
        <w:tc>
          <w:tcPr>
            <w:tcW w:w="4756" w:type="dxa"/>
            <w:tcBorders>
              <w:tl2br w:val="nil"/>
              <w:tr2bl w:val="nil"/>
            </w:tcBorders>
            <w:noWrap w:val="0"/>
            <w:vAlign w:val="center"/>
          </w:tcPr>
          <w:p w14:paraId="49285529">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内 容 及 规 模</w:t>
            </w:r>
          </w:p>
        </w:tc>
        <w:tc>
          <w:tcPr>
            <w:tcW w:w="1527" w:type="dxa"/>
            <w:tcBorders>
              <w:tl2br w:val="nil"/>
              <w:tr2bl w:val="nil"/>
            </w:tcBorders>
            <w:noWrap w:val="0"/>
            <w:vAlign w:val="center"/>
          </w:tcPr>
          <w:p w14:paraId="08A31D77">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备注</w:t>
            </w:r>
          </w:p>
        </w:tc>
      </w:tr>
      <w:tr w14:paraId="1D360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restart"/>
            <w:tcBorders>
              <w:tl2br w:val="nil"/>
              <w:tr2bl w:val="nil"/>
            </w:tcBorders>
            <w:noWrap w:val="0"/>
            <w:vAlign w:val="center"/>
          </w:tcPr>
          <w:p w14:paraId="488B7EA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主</w:t>
            </w:r>
          </w:p>
          <w:p w14:paraId="773BA9C6">
            <w:pPr>
              <w:jc w:val="center"/>
              <w:rPr>
                <w:rFonts w:hint="eastAsia" w:ascii="Times New Roman" w:hAnsi="Times New Roman" w:eastAsia="宋体" w:cs="Times New Roman"/>
                <w:b w:val="0"/>
                <w:bCs w:val="0"/>
                <w:sz w:val="21"/>
                <w:szCs w:val="21"/>
              </w:rPr>
            </w:pPr>
          </w:p>
          <w:p w14:paraId="2ADC7F54">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体</w:t>
            </w:r>
          </w:p>
          <w:p w14:paraId="788AA257">
            <w:pPr>
              <w:jc w:val="center"/>
              <w:rPr>
                <w:rFonts w:hint="eastAsia" w:ascii="Times New Roman" w:hAnsi="Times New Roman" w:eastAsia="宋体" w:cs="Times New Roman"/>
                <w:b w:val="0"/>
                <w:bCs w:val="0"/>
                <w:sz w:val="21"/>
                <w:szCs w:val="21"/>
              </w:rPr>
            </w:pPr>
          </w:p>
          <w:p w14:paraId="1D590FF9">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工</w:t>
            </w:r>
          </w:p>
          <w:p w14:paraId="4BB4FF45">
            <w:pPr>
              <w:jc w:val="center"/>
              <w:rPr>
                <w:rFonts w:hint="eastAsia" w:ascii="Times New Roman" w:hAnsi="Times New Roman" w:eastAsia="宋体" w:cs="Times New Roman"/>
                <w:b w:val="0"/>
                <w:bCs w:val="0"/>
                <w:sz w:val="21"/>
                <w:szCs w:val="21"/>
              </w:rPr>
            </w:pPr>
          </w:p>
          <w:p w14:paraId="37155040">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程</w:t>
            </w:r>
          </w:p>
        </w:tc>
        <w:tc>
          <w:tcPr>
            <w:tcW w:w="870" w:type="dxa"/>
            <w:vMerge w:val="restart"/>
            <w:tcBorders>
              <w:tl2br w:val="nil"/>
              <w:tr2bl w:val="nil"/>
            </w:tcBorders>
            <w:noWrap w:val="0"/>
            <w:vAlign w:val="center"/>
          </w:tcPr>
          <w:p w14:paraId="7F5FFEA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1、乙醇联合车间</w:t>
            </w:r>
          </w:p>
        </w:tc>
        <w:tc>
          <w:tcPr>
            <w:tcW w:w="1515" w:type="dxa"/>
            <w:tcBorders>
              <w:tl2br w:val="nil"/>
              <w:tr2bl w:val="nil"/>
            </w:tcBorders>
            <w:noWrap w:val="0"/>
            <w:vAlign w:val="center"/>
          </w:tcPr>
          <w:p w14:paraId="1DF1733F">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zh-CN"/>
              </w:rPr>
              <w:t>①粉碎车间</w:t>
            </w:r>
          </w:p>
        </w:tc>
        <w:tc>
          <w:tcPr>
            <w:tcW w:w="4756" w:type="dxa"/>
            <w:tcBorders>
              <w:tl2br w:val="nil"/>
              <w:tr2bl w:val="nil"/>
            </w:tcBorders>
            <w:noWrap w:val="0"/>
            <w:vAlign w:val="center"/>
          </w:tcPr>
          <w:p w14:paraId="337BF67D">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2座，建筑面积</w:t>
            </w:r>
            <w:r>
              <w:rPr>
                <w:rFonts w:hint="eastAsia" w:ascii="Times New Roman" w:hAnsi="Times New Roman" w:eastAsia="宋体" w:cs="Times New Roman"/>
                <w:b w:val="0"/>
                <w:bCs w:val="0"/>
                <w:sz w:val="21"/>
                <w:szCs w:val="21"/>
              </w:rPr>
              <w:t>4800</w:t>
            </w:r>
            <w:r>
              <w:rPr>
                <w:rFonts w:hint="eastAsia" w:ascii="Times New Roman" w:hAnsi="Times New Roman" w:eastAsia="宋体" w:cs="Times New Roman"/>
                <w:b w:val="0"/>
                <w:bCs w:val="0"/>
                <w:sz w:val="21"/>
                <w:szCs w:val="21"/>
                <w:lang w:val="zh-CN"/>
              </w:rPr>
              <w:t>m2，高度22.5m。粉碎采用干法生产工艺。年粉碎玉米200万吨。</w:t>
            </w:r>
          </w:p>
        </w:tc>
        <w:tc>
          <w:tcPr>
            <w:tcW w:w="1527" w:type="dxa"/>
            <w:tcBorders>
              <w:tl2br w:val="nil"/>
              <w:tr2bl w:val="nil"/>
            </w:tcBorders>
            <w:noWrap w:val="0"/>
            <w:vAlign w:val="center"/>
          </w:tcPr>
          <w:p w14:paraId="51495743">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一、二期各</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rPr>
              <w:t>一座</w:t>
            </w:r>
          </w:p>
        </w:tc>
      </w:tr>
      <w:tr w14:paraId="3F383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67589DD1">
            <w:pPr>
              <w:jc w:val="center"/>
              <w:rPr>
                <w:rFonts w:hint="eastAsia" w:ascii="Times New Roman" w:hAnsi="Times New Roman" w:eastAsia="宋体" w:cs="Times New Roman"/>
                <w:b w:val="0"/>
                <w:bCs w:val="0"/>
                <w:sz w:val="21"/>
                <w:szCs w:val="21"/>
              </w:rPr>
            </w:pPr>
          </w:p>
        </w:tc>
        <w:tc>
          <w:tcPr>
            <w:tcW w:w="870" w:type="dxa"/>
            <w:vMerge w:val="continue"/>
            <w:tcBorders>
              <w:tl2br w:val="nil"/>
              <w:tr2bl w:val="nil"/>
            </w:tcBorders>
            <w:noWrap w:val="0"/>
            <w:vAlign w:val="center"/>
          </w:tcPr>
          <w:p w14:paraId="7D48BA51">
            <w:pPr>
              <w:jc w:val="center"/>
              <w:rPr>
                <w:rFonts w:hint="eastAsia" w:ascii="Times New Roman" w:hAnsi="Times New Roman" w:eastAsia="宋体" w:cs="Times New Roman"/>
                <w:b w:val="0"/>
                <w:bCs w:val="0"/>
                <w:sz w:val="21"/>
                <w:szCs w:val="21"/>
              </w:rPr>
            </w:pPr>
          </w:p>
        </w:tc>
        <w:tc>
          <w:tcPr>
            <w:tcW w:w="1515" w:type="dxa"/>
            <w:tcBorders>
              <w:tl2br w:val="nil"/>
              <w:tr2bl w:val="nil"/>
            </w:tcBorders>
            <w:noWrap w:val="0"/>
            <w:vAlign w:val="center"/>
          </w:tcPr>
          <w:p w14:paraId="423AD9B0">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②卸料间</w:t>
            </w:r>
          </w:p>
        </w:tc>
        <w:tc>
          <w:tcPr>
            <w:tcW w:w="4756" w:type="dxa"/>
            <w:tcBorders>
              <w:tl2br w:val="nil"/>
              <w:tr2bl w:val="nil"/>
            </w:tcBorders>
            <w:noWrap w:val="0"/>
            <w:vAlign w:val="center"/>
          </w:tcPr>
          <w:p w14:paraId="79FB1E67">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2座，建筑面积</w:t>
            </w:r>
            <w:r>
              <w:rPr>
                <w:rFonts w:hint="eastAsia" w:ascii="Times New Roman" w:hAnsi="Times New Roman" w:eastAsia="宋体" w:cs="Times New Roman"/>
                <w:b w:val="0"/>
                <w:bCs w:val="0"/>
                <w:sz w:val="21"/>
                <w:szCs w:val="21"/>
              </w:rPr>
              <w:t>2112</w:t>
            </w:r>
            <w:r>
              <w:rPr>
                <w:rFonts w:hint="eastAsia" w:ascii="Times New Roman" w:hAnsi="Times New Roman" w:eastAsia="宋体" w:cs="Times New Roman"/>
                <w:b w:val="0"/>
                <w:bCs w:val="0"/>
                <w:sz w:val="21"/>
                <w:szCs w:val="21"/>
                <w:lang w:val="zh-CN"/>
              </w:rPr>
              <w:t>m2，高度8m。</w:t>
            </w:r>
          </w:p>
        </w:tc>
        <w:tc>
          <w:tcPr>
            <w:tcW w:w="1527" w:type="dxa"/>
            <w:tcBorders>
              <w:tl2br w:val="nil"/>
              <w:tr2bl w:val="nil"/>
            </w:tcBorders>
            <w:noWrap w:val="0"/>
            <w:vAlign w:val="center"/>
          </w:tcPr>
          <w:p w14:paraId="22CEBA1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一、二期各</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rPr>
              <w:t>一座</w:t>
            </w:r>
          </w:p>
        </w:tc>
      </w:tr>
      <w:tr w14:paraId="15075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282A2A70">
            <w:pPr>
              <w:jc w:val="center"/>
              <w:rPr>
                <w:rFonts w:hint="eastAsia" w:ascii="Times New Roman" w:hAnsi="Times New Roman" w:eastAsia="宋体" w:cs="Times New Roman"/>
                <w:b w:val="0"/>
                <w:bCs w:val="0"/>
                <w:sz w:val="21"/>
                <w:szCs w:val="21"/>
              </w:rPr>
            </w:pPr>
          </w:p>
        </w:tc>
        <w:tc>
          <w:tcPr>
            <w:tcW w:w="870" w:type="dxa"/>
            <w:vMerge w:val="continue"/>
            <w:tcBorders>
              <w:tl2br w:val="nil"/>
              <w:tr2bl w:val="nil"/>
            </w:tcBorders>
            <w:noWrap w:val="0"/>
            <w:vAlign w:val="center"/>
          </w:tcPr>
          <w:p w14:paraId="35C25FAA">
            <w:pPr>
              <w:jc w:val="center"/>
              <w:rPr>
                <w:rFonts w:hint="eastAsia" w:ascii="Times New Roman" w:hAnsi="Times New Roman" w:eastAsia="宋体" w:cs="Times New Roman"/>
                <w:b w:val="0"/>
                <w:bCs w:val="0"/>
                <w:sz w:val="21"/>
                <w:szCs w:val="21"/>
                <w:lang w:val="zh-CN"/>
              </w:rPr>
            </w:pPr>
          </w:p>
        </w:tc>
        <w:tc>
          <w:tcPr>
            <w:tcW w:w="1515" w:type="dxa"/>
            <w:tcBorders>
              <w:tl2br w:val="nil"/>
              <w:tr2bl w:val="nil"/>
            </w:tcBorders>
            <w:noWrap w:val="0"/>
            <w:vAlign w:val="center"/>
          </w:tcPr>
          <w:p w14:paraId="1470A943">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fldChar w:fldCharType="begin"/>
            </w:r>
            <w:r>
              <w:rPr>
                <w:rFonts w:hint="eastAsia" w:ascii="Times New Roman" w:hAnsi="Times New Roman" w:eastAsia="宋体" w:cs="Times New Roman"/>
                <w:b w:val="0"/>
                <w:bCs w:val="0"/>
                <w:sz w:val="21"/>
                <w:szCs w:val="21"/>
                <w:lang w:val="zh-CN"/>
              </w:rPr>
              <w:instrText xml:space="preserve"> = 3 \* GB3 </w:instrText>
            </w:r>
            <w:r>
              <w:rPr>
                <w:rFonts w:hint="eastAsia" w:ascii="Times New Roman" w:hAnsi="Times New Roman" w:eastAsia="宋体" w:cs="Times New Roman"/>
                <w:b w:val="0"/>
                <w:bCs w:val="0"/>
                <w:sz w:val="21"/>
                <w:szCs w:val="21"/>
                <w:lang w:val="zh-CN"/>
              </w:rPr>
              <w:fldChar w:fldCharType="separate"/>
            </w:r>
            <w:r>
              <w:rPr>
                <w:rFonts w:hint="eastAsia" w:ascii="Times New Roman" w:hAnsi="Times New Roman" w:eastAsia="宋体" w:cs="Times New Roman"/>
                <w:b w:val="0"/>
                <w:bCs w:val="0"/>
                <w:sz w:val="21"/>
                <w:szCs w:val="21"/>
                <w:lang w:val="zh-CN"/>
              </w:rPr>
              <w:t>③</w:t>
            </w:r>
            <w:r>
              <w:rPr>
                <w:rFonts w:hint="eastAsia" w:ascii="Times New Roman" w:hAnsi="Times New Roman" w:eastAsia="宋体" w:cs="Times New Roman"/>
                <w:b w:val="0"/>
                <w:bCs w:val="0"/>
                <w:sz w:val="21"/>
                <w:szCs w:val="21"/>
                <w:lang w:val="zh-CN"/>
              </w:rPr>
              <w:fldChar w:fldCharType="end"/>
            </w:r>
            <w:r>
              <w:rPr>
                <w:rFonts w:hint="eastAsia" w:ascii="Times New Roman" w:hAnsi="Times New Roman" w:eastAsia="宋体" w:cs="Times New Roman"/>
                <w:b w:val="0"/>
                <w:bCs w:val="0"/>
                <w:sz w:val="21"/>
                <w:szCs w:val="21"/>
                <w:lang w:val="zh-CN"/>
              </w:rPr>
              <w:t>液糖化工段及辅助车间</w:t>
            </w:r>
          </w:p>
        </w:tc>
        <w:tc>
          <w:tcPr>
            <w:tcW w:w="4756" w:type="dxa"/>
            <w:tcBorders>
              <w:tl2br w:val="nil"/>
              <w:tr2bl w:val="nil"/>
            </w:tcBorders>
            <w:noWrap w:val="0"/>
            <w:vAlign w:val="center"/>
          </w:tcPr>
          <w:p w14:paraId="312A58A4">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zh-CN"/>
              </w:rPr>
              <w:t>2座，建筑面积</w:t>
            </w:r>
            <w:r>
              <w:rPr>
                <w:rFonts w:hint="eastAsia" w:ascii="Times New Roman" w:hAnsi="Times New Roman" w:eastAsia="宋体" w:cs="Times New Roman"/>
                <w:b w:val="0"/>
                <w:bCs w:val="0"/>
                <w:sz w:val="21"/>
                <w:szCs w:val="21"/>
              </w:rPr>
              <w:t>21024</w:t>
            </w:r>
            <w:r>
              <w:rPr>
                <w:rFonts w:hint="eastAsia" w:ascii="Times New Roman" w:hAnsi="Times New Roman" w:eastAsia="宋体" w:cs="Times New Roman"/>
                <w:b w:val="0"/>
                <w:bCs w:val="0"/>
                <w:sz w:val="21"/>
                <w:szCs w:val="21"/>
                <w:lang w:val="zh-CN"/>
              </w:rPr>
              <w:t>m2，高度19.5m。采用中温双酶法连续液、糖化工艺。采用间歇发酵工艺。</w:t>
            </w:r>
            <w:r>
              <w:rPr>
                <w:rFonts w:hint="eastAsia" w:ascii="Times New Roman" w:hAnsi="Times New Roman" w:eastAsia="宋体" w:cs="Times New Roman"/>
                <w:b w:val="0"/>
                <w:bCs w:val="0"/>
                <w:sz w:val="21"/>
                <w:szCs w:val="21"/>
              </w:rPr>
              <w:t>Ф11.6</w:t>
            </w:r>
            <w:r>
              <w:rPr>
                <w:rFonts w:hint="eastAsia" w:ascii="Times New Roman" w:hAnsi="Times New Roman" w:eastAsia="宋体" w:cs="Times New Roman"/>
                <w:b w:val="0"/>
                <w:bCs w:val="0"/>
                <w:sz w:val="21"/>
                <w:szCs w:val="21"/>
                <w:lang w:val="zh-CN"/>
              </w:rPr>
              <w:t>发酵罐共计2</w:t>
            </w:r>
            <w:r>
              <w:rPr>
                <w:rFonts w:hint="eastAsia" w:ascii="Times New Roman" w:hAnsi="Times New Roman" w:eastAsia="宋体" w:cs="Times New Roman"/>
                <w:b w:val="0"/>
                <w:bCs w:val="0"/>
                <w:sz w:val="21"/>
                <w:szCs w:val="21"/>
                <w:lang w:val="en-US" w:eastAsia="zh-CN"/>
              </w:rPr>
              <w:t>6</w:t>
            </w:r>
            <w:r>
              <w:rPr>
                <w:rFonts w:hint="eastAsia" w:ascii="Times New Roman" w:hAnsi="Times New Roman" w:eastAsia="宋体" w:cs="Times New Roman"/>
                <w:b w:val="0"/>
                <w:bCs w:val="0"/>
                <w:sz w:val="21"/>
                <w:szCs w:val="21"/>
                <w:lang w:val="zh-CN"/>
              </w:rPr>
              <w:t>台。</w:t>
            </w:r>
          </w:p>
        </w:tc>
        <w:tc>
          <w:tcPr>
            <w:tcW w:w="1527" w:type="dxa"/>
            <w:tcBorders>
              <w:tl2br w:val="nil"/>
              <w:tr2bl w:val="nil"/>
            </w:tcBorders>
            <w:noWrap w:val="0"/>
            <w:vAlign w:val="center"/>
          </w:tcPr>
          <w:p w14:paraId="1764EDDD">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一、二期各</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rPr>
              <w:t>一座</w:t>
            </w:r>
          </w:p>
        </w:tc>
      </w:tr>
      <w:tr w14:paraId="3B482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606DDE3">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334E49CC">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2、蒸馏、脱水车间</w:t>
            </w:r>
          </w:p>
        </w:tc>
        <w:tc>
          <w:tcPr>
            <w:tcW w:w="4756" w:type="dxa"/>
            <w:tcBorders>
              <w:tl2br w:val="nil"/>
              <w:tr2bl w:val="nil"/>
            </w:tcBorders>
            <w:noWrap w:val="0"/>
            <w:vAlign w:val="center"/>
          </w:tcPr>
          <w:p w14:paraId="48A6515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zh-CN"/>
              </w:rPr>
              <w:t>2座，建筑面积</w:t>
            </w:r>
            <w:r>
              <w:rPr>
                <w:rFonts w:hint="eastAsia" w:ascii="Times New Roman" w:hAnsi="Times New Roman" w:eastAsia="宋体" w:cs="Times New Roman"/>
                <w:b w:val="0"/>
                <w:bCs w:val="0"/>
                <w:sz w:val="21"/>
                <w:szCs w:val="21"/>
              </w:rPr>
              <w:t>2808</w:t>
            </w:r>
            <w:r>
              <w:rPr>
                <w:rFonts w:hint="eastAsia" w:ascii="Times New Roman" w:hAnsi="Times New Roman" w:eastAsia="宋体" w:cs="Times New Roman"/>
                <w:b w:val="0"/>
                <w:bCs w:val="0"/>
                <w:sz w:val="21"/>
                <w:szCs w:val="21"/>
                <w:lang w:val="zh-CN"/>
              </w:rPr>
              <w:t>m2，高度16m。蒸馏采用五塔差压工艺。</w:t>
            </w:r>
          </w:p>
        </w:tc>
        <w:tc>
          <w:tcPr>
            <w:tcW w:w="1527" w:type="dxa"/>
            <w:tcBorders>
              <w:tl2br w:val="nil"/>
              <w:tr2bl w:val="nil"/>
            </w:tcBorders>
            <w:noWrap w:val="0"/>
            <w:vAlign w:val="center"/>
          </w:tcPr>
          <w:p w14:paraId="6AA6539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一、二期各</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rPr>
              <w:t>一座</w:t>
            </w:r>
          </w:p>
        </w:tc>
      </w:tr>
      <w:tr w14:paraId="13F7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470BD61B">
            <w:pPr>
              <w:jc w:val="center"/>
              <w:rPr>
                <w:rFonts w:hint="eastAsia" w:ascii="Times New Roman" w:hAnsi="Times New Roman" w:eastAsia="宋体" w:cs="Times New Roman"/>
                <w:b w:val="0"/>
                <w:bCs w:val="0"/>
                <w:sz w:val="21"/>
                <w:szCs w:val="21"/>
              </w:rPr>
            </w:pPr>
          </w:p>
        </w:tc>
        <w:tc>
          <w:tcPr>
            <w:tcW w:w="870" w:type="dxa"/>
            <w:vMerge w:val="restart"/>
            <w:tcBorders>
              <w:tl2br w:val="nil"/>
              <w:tr2bl w:val="nil"/>
            </w:tcBorders>
            <w:noWrap w:val="0"/>
            <w:vAlign w:val="center"/>
          </w:tcPr>
          <w:p w14:paraId="64A98E41">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3、DDGS饲料区</w:t>
            </w:r>
          </w:p>
        </w:tc>
        <w:tc>
          <w:tcPr>
            <w:tcW w:w="1515" w:type="dxa"/>
            <w:tcBorders>
              <w:tl2br w:val="nil"/>
              <w:tr2bl w:val="nil"/>
            </w:tcBorders>
            <w:noWrap w:val="0"/>
            <w:vAlign w:val="center"/>
          </w:tcPr>
          <w:p w14:paraId="7EDBC8BF">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fldChar w:fldCharType="begin"/>
            </w:r>
            <w:r>
              <w:rPr>
                <w:rFonts w:hint="eastAsia" w:ascii="Times New Roman" w:hAnsi="Times New Roman" w:eastAsia="宋体" w:cs="Times New Roman"/>
                <w:b w:val="0"/>
                <w:bCs w:val="0"/>
                <w:sz w:val="21"/>
                <w:szCs w:val="21"/>
                <w:lang w:val="zh-CN"/>
              </w:rPr>
              <w:instrText xml:space="preserve"> = 1 \* GB3 </w:instrText>
            </w:r>
            <w:r>
              <w:rPr>
                <w:rFonts w:hint="eastAsia" w:ascii="Times New Roman" w:hAnsi="Times New Roman" w:eastAsia="宋体" w:cs="Times New Roman"/>
                <w:b w:val="0"/>
                <w:bCs w:val="0"/>
                <w:sz w:val="21"/>
                <w:szCs w:val="21"/>
                <w:lang w:val="zh-CN"/>
              </w:rPr>
              <w:fldChar w:fldCharType="separate"/>
            </w:r>
            <w:r>
              <w:rPr>
                <w:rFonts w:hint="eastAsia" w:ascii="Times New Roman" w:hAnsi="Times New Roman" w:eastAsia="宋体" w:cs="Times New Roman"/>
                <w:b w:val="0"/>
                <w:bCs w:val="0"/>
                <w:sz w:val="21"/>
                <w:szCs w:val="21"/>
                <w:lang w:val="zh-CN"/>
              </w:rPr>
              <w:t>①</w:t>
            </w:r>
            <w:r>
              <w:rPr>
                <w:rFonts w:hint="eastAsia" w:ascii="Times New Roman" w:hAnsi="Times New Roman" w:eastAsia="宋体" w:cs="Times New Roman"/>
                <w:b w:val="0"/>
                <w:bCs w:val="0"/>
                <w:sz w:val="21"/>
                <w:szCs w:val="21"/>
                <w:lang w:val="zh-CN"/>
              </w:rPr>
              <w:fldChar w:fldCharType="end"/>
            </w:r>
            <w:r>
              <w:rPr>
                <w:rFonts w:hint="eastAsia" w:ascii="Times New Roman" w:hAnsi="Times New Roman" w:eastAsia="宋体" w:cs="Times New Roman"/>
                <w:b w:val="0"/>
                <w:bCs w:val="0"/>
                <w:sz w:val="21"/>
                <w:szCs w:val="21"/>
                <w:lang w:val="zh-CN"/>
              </w:rPr>
              <w:t>DDGS饲料车间</w:t>
            </w:r>
          </w:p>
        </w:tc>
        <w:tc>
          <w:tcPr>
            <w:tcW w:w="4756" w:type="dxa"/>
            <w:tcBorders>
              <w:tl2br w:val="nil"/>
              <w:tr2bl w:val="nil"/>
            </w:tcBorders>
            <w:noWrap w:val="0"/>
            <w:vAlign w:val="center"/>
          </w:tcPr>
          <w:p w14:paraId="59C11204">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1座，建筑面积</w:t>
            </w:r>
            <w:r>
              <w:rPr>
                <w:rFonts w:hint="eastAsia" w:ascii="Times New Roman" w:hAnsi="Times New Roman" w:eastAsia="宋体" w:cs="Times New Roman"/>
                <w:b w:val="0"/>
                <w:bCs w:val="0"/>
                <w:sz w:val="21"/>
                <w:szCs w:val="21"/>
              </w:rPr>
              <w:t>8580</w:t>
            </w:r>
            <w:r>
              <w:rPr>
                <w:rFonts w:hint="eastAsia" w:ascii="Times New Roman" w:hAnsi="Times New Roman" w:eastAsia="宋体" w:cs="Times New Roman"/>
                <w:b w:val="0"/>
                <w:bCs w:val="0"/>
                <w:sz w:val="21"/>
                <w:szCs w:val="21"/>
                <w:lang w:val="zh-CN"/>
              </w:rPr>
              <w:t>m2，高度20m。年产DDGS饲料540,000吨。</w:t>
            </w:r>
          </w:p>
        </w:tc>
        <w:tc>
          <w:tcPr>
            <w:tcW w:w="1527" w:type="dxa"/>
            <w:tcBorders>
              <w:tl2br w:val="nil"/>
              <w:tr2bl w:val="nil"/>
            </w:tcBorders>
            <w:noWrap w:val="0"/>
            <w:vAlign w:val="center"/>
          </w:tcPr>
          <w:p w14:paraId="715A2BAB">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79D2C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049F6C92">
            <w:pPr>
              <w:jc w:val="center"/>
              <w:rPr>
                <w:rFonts w:hint="eastAsia" w:ascii="Times New Roman" w:hAnsi="Times New Roman" w:eastAsia="宋体" w:cs="Times New Roman"/>
                <w:b w:val="0"/>
                <w:bCs w:val="0"/>
                <w:sz w:val="21"/>
                <w:szCs w:val="21"/>
              </w:rPr>
            </w:pPr>
          </w:p>
        </w:tc>
        <w:tc>
          <w:tcPr>
            <w:tcW w:w="870" w:type="dxa"/>
            <w:vMerge w:val="continue"/>
            <w:tcBorders>
              <w:tl2br w:val="nil"/>
              <w:tr2bl w:val="nil"/>
            </w:tcBorders>
            <w:noWrap w:val="0"/>
            <w:vAlign w:val="center"/>
          </w:tcPr>
          <w:p w14:paraId="798DE65E">
            <w:pPr>
              <w:jc w:val="center"/>
              <w:rPr>
                <w:rFonts w:hint="eastAsia" w:ascii="Times New Roman" w:hAnsi="Times New Roman" w:eastAsia="宋体" w:cs="Times New Roman"/>
                <w:b w:val="0"/>
                <w:bCs w:val="0"/>
                <w:sz w:val="21"/>
                <w:szCs w:val="21"/>
                <w:lang w:val="zh-CN"/>
              </w:rPr>
            </w:pPr>
          </w:p>
        </w:tc>
        <w:tc>
          <w:tcPr>
            <w:tcW w:w="1515" w:type="dxa"/>
            <w:tcBorders>
              <w:tl2br w:val="nil"/>
              <w:tr2bl w:val="nil"/>
            </w:tcBorders>
            <w:noWrap w:val="0"/>
            <w:vAlign w:val="center"/>
          </w:tcPr>
          <w:p w14:paraId="47BCA496">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②DDGS包装车间及仓库</w:t>
            </w:r>
          </w:p>
        </w:tc>
        <w:tc>
          <w:tcPr>
            <w:tcW w:w="4756" w:type="dxa"/>
            <w:tcBorders>
              <w:tl2br w:val="nil"/>
              <w:tr2bl w:val="nil"/>
            </w:tcBorders>
            <w:noWrap w:val="0"/>
            <w:vAlign w:val="center"/>
          </w:tcPr>
          <w:p w14:paraId="58103B99">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1座，建筑面积</w:t>
            </w:r>
            <w:r>
              <w:rPr>
                <w:rFonts w:hint="eastAsia" w:ascii="Times New Roman" w:hAnsi="Times New Roman" w:eastAsia="宋体" w:cs="Times New Roman"/>
                <w:b w:val="0"/>
                <w:bCs w:val="0"/>
                <w:sz w:val="21"/>
                <w:szCs w:val="21"/>
              </w:rPr>
              <w:t>8000</w:t>
            </w:r>
            <w:r>
              <w:rPr>
                <w:rFonts w:hint="eastAsia" w:ascii="Times New Roman" w:hAnsi="Times New Roman" w:eastAsia="宋体" w:cs="Times New Roman"/>
                <w:b w:val="0"/>
                <w:bCs w:val="0"/>
                <w:sz w:val="21"/>
                <w:szCs w:val="21"/>
                <w:lang w:val="zh-CN"/>
              </w:rPr>
              <w:t>m2，高度8m。</w:t>
            </w:r>
          </w:p>
        </w:tc>
        <w:tc>
          <w:tcPr>
            <w:tcW w:w="1527" w:type="dxa"/>
            <w:tcBorders>
              <w:tl2br w:val="nil"/>
              <w:tr2bl w:val="nil"/>
            </w:tcBorders>
            <w:noWrap w:val="0"/>
            <w:vAlign w:val="center"/>
          </w:tcPr>
          <w:p w14:paraId="5C20FB38">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67A7D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restart"/>
            <w:tcBorders>
              <w:tl2br w:val="nil"/>
              <w:tr2bl w:val="nil"/>
            </w:tcBorders>
            <w:noWrap w:val="0"/>
            <w:vAlign w:val="center"/>
          </w:tcPr>
          <w:p w14:paraId="2ABCFAD6">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公</w:t>
            </w:r>
          </w:p>
          <w:p w14:paraId="2DE5E385">
            <w:pPr>
              <w:jc w:val="center"/>
              <w:rPr>
                <w:rFonts w:hint="eastAsia" w:ascii="Times New Roman" w:hAnsi="Times New Roman" w:eastAsia="宋体" w:cs="Times New Roman"/>
                <w:b w:val="0"/>
                <w:bCs w:val="0"/>
                <w:sz w:val="21"/>
                <w:szCs w:val="21"/>
              </w:rPr>
            </w:pPr>
          </w:p>
          <w:p w14:paraId="07A930C8">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用</w:t>
            </w:r>
          </w:p>
          <w:p w14:paraId="5945747A">
            <w:pPr>
              <w:jc w:val="center"/>
              <w:rPr>
                <w:rFonts w:hint="eastAsia" w:ascii="Times New Roman" w:hAnsi="Times New Roman" w:eastAsia="宋体" w:cs="Times New Roman"/>
                <w:b w:val="0"/>
                <w:bCs w:val="0"/>
                <w:sz w:val="21"/>
                <w:szCs w:val="21"/>
              </w:rPr>
            </w:pPr>
          </w:p>
          <w:p w14:paraId="43C066CA">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工</w:t>
            </w:r>
          </w:p>
          <w:p w14:paraId="34F76B54">
            <w:pPr>
              <w:jc w:val="center"/>
              <w:rPr>
                <w:rFonts w:hint="eastAsia" w:ascii="Times New Roman" w:hAnsi="Times New Roman" w:eastAsia="宋体" w:cs="Times New Roman"/>
                <w:b w:val="0"/>
                <w:bCs w:val="0"/>
                <w:sz w:val="21"/>
                <w:szCs w:val="21"/>
              </w:rPr>
            </w:pPr>
          </w:p>
          <w:p w14:paraId="5E4E54E0">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程</w:t>
            </w:r>
          </w:p>
        </w:tc>
        <w:tc>
          <w:tcPr>
            <w:tcW w:w="2385" w:type="dxa"/>
            <w:gridSpan w:val="2"/>
            <w:tcBorders>
              <w:tl2br w:val="nil"/>
              <w:tr2bl w:val="nil"/>
            </w:tcBorders>
            <w:noWrap w:val="0"/>
            <w:vAlign w:val="center"/>
          </w:tcPr>
          <w:p w14:paraId="4C1FBBD8">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给水</w:t>
            </w:r>
          </w:p>
        </w:tc>
        <w:tc>
          <w:tcPr>
            <w:tcW w:w="4756" w:type="dxa"/>
            <w:tcBorders>
              <w:tl2br w:val="nil"/>
              <w:tr2bl w:val="nil"/>
            </w:tcBorders>
            <w:noWrap w:val="0"/>
            <w:vAlign w:val="center"/>
          </w:tcPr>
          <w:p w14:paraId="44CEF54B">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zh-CN"/>
              </w:rPr>
              <w:t>水源为地下水，新增深井4眼（3用1备），单眼井出水量为90m3/h。设1000m3</w:t>
            </w:r>
            <w:r>
              <w:rPr>
                <w:rFonts w:hint="eastAsia" w:ascii="Times New Roman" w:hAnsi="Times New Roman" w:eastAsia="宋体" w:cs="Times New Roman"/>
                <w:b w:val="0"/>
                <w:bCs w:val="0"/>
                <w:sz w:val="21"/>
                <w:szCs w:val="21"/>
              </w:rPr>
              <w:t>生产生活用水池一座</w:t>
            </w:r>
            <w:r>
              <w:rPr>
                <w:rFonts w:hint="eastAsia" w:ascii="Times New Roman" w:hAnsi="Times New Roman" w:eastAsia="宋体" w:cs="Times New Roman"/>
                <w:b w:val="0"/>
                <w:bCs w:val="0"/>
                <w:sz w:val="21"/>
                <w:szCs w:val="21"/>
                <w:lang w:val="zh-CN"/>
              </w:rPr>
              <w:t>。生产用水量210t/h，生活用水量1.5t/h。</w:t>
            </w:r>
          </w:p>
        </w:tc>
        <w:tc>
          <w:tcPr>
            <w:tcW w:w="1527" w:type="dxa"/>
            <w:tcBorders>
              <w:tl2br w:val="nil"/>
              <w:tr2bl w:val="nil"/>
            </w:tcBorders>
            <w:noWrap w:val="0"/>
            <w:vAlign w:val="center"/>
          </w:tcPr>
          <w:p w14:paraId="03CD5D35">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4DF55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669D05E3">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41E8465D">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化学水处理</w:t>
            </w:r>
          </w:p>
        </w:tc>
        <w:tc>
          <w:tcPr>
            <w:tcW w:w="4756" w:type="dxa"/>
            <w:tcBorders>
              <w:tl2br w:val="nil"/>
              <w:tr2bl w:val="nil"/>
            </w:tcBorders>
            <w:noWrap w:val="0"/>
            <w:vAlign w:val="center"/>
          </w:tcPr>
          <w:p w14:paraId="73A32085">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设化学水处理间一座，处理能力为180t/h，处理工艺为阴阳离子交换工艺。</w:t>
            </w:r>
          </w:p>
        </w:tc>
        <w:tc>
          <w:tcPr>
            <w:tcW w:w="1527" w:type="dxa"/>
            <w:tcBorders>
              <w:tl2br w:val="nil"/>
              <w:tr2bl w:val="nil"/>
            </w:tcBorders>
            <w:noWrap w:val="0"/>
            <w:vAlign w:val="center"/>
          </w:tcPr>
          <w:p w14:paraId="5BF55AA1">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1D345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11EBE46">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5A3AC23A">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循环水</w:t>
            </w:r>
          </w:p>
        </w:tc>
        <w:tc>
          <w:tcPr>
            <w:tcW w:w="4756" w:type="dxa"/>
            <w:tcBorders>
              <w:tl2br w:val="nil"/>
              <w:tr2bl w:val="nil"/>
            </w:tcBorders>
            <w:noWrap w:val="0"/>
            <w:vAlign w:val="center"/>
          </w:tcPr>
          <w:p w14:paraId="35860084">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设循环水泵房一座，1500m3循环水池一座，本项目循环水量为12000m3/h，供水温度28℃，回水温度33℃。设冷却塔4台。</w:t>
            </w:r>
          </w:p>
        </w:tc>
        <w:tc>
          <w:tcPr>
            <w:tcW w:w="1527" w:type="dxa"/>
            <w:tcBorders>
              <w:tl2br w:val="nil"/>
              <w:tr2bl w:val="nil"/>
            </w:tcBorders>
            <w:noWrap w:val="0"/>
            <w:vAlign w:val="center"/>
          </w:tcPr>
          <w:p w14:paraId="10D0E07E">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72FF2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00CB5BB9">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5526A35E">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锅炉房</w:t>
            </w:r>
          </w:p>
        </w:tc>
        <w:tc>
          <w:tcPr>
            <w:tcW w:w="4756" w:type="dxa"/>
            <w:tcBorders>
              <w:tl2br w:val="nil"/>
              <w:tr2bl w:val="nil"/>
            </w:tcBorders>
            <w:noWrap w:val="0"/>
            <w:vAlign w:val="center"/>
          </w:tcPr>
          <w:p w14:paraId="7469967D">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占地面积</w:t>
            </w:r>
            <w:r>
              <w:rPr>
                <w:rFonts w:hint="eastAsia" w:ascii="Times New Roman" w:hAnsi="Times New Roman" w:eastAsia="宋体" w:cs="Times New Roman"/>
                <w:b w:val="0"/>
                <w:bCs w:val="0"/>
                <w:sz w:val="21"/>
                <w:szCs w:val="21"/>
              </w:rPr>
              <w:t>8523.90</w:t>
            </w:r>
            <w:r>
              <w:rPr>
                <w:rFonts w:hint="eastAsia" w:ascii="Times New Roman" w:hAnsi="Times New Roman" w:eastAsia="宋体" w:cs="Times New Roman"/>
                <w:b w:val="0"/>
                <w:bCs w:val="0"/>
                <w:sz w:val="21"/>
                <w:szCs w:val="21"/>
                <w:lang w:val="zh-CN"/>
              </w:rPr>
              <w:t>m2</w:t>
            </w:r>
            <w:r>
              <w:rPr>
                <w:rFonts w:hint="eastAsia" w:ascii="Times New Roman" w:hAnsi="Times New Roman" w:eastAsia="宋体" w:cs="Times New Roman"/>
                <w:b w:val="0"/>
                <w:bCs w:val="0"/>
                <w:sz w:val="21"/>
                <w:szCs w:val="21"/>
              </w:rPr>
              <w:t>。</w:t>
            </w:r>
            <w:r>
              <w:rPr>
                <w:rFonts w:hint="eastAsia" w:ascii="Times New Roman" w:hAnsi="Times New Roman" w:eastAsia="宋体" w:cs="Times New Roman"/>
                <w:b w:val="0"/>
                <w:bCs w:val="0"/>
                <w:sz w:val="21"/>
                <w:szCs w:val="21"/>
                <w:lang w:val="zh-CN"/>
              </w:rPr>
              <w:t>建设</w:t>
            </w:r>
            <w:r>
              <w:rPr>
                <w:rFonts w:hint="eastAsia" w:ascii="Times New Roman" w:hAnsi="Times New Roman" w:eastAsia="宋体" w:cs="Times New Roman"/>
                <w:b w:val="0"/>
                <w:bCs w:val="0"/>
                <w:sz w:val="21"/>
                <w:szCs w:val="21"/>
                <w:lang w:val="en-US" w:eastAsia="zh-CN"/>
              </w:rPr>
              <w:t>3</w:t>
            </w:r>
            <w:r>
              <w:rPr>
                <w:rFonts w:hint="eastAsia" w:ascii="Times New Roman" w:hAnsi="Times New Roman" w:eastAsia="宋体" w:cs="Times New Roman"/>
                <w:b w:val="0"/>
                <w:bCs w:val="0"/>
                <w:sz w:val="21"/>
                <w:szCs w:val="21"/>
                <w:lang w:val="zh-CN"/>
              </w:rPr>
              <w:t>×130t/h循环流化床蒸汽锅炉为</w:t>
            </w:r>
            <w:r>
              <w:rPr>
                <w:rFonts w:hint="eastAsia" w:ascii="Times New Roman" w:hAnsi="Times New Roman" w:eastAsia="宋体" w:cs="Times New Roman"/>
                <w:b w:val="0"/>
                <w:bCs w:val="0"/>
                <w:sz w:val="21"/>
                <w:szCs w:val="21"/>
                <w:lang w:val="en-US" w:eastAsia="zh-CN"/>
              </w:rPr>
              <w:t>厂区</w:t>
            </w:r>
            <w:r>
              <w:rPr>
                <w:rFonts w:hint="eastAsia" w:ascii="Times New Roman" w:hAnsi="Times New Roman" w:eastAsia="宋体" w:cs="Times New Roman"/>
                <w:b w:val="0"/>
                <w:bCs w:val="0"/>
                <w:sz w:val="21"/>
                <w:szCs w:val="21"/>
                <w:lang w:val="zh-CN"/>
              </w:rPr>
              <w:t>供应生产和采暖用蒸汽。年耗燃煤48万t/a。</w:t>
            </w:r>
          </w:p>
        </w:tc>
        <w:tc>
          <w:tcPr>
            <w:tcW w:w="1527" w:type="dxa"/>
            <w:tcBorders>
              <w:tl2br w:val="nil"/>
              <w:tr2bl w:val="nil"/>
            </w:tcBorders>
            <w:noWrap w:val="0"/>
            <w:vAlign w:val="center"/>
          </w:tcPr>
          <w:p w14:paraId="28874DD4">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lang w:val="en-US" w:eastAsia="zh-CN"/>
              </w:rPr>
              <w:t>2台锅炉，二期建1台锅炉</w:t>
            </w:r>
          </w:p>
        </w:tc>
      </w:tr>
      <w:tr w14:paraId="16C3B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6E02AFF3">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3C417DD4">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空压站</w:t>
            </w:r>
          </w:p>
        </w:tc>
        <w:tc>
          <w:tcPr>
            <w:tcW w:w="4756" w:type="dxa"/>
            <w:tcBorders>
              <w:tl2br w:val="nil"/>
              <w:tr2bl w:val="nil"/>
            </w:tcBorders>
            <w:noWrap w:val="0"/>
            <w:vAlign w:val="center"/>
          </w:tcPr>
          <w:p w14:paraId="3B3A6D6E">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占地面积450m2，共1层。</w:t>
            </w:r>
            <w:r>
              <w:rPr>
                <w:rFonts w:hint="eastAsia" w:ascii="Times New Roman" w:hAnsi="Times New Roman" w:eastAsia="宋体" w:cs="Times New Roman"/>
                <w:b w:val="0"/>
                <w:bCs w:val="0"/>
                <w:sz w:val="21"/>
                <w:szCs w:val="21"/>
              </w:rPr>
              <w:t>螺杆空压机(Q=15Nm3/min)共3台。</w:t>
            </w:r>
          </w:p>
        </w:tc>
        <w:tc>
          <w:tcPr>
            <w:tcW w:w="1527" w:type="dxa"/>
            <w:tcBorders>
              <w:tl2br w:val="nil"/>
              <w:tr2bl w:val="nil"/>
            </w:tcBorders>
            <w:noWrap w:val="0"/>
            <w:vAlign w:val="center"/>
          </w:tcPr>
          <w:p w14:paraId="40D63530">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19AFB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2E70A2A9">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50FEF01E">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制冷站</w:t>
            </w:r>
          </w:p>
        </w:tc>
        <w:tc>
          <w:tcPr>
            <w:tcW w:w="4756" w:type="dxa"/>
            <w:tcBorders>
              <w:tl2br w:val="nil"/>
              <w:tr2bl w:val="nil"/>
            </w:tcBorders>
            <w:noWrap w:val="0"/>
            <w:vAlign w:val="center"/>
          </w:tcPr>
          <w:p w14:paraId="77369D96">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制冷站一座。循环水量为4000m3/h，循环水供水温度为20℃，回水温度为30℃。制冷设备采用溴化锂制冷机两台。设冷水箱一台，容积为270m3，设冷水循环泵二台，其中一台备用。</w:t>
            </w:r>
          </w:p>
        </w:tc>
        <w:tc>
          <w:tcPr>
            <w:tcW w:w="1527" w:type="dxa"/>
            <w:tcBorders>
              <w:tl2br w:val="nil"/>
              <w:tr2bl w:val="nil"/>
            </w:tcBorders>
            <w:noWrap w:val="0"/>
            <w:vAlign w:val="center"/>
          </w:tcPr>
          <w:p w14:paraId="62671A61">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64B5F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restart"/>
            <w:tcBorders>
              <w:tl2br w:val="nil"/>
              <w:tr2bl w:val="nil"/>
            </w:tcBorders>
            <w:noWrap w:val="0"/>
            <w:vAlign w:val="center"/>
          </w:tcPr>
          <w:p w14:paraId="4DD2704F">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辅助工程</w:t>
            </w:r>
          </w:p>
        </w:tc>
        <w:tc>
          <w:tcPr>
            <w:tcW w:w="2385" w:type="dxa"/>
            <w:gridSpan w:val="2"/>
            <w:tcBorders>
              <w:tl2br w:val="nil"/>
              <w:tr2bl w:val="nil"/>
            </w:tcBorders>
            <w:noWrap w:val="0"/>
            <w:vAlign w:val="center"/>
          </w:tcPr>
          <w:p w14:paraId="5AF91E7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综合楼</w:t>
            </w:r>
          </w:p>
        </w:tc>
        <w:tc>
          <w:tcPr>
            <w:tcW w:w="4756" w:type="dxa"/>
            <w:tcBorders>
              <w:tl2br w:val="nil"/>
              <w:tr2bl w:val="nil"/>
            </w:tcBorders>
            <w:noWrap w:val="0"/>
            <w:vAlign w:val="center"/>
          </w:tcPr>
          <w:p w14:paraId="36724CBE">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1座，建筑面积</w:t>
            </w:r>
            <w:r>
              <w:rPr>
                <w:rFonts w:hint="eastAsia" w:ascii="Times New Roman" w:hAnsi="Times New Roman" w:eastAsia="宋体" w:cs="Times New Roman"/>
                <w:b w:val="0"/>
                <w:bCs w:val="0"/>
                <w:sz w:val="21"/>
                <w:szCs w:val="21"/>
              </w:rPr>
              <w:t>11547.36</w:t>
            </w:r>
            <w:r>
              <w:rPr>
                <w:rFonts w:hint="eastAsia" w:ascii="Times New Roman" w:hAnsi="Times New Roman" w:eastAsia="宋体" w:cs="Times New Roman"/>
                <w:b w:val="0"/>
                <w:bCs w:val="0"/>
                <w:sz w:val="21"/>
                <w:szCs w:val="21"/>
                <w:lang w:val="zh-CN"/>
              </w:rPr>
              <w:t>m2，高度31.5m。</w:t>
            </w:r>
          </w:p>
        </w:tc>
        <w:tc>
          <w:tcPr>
            <w:tcW w:w="1527" w:type="dxa"/>
            <w:tcBorders>
              <w:tl2br w:val="nil"/>
              <w:tr2bl w:val="nil"/>
            </w:tcBorders>
            <w:noWrap w:val="0"/>
            <w:vAlign w:val="center"/>
          </w:tcPr>
          <w:p w14:paraId="5B1EB3E5">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1B509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43B77CFB">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05B4A06A">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门卫</w:t>
            </w:r>
          </w:p>
        </w:tc>
        <w:tc>
          <w:tcPr>
            <w:tcW w:w="4756" w:type="dxa"/>
            <w:tcBorders>
              <w:tl2br w:val="nil"/>
              <w:tr2bl w:val="nil"/>
            </w:tcBorders>
            <w:noWrap w:val="0"/>
            <w:vAlign w:val="center"/>
          </w:tcPr>
          <w:p w14:paraId="764A2D6A">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4座，建筑面积</w:t>
            </w:r>
            <w:r>
              <w:rPr>
                <w:rFonts w:hint="eastAsia" w:ascii="Times New Roman" w:hAnsi="Times New Roman" w:eastAsia="宋体" w:cs="Times New Roman"/>
                <w:b w:val="0"/>
                <w:bCs w:val="0"/>
                <w:sz w:val="21"/>
                <w:szCs w:val="21"/>
              </w:rPr>
              <w:t>89.1</w:t>
            </w:r>
            <w:r>
              <w:rPr>
                <w:rFonts w:hint="eastAsia" w:ascii="Times New Roman" w:hAnsi="Times New Roman" w:eastAsia="宋体" w:cs="Times New Roman"/>
                <w:b w:val="0"/>
                <w:bCs w:val="0"/>
                <w:sz w:val="21"/>
                <w:szCs w:val="21"/>
                <w:lang w:val="zh-CN"/>
              </w:rPr>
              <w:t>m2，高度3.9m。地磅120t共5台。</w:t>
            </w:r>
          </w:p>
        </w:tc>
        <w:tc>
          <w:tcPr>
            <w:tcW w:w="1527" w:type="dxa"/>
            <w:tcBorders>
              <w:tl2br w:val="nil"/>
              <w:tr2bl w:val="nil"/>
            </w:tcBorders>
            <w:noWrap w:val="0"/>
            <w:vAlign w:val="center"/>
          </w:tcPr>
          <w:p w14:paraId="0C3E7C51">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1449C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3D85A47F">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0D035322">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地磅房</w:t>
            </w:r>
          </w:p>
        </w:tc>
        <w:tc>
          <w:tcPr>
            <w:tcW w:w="4756" w:type="dxa"/>
            <w:tcBorders>
              <w:tl2br w:val="nil"/>
              <w:tr2bl w:val="nil"/>
            </w:tcBorders>
            <w:noWrap w:val="0"/>
            <w:vAlign w:val="center"/>
          </w:tcPr>
          <w:p w14:paraId="64E60707">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3座，建筑面积</w:t>
            </w:r>
            <w:r>
              <w:rPr>
                <w:rFonts w:hint="eastAsia" w:ascii="Times New Roman" w:hAnsi="Times New Roman" w:eastAsia="宋体" w:cs="Times New Roman"/>
                <w:b w:val="0"/>
                <w:bCs w:val="0"/>
                <w:sz w:val="21"/>
                <w:szCs w:val="21"/>
              </w:rPr>
              <w:t>8000</w:t>
            </w:r>
            <w:r>
              <w:rPr>
                <w:rFonts w:hint="eastAsia" w:ascii="Times New Roman" w:hAnsi="Times New Roman" w:eastAsia="宋体" w:cs="Times New Roman"/>
                <w:b w:val="0"/>
                <w:bCs w:val="0"/>
                <w:sz w:val="21"/>
                <w:szCs w:val="21"/>
                <w:lang w:val="zh-CN"/>
              </w:rPr>
              <w:t>m2，高度8m。</w:t>
            </w:r>
          </w:p>
        </w:tc>
        <w:tc>
          <w:tcPr>
            <w:tcW w:w="1527" w:type="dxa"/>
            <w:tcBorders>
              <w:tl2br w:val="nil"/>
              <w:tr2bl w:val="nil"/>
            </w:tcBorders>
            <w:noWrap w:val="0"/>
            <w:vAlign w:val="center"/>
          </w:tcPr>
          <w:p w14:paraId="7CC6CD35">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4EEA7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restart"/>
            <w:tcBorders>
              <w:tl2br w:val="nil"/>
              <w:tr2bl w:val="nil"/>
            </w:tcBorders>
            <w:noWrap w:val="0"/>
            <w:vAlign w:val="center"/>
          </w:tcPr>
          <w:p w14:paraId="50D31D90">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储运工程</w:t>
            </w:r>
          </w:p>
        </w:tc>
        <w:tc>
          <w:tcPr>
            <w:tcW w:w="2385" w:type="dxa"/>
            <w:gridSpan w:val="2"/>
            <w:tcBorders>
              <w:tl2br w:val="nil"/>
              <w:tr2bl w:val="nil"/>
            </w:tcBorders>
            <w:noWrap w:val="0"/>
            <w:vAlign w:val="center"/>
          </w:tcPr>
          <w:p w14:paraId="53FFDD95">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玉米平房仓</w:t>
            </w:r>
          </w:p>
        </w:tc>
        <w:tc>
          <w:tcPr>
            <w:tcW w:w="4756" w:type="dxa"/>
            <w:tcBorders>
              <w:tl2br w:val="nil"/>
              <w:tr2bl w:val="nil"/>
            </w:tcBorders>
            <w:noWrap w:val="0"/>
            <w:vAlign w:val="center"/>
          </w:tcPr>
          <w:p w14:paraId="0D6C9B58">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en-US" w:eastAsia="zh-CN"/>
              </w:rPr>
              <w:t>1个原料棚，在原料棚周围加装防风抑尘网</w:t>
            </w:r>
            <w:r>
              <w:rPr>
                <w:rFonts w:hint="eastAsia" w:ascii="Times New Roman" w:hAnsi="Times New Roman" w:eastAsia="宋体" w:cs="Times New Roman"/>
                <w:b w:val="0"/>
                <w:bCs w:val="0"/>
                <w:sz w:val="21"/>
                <w:szCs w:val="21"/>
              </w:rPr>
              <w:t>。</w:t>
            </w:r>
          </w:p>
        </w:tc>
        <w:tc>
          <w:tcPr>
            <w:tcW w:w="1527" w:type="dxa"/>
            <w:tcBorders>
              <w:tl2br w:val="nil"/>
              <w:tr2bl w:val="nil"/>
            </w:tcBorders>
            <w:noWrap w:val="0"/>
            <w:vAlign w:val="center"/>
          </w:tcPr>
          <w:p w14:paraId="5226D005">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3A331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3D199557">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4D18A8C9">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成品罐区及泵房</w:t>
            </w:r>
          </w:p>
        </w:tc>
        <w:tc>
          <w:tcPr>
            <w:tcW w:w="4756" w:type="dxa"/>
            <w:tcBorders>
              <w:tl2br w:val="nil"/>
              <w:tr2bl w:val="nil"/>
            </w:tcBorders>
            <w:noWrap w:val="0"/>
            <w:vAlign w:val="center"/>
          </w:tcPr>
          <w:p w14:paraId="64FD4122">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成品罐区占地面积11771.76m2。成品罐共计6个，成品罐罐体形式均为内浮顶罐。</w:t>
            </w:r>
          </w:p>
        </w:tc>
        <w:tc>
          <w:tcPr>
            <w:tcW w:w="1527" w:type="dxa"/>
            <w:tcBorders>
              <w:tl2br w:val="nil"/>
              <w:tr2bl w:val="nil"/>
            </w:tcBorders>
            <w:noWrap w:val="0"/>
            <w:vAlign w:val="center"/>
          </w:tcPr>
          <w:p w14:paraId="0FDF3FA8">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05288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94F0A16">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177A7CAC">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成品发放区</w:t>
            </w:r>
          </w:p>
        </w:tc>
        <w:tc>
          <w:tcPr>
            <w:tcW w:w="4756" w:type="dxa"/>
            <w:tcBorders>
              <w:tl2br w:val="nil"/>
              <w:tr2bl w:val="nil"/>
            </w:tcBorders>
            <w:noWrap w:val="0"/>
            <w:vAlign w:val="center"/>
          </w:tcPr>
          <w:p w14:paraId="19754217">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成品发放区占地面积591m2。</w:t>
            </w:r>
          </w:p>
        </w:tc>
        <w:tc>
          <w:tcPr>
            <w:tcW w:w="1527" w:type="dxa"/>
            <w:tcBorders>
              <w:tl2br w:val="nil"/>
              <w:tr2bl w:val="nil"/>
            </w:tcBorders>
            <w:noWrap w:val="0"/>
            <w:vAlign w:val="center"/>
          </w:tcPr>
          <w:p w14:paraId="07C5E794">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7FA07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45A0AE3C">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31A05E44">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酸碱储罐区</w:t>
            </w:r>
          </w:p>
        </w:tc>
        <w:tc>
          <w:tcPr>
            <w:tcW w:w="4756" w:type="dxa"/>
            <w:tcBorders>
              <w:tl2br w:val="nil"/>
              <w:tr2bl w:val="nil"/>
            </w:tcBorders>
            <w:noWrap w:val="0"/>
            <w:vAlign w:val="center"/>
          </w:tcPr>
          <w:p w14:paraId="6E46B162">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各1个，罐体形式均为内浮顶罐。</w:t>
            </w:r>
          </w:p>
        </w:tc>
        <w:tc>
          <w:tcPr>
            <w:tcW w:w="1527" w:type="dxa"/>
            <w:tcBorders>
              <w:tl2br w:val="nil"/>
              <w:tr2bl w:val="nil"/>
            </w:tcBorders>
            <w:noWrap w:val="0"/>
            <w:vAlign w:val="center"/>
          </w:tcPr>
          <w:p w14:paraId="27375306">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4A76D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716148F9">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5F9E35D7">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煤场</w:t>
            </w:r>
          </w:p>
        </w:tc>
        <w:tc>
          <w:tcPr>
            <w:tcW w:w="4756" w:type="dxa"/>
            <w:tcBorders>
              <w:tl2br w:val="nil"/>
              <w:tr2bl w:val="nil"/>
            </w:tcBorders>
            <w:noWrap w:val="0"/>
            <w:vAlign w:val="center"/>
          </w:tcPr>
          <w:p w14:paraId="12EA3B4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煤场为</w:t>
            </w:r>
            <w:r>
              <w:rPr>
                <w:rFonts w:hint="eastAsia" w:ascii="Times New Roman" w:hAnsi="Times New Roman" w:eastAsia="宋体" w:cs="Times New Roman"/>
                <w:b w:val="0"/>
                <w:bCs w:val="0"/>
                <w:sz w:val="21"/>
                <w:szCs w:val="21"/>
                <w:lang w:val="en-US" w:eastAsia="zh-CN"/>
              </w:rPr>
              <w:t>钢结构</w:t>
            </w:r>
            <w:r>
              <w:rPr>
                <w:rFonts w:hint="eastAsia" w:ascii="Times New Roman" w:hAnsi="Times New Roman" w:eastAsia="宋体" w:cs="Times New Roman"/>
                <w:b w:val="0"/>
                <w:bCs w:val="0"/>
                <w:sz w:val="21"/>
                <w:szCs w:val="21"/>
              </w:rPr>
              <w:t>封闭煤场，面积</w:t>
            </w:r>
            <w:r>
              <w:rPr>
                <w:rFonts w:hint="eastAsia" w:ascii="Times New Roman" w:hAnsi="Times New Roman" w:eastAsia="宋体" w:cs="Times New Roman"/>
                <w:b w:val="0"/>
                <w:bCs w:val="0"/>
                <w:sz w:val="21"/>
                <w:szCs w:val="21"/>
                <w:lang w:val="en-US" w:eastAsia="zh-CN"/>
              </w:rPr>
              <w:t>36</w:t>
            </w:r>
            <w:r>
              <w:rPr>
                <w:rFonts w:hint="eastAsia" w:ascii="Times New Roman" w:hAnsi="Times New Roman" w:eastAsia="宋体" w:cs="Times New Roman"/>
                <w:b w:val="0"/>
                <w:bCs w:val="0"/>
                <w:sz w:val="21"/>
                <w:szCs w:val="21"/>
              </w:rPr>
              <w:t>m×</w:t>
            </w:r>
            <w:r>
              <w:rPr>
                <w:rFonts w:hint="eastAsia" w:ascii="Times New Roman" w:hAnsi="Times New Roman" w:eastAsia="宋体" w:cs="Times New Roman"/>
                <w:b w:val="0"/>
                <w:bCs w:val="0"/>
                <w:sz w:val="21"/>
                <w:szCs w:val="21"/>
                <w:lang w:val="en-US" w:eastAsia="zh-CN"/>
              </w:rPr>
              <w:t>100</w:t>
            </w:r>
            <w:r>
              <w:rPr>
                <w:rFonts w:hint="eastAsia" w:ascii="Times New Roman" w:hAnsi="Times New Roman" w:eastAsia="宋体" w:cs="Times New Roman"/>
                <w:b w:val="0"/>
                <w:bCs w:val="0"/>
                <w:sz w:val="21"/>
                <w:szCs w:val="21"/>
              </w:rPr>
              <w:t>m，总储煤能力</w:t>
            </w:r>
            <w:r>
              <w:rPr>
                <w:rFonts w:hint="eastAsia" w:ascii="Times New Roman" w:hAnsi="Times New Roman" w:eastAsia="宋体" w:cs="Times New Roman"/>
                <w:b w:val="0"/>
                <w:bCs w:val="0"/>
                <w:sz w:val="21"/>
                <w:szCs w:val="21"/>
                <w:lang w:val="en-US" w:eastAsia="zh-CN"/>
              </w:rPr>
              <w:t>2</w:t>
            </w:r>
            <w:r>
              <w:rPr>
                <w:rFonts w:hint="eastAsia" w:ascii="Times New Roman" w:hAnsi="Times New Roman" w:eastAsia="宋体" w:cs="Times New Roman"/>
                <w:b w:val="0"/>
                <w:bCs w:val="0"/>
                <w:sz w:val="21"/>
                <w:szCs w:val="21"/>
              </w:rPr>
              <w:t>万吨。</w:t>
            </w:r>
          </w:p>
        </w:tc>
        <w:tc>
          <w:tcPr>
            <w:tcW w:w="1527" w:type="dxa"/>
            <w:tcBorders>
              <w:tl2br w:val="nil"/>
              <w:tr2bl w:val="nil"/>
            </w:tcBorders>
            <w:noWrap w:val="0"/>
            <w:vAlign w:val="center"/>
          </w:tcPr>
          <w:p w14:paraId="1D06CDAE">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501BB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D66E114">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5B09F62C">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灰、渣罐</w:t>
            </w:r>
          </w:p>
        </w:tc>
        <w:tc>
          <w:tcPr>
            <w:tcW w:w="4756" w:type="dxa"/>
            <w:tcBorders>
              <w:tl2br w:val="nil"/>
              <w:tr2bl w:val="nil"/>
            </w:tcBorders>
            <w:noWrap w:val="0"/>
            <w:vAlign w:val="center"/>
          </w:tcPr>
          <w:p w14:paraId="4E638663">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rPr>
              <w:t>灰罐2座，单个规模1500m3，储存能力为3000t。</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rPr>
              <w:t>渣罐1座，规模1500m3，储存能力为3000t。</w:t>
            </w:r>
          </w:p>
        </w:tc>
        <w:tc>
          <w:tcPr>
            <w:tcW w:w="1527" w:type="dxa"/>
            <w:tcBorders>
              <w:tl2br w:val="nil"/>
              <w:tr2bl w:val="nil"/>
            </w:tcBorders>
            <w:noWrap w:val="0"/>
            <w:vAlign w:val="center"/>
          </w:tcPr>
          <w:p w14:paraId="09278081">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45772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293814B">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5AF3008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石灰石粉仓</w:t>
            </w:r>
          </w:p>
        </w:tc>
        <w:tc>
          <w:tcPr>
            <w:tcW w:w="4756" w:type="dxa"/>
            <w:tcBorders>
              <w:tl2br w:val="nil"/>
              <w:tr2bl w:val="nil"/>
            </w:tcBorders>
            <w:noWrap w:val="0"/>
            <w:vAlign w:val="center"/>
          </w:tcPr>
          <w:p w14:paraId="652F7DDF">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lang w:val="en-US" w:eastAsia="zh-CN"/>
              </w:rPr>
              <w:t>钢结构封闭</w:t>
            </w:r>
            <w:r>
              <w:rPr>
                <w:rFonts w:hint="eastAsia" w:ascii="Times New Roman" w:hAnsi="Times New Roman" w:eastAsia="宋体" w:cs="Times New Roman"/>
                <w:b w:val="0"/>
                <w:bCs w:val="0"/>
                <w:sz w:val="21"/>
                <w:szCs w:val="21"/>
              </w:rPr>
              <w:t>石灰石粉仓1座，单个规模1500m</w:t>
            </w:r>
            <w:r>
              <w:rPr>
                <w:rFonts w:hint="eastAsia" w:ascii="Times New Roman" w:hAnsi="Times New Roman" w:eastAsia="宋体" w:cs="Times New Roman"/>
                <w:b w:val="0"/>
                <w:bCs w:val="0"/>
                <w:sz w:val="21"/>
                <w:szCs w:val="21"/>
                <w:lang w:val="en-US" w:eastAsia="zh-CN"/>
              </w:rPr>
              <w:t>2</w:t>
            </w:r>
            <w:r>
              <w:rPr>
                <w:rFonts w:hint="eastAsia" w:ascii="Times New Roman" w:hAnsi="Times New Roman" w:eastAsia="宋体" w:cs="Times New Roman"/>
                <w:b w:val="0"/>
                <w:bCs w:val="0"/>
                <w:sz w:val="21"/>
                <w:szCs w:val="21"/>
              </w:rPr>
              <w:t>，储存能力为3000t。</w:t>
            </w:r>
          </w:p>
        </w:tc>
        <w:tc>
          <w:tcPr>
            <w:tcW w:w="1527" w:type="dxa"/>
            <w:tcBorders>
              <w:tl2br w:val="nil"/>
              <w:tr2bl w:val="nil"/>
            </w:tcBorders>
            <w:noWrap w:val="0"/>
            <w:vAlign w:val="center"/>
          </w:tcPr>
          <w:p w14:paraId="637DFE30">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6A23A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5DC8A3F2">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04091BD3">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尿素</w:t>
            </w:r>
            <w:r>
              <w:rPr>
                <w:rFonts w:hint="eastAsia" w:ascii="Times New Roman" w:hAnsi="Times New Roman" w:eastAsia="宋体" w:cs="Times New Roman"/>
                <w:b w:val="0"/>
                <w:bCs w:val="0"/>
                <w:sz w:val="21"/>
                <w:szCs w:val="21"/>
                <w:lang w:val="en-US" w:eastAsia="zh-CN"/>
              </w:rPr>
              <w:t>溶液</w:t>
            </w:r>
            <w:r>
              <w:rPr>
                <w:rFonts w:hint="eastAsia" w:ascii="Times New Roman" w:hAnsi="Times New Roman" w:eastAsia="宋体" w:cs="Times New Roman"/>
                <w:b w:val="0"/>
                <w:bCs w:val="0"/>
                <w:sz w:val="21"/>
                <w:szCs w:val="21"/>
              </w:rPr>
              <w:t>罐</w:t>
            </w:r>
          </w:p>
        </w:tc>
        <w:tc>
          <w:tcPr>
            <w:tcW w:w="4756" w:type="dxa"/>
            <w:tcBorders>
              <w:tl2br w:val="nil"/>
              <w:tr2bl w:val="nil"/>
            </w:tcBorders>
            <w:noWrap w:val="0"/>
            <w:vAlign w:val="center"/>
          </w:tcPr>
          <w:p w14:paraId="6F3BC812">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en-US" w:eastAsia="zh-CN"/>
              </w:rPr>
              <w:t>建1台30m3的尿素溶液储罐，2台尿素溶液供应泵（1运1备）。</w:t>
            </w:r>
          </w:p>
        </w:tc>
        <w:tc>
          <w:tcPr>
            <w:tcW w:w="1527" w:type="dxa"/>
            <w:tcBorders>
              <w:tl2br w:val="nil"/>
              <w:tr2bl w:val="nil"/>
            </w:tcBorders>
            <w:noWrap w:val="0"/>
            <w:vAlign w:val="center"/>
          </w:tcPr>
          <w:p w14:paraId="71051F13">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383D5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2049CDF4">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2F5D5515">
            <w:pPr>
              <w:jc w:val="center"/>
              <w:rPr>
                <w:rFonts w:hint="eastAsia" w:ascii="Times New Roman" w:hAnsi="Times New Roman" w:eastAsia="宋体" w:cs="Times New Roman"/>
                <w:b w:val="0"/>
                <w:bCs w:val="0"/>
                <w:sz w:val="21"/>
                <w:szCs w:val="21"/>
                <w:lang w:val="en-US" w:eastAsia="zh-CN"/>
              </w:rPr>
            </w:pPr>
            <w:r>
              <w:rPr>
                <w:rFonts w:hint="eastAsia" w:cs="Times New Roman"/>
                <w:b w:val="0"/>
                <w:bCs w:val="0"/>
                <w:sz w:val="21"/>
                <w:szCs w:val="21"/>
                <w:lang w:val="en-US" w:eastAsia="zh-CN"/>
              </w:rPr>
              <w:t>危险废物贮存间</w:t>
            </w:r>
          </w:p>
        </w:tc>
        <w:tc>
          <w:tcPr>
            <w:tcW w:w="4756" w:type="dxa"/>
            <w:tcBorders>
              <w:tl2br w:val="nil"/>
              <w:tr2bl w:val="nil"/>
            </w:tcBorders>
            <w:noWrap w:val="0"/>
            <w:vAlign w:val="center"/>
          </w:tcPr>
          <w:p w14:paraId="1644AA1B">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建1座</w:t>
            </w:r>
            <w:r>
              <w:rPr>
                <w:rFonts w:hint="eastAsia" w:cs="Times New Roman"/>
                <w:b w:val="0"/>
                <w:bCs w:val="0"/>
                <w:sz w:val="21"/>
                <w:szCs w:val="21"/>
                <w:lang w:val="en-US" w:eastAsia="zh-CN"/>
              </w:rPr>
              <w:t>危险废物贮存间</w:t>
            </w:r>
            <w:r>
              <w:rPr>
                <w:rFonts w:hint="eastAsia" w:ascii="Times New Roman" w:hAnsi="Times New Roman" w:eastAsia="宋体" w:cs="Times New Roman"/>
                <w:b w:val="0"/>
                <w:bCs w:val="0"/>
                <w:sz w:val="21"/>
                <w:szCs w:val="21"/>
                <w:lang w:val="en-US" w:eastAsia="zh-CN"/>
              </w:rPr>
              <w:t>用于暂存危险废物</w:t>
            </w:r>
          </w:p>
        </w:tc>
        <w:tc>
          <w:tcPr>
            <w:tcW w:w="1527" w:type="dxa"/>
            <w:tcBorders>
              <w:tl2br w:val="nil"/>
              <w:tr2bl w:val="nil"/>
            </w:tcBorders>
            <w:noWrap w:val="0"/>
            <w:vAlign w:val="center"/>
          </w:tcPr>
          <w:p w14:paraId="600DC520">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一期建</w:t>
            </w:r>
          </w:p>
        </w:tc>
      </w:tr>
      <w:tr w14:paraId="09FBB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7A878EE5">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7A55153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铁路专用线</w:t>
            </w:r>
          </w:p>
        </w:tc>
        <w:tc>
          <w:tcPr>
            <w:tcW w:w="4756" w:type="dxa"/>
            <w:tcBorders>
              <w:tl2br w:val="nil"/>
              <w:tr2bl w:val="nil"/>
            </w:tcBorders>
            <w:noWrap w:val="0"/>
            <w:vAlign w:val="center"/>
          </w:tcPr>
          <w:p w14:paraId="42A5D04E">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专用线于拉哈站铁砂线40#道岔前65m处引出，根据厂区内配套工艺位置布置危险品货物线1条，有效长为610m；普通货物线1条，有效长为616m。</w:t>
            </w:r>
          </w:p>
        </w:tc>
        <w:tc>
          <w:tcPr>
            <w:tcW w:w="1527" w:type="dxa"/>
            <w:tcBorders>
              <w:tl2br w:val="nil"/>
              <w:tr2bl w:val="nil"/>
            </w:tcBorders>
            <w:noWrap w:val="0"/>
            <w:vAlign w:val="center"/>
          </w:tcPr>
          <w:p w14:paraId="614209B8">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59615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restart"/>
            <w:tcBorders>
              <w:tl2br w:val="nil"/>
              <w:tr2bl w:val="nil"/>
            </w:tcBorders>
            <w:noWrap w:val="0"/>
            <w:vAlign w:val="center"/>
          </w:tcPr>
          <w:p w14:paraId="356A51A7">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环</w:t>
            </w:r>
          </w:p>
          <w:p w14:paraId="11509A46">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保</w:t>
            </w:r>
          </w:p>
          <w:p w14:paraId="15B59C06">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工</w:t>
            </w:r>
          </w:p>
          <w:p w14:paraId="3C3D1392">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程</w:t>
            </w:r>
          </w:p>
        </w:tc>
        <w:tc>
          <w:tcPr>
            <w:tcW w:w="2385" w:type="dxa"/>
            <w:gridSpan w:val="2"/>
            <w:vMerge w:val="restart"/>
            <w:tcBorders>
              <w:tl2br w:val="nil"/>
              <w:tr2bl w:val="nil"/>
            </w:tcBorders>
            <w:noWrap w:val="0"/>
            <w:vAlign w:val="center"/>
          </w:tcPr>
          <w:p w14:paraId="565469CD">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zh-CN"/>
              </w:rPr>
              <w:t>污水处理站</w:t>
            </w:r>
          </w:p>
        </w:tc>
        <w:tc>
          <w:tcPr>
            <w:tcW w:w="4756" w:type="dxa"/>
            <w:tcBorders>
              <w:tl2br w:val="nil"/>
              <w:tr2bl w:val="nil"/>
            </w:tcBorders>
            <w:noWrap w:val="0"/>
            <w:vAlign w:val="center"/>
          </w:tcPr>
          <w:p w14:paraId="2D1D9B3E">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本工程污水处理站处理规模达到12000t/d，处理工艺为</w:t>
            </w:r>
            <w:r>
              <w:rPr>
                <w:rFonts w:hint="eastAsia" w:ascii="Times New Roman" w:hAnsi="Times New Roman" w:eastAsia="宋体" w:cs="Times New Roman"/>
                <w:b w:val="0"/>
                <w:bCs w:val="0"/>
                <w:sz w:val="21"/>
                <w:szCs w:val="21"/>
                <w:lang w:eastAsia="zh-CN"/>
              </w:rPr>
              <w:t>SPIC厌氧+生物接触氧化+连续活性砂滤</w:t>
            </w:r>
            <w:r>
              <w:rPr>
                <w:rFonts w:hint="eastAsia" w:ascii="Times New Roman" w:hAnsi="Times New Roman" w:eastAsia="宋体" w:cs="Times New Roman"/>
                <w:b w:val="0"/>
                <w:bCs w:val="0"/>
                <w:sz w:val="21"/>
                <w:szCs w:val="21"/>
              </w:rPr>
              <w:t>。</w:t>
            </w:r>
          </w:p>
        </w:tc>
        <w:tc>
          <w:tcPr>
            <w:tcW w:w="1527" w:type="dxa"/>
            <w:tcBorders>
              <w:tl2br w:val="nil"/>
              <w:tr2bl w:val="nil"/>
            </w:tcBorders>
            <w:noWrap w:val="0"/>
            <w:vAlign w:val="center"/>
          </w:tcPr>
          <w:p w14:paraId="0510EF3F">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319F5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AD00FB9">
            <w:pPr>
              <w:jc w:val="center"/>
              <w:rPr>
                <w:rFonts w:hint="eastAsia" w:ascii="Times New Roman" w:hAnsi="Times New Roman" w:eastAsia="宋体" w:cs="Times New Roman"/>
                <w:b w:val="0"/>
                <w:bCs w:val="0"/>
                <w:sz w:val="21"/>
                <w:szCs w:val="21"/>
              </w:rPr>
            </w:pPr>
          </w:p>
        </w:tc>
        <w:tc>
          <w:tcPr>
            <w:tcW w:w="2385" w:type="dxa"/>
            <w:gridSpan w:val="2"/>
            <w:vMerge w:val="continue"/>
            <w:tcBorders>
              <w:tl2br w:val="nil"/>
              <w:tr2bl w:val="nil"/>
            </w:tcBorders>
            <w:noWrap w:val="0"/>
            <w:vAlign w:val="center"/>
          </w:tcPr>
          <w:p w14:paraId="0D2A36EA">
            <w:pPr>
              <w:jc w:val="center"/>
              <w:rPr>
                <w:rFonts w:hint="eastAsia" w:ascii="Times New Roman" w:hAnsi="Times New Roman" w:eastAsia="宋体" w:cs="Times New Roman"/>
                <w:b w:val="0"/>
                <w:bCs w:val="0"/>
                <w:sz w:val="21"/>
                <w:szCs w:val="21"/>
                <w:lang w:val="zh-CN"/>
              </w:rPr>
            </w:pPr>
          </w:p>
        </w:tc>
        <w:tc>
          <w:tcPr>
            <w:tcW w:w="4756" w:type="dxa"/>
            <w:tcBorders>
              <w:tl2br w:val="nil"/>
              <w:tr2bl w:val="nil"/>
            </w:tcBorders>
            <w:noWrap w:val="0"/>
            <w:vAlign w:val="center"/>
          </w:tcPr>
          <w:p w14:paraId="3549766F">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eastAsia="zh-CN"/>
              </w:rPr>
              <w:t>污水处理站</w:t>
            </w:r>
            <w:r>
              <w:rPr>
                <w:rFonts w:hint="eastAsia" w:ascii="Times New Roman" w:hAnsi="Times New Roman" w:eastAsia="宋体" w:cs="Times New Roman"/>
                <w:b w:val="0"/>
                <w:bCs w:val="0"/>
                <w:sz w:val="21"/>
                <w:szCs w:val="21"/>
                <w:lang w:val="en-US" w:eastAsia="zh-CN"/>
              </w:rPr>
              <w:t>污泥脱水间</w:t>
            </w:r>
            <w:r>
              <w:rPr>
                <w:rFonts w:hint="eastAsia" w:ascii="Times New Roman" w:hAnsi="Times New Roman" w:eastAsia="宋体" w:cs="Times New Roman"/>
                <w:b w:val="0"/>
                <w:bCs w:val="0"/>
                <w:sz w:val="21"/>
                <w:szCs w:val="21"/>
              </w:rPr>
              <w:t>采用封闭建筑</w:t>
            </w:r>
            <w:r>
              <w:rPr>
                <w:rFonts w:hint="eastAsia" w:ascii="Times New Roman" w:hAnsi="Times New Roman" w:eastAsia="宋体" w:cs="Times New Roman"/>
                <w:b w:val="0"/>
                <w:bCs w:val="0"/>
                <w:sz w:val="21"/>
                <w:szCs w:val="21"/>
                <w:lang w:eastAsia="zh-CN"/>
              </w:rPr>
              <w:t>，并</w:t>
            </w:r>
            <w:r>
              <w:rPr>
                <w:rFonts w:hint="eastAsia" w:ascii="Times New Roman" w:hAnsi="Times New Roman" w:eastAsia="宋体" w:cs="Times New Roman"/>
                <w:b w:val="0"/>
                <w:bCs w:val="0"/>
                <w:sz w:val="21"/>
                <w:szCs w:val="21"/>
              </w:rPr>
              <w:t>设置集排风装置（</w:t>
            </w:r>
            <w:r>
              <w:rPr>
                <w:rFonts w:hint="eastAsia" w:ascii="Times New Roman" w:hAnsi="Times New Roman" w:eastAsia="宋体" w:cs="Times New Roman"/>
                <w:b w:val="0"/>
                <w:bCs w:val="0"/>
                <w:sz w:val="21"/>
                <w:szCs w:val="21"/>
                <w:lang w:eastAsia="zh-CN"/>
              </w:rPr>
              <w:t>捕集效率80%</w:t>
            </w:r>
            <w:r>
              <w:rPr>
                <w:rFonts w:hint="eastAsia" w:ascii="Times New Roman" w:hAnsi="Times New Roman" w:eastAsia="宋体" w:cs="Times New Roman"/>
                <w:b w:val="0"/>
                <w:bCs w:val="0"/>
                <w:sz w:val="21"/>
                <w:szCs w:val="21"/>
              </w:rPr>
              <w:t>），收集的恶臭气体通过活性炭吸附净化处理后</w:t>
            </w:r>
            <w:r>
              <w:rPr>
                <w:rFonts w:hint="eastAsia" w:ascii="Times New Roman" w:hAnsi="Times New Roman" w:eastAsia="宋体" w:cs="Times New Roman"/>
                <w:b w:val="0"/>
                <w:bCs w:val="0"/>
                <w:sz w:val="21"/>
                <w:szCs w:val="21"/>
                <w:lang w:val="en-US" w:eastAsia="zh-CN"/>
              </w:rPr>
              <w:t>15m高排气筒</w:t>
            </w:r>
            <w:r>
              <w:rPr>
                <w:rFonts w:hint="eastAsia" w:ascii="Times New Roman" w:hAnsi="Times New Roman" w:eastAsia="宋体" w:cs="Times New Roman"/>
                <w:b w:val="0"/>
                <w:bCs w:val="0"/>
                <w:sz w:val="21"/>
                <w:szCs w:val="21"/>
              </w:rPr>
              <w:t>排放，净化效率不低于90%</w:t>
            </w:r>
            <w:r>
              <w:rPr>
                <w:rFonts w:hint="eastAsia" w:ascii="Times New Roman" w:hAnsi="Times New Roman" w:eastAsia="宋体" w:cs="Times New Roman"/>
                <w:b w:val="0"/>
                <w:bCs w:val="0"/>
                <w:sz w:val="21"/>
                <w:szCs w:val="21"/>
                <w:lang w:eastAsia="zh-CN"/>
              </w:rPr>
              <w:t>。</w:t>
            </w:r>
          </w:p>
        </w:tc>
        <w:tc>
          <w:tcPr>
            <w:tcW w:w="1527" w:type="dxa"/>
            <w:tcBorders>
              <w:tl2br w:val="nil"/>
              <w:tr2bl w:val="nil"/>
            </w:tcBorders>
            <w:noWrap w:val="0"/>
            <w:vAlign w:val="center"/>
          </w:tcPr>
          <w:p w14:paraId="3C9A837A">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735FC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3723D70E">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3BE3926A">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锅炉房除尘</w:t>
            </w:r>
          </w:p>
        </w:tc>
        <w:tc>
          <w:tcPr>
            <w:tcW w:w="4756" w:type="dxa"/>
            <w:tcBorders>
              <w:tl2br w:val="nil"/>
              <w:tr2bl w:val="nil"/>
            </w:tcBorders>
            <w:noWrap w:val="0"/>
            <w:vAlign w:val="center"/>
          </w:tcPr>
          <w:p w14:paraId="2054F5F2">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采用布袋除尘器，除尘效率≥99%。</w:t>
            </w:r>
          </w:p>
        </w:tc>
        <w:tc>
          <w:tcPr>
            <w:tcW w:w="1527" w:type="dxa"/>
            <w:tcBorders>
              <w:tl2br w:val="nil"/>
              <w:tr2bl w:val="nil"/>
            </w:tcBorders>
            <w:noWrap w:val="0"/>
            <w:vAlign w:val="center"/>
          </w:tcPr>
          <w:p w14:paraId="45835A88">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24196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34924BE4">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77928AD8">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锅炉房脱硫</w:t>
            </w:r>
          </w:p>
        </w:tc>
        <w:tc>
          <w:tcPr>
            <w:tcW w:w="4756" w:type="dxa"/>
            <w:tcBorders>
              <w:tl2br w:val="nil"/>
              <w:tr2bl w:val="nil"/>
            </w:tcBorders>
            <w:noWrap w:val="0"/>
            <w:vAlign w:val="center"/>
          </w:tcPr>
          <w:p w14:paraId="6A627752">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采用石灰石-石膏法湿式烟气脱硫，脱硫效率≥9</w:t>
            </w:r>
            <w:r>
              <w:rPr>
                <w:rFonts w:hint="eastAsia" w:ascii="Times New Roman" w:hAnsi="Times New Roman" w:eastAsia="宋体" w:cs="Times New Roman"/>
                <w:b w:val="0"/>
                <w:bCs w:val="0"/>
                <w:sz w:val="21"/>
                <w:szCs w:val="21"/>
                <w:lang w:val="en-US" w:eastAsia="zh-CN"/>
              </w:rPr>
              <w:t>0</w:t>
            </w:r>
            <w:r>
              <w:rPr>
                <w:rFonts w:hint="eastAsia" w:ascii="Times New Roman" w:hAnsi="Times New Roman" w:eastAsia="宋体" w:cs="Times New Roman"/>
                <w:b w:val="0"/>
                <w:bCs w:val="0"/>
                <w:sz w:val="21"/>
                <w:szCs w:val="21"/>
                <w:lang w:val="zh-CN"/>
              </w:rPr>
              <w:t>%。</w:t>
            </w:r>
          </w:p>
        </w:tc>
        <w:tc>
          <w:tcPr>
            <w:tcW w:w="1527" w:type="dxa"/>
            <w:tcBorders>
              <w:tl2br w:val="nil"/>
              <w:tr2bl w:val="nil"/>
            </w:tcBorders>
            <w:noWrap w:val="0"/>
            <w:vAlign w:val="center"/>
          </w:tcPr>
          <w:p w14:paraId="55AA8974">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512BD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2FF0B961">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5739330F">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锅炉房脱硝</w:t>
            </w:r>
          </w:p>
        </w:tc>
        <w:tc>
          <w:tcPr>
            <w:tcW w:w="4756" w:type="dxa"/>
            <w:tcBorders>
              <w:tl2br w:val="nil"/>
              <w:tr2bl w:val="nil"/>
            </w:tcBorders>
            <w:noWrap w:val="0"/>
            <w:vAlign w:val="center"/>
          </w:tcPr>
          <w:p w14:paraId="14AA7BE3">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SCR法烟气脱硝技术，脱硝效率78%。采用尿素脱硝。</w:t>
            </w:r>
          </w:p>
        </w:tc>
        <w:tc>
          <w:tcPr>
            <w:tcW w:w="1527" w:type="dxa"/>
            <w:tcBorders>
              <w:tl2br w:val="nil"/>
              <w:tr2bl w:val="nil"/>
            </w:tcBorders>
            <w:noWrap w:val="0"/>
            <w:vAlign w:val="center"/>
          </w:tcPr>
          <w:p w14:paraId="3B1E0D77">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2FB37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4329388">
            <w:pPr>
              <w:jc w:val="center"/>
              <w:rPr>
                <w:rFonts w:hint="eastAsia" w:ascii="Times New Roman" w:hAnsi="Times New Roman" w:eastAsia="宋体" w:cs="Times New Roman"/>
                <w:b w:val="0"/>
                <w:bCs w:val="0"/>
                <w:sz w:val="21"/>
                <w:szCs w:val="21"/>
              </w:rPr>
            </w:pPr>
          </w:p>
        </w:tc>
        <w:tc>
          <w:tcPr>
            <w:tcW w:w="2385" w:type="dxa"/>
            <w:gridSpan w:val="2"/>
            <w:vMerge w:val="restart"/>
            <w:tcBorders>
              <w:tl2br w:val="nil"/>
              <w:tr2bl w:val="nil"/>
            </w:tcBorders>
            <w:noWrap w:val="0"/>
            <w:vAlign w:val="center"/>
          </w:tcPr>
          <w:p w14:paraId="3804C8B7">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工艺除尘</w:t>
            </w:r>
          </w:p>
        </w:tc>
        <w:tc>
          <w:tcPr>
            <w:tcW w:w="4756" w:type="dxa"/>
            <w:tcBorders>
              <w:tl2br w:val="nil"/>
              <w:tr2bl w:val="nil"/>
            </w:tcBorders>
            <w:noWrap w:val="0"/>
            <w:vAlign w:val="center"/>
          </w:tcPr>
          <w:p w14:paraId="51F881B8">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rPr>
              <w:t>粉碎粉尘设</w:t>
            </w:r>
            <w:r>
              <w:rPr>
                <w:rFonts w:hint="eastAsia" w:ascii="Times New Roman" w:hAnsi="Times New Roman" w:eastAsia="宋体" w:cs="Times New Roman"/>
                <w:b w:val="0"/>
                <w:bCs w:val="0"/>
                <w:sz w:val="21"/>
                <w:szCs w:val="21"/>
                <w:lang w:val="zh-CN"/>
              </w:rPr>
              <w:t>布袋除尘器</w:t>
            </w:r>
            <w:r>
              <w:rPr>
                <w:rFonts w:hint="eastAsia" w:ascii="Times New Roman" w:hAnsi="Times New Roman" w:eastAsia="宋体" w:cs="Times New Roman"/>
                <w:b w:val="0"/>
                <w:bCs w:val="0"/>
                <w:sz w:val="21"/>
                <w:szCs w:val="21"/>
                <w:lang w:val="en-US" w:eastAsia="zh-CN"/>
              </w:rPr>
              <w:t>20</w:t>
            </w:r>
            <w:r>
              <w:rPr>
                <w:rFonts w:hint="eastAsia" w:ascii="Times New Roman" w:hAnsi="Times New Roman" w:eastAsia="宋体" w:cs="Times New Roman"/>
                <w:b w:val="0"/>
                <w:bCs w:val="0"/>
                <w:sz w:val="21"/>
                <w:szCs w:val="21"/>
                <w:lang w:val="zh-CN"/>
              </w:rPr>
              <w:t>套，排气筒</w:t>
            </w:r>
            <w:r>
              <w:rPr>
                <w:rFonts w:hint="eastAsia" w:ascii="Times New Roman" w:hAnsi="Times New Roman" w:eastAsia="宋体" w:cs="Times New Roman"/>
                <w:b w:val="0"/>
                <w:bCs w:val="0"/>
                <w:sz w:val="21"/>
                <w:szCs w:val="21"/>
                <w:lang w:val="en-US" w:eastAsia="zh-CN"/>
              </w:rPr>
              <w:t>20</w:t>
            </w:r>
            <w:r>
              <w:rPr>
                <w:rFonts w:hint="eastAsia" w:ascii="Times New Roman" w:hAnsi="Times New Roman" w:eastAsia="宋体" w:cs="Times New Roman"/>
                <w:b w:val="0"/>
                <w:bCs w:val="0"/>
                <w:sz w:val="21"/>
                <w:szCs w:val="21"/>
                <w:lang w:val="zh-CN"/>
              </w:rPr>
              <w:t>个，布袋除尘器除尘效率99.9%。</w:t>
            </w:r>
          </w:p>
        </w:tc>
        <w:tc>
          <w:tcPr>
            <w:tcW w:w="1527" w:type="dxa"/>
            <w:tcBorders>
              <w:tl2br w:val="nil"/>
              <w:tr2bl w:val="nil"/>
            </w:tcBorders>
            <w:noWrap w:val="0"/>
            <w:vAlign w:val="center"/>
          </w:tcPr>
          <w:p w14:paraId="4B7627DF">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lang w:val="en-US" w:eastAsia="zh-CN"/>
              </w:rPr>
              <w:t>8个，二期建12个</w:t>
            </w:r>
          </w:p>
        </w:tc>
      </w:tr>
      <w:tr w14:paraId="3B5F2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1E3C26CC">
            <w:pPr>
              <w:jc w:val="center"/>
              <w:rPr>
                <w:rFonts w:hint="eastAsia" w:ascii="Times New Roman" w:hAnsi="Times New Roman" w:eastAsia="宋体" w:cs="Times New Roman"/>
                <w:b w:val="0"/>
                <w:bCs w:val="0"/>
                <w:sz w:val="21"/>
                <w:szCs w:val="21"/>
              </w:rPr>
            </w:pPr>
          </w:p>
        </w:tc>
        <w:tc>
          <w:tcPr>
            <w:tcW w:w="2385" w:type="dxa"/>
            <w:gridSpan w:val="2"/>
            <w:vMerge w:val="continue"/>
            <w:tcBorders>
              <w:tl2br w:val="nil"/>
              <w:tr2bl w:val="nil"/>
            </w:tcBorders>
            <w:noWrap w:val="0"/>
            <w:vAlign w:val="center"/>
          </w:tcPr>
          <w:p w14:paraId="581AB273">
            <w:pPr>
              <w:jc w:val="center"/>
              <w:rPr>
                <w:rFonts w:hint="eastAsia" w:ascii="Times New Roman" w:hAnsi="Times New Roman" w:eastAsia="宋体" w:cs="Times New Roman"/>
                <w:b w:val="0"/>
                <w:bCs w:val="0"/>
                <w:sz w:val="21"/>
                <w:szCs w:val="21"/>
                <w:lang w:val="zh-CN"/>
              </w:rPr>
            </w:pPr>
          </w:p>
        </w:tc>
        <w:tc>
          <w:tcPr>
            <w:tcW w:w="4756" w:type="dxa"/>
            <w:tcBorders>
              <w:tl2br w:val="nil"/>
              <w:tr2bl w:val="nil"/>
            </w:tcBorders>
            <w:noWrap w:val="0"/>
            <w:vAlign w:val="center"/>
          </w:tcPr>
          <w:p w14:paraId="17427C3A">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en-US" w:eastAsia="zh-CN"/>
              </w:rPr>
              <w:t>DDGS包装</w:t>
            </w:r>
            <w:r>
              <w:rPr>
                <w:rFonts w:hint="eastAsia" w:ascii="Times New Roman" w:hAnsi="Times New Roman" w:eastAsia="宋体" w:cs="Times New Roman"/>
                <w:b w:val="0"/>
                <w:bCs w:val="0"/>
                <w:sz w:val="21"/>
                <w:szCs w:val="21"/>
                <w:lang w:val="zh-CN"/>
              </w:rPr>
              <w:t>粉尘通过</w:t>
            </w:r>
            <w:r>
              <w:rPr>
                <w:rFonts w:hint="eastAsia" w:ascii="Times New Roman" w:hAnsi="Times New Roman" w:eastAsia="宋体" w:cs="Times New Roman"/>
                <w:b w:val="0"/>
                <w:bCs w:val="0"/>
                <w:sz w:val="21"/>
                <w:szCs w:val="21"/>
                <w:lang w:val="en-US" w:eastAsia="zh-CN"/>
              </w:rPr>
              <w:t>4</w:t>
            </w:r>
            <w:r>
              <w:rPr>
                <w:rFonts w:hint="eastAsia" w:ascii="Times New Roman" w:hAnsi="Times New Roman" w:eastAsia="宋体" w:cs="Times New Roman"/>
                <w:b w:val="0"/>
                <w:bCs w:val="0"/>
                <w:sz w:val="21"/>
                <w:szCs w:val="21"/>
                <w:lang w:val="zh-CN"/>
              </w:rPr>
              <w:t>个集中收集系统收集，通过1</w:t>
            </w:r>
            <w:r>
              <w:rPr>
                <w:rFonts w:hint="eastAsia" w:ascii="Times New Roman" w:hAnsi="Times New Roman" w:eastAsia="宋体" w:cs="Times New Roman"/>
                <w:b w:val="0"/>
                <w:bCs w:val="0"/>
                <w:sz w:val="21"/>
                <w:szCs w:val="21"/>
                <w:lang w:val="en-US" w:eastAsia="zh-CN"/>
              </w:rPr>
              <w:t>8</w:t>
            </w:r>
            <w:r>
              <w:rPr>
                <w:rFonts w:hint="eastAsia" w:ascii="Times New Roman" w:hAnsi="Times New Roman" w:eastAsia="宋体" w:cs="Times New Roman"/>
                <w:b w:val="0"/>
                <w:bCs w:val="0"/>
                <w:sz w:val="21"/>
                <w:szCs w:val="21"/>
                <w:lang w:val="zh-CN"/>
              </w:rPr>
              <w:t>m高排气筒排放。布袋除尘器的除尘效率为99.9%。</w:t>
            </w:r>
          </w:p>
        </w:tc>
        <w:tc>
          <w:tcPr>
            <w:tcW w:w="1527" w:type="dxa"/>
            <w:tcBorders>
              <w:tl2br w:val="nil"/>
              <w:tr2bl w:val="nil"/>
            </w:tcBorders>
            <w:noWrap w:val="0"/>
            <w:vAlign w:val="center"/>
          </w:tcPr>
          <w:p w14:paraId="76A69D5C">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lang w:val="en-US" w:eastAsia="zh-CN"/>
              </w:rPr>
              <w:t>2个，二期建2个</w:t>
            </w:r>
          </w:p>
        </w:tc>
      </w:tr>
      <w:tr w14:paraId="0EF05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67497629">
            <w:pPr>
              <w:jc w:val="center"/>
              <w:rPr>
                <w:rFonts w:hint="eastAsia" w:ascii="Times New Roman" w:hAnsi="Times New Roman" w:eastAsia="宋体" w:cs="Times New Roman"/>
                <w:b w:val="0"/>
                <w:bCs w:val="0"/>
                <w:sz w:val="21"/>
                <w:szCs w:val="21"/>
              </w:rPr>
            </w:pPr>
          </w:p>
        </w:tc>
        <w:tc>
          <w:tcPr>
            <w:tcW w:w="2385" w:type="dxa"/>
            <w:gridSpan w:val="2"/>
            <w:vMerge w:val="restart"/>
            <w:tcBorders>
              <w:tl2br w:val="nil"/>
              <w:tr2bl w:val="nil"/>
            </w:tcBorders>
            <w:noWrap w:val="0"/>
            <w:vAlign w:val="center"/>
          </w:tcPr>
          <w:p w14:paraId="176903A3">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工艺除臭</w:t>
            </w:r>
          </w:p>
        </w:tc>
        <w:tc>
          <w:tcPr>
            <w:tcW w:w="4756" w:type="dxa"/>
            <w:tcBorders>
              <w:tl2br w:val="nil"/>
              <w:tr2bl w:val="nil"/>
            </w:tcBorders>
            <w:noWrap w:val="0"/>
            <w:vAlign w:val="center"/>
          </w:tcPr>
          <w:p w14:paraId="55777167">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发酵工段共设置4套二氧化碳喷淋塔，</w:t>
            </w:r>
          </w:p>
          <w:p w14:paraId="6FBD686C">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罐异味经过喷淋塔喷淋后经15m排气筒排放。</w:t>
            </w:r>
          </w:p>
        </w:tc>
        <w:tc>
          <w:tcPr>
            <w:tcW w:w="1527" w:type="dxa"/>
            <w:tcBorders>
              <w:tl2br w:val="nil"/>
              <w:tr2bl w:val="nil"/>
            </w:tcBorders>
            <w:noWrap w:val="0"/>
            <w:vAlign w:val="center"/>
          </w:tcPr>
          <w:p w14:paraId="10D696E0">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lang w:val="en-US" w:eastAsia="zh-CN"/>
              </w:rPr>
              <w:t>2个，二期建2个</w:t>
            </w:r>
          </w:p>
        </w:tc>
      </w:tr>
      <w:tr w14:paraId="62EA3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79129334">
            <w:pPr>
              <w:jc w:val="center"/>
              <w:rPr>
                <w:rFonts w:hint="eastAsia" w:ascii="Times New Roman" w:hAnsi="Times New Roman" w:eastAsia="宋体" w:cs="Times New Roman"/>
                <w:b w:val="0"/>
                <w:bCs w:val="0"/>
                <w:sz w:val="21"/>
                <w:szCs w:val="21"/>
              </w:rPr>
            </w:pPr>
          </w:p>
        </w:tc>
        <w:tc>
          <w:tcPr>
            <w:tcW w:w="2385" w:type="dxa"/>
            <w:gridSpan w:val="2"/>
            <w:vMerge w:val="continue"/>
            <w:tcBorders>
              <w:tl2br w:val="nil"/>
              <w:tr2bl w:val="nil"/>
            </w:tcBorders>
            <w:noWrap w:val="0"/>
            <w:vAlign w:val="center"/>
          </w:tcPr>
          <w:p w14:paraId="684CA782">
            <w:pPr>
              <w:jc w:val="center"/>
              <w:rPr>
                <w:rFonts w:hint="eastAsia" w:ascii="Times New Roman" w:hAnsi="Times New Roman" w:eastAsia="宋体" w:cs="Times New Roman"/>
                <w:b w:val="0"/>
                <w:bCs w:val="0"/>
                <w:sz w:val="21"/>
                <w:szCs w:val="21"/>
                <w:lang w:val="zh-CN"/>
              </w:rPr>
            </w:pPr>
          </w:p>
        </w:tc>
        <w:tc>
          <w:tcPr>
            <w:tcW w:w="4756" w:type="dxa"/>
            <w:tcBorders>
              <w:tl2br w:val="nil"/>
              <w:tr2bl w:val="nil"/>
            </w:tcBorders>
            <w:noWrap w:val="0"/>
            <w:vAlign w:val="center"/>
          </w:tcPr>
          <w:p w14:paraId="1DF35EB2">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DDGS饲料干燥车间恶臭经过喷淋塔喷淋后再通过冷凝、除雾、等离子净化后通过18m高排气筒排放。</w:t>
            </w:r>
          </w:p>
        </w:tc>
        <w:tc>
          <w:tcPr>
            <w:tcW w:w="1527" w:type="dxa"/>
            <w:tcBorders>
              <w:tl2br w:val="nil"/>
              <w:tr2bl w:val="nil"/>
            </w:tcBorders>
            <w:noWrap w:val="0"/>
            <w:vAlign w:val="center"/>
          </w:tcPr>
          <w:p w14:paraId="1DD75553">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r>
              <w:rPr>
                <w:rFonts w:hint="eastAsia" w:ascii="Times New Roman" w:hAnsi="Times New Roman" w:eastAsia="宋体" w:cs="Times New Roman"/>
                <w:b w:val="0"/>
                <w:bCs w:val="0"/>
                <w:sz w:val="21"/>
                <w:szCs w:val="21"/>
                <w:lang w:val="en-US" w:eastAsia="zh-CN"/>
              </w:rPr>
              <w:t>4个，二期建2个</w:t>
            </w:r>
          </w:p>
        </w:tc>
      </w:tr>
      <w:tr w14:paraId="62C11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21EC0E4E">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07CAD686">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贮煤场抑尘</w:t>
            </w:r>
          </w:p>
        </w:tc>
        <w:tc>
          <w:tcPr>
            <w:tcW w:w="4756" w:type="dxa"/>
            <w:tcBorders>
              <w:tl2br w:val="nil"/>
              <w:tr2bl w:val="nil"/>
            </w:tcBorders>
            <w:noWrap w:val="0"/>
            <w:vAlign w:val="center"/>
          </w:tcPr>
          <w:p w14:paraId="652EAE57">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贮煤场采用防风抑尘网封闭建筑，并喷水抑尘</w:t>
            </w:r>
          </w:p>
        </w:tc>
        <w:tc>
          <w:tcPr>
            <w:tcW w:w="1527" w:type="dxa"/>
            <w:tcBorders>
              <w:tl2br w:val="nil"/>
              <w:tr2bl w:val="nil"/>
            </w:tcBorders>
            <w:noWrap w:val="0"/>
            <w:vAlign w:val="center"/>
          </w:tcPr>
          <w:p w14:paraId="41E22AED">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198E9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2A6DBFB5">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70CA142F">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石灰石粉仓</w:t>
            </w:r>
            <w:r>
              <w:rPr>
                <w:rFonts w:hint="eastAsia" w:ascii="Times New Roman" w:hAnsi="Times New Roman" w:eastAsia="宋体" w:cs="Times New Roman"/>
                <w:b w:val="0"/>
                <w:bCs w:val="0"/>
                <w:sz w:val="21"/>
                <w:szCs w:val="21"/>
                <w:lang w:val="en-US" w:eastAsia="zh-CN"/>
              </w:rPr>
              <w:t>抑尘</w:t>
            </w:r>
          </w:p>
        </w:tc>
        <w:tc>
          <w:tcPr>
            <w:tcW w:w="4756" w:type="dxa"/>
            <w:tcBorders>
              <w:tl2br w:val="nil"/>
              <w:tr2bl w:val="nil"/>
            </w:tcBorders>
            <w:noWrap w:val="0"/>
            <w:vAlign w:val="center"/>
          </w:tcPr>
          <w:p w14:paraId="35C80796">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石灰石粉</w:t>
            </w:r>
            <w:r>
              <w:rPr>
                <w:rFonts w:hint="eastAsia" w:ascii="Times New Roman" w:hAnsi="Times New Roman" w:eastAsia="宋体" w:cs="Times New Roman"/>
                <w:b w:val="0"/>
                <w:bCs w:val="0"/>
                <w:sz w:val="21"/>
                <w:szCs w:val="21"/>
                <w:lang w:val="en-US" w:eastAsia="zh-CN"/>
              </w:rPr>
              <w:t>仓采用钢结构封闭建筑</w:t>
            </w:r>
          </w:p>
        </w:tc>
        <w:tc>
          <w:tcPr>
            <w:tcW w:w="1527" w:type="dxa"/>
            <w:tcBorders>
              <w:tl2br w:val="nil"/>
              <w:tr2bl w:val="nil"/>
            </w:tcBorders>
            <w:noWrap w:val="0"/>
            <w:vAlign w:val="center"/>
          </w:tcPr>
          <w:p w14:paraId="7F450DB7">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7668E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3789415C">
            <w:pPr>
              <w:jc w:val="center"/>
              <w:rPr>
                <w:rFonts w:hint="eastAsia" w:ascii="Times New Roman" w:hAnsi="Times New Roman" w:eastAsia="宋体" w:cs="Times New Roman"/>
                <w:b w:val="0"/>
                <w:bCs w:val="0"/>
                <w:sz w:val="21"/>
                <w:szCs w:val="21"/>
              </w:rPr>
            </w:pPr>
          </w:p>
        </w:tc>
        <w:tc>
          <w:tcPr>
            <w:tcW w:w="2385" w:type="dxa"/>
            <w:gridSpan w:val="2"/>
            <w:vMerge w:val="restart"/>
            <w:tcBorders>
              <w:tl2br w:val="nil"/>
              <w:tr2bl w:val="nil"/>
            </w:tcBorders>
            <w:noWrap w:val="0"/>
            <w:vAlign w:val="center"/>
          </w:tcPr>
          <w:p w14:paraId="429C1110">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地下水措施</w:t>
            </w:r>
          </w:p>
        </w:tc>
        <w:tc>
          <w:tcPr>
            <w:tcW w:w="4756" w:type="dxa"/>
            <w:tcBorders>
              <w:tl2br w:val="nil"/>
              <w:tr2bl w:val="nil"/>
            </w:tcBorders>
            <w:noWrap w:val="0"/>
            <w:vAlign w:val="center"/>
          </w:tcPr>
          <w:p w14:paraId="29E63977">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污水处理站、事故池、锅炉房、</w:t>
            </w:r>
            <w:r>
              <w:rPr>
                <w:rFonts w:hint="eastAsia" w:cs="Times New Roman"/>
                <w:b w:val="0"/>
                <w:bCs w:val="0"/>
                <w:sz w:val="21"/>
                <w:szCs w:val="21"/>
                <w:lang w:val="zh-CN"/>
              </w:rPr>
              <w:t>危险废物贮存间</w:t>
            </w:r>
            <w:r>
              <w:rPr>
                <w:rFonts w:hint="eastAsia" w:ascii="Times New Roman" w:hAnsi="Times New Roman" w:eastAsia="宋体" w:cs="Times New Roman"/>
                <w:b w:val="0"/>
                <w:bCs w:val="0"/>
                <w:sz w:val="21"/>
                <w:szCs w:val="21"/>
                <w:lang w:val="zh-CN"/>
              </w:rPr>
              <w:t>为一般防渗区，地面渗透系数K≤1.0×10-7cm/s污染区域，防渗材料根据不同的工况条件可选用粘土、水泥基渗透结晶型防水涂料或人工合成材料高密度聚乙烯HDPE土工膜。</w:t>
            </w:r>
          </w:p>
        </w:tc>
        <w:tc>
          <w:tcPr>
            <w:tcW w:w="1527" w:type="dxa"/>
            <w:tcBorders>
              <w:tl2br w:val="nil"/>
              <w:tr2bl w:val="nil"/>
            </w:tcBorders>
            <w:noWrap w:val="0"/>
            <w:vAlign w:val="center"/>
          </w:tcPr>
          <w:p w14:paraId="27DA5DC1">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611DB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0C25DCE3">
            <w:pPr>
              <w:jc w:val="center"/>
              <w:rPr>
                <w:rFonts w:hint="eastAsia" w:ascii="Times New Roman" w:hAnsi="Times New Roman" w:eastAsia="宋体" w:cs="Times New Roman"/>
                <w:b w:val="0"/>
                <w:bCs w:val="0"/>
                <w:sz w:val="21"/>
                <w:szCs w:val="21"/>
              </w:rPr>
            </w:pPr>
          </w:p>
        </w:tc>
        <w:tc>
          <w:tcPr>
            <w:tcW w:w="2385" w:type="dxa"/>
            <w:gridSpan w:val="2"/>
            <w:vMerge w:val="continue"/>
            <w:tcBorders>
              <w:tl2br w:val="nil"/>
              <w:tr2bl w:val="nil"/>
            </w:tcBorders>
            <w:noWrap w:val="0"/>
            <w:vAlign w:val="center"/>
          </w:tcPr>
          <w:p w14:paraId="6C3302D8">
            <w:pPr>
              <w:jc w:val="center"/>
              <w:rPr>
                <w:rFonts w:hint="eastAsia" w:ascii="Times New Roman" w:hAnsi="Times New Roman" w:eastAsia="宋体" w:cs="Times New Roman"/>
                <w:b w:val="0"/>
                <w:bCs w:val="0"/>
                <w:sz w:val="21"/>
                <w:szCs w:val="21"/>
                <w:lang w:val="zh-CN"/>
              </w:rPr>
            </w:pPr>
          </w:p>
        </w:tc>
        <w:tc>
          <w:tcPr>
            <w:tcW w:w="4756" w:type="dxa"/>
            <w:tcBorders>
              <w:tl2br w:val="nil"/>
              <w:tr2bl w:val="nil"/>
            </w:tcBorders>
            <w:noWrap w:val="0"/>
            <w:vAlign w:val="center"/>
          </w:tcPr>
          <w:p w14:paraId="44C75B4E">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生产车间和贮存区为简单防渗区，地面做硬化处理。</w:t>
            </w:r>
          </w:p>
        </w:tc>
        <w:tc>
          <w:tcPr>
            <w:tcW w:w="1527" w:type="dxa"/>
            <w:tcBorders>
              <w:tl2br w:val="nil"/>
              <w:tr2bl w:val="nil"/>
            </w:tcBorders>
            <w:noWrap w:val="0"/>
            <w:vAlign w:val="center"/>
          </w:tcPr>
          <w:p w14:paraId="1467CB61">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75058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42A33109">
            <w:pPr>
              <w:jc w:val="center"/>
              <w:rPr>
                <w:rFonts w:hint="eastAsia" w:ascii="Times New Roman" w:hAnsi="Times New Roman" w:eastAsia="宋体" w:cs="Times New Roman"/>
                <w:b w:val="0"/>
                <w:bCs w:val="0"/>
                <w:sz w:val="21"/>
                <w:szCs w:val="21"/>
              </w:rPr>
            </w:pPr>
          </w:p>
        </w:tc>
        <w:tc>
          <w:tcPr>
            <w:tcW w:w="2385" w:type="dxa"/>
            <w:gridSpan w:val="2"/>
            <w:vMerge w:val="continue"/>
            <w:tcBorders>
              <w:tl2br w:val="nil"/>
              <w:tr2bl w:val="nil"/>
            </w:tcBorders>
            <w:noWrap w:val="0"/>
            <w:vAlign w:val="center"/>
          </w:tcPr>
          <w:p w14:paraId="03D8C2ED">
            <w:pPr>
              <w:jc w:val="center"/>
              <w:rPr>
                <w:rFonts w:hint="eastAsia" w:ascii="Times New Roman" w:hAnsi="Times New Roman" w:eastAsia="宋体" w:cs="Times New Roman"/>
                <w:b w:val="0"/>
                <w:bCs w:val="0"/>
                <w:sz w:val="21"/>
                <w:szCs w:val="21"/>
                <w:lang w:val="zh-CN"/>
              </w:rPr>
            </w:pPr>
          </w:p>
        </w:tc>
        <w:tc>
          <w:tcPr>
            <w:tcW w:w="4756" w:type="dxa"/>
            <w:tcBorders>
              <w:tl2br w:val="nil"/>
              <w:tr2bl w:val="nil"/>
            </w:tcBorders>
            <w:noWrap w:val="0"/>
            <w:vAlign w:val="center"/>
          </w:tcPr>
          <w:p w14:paraId="66CCF588">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成品罐附近地面均要求设立围堰，对成品罐相关地面围堰周围设立排水沟</w:t>
            </w:r>
          </w:p>
        </w:tc>
        <w:tc>
          <w:tcPr>
            <w:tcW w:w="1527" w:type="dxa"/>
            <w:tcBorders>
              <w:tl2br w:val="nil"/>
              <w:tr2bl w:val="nil"/>
            </w:tcBorders>
            <w:noWrap w:val="0"/>
            <w:vAlign w:val="center"/>
          </w:tcPr>
          <w:p w14:paraId="7663D12A">
            <w:pPr>
              <w:jc w:val="center"/>
              <w:rPr>
                <w:rFonts w:hint="eastAsia" w:ascii="Times New Roman" w:hAnsi="Times New Roman" w:eastAsia="宋体" w:cs="Times New Roman"/>
                <w:b w:val="0"/>
                <w:bCs w:val="0"/>
                <w:sz w:val="21"/>
                <w:szCs w:val="21"/>
              </w:rPr>
            </w:pPr>
          </w:p>
        </w:tc>
      </w:tr>
      <w:tr w14:paraId="69B63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3B89BBE2">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6653C660">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事故池</w:t>
            </w:r>
          </w:p>
        </w:tc>
        <w:tc>
          <w:tcPr>
            <w:tcW w:w="4756" w:type="dxa"/>
            <w:tcBorders>
              <w:tl2br w:val="nil"/>
              <w:tr2bl w:val="nil"/>
            </w:tcBorders>
            <w:noWrap w:val="0"/>
            <w:vAlign w:val="center"/>
          </w:tcPr>
          <w:p w14:paraId="6A5A345E">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建一座</w:t>
            </w:r>
            <w:r>
              <w:rPr>
                <w:rFonts w:hint="eastAsia" w:ascii="Times New Roman" w:hAnsi="Times New Roman" w:eastAsia="宋体" w:cs="Times New Roman"/>
                <w:b w:val="0"/>
                <w:bCs w:val="0"/>
                <w:sz w:val="21"/>
                <w:szCs w:val="21"/>
                <w:lang w:eastAsia="zh-CN"/>
              </w:rPr>
              <w:t>5000</w:t>
            </w:r>
            <w:r>
              <w:rPr>
                <w:rFonts w:hint="eastAsia" w:ascii="Times New Roman" w:hAnsi="Times New Roman" w:eastAsia="宋体" w:cs="Times New Roman"/>
                <w:b w:val="0"/>
                <w:bCs w:val="0"/>
                <w:sz w:val="21"/>
                <w:szCs w:val="21"/>
                <w:lang w:val="zh-CN"/>
              </w:rPr>
              <w:t>m3事故池一座</w:t>
            </w:r>
          </w:p>
        </w:tc>
        <w:tc>
          <w:tcPr>
            <w:tcW w:w="1527" w:type="dxa"/>
            <w:tcBorders>
              <w:tl2br w:val="nil"/>
              <w:tr2bl w:val="nil"/>
            </w:tcBorders>
            <w:noWrap w:val="0"/>
            <w:vAlign w:val="center"/>
          </w:tcPr>
          <w:p w14:paraId="43CD9E81">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0C5A2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7DF0FB7E">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4543B3F1">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rPr>
              <w:t>固体废物</w:t>
            </w:r>
          </w:p>
        </w:tc>
        <w:tc>
          <w:tcPr>
            <w:tcW w:w="4756" w:type="dxa"/>
            <w:tcBorders>
              <w:tl2br w:val="nil"/>
              <w:tr2bl w:val="nil"/>
            </w:tcBorders>
            <w:noWrap w:val="0"/>
            <w:vAlign w:val="center"/>
          </w:tcPr>
          <w:p w14:paraId="77E0D4BB">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lang w:val="zh-CN"/>
              </w:rPr>
              <w:t>玉米皮等杂质和生活垃圾、污水处理站污泥统一收集后由天津四季环保科技有限公司黑龙江省分公司处理；废活性炭、废树脂、釜渣（塔底废物）、化验室废液和污水处理站在线监测废液属于危险废物，暂存在</w:t>
            </w:r>
            <w:r>
              <w:rPr>
                <w:rFonts w:hint="eastAsia" w:cs="Times New Roman"/>
                <w:b w:val="0"/>
                <w:bCs w:val="0"/>
                <w:sz w:val="21"/>
                <w:szCs w:val="21"/>
                <w:lang w:val="zh-CN"/>
              </w:rPr>
              <w:t>危险废物贮存间</w:t>
            </w:r>
            <w:r>
              <w:rPr>
                <w:rFonts w:hint="eastAsia" w:ascii="Times New Roman" w:hAnsi="Times New Roman" w:eastAsia="宋体" w:cs="Times New Roman"/>
                <w:b w:val="0"/>
                <w:bCs w:val="0"/>
                <w:sz w:val="21"/>
                <w:szCs w:val="21"/>
                <w:lang w:val="zh-CN"/>
              </w:rPr>
              <w:t>后交由黑龙江天爱优创科技有限公司处置。沼气净化用脱硫剂由长葛市万通催化剂有限公司回收。</w:t>
            </w:r>
          </w:p>
        </w:tc>
        <w:tc>
          <w:tcPr>
            <w:tcW w:w="1527" w:type="dxa"/>
            <w:tcBorders>
              <w:tl2br w:val="nil"/>
              <w:tr2bl w:val="nil"/>
            </w:tcBorders>
            <w:noWrap w:val="0"/>
            <w:vAlign w:val="center"/>
          </w:tcPr>
          <w:p w14:paraId="5E4CCA58">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11D6F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3004AC58">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13CDF24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rPr>
              <w:t>计算机控制</w:t>
            </w:r>
          </w:p>
        </w:tc>
        <w:tc>
          <w:tcPr>
            <w:tcW w:w="4756" w:type="dxa"/>
            <w:tcBorders>
              <w:tl2br w:val="nil"/>
              <w:tr2bl w:val="nil"/>
            </w:tcBorders>
            <w:noWrap w:val="0"/>
            <w:vAlign w:val="center"/>
          </w:tcPr>
          <w:p w14:paraId="29E082F4">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锅炉房安装烟气在线监测系统</w:t>
            </w:r>
          </w:p>
          <w:p w14:paraId="75C55B12">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污水处理站安装在线监测系统</w:t>
            </w:r>
          </w:p>
        </w:tc>
        <w:tc>
          <w:tcPr>
            <w:tcW w:w="1527" w:type="dxa"/>
            <w:tcBorders>
              <w:tl2br w:val="nil"/>
              <w:tr2bl w:val="nil"/>
            </w:tcBorders>
            <w:noWrap w:val="0"/>
            <w:vAlign w:val="center"/>
          </w:tcPr>
          <w:p w14:paraId="2444742D">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r w14:paraId="18801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70" w:type="dxa"/>
            <w:vMerge w:val="continue"/>
            <w:tcBorders>
              <w:tl2br w:val="nil"/>
              <w:tr2bl w:val="nil"/>
            </w:tcBorders>
            <w:noWrap w:val="0"/>
            <w:vAlign w:val="center"/>
          </w:tcPr>
          <w:p w14:paraId="2772EE10">
            <w:pPr>
              <w:jc w:val="center"/>
              <w:rPr>
                <w:rFonts w:hint="eastAsia" w:ascii="Times New Roman" w:hAnsi="Times New Roman" w:eastAsia="宋体" w:cs="Times New Roman"/>
                <w:b w:val="0"/>
                <w:bCs w:val="0"/>
                <w:sz w:val="21"/>
                <w:szCs w:val="21"/>
              </w:rPr>
            </w:pPr>
          </w:p>
        </w:tc>
        <w:tc>
          <w:tcPr>
            <w:tcW w:w="2385" w:type="dxa"/>
            <w:gridSpan w:val="2"/>
            <w:tcBorders>
              <w:tl2br w:val="nil"/>
              <w:tr2bl w:val="nil"/>
            </w:tcBorders>
            <w:noWrap w:val="0"/>
            <w:vAlign w:val="center"/>
          </w:tcPr>
          <w:p w14:paraId="337D4E31">
            <w:pPr>
              <w:jc w:val="center"/>
              <w:rPr>
                <w:rFonts w:hint="eastAsia" w:ascii="Times New Roman" w:hAnsi="Times New Roman" w:eastAsia="宋体" w:cs="Times New Roman"/>
                <w:b w:val="0"/>
                <w:bCs w:val="0"/>
                <w:sz w:val="21"/>
                <w:szCs w:val="21"/>
              </w:rPr>
            </w:pPr>
            <w:r>
              <w:rPr>
                <w:rFonts w:hint="eastAsia" w:ascii="Times New Roman" w:hAnsi="Times New Roman" w:eastAsia="宋体" w:cs="Times New Roman"/>
                <w:b w:val="0"/>
                <w:bCs w:val="0"/>
                <w:sz w:val="21"/>
                <w:szCs w:val="21"/>
                <w:lang w:val="zh-CN"/>
              </w:rPr>
              <w:t>烟囱</w:t>
            </w:r>
          </w:p>
        </w:tc>
        <w:tc>
          <w:tcPr>
            <w:tcW w:w="4756" w:type="dxa"/>
            <w:tcBorders>
              <w:tl2br w:val="nil"/>
              <w:tr2bl w:val="nil"/>
            </w:tcBorders>
            <w:noWrap w:val="0"/>
            <w:vAlign w:val="center"/>
          </w:tcPr>
          <w:p w14:paraId="4B61FF97">
            <w:pPr>
              <w:jc w:val="center"/>
              <w:rPr>
                <w:rFonts w:hint="eastAsia" w:ascii="Times New Roman" w:hAnsi="Times New Roman" w:eastAsia="宋体" w:cs="Times New Roman"/>
                <w:b w:val="0"/>
                <w:bCs w:val="0"/>
                <w:sz w:val="21"/>
                <w:szCs w:val="21"/>
                <w:lang w:val="zh-CN"/>
              </w:rPr>
            </w:pPr>
            <w:r>
              <w:rPr>
                <w:rFonts w:hint="eastAsia" w:ascii="Times New Roman" w:hAnsi="Times New Roman" w:eastAsia="宋体" w:cs="Times New Roman"/>
                <w:b w:val="0"/>
                <w:bCs w:val="0"/>
                <w:sz w:val="21"/>
                <w:szCs w:val="21"/>
              </w:rPr>
              <w:t>1</w:t>
            </w:r>
            <w:r>
              <w:rPr>
                <w:rFonts w:hint="eastAsia" w:ascii="Times New Roman" w:hAnsi="Times New Roman" w:eastAsia="宋体" w:cs="Times New Roman"/>
                <w:b w:val="0"/>
                <w:bCs w:val="0"/>
                <w:sz w:val="21"/>
                <w:szCs w:val="21"/>
                <w:lang w:val="en-US" w:eastAsia="zh-CN"/>
              </w:rPr>
              <w:t>1</w:t>
            </w:r>
            <w:r>
              <w:rPr>
                <w:rFonts w:hint="eastAsia" w:ascii="Times New Roman" w:hAnsi="Times New Roman" w:eastAsia="宋体" w:cs="Times New Roman"/>
                <w:b w:val="0"/>
                <w:bCs w:val="0"/>
                <w:sz w:val="21"/>
                <w:szCs w:val="21"/>
              </w:rPr>
              <w:t>0</w:t>
            </w:r>
            <w:r>
              <w:rPr>
                <w:rFonts w:hint="eastAsia" w:ascii="Times New Roman" w:hAnsi="Times New Roman" w:eastAsia="宋体" w:cs="Times New Roman"/>
                <w:b w:val="0"/>
                <w:bCs w:val="0"/>
                <w:sz w:val="21"/>
                <w:szCs w:val="21"/>
                <w:lang w:val="zh-CN"/>
              </w:rPr>
              <w:t>m高，内径3.</w:t>
            </w:r>
            <w:r>
              <w:rPr>
                <w:rFonts w:hint="eastAsia" w:ascii="Times New Roman" w:hAnsi="Times New Roman" w:eastAsia="宋体" w:cs="Times New Roman"/>
                <w:b w:val="0"/>
                <w:bCs w:val="0"/>
                <w:sz w:val="21"/>
                <w:szCs w:val="21"/>
              </w:rPr>
              <w:t>5</w:t>
            </w:r>
            <w:r>
              <w:rPr>
                <w:rFonts w:hint="eastAsia" w:ascii="Times New Roman" w:hAnsi="Times New Roman" w:eastAsia="宋体" w:cs="Times New Roman"/>
                <w:b w:val="0"/>
                <w:bCs w:val="0"/>
                <w:sz w:val="21"/>
                <w:szCs w:val="21"/>
                <w:lang w:val="zh-CN"/>
              </w:rPr>
              <w:t>m</w:t>
            </w:r>
          </w:p>
        </w:tc>
        <w:tc>
          <w:tcPr>
            <w:tcW w:w="1527" w:type="dxa"/>
            <w:tcBorders>
              <w:tl2br w:val="nil"/>
              <w:tr2bl w:val="nil"/>
            </w:tcBorders>
            <w:noWrap w:val="0"/>
            <w:vAlign w:val="center"/>
          </w:tcPr>
          <w:p w14:paraId="48AD7DFA">
            <w:pPr>
              <w:jc w:val="center"/>
              <w:rPr>
                <w:rFonts w:hint="eastAsia" w:ascii="Times New Roman" w:hAnsi="Times New Roman" w:eastAsia="宋体" w:cs="Times New Roman"/>
                <w:b w:val="0"/>
                <w:bCs w:val="0"/>
                <w:sz w:val="21"/>
                <w:szCs w:val="21"/>
                <w:lang w:eastAsia="zh-CN"/>
              </w:rPr>
            </w:pPr>
            <w:r>
              <w:rPr>
                <w:rFonts w:hint="eastAsia" w:ascii="Times New Roman" w:hAnsi="Times New Roman" w:eastAsia="宋体" w:cs="Times New Roman"/>
                <w:b w:val="0"/>
                <w:bCs w:val="0"/>
                <w:sz w:val="21"/>
                <w:szCs w:val="21"/>
              </w:rPr>
              <w:t>一期</w:t>
            </w:r>
            <w:r>
              <w:rPr>
                <w:rFonts w:hint="eastAsia" w:ascii="Times New Roman" w:hAnsi="Times New Roman" w:eastAsia="宋体" w:cs="Times New Roman"/>
                <w:b w:val="0"/>
                <w:bCs w:val="0"/>
                <w:sz w:val="21"/>
                <w:szCs w:val="21"/>
                <w:lang w:eastAsia="zh-CN"/>
              </w:rPr>
              <w:t>建</w:t>
            </w:r>
          </w:p>
        </w:tc>
      </w:tr>
    </w:tbl>
    <w:p w14:paraId="7329D757">
      <w:pPr>
        <w:spacing w:line="360" w:lineRule="auto"/>
        <w:jc w:val="center"/>
        <w:rPr>
          <w:b/>
          <w:bCs/>
        </w:rPr>
      </w:pPr>
      <w:bookmarkStart w:id="184" w:name="OLE_LINK3"/>
      <w:r>
        <w:rPr>
          <w:b/>
          <w:bCs/>
        </w:rPr>
        <w:t xml:space="preserve">表3.1-2  </w:t>
      </w:r>
      <w:r>
        <w:rPr>
          <w:rFonts w:hint="eastAsia"/>
          <w:b/>
          <w:bCs/>
          <w:lang w:eastAsia="zh-CN"/>
        </w:rPr>
        <w:t>现有工程</w:t>
      </w:r>
      <w:r>
        <w:rPr>
          <w:b/>
          <w:bCs/>
        </w:rPr>
        <w:t>情况一览表</w:t>
      </w:r>
    </w:p>
    <w:tbl>
      <w:tblPr>
        <w:tblStyle w:val="53"/>
        <w:tblW w:w="51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0"/>
        <w:gridCol w:w="1205"/>
        <w:gridCol w:w="1139"/>
        <w:gridCol w:w="1566"/>
        <w:gridCol w:w="1581"/>
        <w:gridCol w:w="1401"/>
        <w:gridCol w:w="1446"/>
      </w:tblGrid>
      <w:tr w14:paraId="2CB4D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0" w:hRule="atLeast"/>
          <w:jc w:val="center"/>
        </w:trPr>
        <w:tc>
          <w:tcPr>
            <w:tcW w:w="540" w:type="pct"/>
            <w:tcBorders>
              <w:tl2br w:val="nil"/>
              <w:tr2bl w:val="nil"/>
            </w:tcBorders>
            <w:vAlign w:val="center"/>
          </w:tcPr>
          <w:p w14:paraId="5CEE89D0">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项目文号</w:t>
            </w:r>
          </w:p>
        </w:tc>
        <w:tc>
          <w:tcPr>
            <w:tcW w:w="1253" w:type="pct"/>
            <w:gridSpan w:val="2"/>
            <w:tcBorders>
              <w:tl2br w:val="nil"/>
              <w:tr2bl w:val="nil"/>
            </w:tcBorders>
            <w:vAlign w:val="center"/>
          </w:tcPr>
          <w:p w14:paraId="293C7753">
            <w:pPr>
              <w:jc w:val="center"/>
              <w:rPr>
                <w:rFonts w:hint="eastAsia"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齐环行审[2017] 50号</w:t>
            </w:r>
          </w:p>
        </w:tc>
        <w:tc>
          <w:tcPr>
            <w:tcW w:w="837" w:type="pct"/>
            <w:tcBorders>
              <w:tl2br w:val="nil"/>
              <w:tr2bl w:val="nil"/>
            </w:tcBorders>
            <w:vAlign w:val="center"/>
          </w:tcPr>
          <w:p w14:paraId="1E74CA99">
            <w:pPr>
              <w:jc w:val="center"/>
              <w:rPr>
                <w:rFonts w:hint="eastAsia"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讷环行审[2022]12号</w:t>
            </w:r>
          </w:p>
        </w:tc>
        <w:tc>
          <w:tcPr>
            <w:tcW w:w="845" w:type="pct"/>
            <w:tcBorders>
              <w:tl2br w:val="nil"/>
              <w:tr2bl w:val="nil"/>
            </w:tcBorders>
            <w:vAlign w:val="center"/>
          </w:tcPr>
          <w:p w14:paraId="3CEAB9C6">
            <w:pPr>
              <w:jc w:val="center"/>
              <w:rPr>
                <w:rFonts w:hint="eastAsia"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讷环行审[2022]21号</w:t>
            </w:r>
          </w:p>
        </w:tc>
        <w:tc>
          <w:tcPr>
            <w:tcW w:w="749" w:type="pct"/>
            <w:tcBorders>
              <w:tl2br w:val="nil"/>
              <w:tr2bl w:val="nil"/>
            </w:tcBorders>
            <w:vAlign w:val="center"/>
          </w:tcPr>
          <w:p w14:paraId="4F1A063B">
            <w:pPr>
              <w:jc w:val="center"/>
              <w:rPr>
                <w:rFonts w:hint="eastAsia"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讷环行审</w:t>
            </w:r>
            <w:r>
              <w:rPr>
                <w:rFonts w:hint="eastAsia" w:ascii="Times New Roman" w:hAnsi="Times New Roman" w:cs="Times New Roman"/>
                <w:b w:val="0"/>
                <w:bCs w:val="0"/>
                <w:sz w:val="21"/>
                <w:szCs w:val="21"/>
                <w:lang w:eastAsia="zh-CN"/>
              </w:rPr>
              <w:t>[20</w:t>
            </w:r>
            <w:r>
              <w:rPr>
                <w:rFonts w:hint="eastAsia" w:ascii="Times New Roman" w:hAnsi="Times New Roman" w:cs="Times New Roman"/>
                <w:b w:val="0"/>
                <w:bCs w:val="0"/>
                <w:sz w:val="21"/>
                <w:szCs w:val="21"/>
                <w:lang w:val="en-US" w:eastAsia="zh-CN"/>
              </w:rPr>
              <w:t>23</w:t>
            </w:r>
            <w:r>
              <w:rPr>
                <w:rFonts w:hint="eastAsia" w:ascii="Times New Roman" w:hAnsi="Times New Roman" w:cs="Times New Roman"/>
                <w:b w:val="0"/>
                <w:bCs w:val="0"/>
                <w:sz w:val="21"/>
                <w:szCs w:val="21"/>
                <w:lang w:eastAsia="zh-CN"/>
              </w:rPr>
              <w:t xml:space="preserve">] </w:t>
            </w:r>
            <w:r>
              <w:rPr>
                <w:rFonts w:hint="default" w:ascii="Times New Roman" w:hAnsi="Times New Roman" w:cs="Times New Roman"/>
                <w:b w:val="0"/>
                <w:bCs w:val="0"/>
                <w:sz w:val="21"/>
                <w:szCs w:val="21"/>
                <w:lang w:val="en-US" w:eastAsia="zh-CN"/>
              </w:rPr>
              <w:t>9号</w:t>
            </w:r>
          </w:p>
        </w:tc>
        <w:tc>
          <w:tcPr>
            <w:tcW w:w="772" w:type="pct"/>
            <w:tcBorders>
              <w:tl2br w:val="nil"/>
              <w:tr2bl w:val="nil"/>
            </w:tcBorders>
            <w:vAlign w:val="center"/>
          </w:tcPr>
          <w:p w14:paraId="420B8303">
            <w:pPr>
              <w:jc w:val="center"/>
              <w:rPr>
                <w:rFonts w:hint="eastAsia"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讷环行审[20</w:t>
            </w:r>
            <w:r>
              <w:rPr>
                <w:rFonts w:hint="eastAsia" w:ascii="Times New Roman" w:hAnsi="Times New Roman" w:cs="Times New Roman"/>
                <w:b w:val="0"/>
                <w:bCs w:val="0"/>
                <w:sz w:val="21"/>
                <w:szCs w:val="21"/>
                <w:lang w:val="en-US" w:eastAsia="zh-CN"/>
              </w:rPr>
              <w:t>25</w:t>
            </w:r>
            <w:r>
              <w:rPr>
                <w:rFonts w:hint="eastAsia" w:ascii="Times New Roman" w:hAnsi="Times New Roman" w:cs="Times New Roman"/>
                <w:b w:val="0"/>
                <w:bCs w:val="0"/>
                <w:sz w:val="21"/>
                <w:szCs w:val="21"/>
                <w:lang w:eastAsia="zh-CN"/>
              </w:rPr>
              <w:t>]3号</w:t>
            </w:r>
          </w:p>
        </w:tc>
      </w:tr>
      <w:tr w14:paraId="3C850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09" w:hRule="atLeast"/>
          <w:jc w:val="center"/>
        </w:trPr>
        <w:tc>
          <w:tcPr>
            <w:tcW w:w="540" w:type="pct"/>
            <w:tcBorders>
              <w:tl2br w:val="nil"/>
              <w:tr2bl w:val="nil"/>
            </w:tcBorders>
            <w:vAlign w:val="center"/>
          </w:tcPr>
          <w:p w14:paraId="34EE626C">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项目名称</w:t>
            </w:r>
          </w:p>
        </w:tc>
        <w:tc>
          <w:tcPr>
            <w:tcW w:w="1253" w:type="pct"/>
            <w:gridSpan w:val="2"/>
            <w:tcBorders>
              <w:tl2br w:val="nil"/>
              <w:tr2bl w:val="nil"/>
            </w:tcBorders>
            <w:vAlign w:val="center"/>
          </w:tcPr>
          <w:p w14:paraId="6EFF00AD">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年200万吨玉米深加工项目</w:t>
            </w:r>
          </w:p>
        </w:tc>
        <w:tc>
          <w:tcPr>
            <w:tcW w:w="837" w:type="pct"/>
            <w:tcBorders>
              <w:tl2br w:val="nil"/>
              <w:tr2bl w:val="nil"/>
            </w:tcBorders>
            <w:vAlign w:val="center"/>
          </w:tcPr>
          <w:p w14:paraId="7CB20F6A">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鸿展仓储物流项目</w:t>
            </w:r>
          </w:p>
        </w:tc>
        <w:tc>
          <w:tcPr>
            <w:tcW w:w="845" w:type="pct"/>
            <w:tcBorders>
              <w:tl2br w:val="nil"/>
              <w:tr2bl w:val="nil"/>
            </w:tcBorders>
            <w:vAlign w:val="center"/>
          </w:tcPr>
          <w:p w14:paraId="6B8EE4E7">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碳资源开发利用项目</w:t>
            </w:r>
          </w:p>
        </w:tc>
        <w:tc>
          <w:tcPr>
            <w:tcW w:w="749" w:type="pct"/>
            <w:tcBorders>
              <w:tl2br w:val="nil"/>
              <w:tr2bl w:val="nil"/>
            </w:tcBorders>
            <w:vAlign w:val="center"/>
          </w:tcPr>
          <w:p w14:paraId="5E0BB4FF">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黑龙江省齐齐哈尔市讷河市鸿展年10万吨脱胚、榨油项目</w:t>
            </w:r>
          </w:p>
        </w:tc>
        <w:tc>
          <w:tcPr>
            <w:tcW w:w="772" w:type="pct"/>
            <w:tcBorders>
              <w:tl2br w:val="nil"/>
              <w:tr2bl w:val="nil"/>
            </w:tcBorders>
            <w:vAlign w:val="center"/>
          </w:tcPr>
          <w:p w14:paraId="73543CF2">
            <w:pPr>
              <w:jc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黑龙江省齐齐哈尔市讷河市鸿展年10万吨脱胚、榨油项目（变更）</w:t>
            </w:r>
          </w:p>
        </w:tc>
      </w:tr>
      <w:tr w14:paraId="37156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39" w:hRule="atLeast"/>
          <w:jc w:val="center"/>
        </w:trPr>
        <w:tc>
          <w:tcPr>
            <w:tcW w:w="540" w:type="pct"/>
            <w:tcBorders>
              <w:tl2br w:val="nil"/>
              <w:tr2bl w:val="nil"/>
            </w:tcBorders>
            <w:vAlign w:val="center"/>
          </w:tcPr>
          <w:p w14:paraId="1D44AD23">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主体工程</w:t>
            </w:r>
          </w:p>
        </w:tc>
        <w:tc>
          <w:tcPr>
            <w:tcW w:w="644" w:type="pct"/>
            <w:tcBorders>
              <w:tl2br w:val="nil"/>
              <w:tr2bl w:val="nil"/>
            </w:tcBorders>
            <w:vAlign w:val="center"/>
          </w:tcPr>
          <w:p w14:paraId="592D5781">
            <w:pPr>
              <w:jc w:val="center"/>
              <w:rPr>
                <w:rFonts w:hint="default"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年产食用酒精3万吨、医药酒精15万吨、化妆品用酒精5万吨、电子级无水酒精7万吨，DDGS饲料2</w:t>
            </w:r>
            <w:r>
              <w:rPr>
                <w:rFonts w:hint="eastAsia" w:ascii="Times New Roman" w:hAnsi="Times New Roman" w:cs="Times New Roman"/>
                <w:b w:val="0"/>
                <w:bCs w:val="0"/>
                <w:sz w:val="21"/>
                <w:szCs w:val="21"/>
                <w:lang w:val="en-US" w:eastAsia="zh-CN"/>
              </w:rPr>
              <w:t>7</w:t>
            </w:r>
            <w:r>
              <w:rPr>
                <w:rFonts w:hint="eastAsia" w:ascii="Times New Roman" w:hAnsi="Times New Roman" w:cs="Times New Roman"/>
                <w:b w:val="0"/>
                <w:bCs w:val="0"/>
                <w:sz w:val="21"/>
                <w:szCs w:val="21"/>
                <w:lang w:eastAsia="zh-CN"/>
              </w:rPr>
              <w:t>万吨</w:t>
            </w:r>
          </w:p>
        </w:tc>
        <w:tc>
          <w:tcPr>
            <w:tcW w:w="609" w:type="pct"/>
            <w:tcBorders>
              <w:tl2br w:val="nil"/>
              <w:tr2bl w:val="nil"/>
            </w:tcBorders>
            <w:vAlign w:val="center"/>
          </w:tcPr>
          <w:p w14:paraId="01B8D52F">
            <w:pPr>
              <w:jc w:val="center"/>
              <w:rPr>
                <w:rFonts w:hint="default"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eastAsia="zh-CN"/>
              </w:rPr>
              <w:t>医药酒精15万吨、化妆品用酒精5万吨、电子级无水酒精10万吨，DDGS饲料2</w:t>
            </w:r>
            <w:r>
              <w:rPr>
                <w:rFonts w:hint="eastAsia" w:ascii="Times New Roman" w:hAnsi="Times New Roman" w:cs="Times New Roman"/>
                <w:b w:val="0"/>
                <w:bCs w:val="0"/>
                <w:sz w:val="21"/>
                <w:szCs w:val="21"/>
                <w:lang w:val="en-US" w:eastAsia="zh-CN"/>
              </w:rPr>
              <w:t>7</w:t>
            </w:r>
            <w:r>
              <w:rPr>
                <w:rFonts w:hint="eastAsia" w:ascii="Times New Roman" w:hAnsi="Times New Roman" w:cs="Times New Roman"/>
                <w:b w:val="0"/>
                <w:bCs w:val="0"/>
                <w:sz w:val="21"/>
                <w:szCs w:val="21"/>
                <w:lang w:eastAsia="zh-CN"/>
              </w:rPr>
              <w:t>万吨</w:t>
            </w:r>
          </w:p>
        </w:tc>
        <w:tc>
          <w:tcPr>
            <w:tcW w:w="837" w:type="pct"/>
            <w:tcBorders>
              <w:tl2br w:val="nil"/>
              <w:tr2bl w:val="nil"/>
            </w:tcBorders>
            <w:vAlign w:val="center"/>
          </w:tcPr>
          <w:p w14:paraId="0946638C">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新建两座</w:t>
            </w:r>
            <w:r>
              <w:rPr>
                <w:rFonts w:hint="default" w:ascii="Times New Roman" w:hAnsi="Times New Roman" w:eastAsia="宋体" w:cs="Times New Roman"/>
                <w:b w:val="0"/>
                <w:bCs w:val="0"/>
                <w:sz w:val="21"/>
                <w:szCs w:val="21"/>
                <w:lang w:val="en-US" w:eastAsia="zh-CN"/>
              </w:rPr>
              <w:t>能力1500t/d</w:t>
            </w:r>
            <w:r>
              <w:rPr>
                <w:rFonts w:hint="eastAsia" w:ascii="Times New Roman" w:hAnsi="Times New Roman" w:eastAsia="宋体" w:cs="Times New Roman"/>
                <w:b w:val="0"/>
                <w:bCs w:val="0"/>
                <w:sz w:val="21"/>
                <w:szCs w:val="21"/>
                <w:lang w:val="en-US" w:eastAsia="zh-CN"/>
              </w:rPr>
              <w:t>的</w:t>
            </w:r>
            <w:r>
              <w:rPr>
                <w:rFonts w:hint="default" w:ascii="Times New Roman" w:hAnsi="Times New Roman" w:eastAsia="宋体" w:cs="Times New Roman"/>
                <w:b w:val="0"/>
                <w:bCs w:val="0"/>
                <w:sz w:val="21"/>
                <w:szCs w:val="21"/>
                <w:lang w:val="en-US" w:eastAsia="zh-CN"/>
              </w:rPr>
              <w:t>烘干塔</w:t>
            </w:r>
            <w:r>
              <w:rPr>
                <w:rFonts w:hint="eastAsia" w:ascii="Times New Roman" w:hAnsi="Times New Roman" w:eastAsia="宋体" w:cs="Times New Roman"/>
                <w:b w:val="0"/>
                <w:bCs w:val="0"/>
                <w:sz w:val="21"/>
                <w:szCs w:val="21"/>
                <w:lang w:val="en-US" w:eastAsia="zh-CN"/>
              </w:rPr>
              <w:t>，项目建成后年</w:t>
            </w:r>
            <w:r>
              <w:rPr>
                <w:rFonts w:hint="default" w:ascii="Times New Roman" w:hAnsi="Times New Roman" w:eastAsia="宋体" w:cs="Times New Roman"/>
                <w:b w:val="0"/>
                <w:bCs w:val="0"/>
                <w:sz w:val="21"/>
                <w:szCs w:val="21"/>
                <w:lang w:val="en-US" w:eastAsia="zh-CN"/>
              </w:rPr>
              <w:t>储存</w:t>
            </w:r>
            <w:r>
              <w:rPr>
                <w:rFonts w:hint="eastAsia" w:ascii="Times New Roman" w:hAnsi="Times New Roman" w:eastAsia="宋体" w:cs="Times New Roman"/>
                <w:b w:val="0"/>
                <w:bCs w:val="0"/>
                <w:sz w:val="21"/>
                <w:szCs w:val="21"/>
                <w:lang w:val="en-US" w:eastAsia="zh-CN"/>
              </w:rPr>
              <w:t>能力为</w:t>
            </w:r>
            <w:r>
              <w:rPr>
                <w:rFonts w:hint="default" w:ascii="Times New Roman" w:hAnsi="Times New Roman" w:eastAsia="宋体" w:cs="Times New Roman"/>
                <w:b w:val="0"/>
                <w:bCs w:val="0"/>
                <w:sz w:val="21"/>
                <w:szCs w:val="21"/>
                <w:lang w:val="en-US" w:eastAsia="zh-CN"/>
              </w:rPr>
              <w:t>玉米40万吨、酒精13500m</w:t>
            </w:r>
            <w:r>
              <w:rPr>
                <w:rFonts w:hint="eastAsia" w:ascii="Times New Roman" w:hAnsi="Times New Roman" w:eastAsia="宋体" w:cs="Times New Roman"/>
                <w:b w:val="0"/>
                <w:bCs w:val="0"/>
                <w:sz w:val="21"/>
                <w:szCs w:val="21"/>
                <w:vertAlign w:val="superscript"/>
                <w:lang w:val="en-US" w:eastAsia="zh-CN"/>
              </w:rPr>
              <w:t>3</w:t>
            </w:r>
          </w:p>
        </w:tc>
        <w:tc>
          <w:tcPr>
            <w:tcW w:w="845" w:type="pct"/>
            <w:tcBorders>
              <w:tl2br w:val="nil"/>
              <w:tr2bl w:val="nil"/>
            </w:tcBorders>
            <w:vAlign w:val="center"/>
          </w:tcPr>
          <w:p w14:paraId="15215A36">
            <w:pPr>
              <w:jc w:val="center"/>
              <w:rPr>
                <w:rFonts w:hint="eastAsia"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发酵尾气进行回收综合利用，年产20万吨液化二氧化碳。</w:t>
            </w:r>
          </w:p>
        </w:tc>
        <w:tc>
          <w:tcPr>
            <w:tcW w:w="1522" w:type="pct"/>
            <w:gridSpan w:val="2"/>
            <w:tcBorders>
              <w:tl2br w:val="nil"/>
              <w:tr2bl w:val="nil"/>
            </w:tcBorders>
            <w:vAlign w:val="center"/>
          </w:tcPr>
          <w:p w14:paraId="037D498B">
            <w:pPr>
              <w:jc w:val="center"/>
              <w:rPr>
                <w:rFonts w:hint="default"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val="en-US" w:eastAsia="zh-CN"/>
              </w:rPr>
              <w:t>建成后</w:t>
            </w:r>
            <w:r>
              <w:rPr>
                <w:rFonts w:hint="default" w:ascii="Times New Roman" w:hAnsi="Times New Roman" w:cs="Times New Roman"/>
                <w:b w:val="0"/>
                <w:bCs w:val="0"/>
                <w:sz w:val="21"/>
                <w:szCs w:val="21"/>
                <w:lang w:val="en-US" w:eastAsia="zh-CN"/>
              </w:rPr>
              <w:t>年生产玉米毛油71775t/a，副产品：</w:t>
            </w:r>
            <w:r>
              <w:rPr>
                <w:rFonts w:hint="default" w:ascii="Times New Roman" w:hAnsi="Times New Roman" w:cs="Times New Roman"/>
                <w:b w:val="0"/>
                <w:bCs w:val="0"/>
                <w:sz w:val="21"/>
                <w:szCs w:val="21"/>
                <w:lang w:eastAsia="zh-CN"/>
              </w:rPr>
              <w:t>成品粕</w:t>
            </w:r>
            <w:r>
              <w:rPr>
                <w:rFonts w:hint="default" w:ascii="Times New Roman" w:hAnsi="Times New Roman" w:cs="Times New Roman"/>
                <w:b w:val="0"/>
                <w:bCs w:val="0"/>
                <w:sz w:val="21"/>
                <w:szCs w:val="21"/>
                <w:lang w:val="en-US" w:eastAsia="zh-CN"/>
              </w:rPr>
              <w:t>122265t/a。</w:t>
            </w:r>
          </w:p>
          <w:p w14:paraId="102A76B2">
            <w:pPr>
              <w:jc w:val="center"/>
              <w:rPr>
                <w:rFonts w:hint="eastAsia" w:ascii="Times New Roman" w:hAnsi="Times New Roman" w:cs="Times New Roman"/>
                <w:b w:val="0"/>
                <w:bCs w:val="0"/>
                <w:sz w:val="21"/>
                <w:szCs w:val="21"/>
                <w:lang w:eastAsia="zh-CN"/>
              </w:rPr>
            </w:pPr>
          </w:p>
        </w:tc>
      </w:tr>
      <w:tr w14:paraId="64BDB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8" w:hRule="atLeast"/>
          <w:jc w:val="center"/>
        </w:trPr>
        <w:tc>
          <w:tcPr>
            <w:tcW w:w="540" w:type="pct"/>
            <w:tcBorders>
              <w:tl2br w:val="nil"/>
              <w:tr2bl w:val="nil"/>
            </w:tcBorders>
            <w:vAlign w:val="center"/>
          </w:tcPr>
          <w:p w14:paraId="6FB7E790">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环评批复时间</w:t>
            </w:r>
          </w:p>
        </w:tc>
        <w:tc>
          <w:tcPr>
            <w:tcW w:w="1253" w:type="pct"/>
            <w:gridSpan w:val="2"/>
            <w:tcBorders>
              <w:tl2br w:val="nil"/>
              <w:tr2bl w:val="nil"/>
            </w:tcBorders>
            <w:vAlign w:val="center"/>
          </w:tcPr>
          <w:p w14:paraId="6658C4CE">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20</w:t>
            </w:r>
            <w:r>
              <w:rPr>
                <w:rFonts w:hint="eastAsia" w:ascii="Times New Roman" w:hAnsi="Times New Roman" w:cs="Times New Roman"/>
                <w:b w:val="0"/>
                <w:bCs w:val="0"/>
                <w:sz w:val="21"/>
                <w:szCs w:val="21"/>
                <w:lang w:val="en-US" w:eastAsia="zh-CN"/>
              </w:rPr>
              <w:t>17</w:t>
            </w:r>
            <w:r>
              <w:rPr>
                <w:rFonts w:hint="default" w:ascii="Times New Roman" w:hAnsi="Times New Roman" w:cs="Times New Roman"/>
                <w:b w:val="0"/>
                <w:bCs w:val="0"/>
                <w:sz w:val="21"/>
                <w:szCs w:val="21"/>
                <w:lang w:eastAsia="zh-CN"/>
              </w:rPr>
              <w:t>年10月23日</w:t>
            </w:r>
          </w:p>
        </w:tc>
        <w:tc>
          <w:tcPr>
            <w:tcW w:w="837" w:type="pct"/>
            <w:tcBorders>
              <w:tl2br w:val="nil"/>
              <w:tr2bl w:val="nil"/>
            </w:tcBorders>
            <w:vAlign w:val="center"/>
          </w:tcPr>
          <w:p w14:paraId="13615334">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2022年6月28日</w:t>
            </w:r>
          </w:p>
        </w:tc>
        <w:tc>
          <w:tcPr>
            <w:tcW w:w="845" w:type="pct"/>
            <w:tcBorders>
              <w:tl2br w:val="nil"/>
              <w:tr2bl w:val="nil"/>
            </w:tcBorders>
            <w:vAlign w:val="center"/>
          </w:tcPr>
          <w:p w14:paraId="6C829E07">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2022年</w:t>
            </w:r>
            <w:r>
              <w:rPr>
                <w:rFonts w:hint="eastAsia" w:ascii="Times New Roman" w:hAnsi="Times New Roman" w:cs="Times New Roman"/>
                <w:b w:val="0"/>
                <w:bCs w:val="0"/>
                <w:sz w:val="21"/>
                <w:szCs w:val="21"/>
                <w:lang w:val="en-US" w:eastAsia="zh-CN"/>
              </w:rPr>
              <w:t>10</w:t>
            </w:r>
            <w:r>
              <w:rPr>
                <w:rFonts w:hint="default" w:ascii="Times New Roman" w:hAnsi="Times New Roman" w:cs="Times New Roman"/>
                <w:b w:val="0"/>
                <w:bCs w:val="0"/>
                <w:sz w:val="21"/>
                <w:szCs w:val="21"/>
                <w:lang w:val="en-US" w:eastAsia="zh-CN"/>
              </w:rPr>
              <w:t>月</w:t>
            </w:r>
            <w:r>
              <w:rPr>
                <w:rFonts w:hint="eastAsia" w:ascii="Times New Roman" w:hAnsi="Times New Roman" w:cs="Times New Roman"/>
                <w:b w:val="0"/>
                <w:bCs w:val="0"/>
                <w:sz w:val="21"/>
                <w:szCs w:val="21"/>
                <w:lang w:val="en-US" w:eastAsia="zh-CN"/>
              </w:rPr>
              <w:t>21</w:t>
            </w:r>
            <w:r>
              <w:rPr>
                <w:rFonts w:hint="default" w:ascii="Times New Roman" w:hAnsi="Times New Roman" w:cs="Times New Roman"/>
                <w:b w:val="0"/>
                <w:bCs w:val="0"/>
                <w:sz w:val="21"/>
                <w:szCs w:val="21"/>
                <w:lang w:val="en-US" w:eastAsia="zh-CN"/>
              </w:rPr>
              <w:t>日</w:t>
            </w:r>
          </w:p>
        </w:tc>
        <w:tc>
          <w:tcPr>
            <w:tcW w:w="749" w:type="pct"/>
            <w:tcBorders>
              <w:tl2br w:val="nil"/>
              <w:tr2bl w:val="nil"/>
            </w:tcBorders>
            <w:vAlign w:val="center"/>
          </w:tcPr>
          <w:p w14:paraId="0CE37DDD">
            <w:pPr>
              <w:jc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eastAsia="zh-CN"/>
              </w:rPr>
              <w:t>2023</w:t>
            </w:r>
            <w:r>
              <w:rPr>
                <w:rFonts w:hint="eastAsia" w:ascii="Times New Roman" w:hAnsi="Times New Roman" w:cs="Times New Roman"/>
                <w:b w:val="0"/>
                <w:bCs w:val="0"/>
                <w:sz w:val="21"/>
                <w:szCs w:val="21"/>
                <w:lang w:val="en-US" w:eastAsia="zh-CN"/>
              </w:rPr>
              <w:t>年</w:t>
            </w:r>
            <w:r>
              <w:rPr>
                <w:rFonts w:hint="eastAsia" w:ascii="Times New Roman" w:hAnsi="Times New Roman" w:cs="Times New Roman"/>
                <w:b w:val="0"/>
                <w:bCs w:val="0"/>
                <w:sz w:val="21"/>
                <w:szCs w:val="21"/>
                <w:lang w:eastAsia="zh-CN"/>
              </w:rPr>
              <w:t>5</w:t>
            </w:r>
            <w:r>
              <w:rPr>
                <w:rFonts w:hint="eastAsia" w:ascii="Times New Roman" w:hAnsi="Times New Roman" w:cs="Times New Roman"/>
                <w:b w:val="0"/>
                <w:bCs w:val="0"/>
                <w:sz w:val="21"/>
                <w:szCs w:val="21"/>
                <w:lang w:val="en-US" w:eastAsia="zh-CN"/>
              </w:rPr>
              <w:t>月</w:t>
            </w:r>
            <w:r>
              <w:rPr>
                <w:rFonts w:hint="eastAsia" w:ascii="Times New Roman" w:hAnsi="Times New Roman" w:cs="Times New Roman"/>
                <w:b w:val="0"/>
                <w:bCs w:val="0"/>
                <w:sz w:val="21"/>
                <w:szCs w:val="21"/>
                <w:lang w:eastAsia="zh-CN"/>
              </w:rPr>
              <w:t>24</w:t>
            </w:r>
            <w:r>
              <w:rPr>
                <w:rFonts w:hint="eastAsia" w:cs="Times New Roman"/>
                <w:b w:val="0"/>
                <w:bCs w:val="0"/>
                <w:sz w:val="21"/>
                <w:szCs w:val="21"/>
                <w:lang w:val="en-US" w:eastAsia="zh-CN"/>
              </w:rPr>
              <w:t>日</w:t>
            </w:r>
          </w:p>
        </w:tc>
        <w:tc>
          <w:tcPr>
            <w:tcW w:w="772" w:type="pct"/>
            <w:tcBorders>
              <w:tl2br w:val="nil"/>
              <w:tr2bl w:val="nil"/>
            </w:tcBorders>
            <w:vAlign w:val="center"/>
          </w:tcPr>
          <w:p w14:paraId="0D968872">
            <w:pPr>
              <w:jc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eastAsia="zh-CN"/>
              </w:rPr>
              <w:t>2025</w:t>
            </w:r>
            <w:r>
              <w:rPr>
                <w:rFonts w:hint="eastAsia" w:ascii="Times New Roman" w:hAnsi="Times New Roman" w:cs="Times New Roman"/>
                <w:b w:val="0"/>
                <w:bCs w:val="0"/>
                <w:sz w:val="21"/>
                <w:szCs w:val="21"/>
                <w:lang w:val="en-US" w:eastAsia="zh-CN"/>
              </w:rPr>
              <w:t>年</w:t>
            </w:r>
            <w:r>
              <w:rPr>
                <w:rFonts w:hint="eastAsia" w:ascii="Times New Roman" w:hAnsi="Times New Roman" w:cs="Times New Roman"/>
                <w:b w:val="0"/>
                <w:bCs w:val="0"/>
                <w:sz w:val="21"/>
                <w:szCs w:val="21"/>
                <w:lang w:eastAsia="zh-CN"/>
              </w:rPr>
              <w:t>5</w:t>
            </w:r>
            <w:r>
              <w:rPr>
                <w:rFonts w:hint="eastAsia" w:ascii="Times New Roman" w:hAnsi="Times New Roman" w:cs="Times New Roman"/>
                <w:b w:val="0"/>
                <w:bCs w:val="0"/>
                <w:sz w:val="21"/>
                <w:szCs w:val="21"/>
                <w:lang w:val="en-US" w:eastAsia="zh-CN"/>
              </w:rPr>
              <w:t>月</w:t>
            </w:r>
            <w:r>
              <w:rPr>
                <w:rFonts w:hint="eastAsia" w:ascii="Times New Roman" w:hAnsi="Times New Roman" w:cs="Times New Roman"/>
                <w:b w:val="0"/>
                <w:bCs w:val="0"/>
                <w:sz w:val="21"/>
                <w:szCs w:val="21"/>
                <w:lang w:eastAsia="zh-CN"/>
              </w:rPr>
              <w:t>30</w:t>
            </w:r>
            <w:r>
              <w:rPr>
                <w:rFonts w:hint="eastAsia" w:cs="Times New Roman"/>
                <w:b w:val="0"/>
                <w:bCs w:val="0"/>
                <w:sz w:val="21"/>
                <w:szCs w:val="21"/>
                <w:lang w:val="en-US" w:eastAsia="zh-CN"/>
              </w:rPr>
              <w:t>日</w:t>
            </w:r>
          </w:p>
        </w:tc>
      </w:tr>
      <w:tr w14:paraId="15FAC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6" w:hRule="atLeast"/>
          <w:jc w:val="center"/>
        </w:trPr>
        <w:tc>
          <w:tcPr>
            <w:tcW w:w="540" w:type="pct"/>
            <w:tcBorders>
              <w:tl2br w:val="nil"/>
              <w:tr2bl w:val="nil"/>
            </w:tcBorders>
            <w:vAlign w:val="center"/>
          </w:tcPr>
          <w:p w14:paraId="0E3CB612">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验收文号</w:t>
            </w:r>
          </w:p>
        </w:tc>
        <w:tc>
          <w:tcPr>
            <w:tcW w:w="644" w:type="pct"/>
            <w:tcBorders>
              <w:tl2br w:val="nil"/>
              <w:tr2bl w:val="nil"/>
            </w:tcBorders>
            <w:vAlign w:val="center"/>
          </w:tcPr>
          <w:p w14:paraId="59B06D34">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齐环</w:t>
            </w:r>
            <w:r>
              <w:rPr>
                <w:rFonts w:hint="eastAsia" w:ascii="Times New Roman" w:hAnsi="Times New Roman" w:cs="Times New Roman"/>
                <w:b w:val="0"/>
                <w:bCs w:val="0"/>
                <w:sz w:val="21"/>
                <w:szCs w:val="21"/>
                <w:lang w:val="en-US" w:eastAsia="zh-CN"/>
              </w:rPr>
              <w:t>行审</w:t>
            </w:r>
            <w:r>
              <w:rPr>
                <w:rFonts w:hint="default" w:ascii="Times New Roman" w:hAnsi="Times New Roman" w:cs="Times New Roman"/>
                <w:b w:val="0"/>
                <w:bCs w:val="0"/>
                <w:sz w:val="21"/>
                <w:szCs w:val="21"/>
                <w:lang w:eastAsia="zh-CN"/>
              </w:rPr>
              <w:t>[20</w:t>
            </w:r>
            <w:r>
              <w:rPr>
                <w:rFonts w:hint="eastAsia" w:ascii="Times New Roman" w:hAnsi="Times New Roman" w:cs="Times New Roman"/>
                <w:b w:val="0"/>
                <w:bCs w:val="0"/>
                <w:sz w:val="21"/>
                <w:szCs w:val="21"/>
                <w:lang w:val="en-US" w:eastAsia="zh-CN"/>
              </w:rPr>
              <w:t>19</w:t>
            </w:r>
            <w:r>
              <w:rPr>
                <w:rFonts w:hint="default" w:ascii="Times New Roman" w:hAnsi="Times New Roman"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78</w:t>
            </w:r>
            <w:r>
              <w:rPr>
                <w:rFonts w:hint="default" w:ascii="Times New Roman" w:hAnsi="Times New Roman" w:cs="Times New Roman"/>
                <w:b w:val="0"/>
                <w:bCs w:val="0"/>
                <w:sz w:val="21"/>
                <w:szCs w:val="21"/>
                <w:lang w:eastAsia="zh-CN"/>
              </w:rPr>
              <w:t>号</w:t>
            </w:r>
          </w:p>
        </w:tc>
        <w:tc>
          <w:tcPr>
            <w:tcW w:w="609" w:type="pct"/>
            <w:tcBorders>
              <w:tl2br w:val="nil"/>
              <w:tr2bl w:val="nil"/>
            </w:tcBorders>
            <w:vAlign w:val="center"/>
          </w:tcPr>
          <w:p w14:paraId="5B76DC12">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齐环</w:t>
            </w:r>
            <w:r>
              <w:rPr>
                <w:rFonts w:hint="eastAsia" w:ascii="Times New Roman" w:hAnsi="Times New Roman" w:cs="Times New Roman"/>
                <w:b w:val="0"/>
                <w:bCs w:val="0"/>
                <w:sz w:val="21"/>
                <w:szCs w:val="21"/>
                <w:lang w:val="en-US" w:eastAsia="zh-CN"/>
              </w:rPr>
              <w:t>行审</w:t>
            </w:r>
            <w:r>
              <w:rPr>
                <w:rFonts w:hint="default" w:ascii="Times New Roman" w:hAnsi="Times New Roman" w:cs="Times New Roman"/>
                <w:b w:val="0"/>
                <w:bCs w:val="0"/>
                <w:sz w:val="21"/>
                <w:szCs w:val="21"/>
                <w:lang w:eastAsia="zh-CN"/>
              </w:rPr>
              <w:t>[20</w:t>
            </w:r>
            <w:r>
              <w:rPr>
                <w:rFonts w:hint="eastAsia" w:ascii="Times New Roman" w:hAnsi="Times New Roman" w:cs="Times New Roman"/>
                <w:b w:val="0"/>
                <w:bCs w:val="0"/>
                <w:sz w:val="21"/>
                <w:szCs w:val="21"/>
                <w:lang w:val="en-US" w:eastAsia="zh-CN"/>
              </w:rPr>
              <w:t>20</w:t>
            </w:r>
            <w:r>
              <w:rPr>
                <w:rFonts w:hint="default" w:ascii="Times New Roman" w:hAnsi="Times New Roman"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124</w:t>
            </w:r>
            <w:r>
              <w:rPr>
                <w:rFonts w:hint="default" w:ascii="Times New Roman" w:hAnsi="Times New Roman" w:cs="Times New Roman"/>
                <w:b w:val="0"/>
                <w:bCs w:val="0"/>
                <w:sz w:val="21"/>
                <w:szCs w:val="21"/>
                <w:lang w:eastAsia="zh-CN"/>
              </w:rPr>
              <w:t>号</w:t>
            </w:r>
          </w:p>
        </w:tc>
        <w:tc>
          <w:tcPr>
            <w:tcW w:w="837" w:type="pct"/>
            <w:tcBorders>
              <w:tl2br w:val="nil"/>
              <w:tr2bl w:val="nil"/>
            </w:tcBorders>
            <w:vAlign w:val="center"/>
          </w:tcPr>
          <w:p w14:paraId="41B2F4C2">
            <w:pPr>
              <w:jc w:val="center"/>
              <w:rPr>
                <w:rFonts w:hint="default"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val="en-US" w:eastAsia="zh-CN"/>
              </w:rPr>
              <w:t>自主验收</w:t>
            </w:r>
          </w:p>
        </w:tc>
        <w:tc>
          <w:tcPr>
            <w:tcW w:w="845" w:type="pct"/>
            <w:tcBorders>
              <w:tl2br w:val="nil"/>
              <w:tr2bl w:val="nil"/>
            </w:tcBorders>
            <w:vAlign w:val="center"/>
          </w:tcPr>
          <w:p w14:paraId="31F26E69">
            <w:pPr>
              <w:jc w:val="center"/>
              <w:rPr>
                <w:rFonts w:hint="default" w:ascii="Times New Roman" w:hAnsi="Times New Roman" w:cs="Times New Roman"/>
                <w:b w:val="0"/>
                <w:bCs w:val="0"/>
                <w:sz w:val="21"/>
                <w:szCs w:val="21"/>
                <w:lang w:eastAsia="zh-CN"/>
              </w:rPr>
            </w:pPr>
            <w:r>
              <w:rPr>
                <w:rFonts w:hint="eastAsia" w:ascii="Times New Roman" w:hAnsi="Times New Roman" w:cs="Times New Roman"/>
                <w:b w:val="0"/>
                <w:bCs w:val="0"/>
                <w:sz w:val="21"/>
                <w:szCs w:val="21"/>
                <w:lang w:val="en-US" w:eastAsia="zh-CN"/>
              </w:rPr>
              <w:t>自主验收</w:t>
            </w:r>
          </w:p>
        </w:tc>
        <w:tc>
          <w:tcPr>
            <w:tcW w:w="1522" w:type="pct"/>
            <w:gridSpan w:val="2"/>
            <w:tcBorders>
              <w:tl2br w:val="nil"/>
              <w:tr2bl w:val="nil"/>
            </w:tcBorders>
            <w:vAlign w:val="center"/>
          </w:tcPr>
          <w:p w14:paraId="0C0156FF">
            <w:pPr>
              <w:jc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自主验收</w:t>
            </w:r>
          </w:p>
        </w:tc>
      </w:tr>
      <w:tr w14:paraId="005DD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5" w:hRule="atLeast"/>
          <w:jc w:val="center"/>
        </w:trPr>
        <w:tc>
          <w:tcPr>
            <w:tcW w:w="540" w:type="pct"/>
            <w:tcBorders>
              <w:tl2br w:val="nil"/>
              <w:tr2bl w:val="nil"/>
            </w:tcBorders>
            <w:vAlign w:val="center"/>
          </w:tcPr>
          <w:p w14:paraId="1CC62C7B">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验收时间</w:t>
            </w:r>
          </w:p>
        </w:tc>
        <w:tc>
          <w:tcPr>
            <w:tcW w:w="644" w:type="pct"/>
            <w:tcBorders>
              <w:tl2br w:val="nil"/>
              <w:tr2bl w:val="nil"/>
            </w:tcBorders>
            <w:vAlign w:val="center"/>
          </w:tcPr>
          <w:p w14:paraId="7683B996">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201</w:t>
            </w:r>
            <w:r>
              <w:rPr>
                <w:rFonts w:hint="eastAsia" w:ascii="Times New Roman" w:hAnsi="Times New Roman" w:cs="Times New Roman"/>
                <w:b w:val="0"/>
                <w:bCs w:val="0"/>
                <w:sz w:val="21"/>
                <w:szCs w:val="21"/>
                <w:lang w:val="en-US" w:eastAsia="zh-CN"/>
              </w:rPr>
              <w:t>9</w:t>
            </w:r>
            <w:r>
              <w:rPr>
                <w:rFonts w:hint="default" w:ascii="Times New Roman" w:hAnsi="Times New Roman" w:cs="Times New Roman"/>
                <w:b w:val="0"/>
                <w:bCs w:val="0"/>
                <w:sz w:val="21"/>
                <w:szCs w:val="21"/>
                <w:lang w:eastAsia="zh-CN"/>
              </w:rPr>
              <w:t>年</w:t>
            </w:r>
            <w:r>
              <w:rPr>
                <w:rFonts w:hint="eastAsia" w:ascii="Times New Roman" w:hAnsi="Times New Roman" w:cs="Times New Roman"/>
                <w:b w:val="0"/>
                <w:bCs w:val="0"/>
                <w:sz w:val="21"/>
                <w:szCs w:val="21"/>
                <w:lang w:val="en-US" w:eastAsia="zh-CN"/>
              </w:rPr>
              <w:t>7</w:t>
            </w:r>
            <w:r>
              <w:rPr>
                <w:rFonts w:hint="default" w:ascii="Times New Roman" w:hAnsi="Times New Roman" w:cs="Times New Roman"/>
                <w:b w:val="0"/>
                <w:bCs w:val="0"/>
                <w:sz w:val="21"/>
                <w:szCs w:val="21"/>
                <w:lang w:eastAsia="zh-CN"/>
              </w:rPr>
              <w:t>月</w:t>
            </w:r>
            <w:r>
              <w:rPr>
                <w:rFonts w:hint="eastAsia" w:ascii="Times New Roman" w:hAnsi="Times New Roman" w:cs="Times New Roman"/>
                <w:b w:val="0"/>
                <w:bCs w:val="0"/>
                <w:sz w:val="21"/>
                <w:szCs w:val="21"/>
                <w:lang w:val="en-US" w:eastAsia="zh-CN"/>
              </w:rPr>
              <w:t>30</w:t>
            </w:r>
            <w:r>
              <w:rPr>
                <w:rFonts w:hint="default" w:ascii="Times New Roman" w:hAnsi="Times New Roman" w:cs="Times New Roman"/>
                <w:b w:val="0"/>
                <w:bCs w:val="0"/>
                <w:sz w:val="21"/>
                <w:szCs w:val="21"/>
                <w:lang w:eastAsia="zh-CN"/>
              </w:rPr>
              <w:t>日</w:t>
            </w:r>
          </w:p>
        </w:tc>
        <w:tc>
          <w:tcPr>
            <w:tcW w:w="609" w:type="pct"/>
            <w:tcBorders>
              <w:tl2br w:val="nil"/>
              <w:tr2bl w:val="nil"/>
            </w:tcBorders>
            <w:vAlign w:val="center"/>
          </w:tcPr>
          <w:p w14:paraId="1088290B">
            <w:pPr>
              <w:jc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20</w:t>
            </w:r>
            <w:r>
              <w:rPr>
                <w:rFonts w:hint="eastAsia" w:ascii="Times New Roman" w:hAnsi="Times New Roman" w:cs="Times New Roman"/>
                <w:b w:val="0"/>
                <w:bCs w:val="0"/>
                <w:sz w:val="21"/>
                <w:szCs w:val="21"/>
                <w:lang w:val="en-US" w:eastAsia="zh-CN"/>
              </w:rPr>
              <w:t>20</w:t>
            </w:r>
            <w:r>
              <w:rPr>
                <w:rFonts w:hint="default" w:ascii="Times New Roman" w:hAnsi="Times New Roman" w:cs="Times New Roman"/>
                <w:b w:val="0"/>
                <w:bCs w:val="0"/>
                <w:sz w:val="21"/>
                <w:szCs w:val="21"/>
                <w:lang w:eastAsia="zh-CN"/>
              </w:rPr>
              <w:t>年</w:t>
            </w:r>
            <w:r>
              <w:rPr>
                <w:rFonts w:hint="eastAsia" w:ascii="Times New Roman" w:hAnsi="Times New Roman" w:cs="Times New Roman"/>
                <w:b w:val="0"/>
                <w:bCs w:val="0"/>
                <w:sz w:val="21"/>
                <w:szCs w:val="21"/>
                <w:lang w:val="en-US" w:eastAsia="zh-CN"/>
              </w:rPr>
              <w:t>8</w:t>
            </w:r>
            <w:r>
              <w:rPr>
                <w:rFonts w:hint="default" w:ascii="Times New Roman" w:hAnsi="Times New Roman" w:cs="Times New Roman"/>
                <w:b w:val="0"/>
                <w:bCs w:val="0"/>
                <w:sz w:val="21"/>
                <w:szCs w:val="21"/>
                <w:lang w:eastAsia="zh-CN"/>
              </w:rPr>
              <w:t>月</w:t>
            </w:r>
            <w:r>
              <w:rPr>
                <w:rFonts w:hint="eastAsia" w:ascii="Times New Roman" w:hAnsi="Times New Roman" w:cs="Times New Roman"/>
                <w:b w:val="0"/>
                <w:bCs w:val="0"/>
                <w:sz w:val="21"/>
                <w:szCs w:val="21"/>
                <w:lang w:val="en-US" w:eastAsia="zh-CN"/>
              </w:rPr>
              <w:t>25</w:t>
            </w:r>
            <w:r>
              <w:rPr>
                <w:rFonts w:hint="default" w:ascii="Times New Roman" w:hAnsi="Times New Roman" w:cs="Times New Roman"/>
                <w:b w:val="0"/>
                <w:bCs w:val="0"/>
                <w:sz w:val="21"/>
                <w:szCs w:val="21"/>
                <w:lang w:eastAsia="zh-CN"/>
              </w:rPr>
              <w:t>日</w:t>
            </w:r>
          </w:p>
        </w:tc>
        <w:tc>
          <w:tcPr>
            <w:tcW w:w="837" w:type="pct"/>
            <w:tcBorders>
              <w:tl2br w:val="nil"/>
              <w:tr2bl w:val="nil"/>
            </w:tcBorders>
            <w:vAlign w:val="center"/>
          </w:tcPr>
          <w:p w14:paraId="2BFC152F">
            <w:pPr>
              <w:jc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2024年12月5日</w:t>
            </w:r>
          </w:p>
        </w:tc>
        <w:tc>
          <w:tcPr>
            <w:tcW w:w="845" w:type="pct"/>
            <w:tcBorders>
              <w:tl2br w:val="nil"/>
              <w:tr2bl w:val="nil"/>
            </w:tcBorders>
            <w:vAlign w:val="center"/>
          </w:tcPr>
          <w:p w14:paraId="781E3A3F">
            <w:pPr>
              <w:jc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2023年7月19日</w:t>
            </w:r>
          </w:p>
        </w:tc>
        <w:tc>
          <w:tcPr>
            <w:tcW w:w="1522" w:type="pct"/>
            <w:gridSpan w:val="2"/>
            <w:tcBorders>
              <w:tl2br w:val="nil"/>
              <w:tr2bl w:val="nil"/>
            </w:tcBorders>
            <w:vAlign w:val="center"/>
          </w:tcPr>
          <w:p w14:paraId="05B77379">
            <w:pPr>
              <w:jc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2025年12月3号</w:t>
            </w:r>
          </w:p>
        </w:tc>
      </w:tr>
    </w:tbl>
    <w:p w14:paraId="17DD906E">
      <w:pPr>
        <w:pStyle w:val="4"/>
        <w:rPr>
          <w:rFonts w:hint="eastAsia"/>
          <w:lang w:val="en-US" w:eastAsia="zh-CN"/>
        </w:rPr>
      </w:pPr>
      <w:r>
        <w:t>3.1.2</w:t>
      </w:r>
      <w:r>
        <w:rPr>
          <w:rFonts w:hint="eastAsia"/>
          <w:lang w:val="en-US" w:eastAsia="zh-CN"/>
        </w:rPr>
        <w:t>现有工程工艺</w:t>
      </w:r>
    </w:p>
    <w:p w14:paraId="0081B92B">
      <w:pPr>
        <w:pStyle w:val="5"/>
        <w:tabs>
          <w:tab w:val="left" w:pos="2268"/>
        </w:tabs>
        <w:spacing w:beforeLines="0" w:afterLines="0" w:line="480" w:lineRule="exact"/>
        <w:ind w:left="0" w:firstLine="0"/>
        <w:rPr>
          <w:rFonts w:eastAsia="宋体"/>
          <w:sz w:val="24"/>
        </w:rPr>
      </w:pPr>
      <w:r>
        <w:rPr>
          <w:rStyle w:val="508"/>
          <w:rFonts w:ascii="Times New Roman" w:hAnsi="Times New Roman"/>
        </w:rPr>
        <w:t>3</w:t>
      </w:r>
      <w:r>
        <w:rPr>
          <w:rStyle w:val="508"/>
          <w:rFonts w:hint="eastAsia" w:ascii="Times New Roman" w:hAnsi="Times New Roman"/>
          <w:lang w:val="en-US"/>
        </w:rPr>
        <w:t>.1.2</w:t>
      </w:r>
      <w:r>
        <w:rPr>
          <w:rStyle w:val="508"/>
          <w:rFonts w:ascii="Times New Roman" w:hAnsi="Times New Roman"/>
        </w:rPr>
        <w:t>.1</w:t>
      </w:r>
      <w:r>
        <w:rPr>
          <w:rStyle w:val="508"/>
          <w:rFonts w:hint="eastAsia" w:ascii="Times New Roman" w:hAnsi="Times New Roman"/>
        </w:rPr>
        <w:t>粉碎车间</w:t>
      </w:r>
    </w:p>
    <w:p w14:paraId="16C1AEAA">
      <w:pPr>
        <w:tabs>
          <w:tab w:val="left" w:pos="525"/>
        </w:tabs>
        <w:adjustRightInd w:val="0"/>
        <w:snapToGrid w:val="0"/>
        <w:spacing w:line="480" w:lineRule="exact"/>
        <w:ind w:firstLine="544" w:firstLineChars="200"/>
        <w:rPr>
          <w:spacing w:val="16"/>
          <w:sz w:val="24"/>
        </w:rPr>
      </w:pPr>
      <w:r>
        <w:rPr>
          <w:rFonts w:hint="eastAsia"/>
          <w:spacing w:val="16"/>
          <w:sz w:val="24"/>
        </w:rPr>
        <w:t>玉米原粮从下粮坑，经螺旋输送机，斗式提升机，进入永磁筒除铁，散粮秤计量，再由振动筛去大杂后，通过螺旋输送机分别装入玉米缓存仓待用。</w:t>
      </w:r>
    </w:p>
    <w:p w14:paraId="46A01DC3">
      <w:pPr>
        <w:tabs>
          <w:tab w:val="left" w:pos="525"/>
        </w:tabs>
        <w:adjustRightInd w:val="0"/>
        <w:snapToGrid w:val="0"/>
        <w:spacing w:line="480" w:lineRule="exact"/>
        <w:ind w:firstLine="544" w:firstLineChars="200"/>
        <w:rPr>
          <w:spacing w:val="16"/>
          <w:sz w:val="24"/>
        </w:rPr>
      </w:pPr>
      <w:r>
        <w:rPr>
          <w:rFonts w:hint="eastAsia"/>
          <w:spacing w:val="16"/>
          <w:sz w:val="24"/>
        </w:rPr>
        <w:t>清理后的玉米用变频喂料器送入粉碎机进行粉碎，由高压风机将粉碎后的细颗粒玉米粉抽入卸料器进行卸料，细颗粒玉米由关风机排出，经螺旋输送机，斗式提升机送入玉米粉仓待用。带微颗粒玉米粉的空气经脉冲除尘器去除玉米粉后排空。粉料经螺旋拌料机拌料后至拌料罐，料浆用料浆泵送至液糖化车间。</w:t>
      </w:r>
    </w:p>
    <w:p w14:paraId="68AAD10E">
      <w:pPr>
        <w:tabs>
          <w:tab w:val="left" w:pos="525"/>
        </w:tabs>
        <w:adjustRightInd w:val="0"/>
        <w:snapToGrid w:val="0"/>
        <w:spacing w:line="480" w:lineRule="exact"/>
        <w:ind w:firstLine="544" w:firstLineChars="200"/>
        <w:rPr>
          <w:spacing w:val="16"/>
          <w:sz w:val="24"/>
        </w:rPr>
      </w:pPr>
      <w:r>
        <w:rPr>
          <w:spacing w:val="16"/>
          <w:sz w:val="24"/>
        </w:rPr>
        <w:t>玉米</w:t>
      </w:r>
      <w:r>
        <w:rPr>
          <w:rFonts w:hint="eastAsia"/>
          <w:spacing w:val="16"/>
          <w:sz w:val="24"/>
        </w:rPr>
        <w:t>粉碎车间</w:t>
      </w:r>
      <w:r>
        <w:rPr>
          <w:spacing w:val="16"/>
          <w:sz w:val="24"/>
        </w:rPr>
        <w:t>工艺流程见图3.</w:t>
      </w:r>
      <w:r>
        <w:rPr>
          <w:rFonts w:hint="eastAsia"/>
          <w:spacing w:val="16"/>
          <w:sz w:val="24"/>
          <w:lang w:val="en-US" w:eastAsia="zh-CN"/>
        </w:rPr>
        <w:t>1</w:t>
      </w:r>
      <w:r>
        <w:rPr>
          <w:spacing w:val="16"/>
          <w:sz w:val="24"/>
        </w:rPr>
        <w:t>-1。</w:t>
      </w:r>
    </w:p>
    <w:p w14:paraId="6A519AD2">
      <w:pPr>
        <w:tabs>
          <w:tab w:val="left" w:pos="525"/>
        </w:tabs>
        <w:adjustRightInd w:val="0"/>
        <w:snapToGrid w:val="0"/>
        <w:spacing w:line="360" w:lineRule="auto"/>
        <w:ind w:firstLine="544" w:firstLineChars="200"/>
        <w:jc w:val="center"/>
        <w:rPr>
          <w:spacing w:val="16"/>
          <w:sz w:val="24"/>
        </w:rPr>
      </w:pPr>
    </w:p>
    <w:p w14:paraId="101C8DE7">
      <w:pPr>
        <w:tabs>
          <w:tab w:val="left" w:pos="525"/>
        </w:tabs>
        <w:adjustRightInd w:val="0"/>
        <w:snapToGrid w:val="0"/>
        <w:spacing w:line="360" w:lineRule="auto"/>
        <w:ind w:firstLine="544" w:firstLineChars="200"/>
        <w:jc w:val="center"/>
        <w:rPr>
          <w:spacing w:val="16"/>
          <w:sz w:val="24"/>
        </w:rPr>
      </w:pPr>
    </w:p>
    <w:p w14:paraId="68BA2F34">
      <w:pPr>
        <w:tabs>
          <w:tab w:val="left" w:pos="525"/>
        </w:tabs>
        <w:adjustRightInd w:val="0"/>
        <w:snapToGrid w:val="0"/>
        <w:spacing w:line="360" w:lineRule="auto"/>
        <w:ind w:firstLine="544" w:firstLineChars="200"/>
        <w:jc w:val="center"/>
        <w:rPr>
          <w:spacing w:val="16"/>
          <w:sz w:val="24"/>
        </w:rPr>
      </w:pPr>
    </w:p>
    <w:p w14:paraId="6B8E1A79">
      <w:pPr>
        <w:tabs>
          <w:tab w:val="left" w:pos="525"/>
        </w:tabs>
        <w:adjustRightInd w:val="0"/>
        <w:snapToGrid w:val="0"/>
        <w:spacing w:line="360" w:lineRule="auto"/>
        <w:ind w:firstLine="544" w:firstLineChars="200"/>
        <w:jc w:val="center"/>
        <w:rPr>
          <w:spacing w:val="16"/>
          <w:sz w:val="24"/>
        </w:rPr>
      </w:pPr>
      <w:r>
        <w:rPr>
          <w:spacing w:val="16"/>
          <w:sz w:val="24"/>
        </w:rPr>
        <w:drawing>
          <wp:inline distT="0" distB="0" distL="114300" distR="114300">
            <wp:extent cx="3916680" cy="4740910"/>
            <wp:effectExtent l="0" t="0" r="7620" b="2540"/>
            <wp:docPr id="39" name="图片 10"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descr="无标题"/>
                    <pic:cNvPicPr>
                      <a:picLocks noChangeAspect="1"/>
                    </pic:cNvPicPr>
                  </pic:nvPicPr>
                  <pic:blipFill>
                    <a:blip r:embed="rId44"/>
                    <a:stretch>
                      <a:fillRect/>
                    </a:stretch>
                  </pic:blipFill>
                  <pic:spPr>
                    <a:xfrm>
                      <a:off x="0" y="0"/>
                      <a:ext cx="3916680" cy="4740910"/>
                    </a:xfrm>
                    <a:prstGeom prst="rect">
                      <a:avLst/>
                    </a:prstGeom>
                    <a:noFill/>
                    <a:ln>
                      <a:noFill/>
                    </a:ln>
                  </pic:spPr>
                </pic:pic>
              </a:graphicData>
            </a:graphic>
          </wp:inline>
        </w:drawing>
      </w:r>
    </w:p>
    <w:p w14:paraId="69EBF959">
      <w:pPr>
        <w:jc w:val="center"/>
        <w:rPr>
          <w:sz w:val="24"/>
          <w:szCs w:val="24"/>
        </w:rPr>
      </w:pPr>
      <w:r>
        <w:rPr>
          <w:rFonts w:hint="eastAsia"/>
          <w:sz w:val="24"/>
          <w:szCs w:val="24"/>
        </w:rPr>
        <w:t>图3.</w:t>
      </w:r>
      <w:r>
        <w:rPr>
          <w:rFonts w:hint="eastAsia"/>
          <w:sz w:val="24"/>
          <w:szCs w:val="24"/>
          <w:lang w:val="en-US" w:eastAsia="zh-CN"/>
        </w:rPr>
        <w:t>1</w:t>
      </w:r>
      <w:r>
        <w:rPr>
          <w:rFonts w:hint="eastAsia"/>
          <w:sz w:val="24"/>
          <w:szCs w:val="24"/>
        </w:rPr>
        <w:t>-1粉碎车间生产工艺流程图</w:t>
      </w:r>
    </w:p>
    <w:p w14:paraId="119A2DEF">
      <w:pPr>
        <w:pStyle w:val="5"/>
        <w:tabs>
          <w:tab w:val="left" w:pos="2268"/>
        </w:tabs>
        <w:spacing w:beforeLines="0" w:afterLines="0" w:line="480" w:lineRule="exact"/>
        <w:ind w:left="0" w:firstLine="0"/>
        <w:rPr>
          <w:rStyle w:val="508"/>
          <w:rFonts w:ascii="Times New Roman" w:hAnsi="Times New Roman"/>
        </w:rPr>
      </w:pPr>
      <w:r>
        <w:rPr>
          <w:rStyle w:val="508"/>
          <w:rFonts w:ascii="Times New Roman" w:hAnsi="Times New Roman"/>
        </w:rPr>
        <w:t>3.</w:t>
      </w:r>
      <w:r>
        <w:rPr>
          <w:rStyle w:val="508"/>
          <w:rFonts w:hint="eastAsia" w:ascii="Times New Roman" w:hAnsi="Times New Roman"/>
          <w:lang w:val="en-US"/>
        </w:rPr>
        <w:t>1.2</w:t>
      </w:r>
      <w:r>
        <w:rPr>
          <w:rStyle w:val="508"/>
          <w:rFonts w:ascii="Times New Roman" w:hAnsi="Times New Roman"/>
        </w:rPr>
        <w:t>.2</w:t>
      </w:r>
      <w:r>
        <w:rPr>
          <w:rStyle w:val="508"/>
          <w:rFonts w:hint="eastAsia" w:ascii="Times New Roman" w:hAnsi="Times New Roman"/>
        </w:rPr>
        <w:t>乙醇车间</w:t>
      </w:r>
    </w:p>
    <w:p w14:paraId="09C4071D">
      <w:pPr>
        <w:tabs>
          <w:tab w:val="left" w:pos="525"/>
        </w:tabs>
        <w:adjustRightInd w:val="0"/>
        <w:snapToGrid w:val="0"/>
        <w:spacing w:line="480" w:lineRule="exact"/>
        <w:ind w:firstLine="544" w:firstLineChars="200"/>
        <w:rPr>
          <w:spacing w:val="16"/>
          <w:sz w:val="24"/>
        </w:rPr>
      </w:pPr>
      <w:r>
        <w:rPr>
          <w:rFonts w:hint="eastAsia"/>
          <w:spacing w:val="16"/>
          <w:sz w:val="24"/>
        </w:rPr>
        <w:t>（1）液化糖化工段</w:t>
      </w:r>
    </w:p>
    <w:p w14:paraId="79C74FA1">
      <w:pPr>
        <w:tabs>
          <w:tab w:val="left" w:pos="525"/>
        </w:tabs>
        <w:adjustRightInd w:val="0"/>
        <w:snapToGrid w:val="0"/>
        <w:spacing w:line="480" w:lineRule="exact"/>
        <w:ind w:firstLine="544" w:firstLineChars="200"/>
        <w:rPr>
          <w:spacing w:val="16"/>
          <w:sz w:val="24"/>
        </w:rPr>
      </w:pPr>
      <w:r>
        <w:rPr>
          <w:rFonts w:hint="eastAsia"/>
          <w:spacing w:val="16"/>
          <w:sz w:val="24"/>
        </w:rPr>
        <w:t>由粉碎车间送来的料浆与液化醪闪蒸汽混合升温，并在预煮锅内停留约</w:t>
      </w:r>
      <w:r>
        <w:rPr>
          <w:spacing w:val="16"/>
          <w:sz w:val="24"/>
        </w:rPr>
        <w:t>40</w:t>
      </w:r>
      <w:r>
        <w:rPr>
          <w:rFonts w:hint="eastAsia"/>
          <w:spacing w:val="16"/>
          <w:sz w:val="24"/>
        </w:rPr>
        <w:t>分钟，同时按比例连续流加α</w:t>
      </w:r>
      <w:r>
        <w:rPr>
          <w:spacing w:val="16"/>
          <w:sz w:val="24"/>
        </w:rPr>
        <w:t>-</w:t>
      </w:r>
      <w:r>
        <w:rPr>
          <w:rFonts w:hint="eastAsia"/>
          <w:spacing w:val="16"/>
          <w:sz w:val="24"/>
        </w:rPr>
        <w:t>淀粉酶进行初液化，初液化醪经泵送入以料带汽的低压式喷射液化器瞬间加热到</w:t>
      </w:r>
      <w:r>
        <w:rPr>
          <w:spacing w:val="16"/>
          <w:sz w:val="24"/>
        </w:rPr>
        <w:t>102</w:t>
      </w:r>
      <w:r>
        <w:rPr>
          <w:rFonts w:hint="eastAsia"/>
          <w:spacing w:val="16"/>
          <w:sz w:val="24"/>
        </w:rPr>
        <w:t>℃，并进入蒸煮锅和四个串联的后熟器停留约</w:t>
      </w:r>
      <w:r>
        <w:rPr>
          <w:spacing w:val="16"/>
          <w:sz w:val="24"/>
        </w:rPr>
        <w:t>120</w:t>
      </w:r>
      <w:r>
        <w:rPr>
          <w:rFonts w:hint="eastAsia"/>
          <w:spacing w:val="16"/>
          <w:sz w:val="24"/>
        </w:rPr>
        <w:t>分钟，液化醪首先采用真空冷却，醪液进入汽液分离器，分离蒸汽加热料浆。降温后的液化醪进入糖化罐，在糖化罐中加入糖化酶，保持温度</w:t>
      </w:r>
      <w:r>
        <w:rPr>
          <w:spacing w:val="16"/>
          <w:sz w:val="24"/>
        </w:rPr>
        <w:t>58-62</w:t>
      </w:r>
      <w:r>
        <w:rPr>
          <w:rFonts w:hint="eastAsia"/>
          <w:spacing w:val="16"/>
          <w:sz w:val="24"/>
        </w:rPr>
        <w:t>℃，糖化时间为</w:t>
      </w:r>
      <w:r>
        <w:rPr>
          <w:spacing w:val="16"/>
          <w:sz w:val="24"/>
        </w:rPr>
        <w:t>40</w:t>
      </w:r>
      <w:r>
        <w:rPr>
          <w:rFonts w:hint="eastAsia"/>
          <w:spacing w:val="16"/>
          <w:sz w:val="24"/>
        </w:rPr>
        <w:t>分钟。</w:t>
      </w:r>
    </w:p>
    <w:p w14:paraId="30E528A8">
      <w:pPr>
        <w:tabs>
          <w:tab w:val="left" w:pos="525"/>
        </w:tabs>
        <w:adjustRightInd w:val="0"/>
        <w:snapToGrid w:val="0"/>
        <w:spacing w:line="480" w:lineRule="exact"/>
        <w:ind w:firstLine="544" w:firstLineChars="200"/>
        <w:rPr>
          <w:spacing w:val="16"/>
          <w:sz w:val="24"/>
        </w:rPr>
      </w:pPr>
      <w:r>
        <w:rPr>
          <w:rFonts w:hint="eastAsia"/>
          <w:spacing w:val="16"/>
          <w:sz w:val="24"/>
        </w:rPr>
        <w:t>糖化后的糖化醪经泵送入宽通道板换热器，与循环冷却水进行热量交换，使糖化醪温度降至</w:t>
      </w:r>
      <w:r>
        <w:rPr>
          <w:spacing w:val="16"/>
          <w:sz w:val="24"/>
        </w:rPr>
        <w:t>30~32</w:t>
      </w:r>
      <w:r>
        <w:rPr>
          <w:rFonts w:hint="eastAsia"/>
          <w:spacing w:val="16"/>
          <w:sz w:val="24"/>
        </w:rPr>
        <w:t>℃，送入发酵工段。液化糖化工艺流程见图3.2-2。</w:t>
      </w:r>
    </w:p>
    <w:p w14:paraId="55EBFAAF">
      <w:pPr>
        <w:tabs>
          <w:tab w:val="left" w:pos="525"/>
        </w:tabs>
        <w:adjustRightInd w:val="0"/>
        <w:snapToGrid w:val="0"/>
        <w:spacing w:line="480" w:lineRule="exact"/>
        <w:ind w:firstLine="544" w:firstLineChars="200"/>
        <w:rPr>
          <w:spacing w:val="16"/>
          <w:sz w:val="24"/>
        </w:rPr>
      </w:pPr>
    </w:p>
    <w:p w14:paraId="66C3AC74">
      <w:pPr>
        <w:tabs>
          <w:tab w:val="left" w:pos="525"/>
        </w:tabs>
        <w:adjustRightInd w:val="0"/>
        <w:snapToGrid w:val="0"/>
        <w:spacing w:line="480" w:lineRule="exact"/>
        <w:ind w:firstLine="544" w:firstLineChars="200"/>
        <w:rPr>
          <w:spacing w:val="16"/>
          <w:sz w:val="24"/>
        </w:rPr>
      </w:pPr>
    </w:p>
    <w:p w14:paraId="728F6663">
      <w:pPr>
        <w:tabs>
          <w:tab w:val="left" w:pos="525"/>
        </w:tabs>
        <w:adjustRightInd w:val="0"/>
        <w:snapToGrid w:val="0"/>
        <w:rPr>
          <w:spacing w:val="16"/>
          <w:sz w:val="24"/>
        </w:rPr>
      </w:pPr>
      <w:r>
        <w:rPr>
          <w:spacing w:val="16"/>
          <w:sz w:val="24"/>
        </w:rPr>
        <w:drawing>
          <wp:inline distT="0" distB="0" distL="114300" distR="114300">
            <wp:extent cx="5612130" cy="3228340"/>
            <wp:effectExtent l="0" t="0" r="7620" b="10160"/>
            <wp:docPr id="62" name="图片 11"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descr="无标题"/>
                    <pic:cNvPicPr>
                      <a:picLocks noChangeAspect="1"/>
                    </pic:cNvPicPr>
                  </pic:nvPicPr>
                  <pic:blipFill>
                    <a:blip r:embed="rId45"/>
                    <a:stretch>
                      <a:fillRect/>
                    </a:stretch>
                  </pic:blipFill>
                  <pic:spPr>
                    <a:xfrm>
                      <a:off x="0" y="0"/>
                      <a:ext cx="5612130" cy="3228340"/>
                    </a:xfrm>
                    <a:prstGeom prst="rect">
                      <a:avLst/>
                    </a:prstGeom>
                    <a:noFill/>
                    <a:ln>
                      <a:noFill/>
                    </a:ln>
                  </pic:spPr>
                </pic:pic>
              </a:graphicData>
            </a:graphic>
          </wp:inline>
        </w:drawing>
      </w:r>
    </w:p>
    <w:p w14:paraId="24901C6E">
      <w:pPr>
        <w:jc w:val="center"/>
        <w:rPr>
          <w:sz w:val="24"/>
          <w:szCs w:val="24"/>
        </w:rPr>
      </w:pPr>
      <w:r>
        <w:rPr>
          <w:rFonts w:hint="eastAsia"/>
          <w:sz w:val="24"/>
          <w:szCs w:val="24"/>
        </w:rPr>
        <w:t>图3.</w:t>
      </w:r>
      <w:r>
        <w:rPr>
          <w:rFonts w:hint="eastAsia"/>
          <w:sz w:val="24"/>
          <w:szCs w:val="24"/>
          <w:lang w:val="en-US" w:eastAsia="zh-CN"/>
        </w:rPr>
        <w:t>1</w:t>
      </w:r>
      <w:r>
        <w:rPr>
          <w:rFonts w:hint="eastAsia"/>
          <w:sz w:val="24"/>
          <w:szCs w:val="24"/>
        </w:rPr>
        <w:t>-2 液化糖化工艺流程图</w:t>
      </w:r>
    </w:p>
    <w:p w14:paraId="41B66B9A">
      <w:pPr>
        <w:tabs>
          <w:tab w:val="left" w:pos="525"/>
        </w:tabs>
        <w:adjustRightInd w:val="0"/>
        <w:snapToGrid w:val="0"/>
        <w:spacing w:line="480" w:lineRule="exact"/>
        <w:ind w:firstLine="544" w:firstLineChars="200"/>
        <w:rPr>
          <w:spacing w:val="16"/>
          <w:sz w:val="24"/>
        </w:rPr>
      </w:pPr>
      <w:r>
        <w:rPr>
          <w:spacing w:val="16"/>
          <w:sz w:val="24"/>
        </w:rPr>
        <w:t>（2）发酵</w:t>
      </w:r>
      <w:r>
        <w:rPr>
          <w:rFonts w:hint="eastAsia"/>
          <w:spacing w:val="16"/>
          <w:sz w:val="24"/>
        </w:rPr>
        <w:t>工段</w:t>
      </w:r>
    </w:p>
    <w:p w14:paraId="1E1FE0FA">
      <w:pPr>
        <w:tabs>
          <w:tab w:val="left" w:pos="525"/>
        </w:tabs>
        <w:adjustRightInd w:val="0"/>
        <w:snapToGrid w:val="0"/>
        <w:spacing w:line="480" w:lineRule="exact"/>
        <w:ind w:firstLine="544" w:firstLineChars="200"/>
        <w:rPr>
          <w:spacing w:val="16"/>
          <w:sz w:val="24"/>
        </w:rPr>
      </w:pPr>
      <w:r>
        <w:rPr>
          <w:rFonts w:hint="eastAsia"/>
          <w:spacing w:val="16"/>
          <w:sz w:val="24"/>
        </w:rPr>
        <w:t>本工段设</w:t>
      </w:r>
      <w:r>
        <w:rPr>
          <w:rFonts w:hint="eastAsia"/>
          <w:spacing w:val="16"/>
          <w:sz w:val="24"/>
          <w:lang w:val="en-US" w:eastAsia="zh-CN"/>
        </w:rPr>
        <w:t>4</w:t>
      </w:r>
      <w:r>
        <w:rPr>
          <w:rFonts w:hint="eastAsia"/>
          <w:spacing w:val="16"/>
          <w:sz w:val="24"/>
        </w:rPr>
        <w:t>个酒母罐</w:t>
      </w:r>
      <w:r>
        <w:rPr>
          <w:rFonts w:hint="eastAsia"/>
          <w:spacing w:val="16"/>
          <w:sz w:val="24"/>
          <w:lang w:eastAsia="zh-CN"/>
        </w:rPr>
        <w:t>，</w:t>
      </w:r>
      <w:r>
        <w:rPr>
          <w:rFonts w:hint="eastAsia"/>
          <w:spacing w:val="16"/>
          <w:sz w:val="24"/>
          <w:lang w:val="en-US" w:eastAsia="zh-CN"/>
        </w:rPr>
        <w:t>26</w:t>
      </w:r>
      <w:r>
        <w:rPr>
          <w:rFonts w:hint="eastAsia"/>
          <w:spacing w:val="16"/>
          <w:sz w:val="24"/>
        </w:rPr>
        <w:t>个发酵罐和</w:t>
      </w:r>
      <w:r>
        <w:rPr>
          <w:rFonts w:hint="eastAsia"/>
          <w:spacing w:val="16"/>
          <w:sz w:val="24"/>
          <w:lang w:val="en-US" w:eastAsia="zh-CN"/>
        </w:rPr>
        <w:t>2</w:t>
      </w:r>
      <w:r>
        <w:rPr>
          <w:rFonts w:hint="eastAsia"/>
          <w:spacing w:val="16"/>
          <w:sz w:val="24"/>
        </w:rPr>
        <w:t>个成熟醪罐，采用双流加连续发酵工艺。</w:t>
      </w:r>
    </w:p>
    <w:p w14:paraId="5D7F3BEC">
      <w:pPr>
        <w:tabs>
          <w:tab w:val="left" w:pos="525"/>
        </w:tabs>
        <w:adjustRightInd w:val="0"/>
        <w:snapToGrid w:val="0"/>
        <w:spacing w:line="480" w:lineRule="exact"/>
        <w:ind w:firstLine="544" w:firstLineChars="200"/>
        <w:rPr>
          <w:spacing w:val="16"/>
          <w:sz w:val="24"/>
        </w:rPr>
      </w:pPr>
      <w:r>
        <w:rPr>
          <w:rFonts w:hint="eastAsia"/>
          <w:spacing w:val="16"/>
          <w:sz w:val="24"/>
        </w:rPr>
        <w:t>活性干酵母经活化后进入酒母罐</w:t>
      </w:r>
      <w:r>
        <w:rPr>
          <w:spacing w:val="16"/>
          <w:sz w:val="24"/>
        </w:rPr>
        <w:t>,</w:t>
      </w:r>
      <w:r>
        <w:rPr>
          <w:rFonts w:hint="eastAsia"/>
          <w:spacing w:val="16"/>
          <w:sz w:val="24"/>
        </w:rPr>
        <w:t>同时不断流加由糖化工段来的糖化醪</w:t>
      </w:r>
      <w:r>
        <w:rPr>
          <w:spacing w:val="16"/>
          <w:sz w:val="24"/>
        </w:rPr>
        <w:t>,</w:t>
      </w:r>
      <w:r>
        <w:rPr>
          <w:rFonts w:hint="eastAsia"/>
          <w:spacing w:val="16"/>
          <w:sz w:val="24"/>
        </w:rPr>
        <w:t>使酵母增殖</w:t>
      </w:r>
      <w:r>
        <w:rPr>
          <w:spacing w:val="16"/>
          <w:sz w:val="24"/>
        </w:rPr>
        <w:t>,</w:t>
      </w:r>
      <w:r>
        <w:rPr>
          <w:rFonts w:hint="eastAsia"/>
          <w:spacing w:val="16"/>
          <w:sz w:val="24"/>
        </w:rPr>
        <w:t>满罐后同时流加到</w:t>
      </w:r>
      <w:r>
        <w:rPr>
          <w:spacing w:val="16"/>
          <w:sz w:val="24"/>
        </w:rPr>
        <w:t>1</w:t>
      </w:r>
      <w:r>
        <w:rPr>
          <w:rFonts w:hint="eastAsia"/>
          <w:spacing w:val="16"/>
          <w:sz w:val="24"/>
        </w:rPr>
        <w:t>、</w:t>
      </w:r>
      <w:r>
        <w:rPr>
          <w:spacing w:val="16"/>
          <w:sz w:val="24"/>
        </w:rPr>
        <w:t>2</w:t>
      </w:r>
      <w:r>
        <w:rPr>
          <w:rFonts w:hint="eastAsia"/>
          <w:spacing w:val="16"/>
          <w:sz w:val="24"/>
        </w:rPr>
        <w:t>号发酵罐，进行主发酵，而后进入</w:t>
      </w:r>
      <w:r>
        <w:rPr>
          <w:spacing w:val="16"/>
          <w:sz w:val="24"/>
        </w:rPr>
        <w:t>3</w:t>
      </w:r>
      <w:r>
        <w:rPr>
          <w:rFonts w:hint="eastAsia"/>
          <w:spacing w:val="16"/>
          <w:sz w:val="24"/>
        </w:rPr>
        <w:t>号罐、</w:t>
      </w:r>
      <w:r>
        <w:rPr>
          <w:spacing w:val="16"/>
          <w:sz w:val="24"/>
        </w:rPr>
        <w:t>4</w:t>
      </w:r>
      <w:r>
        <w:rPr>
          <w:rFonts w:hint="eastAsia"/>
          <w:spacing w:val="16"/>
          <w:sz w:val="24"/>
        </w:rPr>
        <w:t>号罐…</w:t>
      </w:r>
      <w:r>
        <w:rPr>
          <w:spacing w:val="16"/>
          <w:sz w:val="24"/>
        </w:rPr>
        <w:t>..</w:t>
      </w:r>
      <w:r>
        <w:rPr>
          <w:rFonts w:hint="eastAsia"/>
          <w:spacing w:val="16"/>
          <w:sz w:val="24"/>
        </w:rPr>
        <w:t>串罐</w:t>
      </w:r>
      <w:r>
        <w:rPr>
          <w:rFonts w:hint="eastAsia"/>
          <w:spacing w:val="16"/>
          <w:sz w:val="24"/>
          <w:lang w:eastAsia="zh-CN"/>
        </w:rPr>
        <w:t>，</w:t>
      </w:r>
      <w:r>
        <w:rPr>
          <w:rFonts w:hint="eastAsia"/>
          <w:spacing w:val="16"/>
          <w:sz w:val="24"/>
        </w:rPr>
        <w:t>直至成熟醪罐</w:t>
      </w:r>
      <w:r>
        <w:rPr>
          <w:spacing w:val="16"/>
          <w:sz w:val="24"/>
        </w:rPr>
        <w:t xml:space="preserve">, </w:t>
      </w:r>
      <w:r>
        <w:rPr>
          <w:rFonts w:hint="eastAsia"/>
          <w:spacing w:val="16"/>
          <w:sz w:val="24"/>
        </w:rPr>
        <w:t>发酵温度控制在</w:t>
      </w:r>
      <w:r>
        <w:rPr>
          <w:spacing w:val="16"/>
          <w:sz w:val="24"/>
        </w:rPr>
        <w:t>30</w:t>
      </w:r>
      <w:r>
        <w:rPr>
          <w:rFonts w:hint="eastAsia"/>
          <w:spacing w:val="16"/>
          <w:sz w:val="24"/>
        </w:rPr>
        <w:t>～</w:t>
      </w:r>
      <w:r>
        <w:rPr>
          <w:spacing w:val="16"/>
          <w:sz w:val="24"/>
        </w:rPr>
        <w:t>330C,</w:t>
      </w:r>
      <w:r>
        <w:rPr>
          <w:rFonts w:hint="eastAsia"/>
          <w:spacing w:val="16"/>
          <w:sz w:val="24"/>
        </w:rPr>
        <w:t>发酵时间</w:t>
      </w:r>
      <w:r>
        <w:rPr>
          <w:spacing w:val="16"/>
          <w:sz w:val="24"/>
        </w:rPr>
        <w:t>55</w:t>
      </w:r>
      <w:r>
        <w:rPr>
          <w:rFonts w:hint="eastAsia"/>
          <w:spacing w:val="16"/>
          <w:sz w:val="24"/>
        </w:rPr>
        <w:t>～</w:t>
      </w:r>
      <w:r>
        <w:rPr>
          <w:spacing w:val="16"/>
          <w:sz w:val="24"/>
        </w:rPr>
        <w:t>60h,</w:t>
      </w:r>
      <w:r>
        <w:rPr>
          <w:rFonts w:hint="eastAsia"/>
          <w:spacing w:val="16"/>
          <w:sz w:val="24"/>
        </w:rPr>
        <w:t>为维持发酵罐温度</w:t>
      </w:r>
      <w:r>
        <w:rPr>
          <w:spacing w:val="16"/>
          <w:sz w:val="24"/>
        </w:rPr>
        <w:t>,</w:t>
      </w:r>
      <w:r>
        <w:rPr>
          <w:rFonts w:hint="eastAsia"/>
          <w:spacing w:val="16"/>
          <w:sz w:val="24"/>
        </w:rPr>
        <w:t>采用螺旋板换热器罐外循环冷却</w:t>
      </w:r>
      <w:r>
        <w:rPr>
          <w:spacing w:val="16"/>
          <w:sz w:val="24"/>
        </w:rPr>
        <w:t>,</w:t>
      </w:r>
      <w:r>
        <w:rPr>
          <w:rFonts w:hint="eastAsia"/>
          <w:spacing w:val="16"/>
          <w:sz w:val="24"/>
        </w:rPr>
        <w:t>冷却介质为</w:t>
      </w:r>
      <w:r>
        <w:rPr>
          <w:spacing w:val="16"/>
          <w:sz w:val="24"/>
        </w:rPr>
        <w:t>220C</w:t>
      </w:r>
      <w:r>
        <w:rPr>
          <w:rFonts w:hint="eastAsia"/>
          <w:spacing w:val="16"/>
          <w:sz w:val="24"/>
        </w:rPr>
        <w:t>循环水</w:t>
      </w:r>
      <w:r>
        <w:rPr>
          <w:spacing w:val="16"/>
          <w:sz w:val="24"/>
        </w:rPr>
        <w:t>,</w:t>
      </w:r>
      <w:r>
        <w:rPr>
          <w:rFonts w:hint="eastAsia"/>
          <w:spacing w:val="16"/>
          <w:sz w:val="24"/>
        </w:rPr>
        <w:t>夏季为</w:t>
      </w:r>
      <w:r>
        <w:rPr>
          <w:spacing w:val="16"/>
          <w:sz w:val="24"/>
        </w:rPr>
        <w:t>170</w:t>
      </w:r>
      <w:r>
        <w:rPr>
          <w:rFonts w:hint="eastAsia"/>
          <w:spacing w:val="16"/>
          <w:sz w:val="24"/>
        </w:rPr>
        <w:t>冷冻水</w:t>
      </w:r>
      <w:r>
        <w:rPr>
          <w:spacing w:val="16"/>
          <w:sz w:val="24"/>
        </w:rPr>
        <w:t>.</w:t>
      </w:r>
      <w:r>
        <w:rPr>
          <w:rFonts w:hint="eastAsia"/>
          <w:spacing w:val="16"/>
          <w:sz w:val="24"/>
        </w:rPr>
        <w:t>发酵结束</w:t>
      </w:r>
      <w:r>
        <w:rPr>
          <w:spacing w:val="16"/>
          <w:sz w:val="24"/>
        </w:rPr>
        <w:t>,</w:t>
      </w:r>
      <w:r>
        <w:rPr>
          <w:rFonts w:hint="eastAsia"/>
          <w:spacing w:val="16"/>
          <w:sz w:val="24"/>
        </w:rPr>
        <w:t>成熟醪由泵送至蒸镏工段。</w:t>
      </w:r>
    </w:p>
    <w:p w14:paraId="6FEA076F">
      <w:pPr>
        <w:tabs>
          <w:tab w:val="left" w:pos="525"/>
        </w:tabs>
        <w:adjustRightInd w:val="0"/>
        <w:snapToGrid w:val="0"/>
        <w:spacing w:line="480" w:lineRule="exact"/>
        <w:ind w:firstLine="544" w:firstLineChars="200"/>
        <w:rPr>
          <w:rFonts w:hint="eastAsia"/>
          <w:spacing w:val="16"/>
          <w:sz w:val="24"/>
          <w:lang w:val="en-US" w:eastAsia="zh-CN"/>
        </w:rPr>
      </w:pPr>
      <w:r>
        <w:rPr>
          <w:rFonts w:hint="eastAsia"/>
          <w:spacing w:val="16"/>
          <w:sz w:val="24"/>
        </w:rPr>
        <w:t>酒母罐、成熟醪罐和发酵罐产生的CO2气体经CO2洗涤塔回收酒精后</w:t>
      </w:r>
      <w:r>
        <w:rPr>
          <w:rFonts w:hint="eastAsia"/>
          <w:spacing w:val="16"/>
          <w:sz w:val="24"/>
          <w:lang w:val="en-US" w:eastAsia="zh-CN"/>
        </w:rPr>
        <w:t>压缩净化最后综合利用</w:t>
      </w:r>
      <w:r>
        <w:rPr>
          <w:rFonts w:hint="eastAsia"/>
          <w:spacing w:val="16"/>
          <w:sz w:val="24"/>
        </w:rPr>
        <w:t>,收集的淡酒用泵送至成熟醪罐。CO2洗涤塔回收</w:t>
      </w:r>
      <w:r>
        <w:rPr>
          <w:rFonts w:hint="eastAsia"/>
          <w:spacing w:val="16"/>
          <w:sz w:val="24"/>
          <w:lang w:val="en-US" w:eastAsia="zh-CN"/>
        </w:rPr>
        <w:t>后经</w:t>
      </w:r>
      <w:r>
        <w:rPr>
          <w:rFonts w:hint="eastAsia"/>
          <w:spacing w:val="16"/>
          <w:sz w:val="24"/>
          <w:lang w:val="en-US" w:eastAsia="zh-Hans"/>
        </w:rPr>
        <w:t>冷凝洗涤、压缩、低温精馏洗、</w:t>
      </w:r>
      <w:r>
        <w:rPr>
          <w:rFonts w:hint="eastAsia"/>
          <w:spacing w:val="16"/>
          <w:sz w:val="24"/>
          <w:lang w:val="en-US" w:eastAsia="zh-CN"/>
        </w:rPr>
        <w:t>储存系统工序后</w:t>
      </w:r>
      <w:r>
        <w:rPr>
          <w:rFonts w:hint="eastAsia"/>
          <w:spacing w:val="16"/>
          <w:sz w:val="24"/>
          <w:lang w:val="en-US" w:eastAsia="zh-Hans"/>
        </w:rPr>
        <w:t>产品纯度达到 99.99%</w:t>
      </w:r>
      <w:r>
        <w:rPr>
          <w:rFonts w:hint="eastAsia"/>
          <w:spacing w:val="16"/>
          <w:sz w:val="24"/>
          <w:lang w:val="en-US" w:eastAsia="zh-CN"/>
        </w:rPr>
        <w:t>。</w:t>
      </w:r>
    </w:p>
    <w:p w14:paraId="27AFCC70">
      <w:pPr>
        <w:tabs>
          <w:tab w:val="left" w:pos="525"/>
        </w:tabs>
        <w:adjustRightInd w:val="0"/>
        <w:snapToGrid w:val="0"/>
        <w:spacing w:line="480" w:lineRule="exact"/>
        <w:ind w:firstLine="544" w:firstLineChars="200"/>
        <w:rPr>
          <w:spacing w:val="16"/>
          <w:sz w:val="24"/>
        </w:rPr>
      </w:pPr>
      <w:r>
        <w:rPr>
          <w:rFonts w:hint="eastAsia"/>
          <w:spacing w:val="16"/>
          <w:sz w:val="24"/>
        </w:rPr>
        <w:t>氢氧化钠溶液由槽车送来，进入液碱罐贮存。当罐体需要洗涤时将碱液注入</w:t>
      </w:r>
      <w:r>
        <w:rPr>
          <w:spacing w:val="16"/>
          <w:sz w:val="24"/>
        </w:rPr>
        <w:t>CIP</w:t>
      </w:r>
      <w:r>
        <w:rPr>
          <w:rFonts w:hint="eastAsia"/>
          <w:spacing w:val="16"/>
          <w:sz w:val="24"/>
        </w:rPr>
        <w:t>罐，加入水调整浓度后对发酵罐进行清洗灭菌。</w:t>
      </w:r>
    </w:p>
    <w:p w14:paraId="054038A5">
      <w:pPr>
        <w:tabs>
          <w:tab w:val="left" w:pos="525"/>
        </w:tabs>
        <w:adjustRightInd w:val="0"/>
        <w:snapToGrid w:val="0"/>
        <w:spacing w:line="480" w:lineRule="exact"/>
        <w:ind w:firstLine="544" w:firstLineChars="200"/>
        <w:rPr>
          <w:spacing w:val="16"/>
          <w:sz w:val="24"/>
        </w:rPr>
      </w:pPr>
      <w:r>
        <w:rPr>
          <w:rFonts w:hint="eastAsia"/>
          <w:spacing w:val="16"/>
          <w:sz w:val="24"/>
        </w:rPr>
        <w:t>酒母罐的灭菌采用蒸汽。发酵工段工艺流程见图3.2-3。</w:t>
      </w:r>
    </w:p>
    <w:p w14:paraId="1BD54B3A">
      <w:pPr>
        <w:tabs>
          <w:tab w:val="left" w:pos="525"/>
        </w:tabs>
        <w:adjustRightInd w:val="0"/>
        <w:snapToGrid w:val="0"/>
        <w:spacing w:line="360" w:lineRule="auto"/>
        <w:rPr>
          <w:spacing w:val="16"/>
          <w:sz w:val="24"/>
        </w:rPr>
      </w:pPr>
      <w:r>
        <w:rPr>
          <w:sz w:val="24"/>
        </w:rPr>
        <mc:AlternateContent>
          <mc:Choice Requires="wps">
            <w:drawing>
              <wp:anchor distT="0" distB="0" distL="114300" distR="114300" simplePos="0" relativeHeight="251660288" behindDoc="0" locked="0" layoutInCell="1" allowOverlap="1">
                <wp:simplePos x="0" y="0"/>
                <wp:positionH relativeFrom="column">
                  <wp:posOffset>3997960</wp:posOffset>
                </wp:positionH>
                <wp:positionV relativeFrom="paragraph">
                  <wp:posOffset>139700</wp:posOffset>
                </wp:positionV>
                <wp:extent cx="610870" cy="257810"/>
                <wp:effectExtent l="5080" t="4445" r="12700" b="23495"/>
                <wp:wrapNone/>
                <wp:docPr id="61" name="文本框 61"/>
                <wp:cNvGraphicFramePr/>
                <a:graphic xmlns:a="http://schemas.openxmlformats.org/drawingml/2006/main">
                  <a:graphicData uri="http://schemas.microsoft.com/office/word/2010/wordprocessingShape">
                    <wps:wsp>
                      <wps:cNvSpPr txBox="1"/>
                      <wps:spPr>
                        <a:xfrm>
                          <a:off x="0" y="0"/>
                          <a:ext cx="610870" cy="2578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DA6444">
                            <w:pPr>
                              <w:rPr>
                                <w:rFonts w:hint="eastAsia" w:eastAsia="宋体"/>
                                <w:lang w:val="en-US" w:eastAsia="zh-CN"/>
                              </w:rPr>
                            </w:pPr>
                            <w:r>
                              <w:rPr>
                                <w:rFonts w:hint="eastAsia"/>
                                <w:sz w:val="13"/>
                                <w:szCs w:val="13"/>
                                <w:lang w:val="en-US" w:eastAsia="zh-CN"/>
                              </w:rPr>
                              <w:t>综合利用</w:t>
                            </w:r>
                          </w:p>
                        </w:txbxContent>
                      </wps:txbx>
                      <wps:bodyPr upright="1"/>
                    </wps:wsp>
                  </a:graphicData>
                </a:graphic>
              </wp:anchor>
            </w:drawing>
          </mc:Choice>
          <mc:Fallback>
            <w:pict>
              <v:shape id="_x0000_s1026" o:spid="_x0000_s1026" o:spt="202" type="#_x0000_t202" style="position:absolute;left:0pt;margin-left:314.8pt;margin-top:11pt;height:20.3pt;width:48.1pt;z-index:251660288;mso-width-relative:page;mso-height-relative:page;" fillcolor="#FFFFFF" filled="t" stroked="t" coordsize="21600,21600" o:gfxdata="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CcUw31wAAAAkBAAAPAAAAAAAAAAEAIAAA&#10;ACIAAABkcnMvZG93bnJldi54bWxQSwECFAAUAAAACACHTuJAqduwHw0CAAA3BAAADgAAAAAAAAAB&#10;ACAAAAAmAQAAZHJzL2Uyb0RvYy54bWxQSwUGAAAAAAYABgBZAQAApQUAAAAA&#10;">
                <v:fill on="t" focussize="0,0"/>
                <v:stroke color="#000000" joinstyle="miter"/>
                <v:imagedata o:title=""/>
                <o:lock v:ext="edit" aspectratio="f"/>
                <v:textbox>
                  <w:txbxContent>
                    <w:p w14:paraId="17DA6444">
                      <w:pPr>
                        <w:rPr>
                          <w:rFonts w:hint="eastAsia" w:eastAsia="宋体"/>
                          <w:lang w:val="en-US" w:eastAsia="zh-CN"/>
                        </w:rPr>
                      </w:pPr>
                      <w:r>
                        <w:rPr>
                          <w:rFonts w:hint="eastAsia"/>
                          <w:sz w:val="13"/>
                          <w:szCs w:val="13"/>
                          <w:lang w:val="en-US" w:eastAsia="zh-CN"/>
                        </w:rPr>
                        <w:t>综合利用</w:t>
                      </w:r>
                    </w:p>
                  </w:txbxContent>
                </v:textbox>
              </v:shape>
            </w:pict>
          </mc:Fallback>
        </mc:AlternateContent>
      </w:r>
      <w:r>
        <w:rPr>
          <w:spacing w:val="16"/>
          <w:sz w:val="24"/>
        </w:rPr>
        <w:drawing>
          <wp:inline distT="0" distB="0" distL="114300" distR="114300">
            <wp:extent cx="5616575" cy="2907665"/>
            <wp:effectExtent l="0" t="0" r="3175" b="6985"/>
            <wp:docPr id="64" name="图片 12" descr="无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descr="无标题1"/>
                    <pic:cNvPicPr>
                      <a:picLocks noChangeAspect="1"/>
                    </pic:cNvPicPr>
                  </pic:nvPicPr>
                  <pic:blipFill>
                    <a:blip r:embed="rId46"/>
                    <a:stretch>
                      <a:fillRect/>
                    </a:stretch>
                  </pic:blipFill>
                  <pic:spPr>
                    <a:xfrm>
                      <a:off x="0" y="0"/>
                      <a:ext cx="5616575" cy="2907665"/>
                    </a:xfrm>
                    <a:prstGeom prst="rect">
                      <a:avLst/>
                    </a:prstGeom>
                    <a:noFill/>
                    <a:ln>
                      <a:noFill/>
                    </a:ln>
                  </pic:spPr>
                </pic:pic>
              </a:graphicData>
            </a:graphic>
          </wp:inline>
        </w:drawing>
      </w:r>
    </w:p>
    <w:p w14:paraId="6303C8CC">
      <w:pPr>
        <w:jc w:val="center"/>
        <w:rPr>
          <w:sz w:val="24"/>
          <w:szCs w:val="24"/>
        </w:rPr>
      </w:pPr>
      <w:r>
        <w:rPr>
          <w:rFonts w:hint="eastAsia"/>
          <w:sz w:val="24"/>
          <w:szCs w:val="24"/>
        </w:rPr>
        <w:t>图3.</w:t>
      </w:r>
      <w:r>
        <w:rPr>
          <w:rFonts w:hint="eastAsia"/>
          <w:sz w:val="24"/>
          <w:szCs w:val="24"/>
          <w:lang w:val="en-US" w:eastAsia="zh-CN"/>
        </w:rPr>
        <w:t>1</w:t>
      </w:r>
      <w:r>
        <w:rPr>
          <w:rFonts w:hint="eastAsia"/>
          <w:sz w:val="24"/>
          <w:szCs w:val="24"/>
        </w:rPr>
        <w:t>-3发酵工段工艺流程图</w:t>
      </w:r>
    </w:p>
    <w:p w14:paraId="2AD7CBC1">
      <w:pPr>
        <w:tabs>
          <w:tab w:val="left" w:pos="525"/>
        </w:tabs>
        <w:adjustRightInd w:val="0"/>
        <w:snapToGrid w:val="0"/>
        <w:spacing w:line="480" w:lineRule="exact"/>
        <w:ind w:firstLine="544" w:firstLineChars="200"/>
        <w:rPr>
          <w:spacing w:val="16"/>
          <w:sz w:val="24"/>
        </w:rPr>
      </w:pPr>
      <w:r>
        <w:rPr>
          <w:spacing w:val="16"/>
          <w:sz w:val="24"/>
        </w:rPr>
        <w:t>（3）蒸馏</w:t>
      </w:r>
      <w:r>
        <w:rPr>
          <w:rFonts w:hint="eastAsia"/>
          <w:spacing w:val="16"/>
          <w:sz w:val="24"/>
        </w:rPr>
        <w:t>工段</w:t>
      </w:r>
    </w:p>
    <w:p w14:paraId="2DCBD867">
      <w:pPr>
        <w:tabs>
          <w:tab w:val="left" w:pos="525"/>
        </w:tabs>
        <w:adjustRightInd w:val="0"/>
        <w:snapToGrid w:val="0"/>
        <w:spacing w:line="480" w:lineRule="exact"/>
        <w:ind w:firstLine="544" w:firstLineChars="200"/>
        <w:rPr>
          <w:spacing w:val="16"/>
          <w:sz w:val="24"/>
        </w:rPr>
      </w:pPr>
      <w:r>
        <w:rPr>
          <w:rFonts w:hint="eastAsia"/>
          <w:spacing w:val="16"/>
          <w:sz w:val="24"/>
        </w:rPr>
        <w:t>此蒸馏工段工艺采用广东中科天元新能源科技有限公司自主知识产权的成熟醪蒸馏生产优级食用酒精的“七塔差压蒸馏节能工艺”一种创新工艺。</w:t>
      </w:r>
    </w:p>
    <w:p w14:paraId="3CFE0BC9">
      <w:pPr>
        <w:tabs>
          <w:tab w:val="left" w:pos="525"/>
        </w:tabs>
        <w:adjustRightInd w:val="0"/>
        <w:snapToGrid w:val="0"/>
        <w:spacing w:line="480" w:lineRule="exact"/>
        <w:ind w:firstLine="544" w:firstLineChars="200"/>
        <w:rPr>
          <w:spacing w:val="16"/>
          <w:sz w:val="24"/>
        </w:rPr>
      </w:pPr>
      <w:r>
        <w:rPr>
          <w:rFonts w:hint="eastAsia"/>
          <w:spacing w:val="16"/>
          <w:sz w:val="24"/>
        </w:rPr>
        <w:t>该系统由粗馏塔，粗辅塔，脱醛塔，水洗塔，精馏塔、回收塔、甲醇塔组成。</w:t>
      </w:r>
    </w:p>
    <w:p w14:paraId="32054F8E">
      <w:pPr>
        <w:tabs>
          <w:tab w:val="left" w:pos="525"/>
        </w:tabs>
        <w:adjustRightInd w:val="0"/>
        <w:snapToGrid w:val="0"/>
        <w:spacing w:line="480" w:lineRule="exact"/>
        <w:ind w:firstLine="544" w:firstLineChars="200"/>
        <w:rPr>
          <w:spacing w:val="16"/>
          <w:sz w:val="24"/>
        </w:rPr>
      </w:pPr>
      <w:r>
        <w:rPr>
          <w:rFonts w:hint="eastAsia"/>
          <w:spacing w:val="16"/>
          <w:sz w:val="24"/>
        </w:rPr>
        <w:t>热量耦合方式：粗馏塔由水洗塔和甲醇塔酒汽加热；脱醛塔的热源一是回收塔酒精蒸汽，二是水洗塔的酒精蒸汽；由精馏塔间接通过精塔再沸器用锅炉一次蒸汽供热，且是正压操作；精馏塔顶的酒精蒸汽通过水洗塔再沸器先给水洗塔供热，未被冷的精馏塔顶酒精蒸汽给甲醇塔供热，最后供给粗辅塔。甲醇塔为微正压操作，其热源来自精馏塔顶酒精蒸汽，加大甲醇塔的回流比，起到甲醇分离要求；回收塔采用汽凝水闪蒸汽加热，并通过再沸器增加少许直接蒸汽进行加热。</w:t>
      </w:r>
    </w:p>
    <w:p w14:paraId="294B369E">
      <w:pPr>
        <w:tabs>
          <w:tab w:val="left" w:pos="525"/>
        </w:tabs>
        <w:adjustRightInd w:val="0"/>
        <w:snapToGrid w:val="0"/>
        <w:spacing w:line="480" w:lineRule="exact"/>
        <w:ind w:firstLine="544" w:firstLineChars="200"/>
        <w:rPr>
          <w:spacing w:val="16"/>
          <w:sz w:val="24"/>
        </w:rPr>
      </w:pPr>
      <w:r>
        <w:rPr>
          <w:rFonts w:hint="eastAsia"/>
          <w:spacing w:val="16"/>
          <w:sz w:val="24"/>
        </w:rPr>
        <w:t>粗馏塔再沸系统：采用糟液强制循环换热工艺。粗馏塔配套两个再沸器，其热源来自水洗塔顶酒精蒸汽和甲醇塔顶酒精蒸汽。</w:t>
      </w:r>
    </w:p>
    <w:p w14:paraId="14404505">
      <w:pPr>
        <w:tabs>
          <w:tab w:val="left" w:pos="525"/>
        </w:tabs>
        <w:adjustRightInd w:val="0"/>
        <w:snapToGrid w:val="0"/>
        <w:spacing w:line="480" w:lineRule="exact"/>
        <w:ind w:firstLine="544" w:firstLineChars="200"/>
        <w:rPr>
          <w:spacing w:val="16"/>
          <w:sz w:val="24"/>
        </w:rPr>
      </w:pPr>
      <w:r>
        <w:rPr>
          <w:rFonts w:hint="eastAsia"/>
          <w:spacing w:val="16"/>
          <w:sz w:val="24"/>
        </w:rPr>
        <w:t>粗辅塔：为减轻粗馏塔负荷</w:t>
      </w:r>
      <w:r>
        <w:rPr>
          <w:spacing w:val="16"/>
          <w:sz w:val="24"/>
        </w:rPr>
        <w:t>,</w:t>
      </w:r>
      <w:r>
        <w:rPr>
          <w:rFonts w:hint="eastAsia"/>
          <w:spacing w:val="16"/>
          <w:sz w:val="24"/>
        </w:rPr>
        <w:t>并回收脱醛段回流下来酒液中的水，在粗塔第</w:t>
      </w:r>
      <w:r>
        <w:rPr>
          <w:spacing w:val="16"/>
          <w:sz w:val="24"/>
        </w:rPr>
        <w:t>25</w:t>
      </w:r>
      <w:r>
        <w:rPr>
          <w:rFonts w:hint="eastAsia"/>
          <w:spacing w:val="16"/>
          <w:sz w:val="24"/>
        </w:rPr>
        <w:t>层塔板处设一溢流管，使回流的</w:t>
      </w:r>
      <w:r>
        <w:rPr>
          <w:spacing w:val="16"/>
          <w:sz w:val="24"/>
        </w:rPr>
        <w:t>10%</w:t>
      </w:r>
      <w:r>
        <w:rPr>
          <w:rFonts w:hint="eastAsia"/>
          <w:spacing w:val="16"/>
          <w:sz w:val="24"/>
        </w:rPr>
        <w:t>～</w:t>
      </w:r>
      <w:r>
        <w:rPr>
          <w:spacing w:val="16"/>
          <w:sz w:val="24"/>
        </w:rPr>
        <w:t>12% v/v</w:t>
      </w:r>
      <w:r>
        <w:rPr>
          <w:rFonts w:hint="eastAsia"/>
          <w:spacing w:val="16"/>
          <w:sz w:val="24"/>
        </w:rPr>
        <w:t>低浓度酒精进入粗辅塔进一步浓缩，经浓缩后的酒汽重新返回粗塔</w:t>
      </w:r>
      <w:r>
        <w:rPr>
          <w:spacing w:val="16"/>
          <w:sz w:val="24"/>
        </w:rPr>
        <w:t>25</w:t>
      </w:r>
      <w:r>
        <w:rPr>
          <w:rFonts w:hint="eastAsia"/>
          <w:spacing w:val="16"/>
          <w:sz w:val="24"/>
        </w:rPr>
        <w:t>层，浓缩后不含酒精的废水从粗辅塔塔底排出。粗辅塔由部分未冷凝的精塔酒汽通过再沸器间接加热，另外设置一次蒸汽管线用于辅助加热。粗辅塔的设置有以下几个优点：一是适合目前浓醪发酵的现状。由于成熟醪酒度的提高，粗塔的热负荷相应降低，此时增加浓缩段和粗辅塔，可以将富裕的热量用于粗酒的浓缩，使得粗酒浓度提高到</w:t>
      </w:r>
      <w:r>
        <w:rPr>
          <w:spacing w:val="16"/>
          <w:sz w:val="24"/>
        </w:rPr>
        <w:t>85%v/v</w:t>
      </w:r>
      <w:r>
        <w:rPr>
          <w:rFonts w:hint="eastAsia"/>
          <w:spacing w:val="16"/>
          <w:sz w:val="24"/>
        </w:rPr>
        <w:t>以上，有利于提高粗塔的排醛效果，并使得酒精口感明显改善。二是粗辅塔的设置可以明显改善粗塔的过料现象，粗辅塔的废水可以排除一部分酸类的重组分。这些对产品质量的提高很有帮助，利于杂质的排除。</w:t>
      </w:r>
    </w:p>
    <w:p w14:paraId="0F8AFD74">
      <w:pPr>
        <w:tabs>
          <w:tab w:val="left" w:pos="525"/>
        </w:tabs>
        <w:adjustRightInd w:val="0"/>
        <w:snapToGrid w:val="0"/>
        <w:spacing w:line="480" w:lineRule="exact"/>
        <w:ind w:firstLine="544" w:firstLineChars="200"/>
        <w:rPr>
          <w:spacing w:val="16"/>
          <w:sz w:val="24"/>
        </w:rPr>
      </w:pPr>
      <w:r>
        <w:rPr>
          <w:rFonts w:hint="eastAsia"/>
          <w:spacing w:val="16"/>
          <w:sz w:val="24"/>
        </w:rPr>
        <w:t>成熟醪由粗馏塔顶酒精蒸汽和甲醇塔酒汽预热后进入粗塔脱气段，闪蒸汽经冷凝排杂后进入粗酒罐，脱汽后的醪液进入粗塔，粗酒汽被成熟醪和循环水冷凝后进入粗酒罐。粗酒罐增加</w:t>
      </w:r>
      <w:r>
        <w:rPr>
          <w:spacing w:val="16"/>
          <w:sz w:val="24"/>
        </w:rPr>
        <w:t>2</w:t>
      </w:r>
      <w:r>
        <w:rPr>
          <w:rFonts w:hint="eastAsia"/>
          <w:spacing w:val="16"/>
          <w:sz w:val="24"/>
        </w:rPr>
        <w:t>层塔板，精塔再沸器汽凝水通过闪蒸之后，部分加入粗酒罐的塔板上，对粗酒进行洗涤，并将其酒度控制在</w:t>
      </w:r>
      <w:r>
        <w:rPr>
          <w:spacing w:val="16"/>
          <w:sz w:val="24"/>
        </w:rPr>
        <w:t>40%</w:t>
      </w:r>
      <w:r>
        <w:rPr>
          <w:rFonts w:hint="eastAsia"/>
          <w:spacing w:val="16"/>
          <w:sz w:val="24"/>
        </w:rPr>
        <w:t>（</w:t>
      </w:r>
      <w:r>
        <w:rPr>
          <w:spacing w:val="16"/>
          <w:sz w:val="24"/>
        </w:rPr>
        <w:t>V/V</w:t>
      </w:r>
      <w:r>
        <w:rPr>
          <w:rFonts w:hint="eastAsia"/>
          <w:spacing w:val="16"/>
          <w:sz w:val="24"/>
        </w:rPr>
        <w:t>）左右。</w:t>
      </w:r>
      <w:r>
        <w:rPr>
          <w:spacing w:val="16"/>
          <w:sz w:val="24"/>
        </w:rPr>
        <w:t>40%</w:t>
      </w:r>
      <w:r>
        <w:rPr>
          <w:rFonts w:hint="eastAsia"/>
          <w:spacing w:val="16"/>
          <w:sz w:val="24"/>
        </w:rPr>
        <w:t>（</w:t>
      </w:r>
      <w:r>
        <w:rPr>
          <w:spacing w:val="16"/>
          <w:sz w:val="24"/>
        </w:rPr>
        <w:t>V/V</w:t>
      </w:r>
      <w:r>
        <w:rPr>
          <w:rFonts w:hint="eastAsia"/>
          <w:spacing w:val="16"/>
          <w:sz w:val="24"/>
        </w:rPr>
        <w:t>）粗酒经精塔废水预热后进入脱醛塔中部；经脱醛塔底部出来的粗酒液被成品酒液预热之后进入水洗塔，经水萃取处理后，水洗塔底浓度</w:t>
      </w:r>
      <w:r>
        <w:rPr>
          <w:spacing w:val="16"/>
          <w:sz w:val="24"/>
        </w:rPr>
        <w:t>10%</w:t>
      </w:r>
      <w:r>
        <w:rPr>
          <w:rFonts w:hint="eastAsia"/>
          <w:spacing w:val="16"/>
          <w:sz w:val="24"/>
        </w:rPr>
        <w:t>～</w:t>
      </w:r>
      <w:r>
        <w:rPr>
          <w:spacing w:val="16"/>
          <w:sz w:val="24"/>
        </w:rPr>
        <w:t>12% v/v</w:t>
      </w:r>
      <w:r>
        <w:rPr>
          <w:rFonts w:hint="eastAsia"/>
          <w:spacing w:val="16"/>
          <w:sz w:val="24"/>
        </w:rPr>
        <w:t>的淡酒进入精馏塔塔中，从精馏塔顶部巴氏区取出的</w:t>
      </w:r>
      <w:r>
        <w:rPr>
          <w:spacing w:val="16"/>
          <w:sz w:val="24"/>
        </w:rPr>
        <w:t>96.1% V/V</w:t>
      </w:r>
      <w:r>
        <w:rPr>
          <w:rFonts w:hint="eastAsia"/>
          <w:spacing w:val="16"/>
          <w:sz w:val="24"/>
        </w:rPr>
        <w:t>以上的酒精，送入甲醇塔；经脱甲醇塔除去甲醇等杂质后，在甲醇塔塔釜取出高质量优级酒精。回收塔采出的杂醇油酒精送去杂醇油分离器处理，处理后的淡酒进入杂酒罐去回收塔浓缩处理；水洗塔从其末冷采出富含正丙醇的杂质酒同样进入杂醇油分离器进行分油处理。闪蒸后的汽凝水部分作粗酒精的洗涤水，大部分则送回锅炉房。其中精馏塔废水先经淡酒预热器预热水洗塔淡酒之后，一部分给水洗塔加水洗涤，另一部分预热粗酒之后送污水处理站或去拌料罐进行拌料。根据蒸馏的程度不同生产出不同用途的酒精。</w:t>
      </w:r>
    </w:p>
    <w:p w14:paraId="4F298F20">
      <w:pPr>
        <w:tabs>
          <w:tab w:val="left" w:pos="525"/>
        </w:tabs>
        <w:adjustRightInd w:val="0"/>
        <w:snapToGrid w:val="0"/>
        <w:spacing w:line="480" w:lineRule="exact"/>
        <w:ind w:firstLine="544" w:firstLineChars="200"/>
        <w:rPr>
          <w:spacing w:val="16"/>
          <w:sz w:val="24"/>
        </w:rPr>
      </w:pPr>
      <w:r>
        <w:rPr>
          <w:rFonts w:hint="eastAsia"/>
          <w:spacing w:val="16"/>
          <w:sz w:val="24"/>
        </w:rPr>
        <w:t>蒸馏工段工艺流程见图3.</w:t>
      </w:r>
      <w:r>
        <w:rPr>
          <w:rFonts w:hint="eastAsia"/>
          <w:spacing w:val="16"/>
          <w:sz w:val="24"/>
          <w:lang w:val="en-US" w:eastAsia="zh-CN"/>
        </w:rPr>
        <w:t>1</w:t>
      </w:r>
      <w:r>
        <w:rPr>
          <w:rFonts w:hint="eastAsia"/>
          <w:spacing w:val="16"/>
          <w:sz w:val="24"/>
        </w:rPr>
        <w:t>-4。</w:t>
      </w:r>
    </w:p>
    <w:p w14:paraId="7EC9A6C1">
      <w:pPr>
        <w:tabs>
          <w:tab w:val="left" w:pos="525"/>
        </w:tabs>
        <w:adjustRightInd w:val="0"/>
        <w:snapToGrid w:val="0"/>
        <w:spacing w:line="480" w:lineRule="exact"/>
        <w:ind w:firstLine="544" w:firstLineChars="200"/>
        <w:rPr>
          <w:spacing w:val="16"/>
          <w:sz w:val="24"/>
        </w:rPr>
      </w:pPr>
    </w:p>
    <w:p w14:paraId="5BE68FDE">
      <w:pPr>
        <w:tabs>
          <w:tab w:val="left" w:pos="525"/>
        </w:tabs>
        <w:adjustRightInd w:val="0"/>
        <w:snapToGrid w:val="0"/>
        <w:spacing w:line="360" w:lineRule="auto"/>
        <w:ind w:left="115" w:leftChars="-1" w:hanging="117" w:hangingChars="42"/>
        <w:jc w:val="center"/>
        <w:rPr>
          <w:sz w:val="28"/>
          <w:szCs w:val="28"/>
        </w:rPr>
      </w:pPr>
      <w:r>
        <w:rPr>
          <w:sz w:val="28"/>
          <w:szCs w:val="28"/>
        </w:rPr>
        <w:drawing>
          <wp:inline distT="0" distB="0" distL="114300" distR="114300">
            <wp:extent cx="5612130" cy="3388995"/>
            <wp:effectExtent l="0" t="0" r="7620" b="1905"/>
            <wp:docPr id="60" name="图片 13" descr="无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3" descr="无标题2"/>
                    <pic:cNvPicPr>
                      <a:picLocks noChangeAspect="1"/>
                    </pic:cNvPicPr>
                  </pic:nvPicPr>
                  <pic:blipFill>
                    <a:blip r:embed="rId47"/>
                    <a:stretch>
                      <a:fillRect/>
                    </a:stretch>
                  </pic:blipFill>
                  <pic:spPr>
                    <a:xfrm>
                      <a:off x="0" y="0"/>
                      <a:ext cx="5612130" cy="3388995"/>
                    </a:xfrm>
                    <a:prstGeom prst="rect">
                      <a:avLst/>
                    </a:prstGeom>
                    <a:noFill/>
                    <a:ln>
                      <a:noFill/>
                    </a:ln>
                  </pic:spPr>
                </pic:pic>
              </a:graphicData>
            </a:graphic>
          </wp:inline>
        </w:drawing>
      </w:r>
    </w:p>
    <w:p w14:paraId="7120F0DF">
      <w:pPr>
        <w:tabs>
          <w:tab w:val="left" w:pos="525"/>
        </w:tabs>
        <w:adjustRightInd w:val="0"/>
        <w:snapToGrid w:val="0"/>
        <w:spacing w:line="360" w:lineRule="auto"/>
        <w:ind w:left="0" w:leftChars="-171" w:hanging="410" w:hangingChars="171"/>
        <w:jc w:val="center"/>
        <w:rPr>
          <w:sz w:val="24"/>
          <w:szCs w:val="24"/>
        </w:rPr>
      </w:pPr>
      <w:r>
        <w:rPr>
          <w:rFonts w:hint="eastAsia"/>
          <w:sz w:val="24"/>
          <w:szCs w:val="24"/>
        </w:rPr>
        <w:t>图3.</w:t>
      </w:r>
      <w:r>
        <w:rPr>
          <w:rFonts w:hint="eastAsia"/>
          <w:sz w:val="24"/>
          <w:szCs w:val="24"/>
          <w:lang w:val="en-US" w:eastAsia="zh-CN"/>
        </w:rPr>
        <w:t>1</w:t>
      </w:r>
      <w:r>
        <w:rPr>
          <w:rFonts w:hint="eastAsia"/>
          <w:sz w:val="24"/>
          <w:szCs w:val="24"/>
        </w:rPr>
        <w:t>-4 蒸馏工段工艺流程图</w:t>
      </w:r>
    </w:p>
    <w:p w14:paraId="09ADCC48">
      <w:pPr>
        <w:tabs>
          <w:tab w:val="left" w:pos="525"/>
        </w:tabs>
        <w:adjustRightInd w:val="0"/>
        <w:snapToGrid w:val="0"/>
        <w:spacing w:line="480" w:lineRule="exact"/>
        <w:ind w:firstLine="544" w:firstLineChars="200"/>
        <w:rPr>
          <w:spacing w:val="16"/>
          <w:sz w:val="24"/>
        </w:rPr>
      </w:pPr>
      <w:r>
        <w:rPr>
          <w:rFonts w:hint="eastAsia"/>
          <w:spacing w:val="16"/>
          <w:sz w:val="24"/>
        </w:rPr>
        <w:t>（4）脱水工段</w:t>
      </w:r>
    </w:p>
    <w:p w14:paraId="5B4B3A04">
      <w:pPr>
        <w:tabs>
          <w:tab w:val="left" w:pos="525"/>
        </w:tabs>
        <w:adjustRightInd w:val="0"/>
        <w:snapToGrid w:val="0"/>
        <w:spacing w:line="480" w:lineRule="exact"/>
        <w:ind w:firstLine="544" w:firstLineChars="200"/>
        <w:rPr>
          <w:spacing w:val="16"/>
          <w:sz w:val="24"/>
        </w:rPr>
      </w:pPr>
      <w:r>
        <w:rPr>
          <w:rFonts w:hint="eastAsia"/>
          <w:spacing w:val="16"/>
          <w:sz w:val="24"/>
        </w:rPr>
        <w:t>无水乙醇的脱水工段工艺如下：</w:t>
      </w:r>
    </w:p>
    <w:p w14:paraId="20231C86">
      <w:pPr>
        <w:tabs>
          <w:tab w:val="left" w:pos="525"/>
        </w:tabs>
        <w:adjustRightInd w:val="0"/>
        <w:snapToGrid w:val="0"/>
        <w:spacing w:line="480" w:lineRule="exact"/>
        <w:ind w:firstLine="544" w:firstLineChars="200"/>
        <w:rPr>
          <w:spacing w:val="16"/>
          <w:sz w:val="24"/>
        </w:rPr>
      </w:pPr>
      <w:r>
        <w:rPr>
          <w:rFonts w:hint="eastAsia"/>
          <w:spacing w:val="16"/>
          <w:sz w:val="24"/>
        </w:rPr>
        <w:t>由精馏塔来乙醇汽体过热至一定温度进入分子筛吸附塔，酒汽中的水分子流经分子筛填料层过程中被分子筛小孔选择性吸附冷凝同时放热，实现酒气脱水，从脱水装置排出的乙醇汽体再进行冷凝、冷却后得到浓度为</w:t>
      </w:r>
      <w:r>
        <w:rPr>
          <w:spacing w:val="16"/>
          <w:sz w:val="24"/>
        </w:rPr>
        <w:t>99.5-99.9%</w:t>
      </w:r>
      <w:r>
        <w:rPr>
          <w:rFonts w:hint="eastAsia"/>
          <w:spacing w:val="16"/>
          <w:sz w:val="24"/>
        </w:rPr>
        <w:t>的无水乙醇。当温度升到一定时，控制系统自动切换，使吸附塔由吸附状态进入负压解吸状态，随着压力降低被分子筛小孔选择性吸附冷凝的水不断蒸发吸热使得脱水床温度逐渐降低，解吸过程蒸发解吸出来的水蒸汽和塔内的酒气一起被真空泵抽吸离开脱水床，到一定温度后解吸停止，进入下一周期的吸附过程。</w:t>
      </w:r>
    </w:p>
    <w:p w14:paraId="2692B613">
      <w:pPr>
        <w:tabs>
          <w:tab w:val="left" w:pos="525"/>
        </w:tabs>
        <w:adjustRightInd w:val="0"/>
        <w:snapToGrid w:val="0"/>
        <w:spacing w:line="480" w:lineRule="exact"/>
        <w:ind w:firstLine="544" w:firstLineChars="200"/>
        <w:rPr>
          <w:spacing w:val="16"/>
          <w:sz w:val="24"/>
        </w:rPr>
      </w:pPr>
      <w:r>
        <w:rPr>
          <w:rFonts w:hint="eastAsia"/>
          <w:spacing w:val="16"/>
          <w:sz w:val="24"/>
        </w:rPr>
        <w:t>解吸在真空状态下进行（</w:t>
      </w:r>
      <w:r>
        <w:rPr>
          <w:spacing w:val="16"/>
          <w:sz w:val="24"/>
        </w:rPr>
        <w:t>0.14atm,</w:t>
      </w:r>
      <w:r>
        <w:rPr>
          <w:rFonts w:hint="eastAsia"/>
          <w:spacing w:val="16"/>
          <w:sz w:val="24"/>
        </w:rPr>
        <w:t>绝压），解吸气经冷凝后，不凝气通过真空泵抽出系统，冷凝液（淡酒）送蒸馏工段回收。</w:t>
      </w:r>
    </w:p>
    <w:p w14:paraId="5C92909A">
      <w:pPr>
        <w:pStyle w:val="5"/>
        <w:tabs>
          <w:tab w:val="left" w:pos="2268"/>
        </w:tabs>
        <w:spacing w:beforeLines="0" w:afterLines="0" w:line="480" w:lineRule="exact"/>
        <w:ind w:left="0" w:firstLine="0"/>
        <w:rPr>
          <w:rStyle w:val="508"/>
          <w:rFonts w:ascii="Times New Roman" w:hAnsi="Times New Roman"/>
        </w:rPr>
      </w:pPr>
      <w:r>
        <w:rPr>
          <w:rStyle w:val="508"/>
          <w:rFonts w:hint="eastAsia" w:ascii="Times New Roman" w:hAnsi="Times New Roman"/>
        </w:rPr>
        <w:t>3.</w:t>
      </w:r>
      <w:r>
        <w:rPr>
          <w:rStyle w:val="508"/>
          <w:rFonts w:hint="eastAsia" w:ascii="Times New Roman" w:hAnsi="Times New Roman"/>
          <w:lang w:val="en-US"/>
        </w:rPr>
        <w:t>1.2</w:t>
      </w:r>
      <w:r>
        <w:rPr>
          <w:rStyle w:val="508"/>
          <w:rFonts w:hint="eastAsia" w:ascii="Times New Roman" w:hAnsi="Times New Roman"/>
        </w:rPr>
        <w:t>.3</w:t>
      </w:r>
      <w:r>
        <w:rPr>
          <w:rStyle w:val="508"/>
          <w:rFonts w:ascii="Times New Roman" w:hAnsi="Times New Roman"/>
        </w:rPr>
        <w:t>DDGS</w:t>
      </w:r>
      <w:r>
        <w:rPr>
          <w:rStyle w:val="508"/>
          <w:rFonts w:hint="eastAsia" w:ascii="Times New Roman" w:hAnsi="Times New Roman"/>
        </w:rPr>
        <w:t>蛋白</w:t>
      </w:r>
      <w:r>
        <w:rPr>
          <w:rStyle w:val="508"/>
          <w:rFonts w:ascii="Times New Roman" w:hAnsi="Times New Roman"/>
        </w:rPr>
        <w:t>饲料</w:t>
      </w:r>
      <w:r>
        <w:rPr>
          <w:rStyle w:val="508"/>
          <w:rFonts w:hint="eastAsia" w:ascii="Times New Roman" w:hAnsi="Times New Roman"/>
        </w:rPr>
        <w:t>车间</w:t>
      </w:r>
    </w:p>
    <w:p w14:paraId="56DDE7A2">
      <w:pPr>
        <w:tabs>
          <w:tab w:val="left" w:pos="525"/>
        </w:tabs>
        <w:adjustRightInd w:val="0"/>
        <w:snapToGrid w:val="0"/>
        <w:spacing w:line="480" w:lineRule="exact"/>
        <w:ind w:firstLine="544" w:firstLineChars="200"/>
        <w:rPr>
          <w:spacing w:val="16"/>
          <w:sz w:val="24"/>
        </w:rPr>
      </w:pPr>
      <w:r>
        <w:rPr>
          <w:rFonts w:hint="eastAsia"/>
          <w:spacing w:val="16"/>
          <w:sz w:val="24"/>
        </w:rPr>
        <w:t>酒精蒸馏工段提取粗酒后的废醪经泵送至饲料醪液暂储罐，醪液经压力分配后送至卧螺进行固液分离。分离后含固率</w:t>
      </w:r>
      <w:r>
        <w:rPr>
          <w:spacing w:val="16"/>
          <w:sz w:val="24"/>
        </w:rPr>
        <w:t>32%</w:t>
      </w:r>
      <w:r>
        <w:rPr>
          <w:rFonts w:hint="eastAsia"/>
          <w:spacing w:val="16"/>
          <w:sz w:val="24"/>
        </w:rPr>
        <w:t>的湿糟经溜槽直接至管束式干燥机进行加热预干燥成</w:t>
      </w:r>
      <w:r>
        <w:rPr>
          <w:spacing w:val="16"/>
          <w:sz w:val="24"/>
        </w:rPr>
        <w:t>DDG</w:t>
      </w:r>
      <w:r>
        <w:rPr>
          <w:rFonts w:hint="eastAsia"/>
          <w:spacing w:val="16"/>
          <w:sz w:val="24"/>
        </w:rPr>
        <w:t>，废汽排至蒸发器二次利用；含固率</w:t>
      </w:r>
      <w:r>
        <w:rPr>
          <w:spacing w:val="16"/>
          <w:sz w:val="24"/>
        </w:rPr>
        <w:t>5%</w:t>
      </w:r>
      <w:r>
        <w:rPr>
          <w:rFonts w:hint="eastAsia"/>
          <w:spacing w:val="16"/>
          <w:sz w:val="24"/>
        </w:rPr>
        <w:t>的清液经泵送至四效降膜式蒸发汽进行浓缩成含固率</w:t>
      </w:r>
      <w:r>
        <w:rPr>
          <w:spacing w:val="16"/>
          <w:sz w:val="24"/>
        </w:rPr>
        <w:t>33%</w:t>
      </w:r>
      <w:r>
        <w:rPr>
          <w:rFonts w:hint="eastAsia"/>
          <w:spacing w:val="16"/>
          <w:sz w:val="24"/>
        </w:rPr>
        <w:t>的浓浆。浓浆泵送至干燥机与预干燥后的</w:t>
      </w:r>
      <w:r>
        <w:rPr>
          <w:spacing w:val="16"/>
          <w:sz w:val="24"/>
        </w:rPr>
        <w:t>DDG</w:t>
      </w:r>
      <w:r>
        <w:rPr>
          <w:rFonts w:hint="eastAsia"/>
          <w:spacing w:val="16"/>
          <w:sz w:val="24"/>
        </w:rPr>
        <w:t>在高速混料机内进行充分混和，再加热干燥成</w:t>
      </w:r>
      <w:r>
        <w:rPr>
          <w:spacing w:val="16"/>
          <w:sz w:val="24"/>
        </w:rPr>
        <w:t>DDGS</w:t>
      </w:r>
      <w:r>
        <w:rPr>
          <w:rFonts w:hint="eastAsia"/>
          <w:spacing w:val="16"/>
          <w:sz w:val="24"/>
        </w:rPr>
        <w:t>。成品经冷却、筛分后称分包装。</w:t>
      </w:r>
      <w:r>
        <w:rPr>
          <w:spacing w:val="16"/>
          <w:sz w:val="24"/>
        </w:rPr>
        <w:t>DDGS成品用移动式皮带输送机送至仓库。</w:t>
      </w:r>
      <w:r>
        <w:rPr>
          <w:rFonts w:hint="eastAsia"/>
          <w:spacing w:val="16"/>
          <w:sz w:val="24"/>
        </w:rPr>
        <w:t>DDGS生产工业流程见图3.2-5。</w:t>
      </w:r>
    </w:p>
    <w:p w14:paraId="1C71E286">
      <w:pPr>
        <w:tabs>
          <w:tab w:val="left" w:pos="525"/>
        </w:tabs>
        <w:adjustRightInd w:val="0"/>
        <w:snapToGrid w:val="0"/>
        <w:spacing w:line="360" w:lineRule="auto"/>
        <w:ind w:firstLine="544" w:firstLineChars="200"/>
        <w:jc w:val="center"/>
        <w:rPr>
          <w:spacing w:val="16"/>
          <w:sz w:val="24"/>
        </w:rPr>
      </w:pPr>
      <w:r>
        <w:rPr>
          <w:spacing w:val="16"/>
          <w:sz w:val="24"/>
        </w:rPr>
        <w:drawing>
          <wp:inline distT="0" distB="0" distL="114300" distR="114300">
            <wp:extent cx="4194810" cy="4667250"/>
            <wp:effectExtent l="0" t="0" r="15240" b="0"/>
            <wp:docPr id="63" name="图片 14" descr="无标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descr="无标题3"/>
                    <pic:cNvPicPr>
                      <a:picLocks noChangeAspect="1"/>
                    </pic:cNvPicPr>
                  </pic:nvPicPr>
                  <pic:blipFill>
                    <a:blip r:embed="rId48"/>
                    <a:stretch>
                      <a:fillRect/>
                    </a:stretch>
                  </pic:blipFill>
                  <pic:spPr>
                    <a:xfrm>
                      <a:off x="0" y="0"/>
                      <a:ext cx="4194810" cy="4667250"/>
                    </a:xfrm>
                    <a:prstGeom prst="rect">
                      <a:avLst/>
                    </a:prstGeom>
                    <a:noFill/>
                    <a:ln>
                      <a:noFill/>
                    </a:ln>
                  </pic:spPr>
                </pic:pic>
              </a:graphicData>
            </a:graphic>
          </wp:inline>
        </w:drawing>
      </w:r>
    </w:p>
    <w:p w14:paraId="4FA089BF">
      <w:pPr>
        <w:tabs>
          <w:tab w:val="left" w:pos="525"/>
        </w:tabs>
        <w:adjustRightInd w:val="0"/>
        <w:snapToGrid w:val="0"/>
        <w:spacing w:line="360" w:lineRule="auto"/>
        <w:ind w:left="0" w:leftChars="-171" w:hanging="410" w:hangingChars="171"/>
        <w:jc w:val="center"/>
        <w:rPr>
          <w:sz w:val="24"/>
          <w:szCs w:val="24"/>
        </w:rPr>
      </w:pPr>
      <w:r>
        <w:rPr>
          <w:rFonts w:hint="eastAsia"/>
          <w:sz w:val="24"/>
          <w:szCs w:val="24"/>
        </w:rPr>
        <w:t>图3.</w:t>
      </w:r>
      <w:r>
        <w:rPr>
          <w:rFonts w:hint="eastAsia"/>
          <w:sz w:val="24"/>
          <w:szCs w:val="24"/>
          <w:lang w:val="en-US" w:eastAsia="zh-CN"/>
        </w:rPr>
        <w:t>1</w:t>
      </w:r>
      <w:r>
        <w:rPr>
          <w:rFonts w:hint="eastAsia"/>
          <w:sz w:val="24"/>
          <w:szCs w:val="24"/>
        </w:rPr>
        <w:t>-5 DDGS生产工艺流程图</w:t>
      </w:r>
    </w:p>
    <w:p w14:paraId="4ED997C0">
      <w:pPr>
        <w:pStyle w:val="5"/>
        <w:tabs>
          <w:tab w:val="left" w:pos="2268"/>
        </w:tabs>
        <w:spacing w:beforeLines="0" w:afterLines="0" w:line="480" w:lineRule="exact"/>
        <w:ind w:left="0" w:firstLine="0"/>
        <w:rPr>
          <w:rStyle w:val="508"/>
          <w:rFonts w:hint="default" w:ascii="Times New Roman" w:hAnsi="Times New Roman" w:eastAsia="宋体" w:cs="Times New Roman"/>
          <w:lang w:val="en-US" w:eastAsia="zh-CN"/>
        </w:rPr>
      </w:pPr>
      <w:r>
        <w:rPr>
          <w:rStyle w:val="508"/>
          <w:rFonts w:hint="default" w:ascii="Times New Roman" w:hAnsi="Times New Roman" w:eastAsia="宋体" w:cs="Times New Roman"/>
          <w:lang w:val="en-US" w:eastAsia="zh-CN"/>
        </w:rPr>
        <w:t>3.</w:t>
      </w:r>
      <w:r>
        <w:rPr>
          <w:rStyle w:val="508"/>
          <w:rFonts w:hint="eastAsia" w:ascii="Times New Roman" w:hAnsi="Times New Roman" w:eastAsia="宋体" w:cs="Times New Roman"/>
          <w:lang w:val="en-US" w:eastAsia="zh-CN"/>
        </w:rPr>
        <w:t>1.2.4</w:t>
      </w:r>
      <w:r>
        <w:rPr>
          <w:rStyle w:val="508"/>
          <w:rFonts w:hint="default" w:ascii="Times New Roman" w:hAnsi="Times New Roman" w:eastAsia="宋体" w:cs="Times New Roman"/>
          <w:lang w:val="en-US" w:eastAsia="zh-CN"/>
        </w:rPr>
        <w:t>锅炉运行工艺流程</w:t>
      </w:r>
    </w:p>
    <w:p w14:paraId="5E8063C2">
      <w:pPr>
        <w:ind w:left="0" w:leftChars="0" w:firstLine="0" w:firstLineChars="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726430" cy="3332480"/>
            <wp:effectExtent l="0" t="0" r="7620" b="1270"/>
            <wp:docPr id="66" name="图片 66" descr="2396568404ee6f1f9863a26f1c4ba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396568404ee6f1f9863a26f1c4ba922"/>
                    <pic:cNvPicPr>
                      <a:picLocks noChangeAspect="1"/>
                    </pic:cNvPicPr>
                  </pic:nvPicPr>
                  <pic:blipFill>
                    <a:blip r:embed="rId49"/>
                    <a:stretch>
                      <a:fillRect/>
                    </a:stretch>
                  </pic:blipFill>
                  <pic:spPr>
                    <a:xfrm>
                      <a:off x="0" y="0"/>
                      <a:ext cx="5726430" cy="3332480"/>
                    </a:xfrm>
                    <a:prstGeom prst="rect">
                      <a:avLst/>
                    </a:prstGeom>
                  </pic:spPr>
                </pic:pic>
              </a:graphicData>
            </a:graphic>
          </wp:inline>
        </w:drawing>
      </w:r>
    </w:p>
    <w:p w14:paraId="3F125054">
      <w:pPr>
        <w:adjustRightInd/>
        <w:spacing w:line="240" w:lineRule="auto"/>
        <w:jc w:val="center"/>
        <w:rPr>
          <w:rFonts w:hint="default" w:ascii="Times New Roman" w:hAnsi="Times New Roman" w:eastAsia="宋体" w:cs="Times New Roman"/>
          <w:b/>
          <w:bCs/>
          <w:color w:val="auto"/>
          <w:kern w:val="2"/>
          <w:sz w:val="24"/>
          <w:szCs w:val="24"/>
          <w:lang w:val="en-US" w:eastAsia="zh-CN"/>
        </w:rPr>
      </w:pPr>
      <w:r>
        <w:rPr>
          <w:rFonts w:hint="default" w:ascii="Times New Roman" w:hAnsi="Times New Roman" w:eastAsia="宋体" w:cs="Times New Roman"/>
          <w:b/>
          <w:bCs/>
          <w:color w:val="auto"/>
          <w:kern w:val="2"/>
          <w:sz w:val="24"/>
          <w:szCs w:val="24"/>
          <w:lang w:val="en-US" w:eastAsia="zh-CN"/>
        </w:rPr>
        <w:t>图</w:t>
      </w:r>
      <w:r>
        <w:rPr>
          <w:rFonts w:hint="default" w:ascii="Times New Roman" w:hAnsi="Times New Roman" w:cs="Times New Roman"/>
          <w:b/>
          <w:bCs/>
          <w:color w:val="auto"/>
          <w:kern w:val="2"/>
          <w:sz w:val="24"/>
          <w:szCs w:val="24"/>
          <w:lang w:val="en-US" w:eastAsia="zh-CN"/>
        </w:rPr>
        <w:t>3.</w:t>
      </w:r>
      <w:r>
        <w:rPr>
          <w:rFonts w:hint="eastAsia" w:ascii="Times New Roman" w:hAnsi="Times New Roman" w:cs="Times New Roman"/>
          <w:b/>
          <w:bCs/>
          <w:color w:val="auto"/>
          <w:kern w:val="2"/>
          <w:sz w:val="24"/>
          <w:szCs w:val="24"/>
          <w:lang w:val="en-US" w:eastAsia="zh-CN"/>
        </w:rPr>
        <w:t>1-6</w:t>
      </w:r>
      <w:r>
        <w:rPr>
          <w:rFonts w:hint="default" w:ascii="Times New Roman" w:hAnsi="Times New Roman" w:eastAsia="宋体" w:cs="Times New Roman"/>
          <w:b/>
          <w:bCs/>
          <w:color w:val="auto"/>
          <w:kern w:val="2"/>
          <w:sz w:val="24"/>
          <w:szCs w:val="24"/>
          <w:lang w:val="en-US" w:eastAsia="zh-CN"/>
        </w:rPr>
        <w:t xml:space="preserve">  锅炉运行工艺流程图</w:t>
      </w:r>
    </w:p>
    <w:p w14:paraId="223CDBF5">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lang w:val="en-US" w:eastAsia="zh-CN"/>
          <w14:textFill>
            <w14:solidFill>
              <w14:schemeClr w14:val="tx1"/>
            </w14:solidFill>
          </w14:textFill>
        </w:rPr>
        <w:t>对锅炉燃烧</w:t>
      </w:r>
      <w:r>
        <w:rPr>
          <w:color w:val="000000" w:themeColor="text1"/>
          <w14:textFill>
            <w14:solidFill>
              <w14:schemeClr w14:val="tx1"/>
            </w14:solidFill>
          </w14:textFill>
        </w:rPr>
        <w:t xml:space="preserve">过程的分析可知运营期污染物产生环节如下： </w:t>
      </w:r>
    </w:p>
    <w:p w14:paraId="5FBA90FF">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1、燃料贮存、装卸、输送过程</w:t>
      </w:r>
    </w:p>
    <w:p w14:paraId="178961CB">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燃煤贮存、装卸及输送时会产生扬尘；燃煤装卸、运输时会产生噪声。</w:t>
      </w:r>
    </w:p>
    <w:p w14:paraId="7841F60F">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2、燃料燃烧过程</w:t>
      </w:r>
    </w:p>
    <w:p w14:paraId="518483C5">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燃煤锅炉正常运行时的燃烧过程主要包括燃煤的粉碎、筛分，燃煤在锅炉内的燃烧，以及燃烧后产生的烟气经脱硝、除尘、脱硫、</w:t>
      </w:r>
      <w:r>
        <w:rPr>
          <w:rFonts w:hint="eastAsia"/>
          <w:color w:val="000000" w:themeColor="text1"/>
          <w:lang w:val="en-US" w:eastAsia="zh-CN"/>
          <w14:textFill>
            <w14:solidFill>
              <w14:schemeClr w14:val="tx1"/>
            </w14:solidFill>
          </w14:textFill>
        </w:rPr>
        <w:t>烟囱烟囱</w:t>
      </w:r>
      <w:r>
        <w:rPr>
          <w:color w:val="000000" w:themeColor="text1"/>
          <w14:textFill>
            <w14:solidFill>
              <w14:schemeClr w14:val="tx1"/>
            </w14:solidFill>
          </w14:textFill>
        </w:rPr>
        <w:t>排入环境空气。在该过程中，可能产生烟气污染物、生产废水及灰渣，一些机械转动设备，如碎煤机、风机等可能产生噪声。</w:t>
      </w:r>
    </w:p>
    <w:p w14:paraId="3DA41DD5">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lang w:val="en-US" w:eastAsia="zh-CN"/>
          <w14:textFill>
            <w14:solidFill>
              <w14:schemeClr w14:val="tx1"/>
            </w14:solidFill>
          </w14:textFill>
        </w:rPr>
        <w:t>脱盐</w:t>
      </w:r>
      <w:r>
        <w:rPr>
          <w:color w:val="000000" w:themeColor="text1"/>
          <w14:textFill>
            <w14:solidFill>
              <w14:schemeClr w14:val="tx1"/>
            </w14:solidFill>
          </w14:textFill>
        </w:rPr>
        <w:t>水处理过程</w:t>
      </w:r>
    </w:p>
    <w:p w14:paraId="52E3D30C">
      <w:pPr>
        <w:spacing w:line="360" w:lineRule="auto"/>
        <w:ind w:firstLine="480" w:firstLineChars="200"/>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脱盐水处理</w:t>
      </w:r>
      <w:r>
        <w:rPr>
          <w:color w:val="000000" w:themeColor="text1"/>
          <w14:textFill>
            <w14:solidFill>
              <w14:schemeClr w14:val="tx1"/>
            </w14:solidFill>
          </w14:textFill>
        </w:rPr>
        <w:t>过程主要是为锅炉正常运行提供水质合格的工业补给水，在该过程中通过</w:t>
      </w:r>
      <w:r>
        <w:rPr>
          <w:rFonts w:hint="eastAsia"/>
          <w:color w:val="000000" w:themeColor="text1"/>
          <w:lang w:val="en-US" w:eastAsia="zh-CN"/>
          <w14:textFill>
            <w14:solidFill>
              <w14:schemeClr w14:val="tx1"/>
            </w14:solidFill>
          </w14:textFill>
        </w:rPr>
        <w:t>渗透</w:t>
      </w:r>
      <w:r>
        <w:rPr>
          <w:color w:val="000000" w:themeColor="text1"/>
          <w14:textFill>
            <w14:solidFill>
              <w14:schemeClr w14:val="tx1"/>
            </w14:solidFill>
          </w14:textFill>
        </w:rPr>
        <w:t>对原水进行处理。在处理过程中，主要产生一定量的</w:t>
      </w:r>
      <w:r>
        <w:rPr>
          <w:rFonts w:hint="eastAsia"/>
          <w:color w:val="000000" w:themeColor="text1"/>
          <w:lang w:val="en-US" w:eastAsia="zh-CN"/>
          <w14:textFill>
            <w14:solidFill>
              <w14:schemeClr w14:val="tx1"/>
            </w14:solidFill>
          </w14:textFill>
        </w:rPr>
        <w:t>脱</w:t>
      </w:r>
      <w:r>
        <w:rPr>
          <w:color w:val="000000" w:themeColor="text1"/>
          <w14:textFill>
            <w14:solidFill>
              <w14:schemeClr w14:val="tx1"/>
            </w14:solidFill>
          </w14:textFill>
        </w:rPr>
        <w:t>盐废水，机械运行会产生设备噪声。</w:t>
      </w:r>
    </w:p>
    <w:p w14:paraId="01EE61B0">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4、除灰渣过程</w:t>
      </w:r>
    </w:p>
    <w:p w14:paraId="4F587D22">
      <w:pPr>
        <w:spacing w:line="360" w:lineRule="auto"/>
        <w:ind w:firstLine="480" w:firstLineChars="200"/>
        <w:rPr>
          <w:rFonts w:hint="eastAsia" w:ascii="宋体" w:hAnsi="宋体"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炉渣暂存与渣</w:t>
      </w:r>
      <w:r>
        <w:rPr>
          <w:rFonts w:hint="eastAsia"/>
          <w:color w:val="000000" w:themeColor="text1"/>
          <w:lang w:val="en-US" w:eastAsia="zh-CN"/>
          <w14:textFill>
            <w14:solidFill>
              <w14:schemeClr w14:val="tx1"/>
            </w14:solidFill>
          </w14:textFill>
        </w:rPr>
        <w:t>罐</w:t>
      </w:r>
      <w:r>
        <w:rPr>
          <w:rFonts w:hint="eastAsia"/>
          <w:color w:val="000000" w:themeColor="text1"/>
          <w:lang w:eastAsia="zh-CN"/>
          <w14:textFill>
            <w14:solidFill>
              <w14:schemeClr w14:val="tx1"/>
            </w14:solidFill>
          </w14:textFill>
        </w:rPr>
        <w:t>、飞灰暂存于灰</w:t>
      </w:r>
      <w:r>
        <w:rPr>
          <w:rFonts w:hint="eastAsia"/>
          <w:color w:val="000000" w:themeColor="text1"/>
          <w:lang w:val="en-US" w:eastAsia="zh-CN"/>
          <w14:textFill>
            <w14:solidFill>
              <w14:schemeClr w14:val="tx1"/>
            </w14:solidFill>
          </w14:textFill>
        </w:rPr>
        <w:t>罐</w:t>
      </w:r>
      <w:r>
        <w:rPr>
          <w:rFonts w:hint="eastAsia"/>
          <w:color w:val="000000" w:themeColor="text1"/>
          <w:lang w:eastAsia="zh-CN"/>
          <w14:textFill>
            <w14:solidFill>
              <w14:schemeClr w14:val="tx1"/>
            </w14:solidFill>
          </w14:textFill>
        </w:rPr>
        <w:t>，飞灰、炉渣用汽车运至</w:t>
      </w:r>
      <w:r>
        <w:rPr>
          <w:rFonts w:hint="default" w:ascii="宋体" w:hAnsi="宋体" w:eastAsia="宋体"/>
          <w:color w:val="000000" w:themeColor="text1"/>
          <w:lang w:val="en-US" w:eastAsia="zh-CN"/>
          <w14:textFill>
            <w14:solidFill>
              <w14:schemeClr w14:val="tx1"/>
            </w14:solidFill>
          </w14:textFill>
        </w:rPr>
        <w:t>讷河市国庆新型环保建筑材料有限公司制砖</w:t>
      </w:r>
      <w:r>
        <w:rPr>
          <w:rFonts w:hint="eastAsia" w:ascii="宋体" w:hAnsi="宋体" w:eastAsia="宋体"/>
          <w:color w:val="000000" w:themeColor="text1"/>
          <w:lang w:eastAsia="zh-CN"/>
          <w14:textFill>
            <w14:solidFill>
              <w14:schemeClr w14:val="tx1"/>
            </w14:solidFill>
          </w14:textFill>
        </w:rPr>
        <w:t>。</w:t>
      </w:r>
    </w:p>
    <w:p w14:paraId="2ECF6CC1">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5、脱硫过程</w:t>
      </w:r>
    </w:p>
    <w:p w14:paraId="11C18177">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脱硫系统主要产生噪声</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脱硫石膏、脱硫废水</w:t>
      </w:r>
      <w:r>
        <w:rPr>
          <w:color w:val="000000" w:themeColor="text1"/>
          <w14:textFill>
            <w14:solidFill>
              <w14:schemeClr w14:val="tx1"/>
            </w14:solidFill>
          </w14:textFill>
        </w:rPr>
        <w:t>。</w:t>
      </w:r>
    </w:p>
    <w:p w14:paraId="3A39022A">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6、脱硝过程</w:t>
      </w:r>
    </w:p>
    <w:p w14:paraId="14FBA0A1">
      <w:pPr>
        <w:spacing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在脱硝过程中主要产生噪声</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废脱硝催化剂</w:t>
      </w:r>
      <w:r>
        <w:rPr>
          <w:color w:val="000000" w:themeColor="text1"/>
          <w14:textFill>
            <w14:solidFill>
              <w14:schemeClr w14:val="tx1"/>
            </w14:solidFill>
          </w14:textFill>
        </w:rPr>
        <w:t>以及氨逃逸现象。</w:t>
      </w:r>
    </w:p>
    <w:p w14:paraId="5ECC4723">
      <w:pPr>
        <w:pStyle w:val="5"/>
        <w:tabs>
          <w:tab w:val="left" w:pos="2268"/>
        </w:tabs>
        <w:spacing w:beforeLines="0" w:afterLines="0" w:line="480" w:lineRule="exact"/>
        <w:ind w:left="0" w:firstLine="0"/>
        <w:rPr>
          <w:rStyle w:val="508"/>
          <w:rFonts w:hint="default" w:ascii="Times New Roman" w:hAnsi="Times New Roman" w:eastAsia="宋体" w:cs="Times New Roman"/>
          <w:lang w:val="en-US" w:eastAsia="zh-CN"/>
        </w:rPr>
      </w:pPr>
      <w:r>
        <w:rPr>
          <w:rStyle w:val="508"/>
          <w:rFonts w:hint="eastAsia" w:ascii="Times New Roman" w:hAnsi="Times New Roman" w:eastAsia="宋体" w:cs="Times New Roman"/>
          <w:lang w:val="en-US" w:eastAsia="zh-CN"/>
        </w:rPr>
        <w:t>3.1.2.5</w:t>
      </w:r>
      <w:r>
        <w:rPr>
          <w:rStyle w:val="508"/>
          <w:rFonts w:hint="default" w:ascii="Times New Roman" w:hAnsi="Times New Roman" w:eastAsia="宋体" w:cs="Times New Roman"/>
          <w:lang w:val="en-US" w:eastAsia="zh-CN"/>
        </w:rPr>
        <w:t>除尘工艺</w:t>
      </w:r>
    </w:p>
    <w:p w14:paraId="111E0E47">
      <w:pPr>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t>项目</w:t>
      </w:r>
      <w:r>
        <w:rPr>
          <w:rFonts w:hint="default" w:ascii="Times New Roman" w:hAnsi="Times New Roman" w:eastAsia="宋体" w:cs="Times New Roman"/>
          <w:color w:val="000000" w:themeColor="text1"/>
          <w14:textFill>
            <w14:solidFill>
              <w14:schemeClr w14:val="tx1"/>
            </w14:solidFill>
          </w14:textFill>
        </w:rPr>
        <w:t>采用的燃烧方式为</w:t>
      </w:r>
      <w:r>
        <w:rPr>
          <w:rFonts w:hint="eastAsia" w:ascii="Times New Roman" w:hAnsi="Times New Roman" w:eastAsia="宋体" w:cs="Times New Roman"/>
          <w:color w:val="000000" w:themeColor="text1"/>
          <w:lang w:val="en-US" w:eastAsia="zh-CN"/>
          <w14:textFill>
            <w14:solidFill>
              <w14:schemeClr w14:val="tx1"/>
            </w14:solidFill>
          </w14:textFill>
        </w:rPr>
        <w:t>循环流化床锅炉</w:t>
      </w:r>
      <w:r>
        <w:rPr>
          <w:rFonts w:hint="default" w:ascii="Times New Roman" w:hAnsi="Times New Roman" w:eastAsia="宋体" w:cs="Times New Roman"/>
          <w:color w:val="000000" w:themeColor="text1"/>
          <w14:textFill>
            <w14:solidFill>
              <w14:schemeClr w14:val="tx1"/>
            </w14:solidFill>
          </w14:textFill>
        </w:rPr>
        <w:t>，颗粒物中有53.5%以上是粒径小于74µm（200目）的颗粒物，有19.8%是粒径小于20µm的颗粒物。</w:t>
      </w:r>
    </w:p>
    <w:p w14:paraId="724EE2AE">
      <w:pPr>
        <w:spacing w:line="360" w:lineRule="auto"/>
        <w:ind w:firstLine="480" w:firstLineChars="200"/>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t>为保证颗粒物稳定达标排放，尽可能减少对环境影响，</w:t>
      </w:r>
      <w:r>
        <w:rPr>
          <w:rFonts w:hint="eastAsia" w:ascii="Times New Roman" w:hAnsi="Times New Roman" w:eastAsia="宋体" w:cs="Times New Roman"/>
          <w:color w:val="000000" w:themeColor="text1"/>
          <w:lang w:eastAsia="zh-CN"/>
          <w14:textFill>
            <w14:solidFill>
              <w14:schemeClr w14:val="tx1"/>
            </w14:solidFill>
          </w14:textFill>
        </w:rPr>
        <w:t>项目</w:t>
      </w:r>
      <w:r>
        <w:rPr>
          <w:rFonts w:hint="default" w:ascii="Times New Roman" w:hAnsi="Times New Roman" w:eastAsia="宋体" w:cs="Times New Roman"/>
          <w:color w:val="000000" w:themeColor="text1"/>
          <w14:textFill>
            <w14:solidFill>
              <w14:schemeClr w14:val="tx1"/>
            </w14:solidFill>
          </w14:textFill>
        </w:rPr>
        <w:t>除尘设施选用袋式除尘器，除尘效率为99</w:t>
      </w:r>
      <w:r>
        <w:rPr>
          <w:rFonts w:hint="default" w:ascii="Times New Roman" w:hAnsi="Times New Roman" w:eastAsia="宋体" w:cs="Times New Roman"/>
          <w:color w:val="000000" w:themeColor="text1"/>
          <w:lang w:val="en-US" w:eastAsia="zh-CN"/>
          <w14:textFill>
            <w14:solidFill>
              <w14:schemeClr w14:val="tx1"/>
            </w14:solidFill>
          </w14:textFill>
        </w:rPr>
        <w:t>.</w:t>
      </w:r>
      <w:r>
        <w:rPr>
          <w:rFonts w:hint="eastAsia" w:ascii="Times New Roman" w:hAnsi="Times New Roman" w:eastAsia="宋体" w:cs="Times New Roman"/>
          <w:color w:val="000000" w:themeColor="text1"/>
          <w:lang w:val="en-US" w:eastAsia="zh-CN"/>
          <w14:textFill>
            <w14:solidFill>
              <w14:schemeClr w14:val="tx1"/>
            </w14:solidFill>
          </w14:textFill>
        </w:rPr>
        <w:t>95</w:t>
      </w:r>
      <w:r>
        <w:rPr>
          <w:rFonts w:hint="default" w:ascii="Times New Roman" w:hAnsi="Times New Roman" w:eastAsia="宋体" w:cs="Times New Roman"/>
          <w:color w:val="000000" w:themeColor="text1"/>
          <w14:textFill>
            <w14:solidFill>
              <w14:schemeClr w14:val="tx1"/>
            </w14:solidFill>
          </w14:textFill>
        </w:rPr>
        <w:t>%，可以确保</w:t>
      </w:r>
      <w:r>
        <w:rPr>
          <w:rFonts w:hint="eastAsia" w:ascii="Times New Roman" w:hAnsi="Times New Roman" w:eastAsia="宋体" w:cs="Times New Roman"/>
          <w:color w:val="000000" w:themeColor="text1"/>
          <w:lang w:eastAsia="zh-CN"/>
          <w14:textFill>
            <w14:solidFill>
              <w14:schemeClr w14:val="tx1"/>
            </w14:solidFill>
          </w14:textFill>
        </w:rPr>
        <w:t>项目</w:t>
      </w:r>
      <w:r>
        <w:rPr>
          <w:rFonts w:hint="default" w:ascii="Times New Roman" w:hAnsi="Times New Roman" w:eastAsia="宋体" w:cs="Times New Roman"/>
          <w:color w:val="000000" w:themeColor="text1"/>
          <w14:textFill>
            <w14:solidFill>
              <w14:schemeClr w14:val="tx1"/>
            </w14:solidFill>
          </w14:textFill>
        </w:rPr>
        <w:t>烟气经除尘器处理后，颗粒物排放浓度能够满足</w:t>
      </w:r>
      <w:r>
        <w:rPr>
          <w:rFonts w:hint="eastAsia" w:ascii="Times New Roman" w:hAnsi="Times New Roman" w:eastAsia="宋体" w:cs="Times New Roman"/>
          <w:color w:val="000000" w:themeColor="text1"/>
          <w:lang w:eastAsia="zh-CN"/>
          <w14:textFill>
            <w14:solidFill>
              <w14:schemeClr w14:val="tx1"/>
            </w14:solidFill>
          </w14:textFill>
        </w:rPr>
        <w:t>《关于印发&lt;全面实施燃煤电厂超低排放和节能改造工作方案&gt;的通知》（环发[2015]164号）</w:t>
      </w:r>
      <w:r>
        <w:rPr>
          <w:rFonts w:hint="default" w:ascii="Times New Roman" w:hAnsi="Times New Roman" w:eastAsia="宋体" w:cs="Times New Roman"/>
          <w:color w:val="000000" w:themeColor="text1"/>
          <w:lang w:eastAsia="zh-CN"/>
          <w14:textFill>
            <w14:solidFill>
              <w14:schemeClr w14:val="tx1"/>
            </w14:solidFill>
          </w14:textFill>
        </w:rPr>
        <w:t>中规定的超低排放标准要求，即颗粒物10mg/m3</w:t>
      </w:r>
      <w:r>
        <w:rPr>
          <w:rFonts w:hint="default" w:ascii="Times New Roman" w:hAnsi="Times New Roman" w:eastAsia="宋体" w:cs="Times New Roman"/>
          <w:color w:val="000000" w:themeColor="text1"/>
          <w14:textFill>
            <w14:solidFill>
              <w14:schemeClr w14:val="tx1"/>
            </w14:solidFill>
          </w14:textFill>
        </w:rPr>
        <w:t xml:space="preserve">。 </w:t>
      </w:r>
    </w:p>
    <w:p w14:paraId="34D1E5AF">
      <w:pPr>
        <w:pStyle w:val="5"/>
        <w:tabs>
          <w:tab w:val="left" w:pos="2268"/>
        </w:tabs>
        <w:spacing w:beforeLines="0" w:afterLines="0" w:line="480" w:lineRule="exact"/>
        <w:ind w:left="0" w:firstLine="0"/>
        <w:rPr>
          <w:rStyle w:val="508"/>
          <w:rFonts w:hint="default" w:ascii="Times New Roman" w:hAnsi="Times New Roman" w:eastAsia="宋体" w:cs="Times New Roman"/>
          <w:lang w:val="en-US" w:eastAsia="zh-CN"/>
        </w:rPr>
      </w:pPr>
      <w:r>
        <w:rPr>
          <w:rStyle w:val="508"/>
          <w:rFonts w:hint="default" w:ascii="Times New Roman" w:hAnsi="Times New Roman" w:eastAsia="宋体" w:cs="Times New Roman"/>
          <w:lang w:val="en-US" w:eastAsia="zh-CN"/>
        </w:rPr>
        <w:t>3.</w:t>
      </w:r>
      <w:r>
        <w:rPr>
          <w:rStyle w:val="508"/>
          <w:rFonts w:hint="eastAsia" w:ascii="Times New Roman" w:hAnsi="Times New Roman" w:eastAsia="宋体" w:cs="Times New Roman"/>
          <w:lang w:val="en-US" w:eastAsia="zh-CN"/>
        </w:rPr>
        <w:t>.1.2.6</w:t>
      </w:r>
      <w:r>
        <w:rPr>
          <w:rStyle w:val="508"/>
          <w:rFonts w:hint="default" w:ascii="Times New Roman" w:hAnsi="Times New Roman" w:eastAsia="宋体" w:cs="Times New Roman"/>
          <w:lang w:val="en-US" w:eastAsia="zh-CN"/>
        </w:rPr>
        <w:t>脱硫工艺流程</w:t>
      </w:r>
    </w:p>
    <w:p w14:paraId="55017AA0">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lang w:val="zh-TW" w:eastAsia="zh-TW"/>
        </w:rPr>
        <w:t>本脱硫系统设</w:t>
      </w:r>
      <w:r>
        <w:rPr>
          <w:rFonts w:hint="default" w:ascii="Times New Roman" w:hAnsi="Times New Roman" w:cs="Times New Roman"/>
          <w:color w:val="auto"/>
          <w:lang w:val="en-US" w:eastAsia="zh-CN"/>
        </w:rPr>
        <w:t>1</w:t>
      </w:r>
      <w:r>
        <w:rPr>
          <w:rFonts w:hint="default" w:ascii="Times New Roman" w:hAnsi="Times New Roman" w:cs="Times New Roman"/>
          <w:color w:val="auto"/>
          <w:lang w:val="zh-TW" w:eastAsia="zh-TW"/>
        </w:rPr>
        <w:t>座吸收塔。</w:t>
      </w:r>
      <w:r>
        <w:rPr>
          <w:rFonts w:hint="default" w:ascii="Times New Roman" w:hAnsi="Times New Roman" w:cs="Times New Roman"/>
          <w:color w:val="auto"/>
        </w:rPr>
        <w:t>采用引进的美国Marsulex公司的钙基脱硫技术，Marsulex的湿法脱硫技术具有良好的技术特性和广泛的应用业绩，本公司采用的是其最新的技术成果，突出特点有：</w:t>
      </w:r>
    </w:p>
    <w:p w14:paraId="31D4E3DD">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rPr>
        <w:t>（1）高烟气流速</w:t>
      </w:r>
    </w:p>
    <w:p w14:paraId="6EAB6E0C">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rPr>
        <w:t>塔内烟气流速4.0m/s。Marsulex通过吸收塔内烟气流速的试验研究，发现当烟气的空塔气速高达4.0 m/s时，系统运行仍能满足SO</w:t>
      </w:r>
      <w:r>
        <w:rPr>
          <w:rFonts w:hint="default" w:ascii="Times New Roman" w:hAnsi="Times New Roman" w:cs="Times New Roman"/>
          <w:color w:val="auto"/>
          <w:vertAlign w:val="subscript"/>
        </w:rPr>
        <w:t>2</w:t>
      </w:r>
      <w:r>
        <w:rPr>
          <w:rFonts w:hint="default" w:ascii="Times New Roman" w:hAnsi="Times New Roman" w:cs="Times New Roman"/>
          <w:color w:val="auto"/>
        </w:rPr>
        <w:t>去除要求且高速烟气流增强了质量传递能力，提高了脱硫效率，或者在同样脱硫效率下降低了液／气比，从而降低了循环泵的流量，另外也减小了吸收塔直径，因此降低了投资和循环泵的运行电耗。</w:t>
      </w:r>
    </w:p>
    <w:p w14:paraId="67C93820">
      <w:pPr>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烟气中的SO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和SO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与悬浮浆液中的CaCO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反应生成亚硫酸钙，生成的亚硫酸钙在吸收塔浆池内强制氧化生成硫酸钙，并生成石膏晶体。吸收塔系统可以分为以下几个部分：</w:t>
      </w:r>
    </w:p>
    <w:p w14:paraId="63F7136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吸收塔再循环系统包括浆液循环泵、管道系统、喷淋组件及喷嘴。再循环系统的设计要求是使喷淋层的布置达到所要求的喷淋浆液覆盖率，使吸收浆液与烟气充分接触，从而保证在适当的液/气比（L/G）下可靠地实现95%的总脱硫效率，且在吸收塔的内表面不产生结垢。</w:t>
      </w:r>
    </w:p>
    <w:p w14:paraId="2D3E0F8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喷淋组件及喷嘴的布置设计成均匀覆盖吸收塔的横截面。一个喷淋层由带连接支管的母管制浆液分布管道和喷嘴组成。采用单元制设计，每个喷淋层配一台与喷淋层管道系统相连接的吸收塔再循环泵，从而保证吸收塔内要求的吸收浆液覆盖率。</w:t>
      </w:r>
    </w:p>
    <w:p w14:paraId="38DED6F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吸收塔浆池中的混合浆液由循环泵配送到喷嘴，产生非常细小的液滴。每个运行循环泵都连接到其各自的浆液喷淋管组，每座吸收塔配三台浆液循环泵，参与运行的循环泵的数量可以根据锅炉负荷和烟气中需处理的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量来确定，以达到要求的吸收效率。由于能根据锅炉负荷选择最经济的泵运行模式，再循环系统在低锅炉负荷下能节省能耗。</w:t>
      </w:r>
    </w:p>
    <w:p w14:paraId="0484D31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使用由碳化硅制成的空心锥喷嘴和FRP喷淋管道，可以长期运行而无腐蚀、无磨蚀、无石膏结垢及堵塞等问题。</w:t>
      </w:r>
    </w:p>
    <w:p w14:paraId="7E60E6A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吸收塔设两级除雾器，布置于吸收塔最后一个喷淋组件的上部。烟气穿过再循环浆液喷淋层后，再连续流经两级除雾器除去所含浆液雾滴。在一级除雾器的上面和下面各布置一层清洗喷嘴。清洗水从喷嘴强力喷向除雾器元件，带走除雾器顺流面和逆流面上的固体颗粒。二级除雾器下面也布置一层清洗喷嘴。烟气通过两级除雾后，其烟气携带水滴含量低于75mg/N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（干基），除雾器清洗系统间断运行，采用自动控制。</w:t>
      </w:r>
    </w:p>
    <w:p w14:paraId="704BDFA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氧化空气系统由氧化风机、氧化空气冷却水系统、搅拌器系统和氧化空气喷枪组成，每套FGD装置设二台氧化风机，其中一台备用。它具有较高的氧化性能、氧化空气分布均匀、用量少、喷枪不会结垢堵塞、便于维护。</w:t>
      </w:r>
    </w:p>
    <w:p w14:paraId="6557C32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氧化空气通过喷枪被送入浆池。喷枪将把空气送至浆池的下部，空气被送至高度湍流的浆液区，搅拌器产生的高剪切力使空气分裂成细小的气泡并均匀地分散在浆液中，从而使得空气和浆液得以充分混合，增大了气液接触面积，进而实现了高氧化率。</w:t>
      </w:r>
    </w:p>
    <w:p w14:paraId="65B4FFC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吸收塔内发生的整个化学反应过程：</w:t>
      </w:r>
    </w:p>
    <w:p w14:paraId="72FDFF3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a)吸收 </w:t>
      </w:r>
    </w:p>
    <w:p w14:paraId="5CB7E60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烟气中的SO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和SO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溶解于浆液中：</w:t>
      </w:r>
    </w:p>
    <w:p w14:paraId="3BD56E9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O&lt;==&gt;H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3</w:t>
      </w:r>
    </w:p>
    <w:p w14:paraId="08E25A9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O&lt;==&gt;H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4</w:t>
      </w:r>
    </w:p>
    <w:p w14:paraId="56698D2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ab/>
      </w:r>
      <w:r>
        <w:rPr>
          <w:rFonts w:hint="default" w:ascii="Times New Roman" w:hAnsi="Times New Roman" w:cs="Times New Roman"/>
          <w:color w:val="auto"/>
          <w:lang w:val="en-US" w:eastAsia="zh-CN"/>
        </w:rPr>
        <w:t>生成的H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和H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lang w:val="en-US" w:eastAsia="zh-CN"/>
        </w:rPr>
        <w:t>须被快速中和，以加速SO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和SO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的吸收反应。</w:t>
      </w:r>
    </w:p>
    <w:p w14:paraId="494C861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b)与石灰石反应 </w:t>
      </w:r>
      <w:r>
        <w:rPr>
          <w:rFonts w:hint="default" w:ascii="Times New Roman" w:hAnsi="Times New Roman" w:cs="Times New Roman"/>
          <w:color w:val="auto"/>
          <w:lang w:val="en-US" w:eastAsia="zh-CN"/>
        </w:rPr>
        <w:tab/>
      </w:r>
      <w:r>
        <w:rPr>
          <w:rFonts w:hint="default" w:ascii="Times New Roman" w:hAnsi="Times New Roman" w:cs="Times New Roman"/>
          <w:color w:val="auto"/>
          <w:lang w:val="en-US" w:eastAsia="zh-CN"/>
        </w:rPr>
        <w:tab/>
      </w:r>
    </w:p>
    <w:p w14:paraId="756457A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lang w:val="en-US" w:eastAsia="zh-CN"/>
        </w:rPr>
        <w:t>与悬浮浆液中的石灰石石颗粒反应：</w:t>
      </w:r>
    </w:p>
    <w:p w14:paraId="24CE23C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CaCO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 xml:space="preserve"> +H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&lt;==&gt; CaSO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+CO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O</w:t>
      </w:r>
    </w:p>
    <w:p w14:paraId="2B352F3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CaCO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lang w:val="en-US" w:eastAsia="zh-CN"/>
        </w:rPr>
        <w:t>&lt;==&gt;CaSO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lang w:val="en-US" w:eastAsia="zh-CN"/>
        </w:rPr>
        <w:t>+CO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O</w:t>
      </w:r>
    </w:p>
    <w:p w14:paraId="4AC9069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上述离子反应是在溶液中进行。</w:t>
      </w:r>
    </w:p>
    <w:p w14:paraId="75EFFCE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上述反应在吸收塔浆池内完成，反应的充分程度取决于浆液停留时间。</w:t>
      </w:r>
    </w:p>
    <w:p w14:paraId="6046DF5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c)氧化</w:t>
      </w:r>
    </w:p>
    <w:p w14:paraId="1E8BE53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通入吸收塔浆池的氧化空气将亚硫酸盐氧化成硫酸盐：</w:t>
      </w:r>
    </w:p>
    <w:p w14:paraId="7FC410D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氧化:2CaSO</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lang w:val="en-US" w:eastAsia="zh-CN"/>
        </w:rPr>
        <w:t xml:space="preserve"> +O</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&lt;==&gt;2CaSO</w:t>
      </w:r>
      <w:r>
        <w:rPr>
          <w:rFonts w:hint="default" w:ascii="Times New Roman" w:hAnsi="Times New Roman" w:cs="Times New Roman"/>
          <w:color w:val="auto"/>
          <w:vertAlign w:val="subscript"/>
          <w:lang w:val="en-US" w:eastAsia="zh-CN"/>
        </w:rPr>
        <w:t>4</w:t>
      </w:r>
    </w:p>
    <w:p w14:paraId="5D0BEA2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生成的硫酸钙结晶成石膏：</w:t>
      </w:r>
    </w:p>
    <w:p w14:paraId="7B03014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结晶:CaSO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lang w:val="en-US" w:eastAsia="zh-CN"/>
        </w:rPr>
        <w:t>+2H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O&lt;==&gt;CaSO</w:t>
      </w:r>
      <w:r>
        <w:rPr>
          <w:rFonts w:hint="default" w:ascii="Times New Roman" w:hAnsi="Times New Roman" w:cs="Times New Roman"/>
          <w:color w:val="auto"/>
          <w:vertAlign w:val="subscript"/>
          <w:lang w:val="en-US" w:eastAsia="zh-CN"/>
        </w:rPr>
        <w:t>4</w:t>
      </w:r>
      <w:r>
        <w:rPr>
          <w:rFonts w:hint="default" w:ascii="Times New Roman" w:hAnsi="Times New Roman" w:cs="Times New Roman"/>
          <w:color w:val="auto"/>
          <w:lang w:val="en-US" w:eastAsia="zh-CN"/>
        </w:rPr>
        <w:t xml:space="preserve"> · 2H</w:t>
      </w:r>
      <w:r>
        <w:rPr>
          <w:rFonts w:hint="default" w:ascii="Times New Roman" w:hAnsi="Times New Roman" w:cs="Times New Roman"/>
          <w:color w:val="auto"/>
          <w:vertAlign w:val="subscript"/>
          <w:lang w:val="en-US" w:eastAsia="zh-CN"/>
        </w:rPr>
        <w:t>2</w:t>
      </w:r>
      <w:r>
        <w:rPr>
          <w:rFonts w:hint="default" w:ascii="Times New Roman" w:hAnsi="Times New Roman" w:cs="Times New Roman"/>
          <w:color w:val="auto"/>
          <w:lang w:val="en-US" w:eastAsia="zh-CN"/>
        </w:rPr>
        <w:t>O</w:t>
      </w:r>
    </w:p>
    <w:p w14:paraId="40E97F3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氧化和结晶反应主要在吸收塔浆池内完成。</w:t>
      </w:r>
    </w:p>
    <w:p w14:paraId="39CA965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吸收塔浆池内浆液的pH值通过补给的石灰石浆液量来调节，一般控制在5.6～5.8之间。</w:t>
      </w:r>
    </w:p>
    <w:p w14:paraId="3A1D03F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保证浆液在吸收塔浆池内停留足够长时间，确保石膏品质。</w:t>
      </w:r>
    </w:p>
    <w:p w14:paraId="36C3876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烟气在吸收塔洗涤区被降温至饱和温度，循环浆液中大量水份被蒸发后随烟气带出吸收塔。这部分损失的水份通过工艺水来补充，补充水主要来源于冲洗吸收塔顶部除雾器的水。</w:t>
      </w:r>
    </w:p>
    <w:p w14:paraId="67C90C85">
      <w:pPr>
        <w:pStyle w:val="77"/>
        <w:spacing w:line="360" w:lineRule="auto"/>
        <w:ind w:firstLine="0" w:firstLineChars="0"/>
        <w:jc w:val="center"/>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4886960" cy="3757295"/>
            <wp:effectExtent l="0" t="0" r="8890" b="14605"/>
            <wp:docPr id="130" name="图片 130" descr="石灰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石灰法"/>
                    <pic:cNvPicPr>
                      <a:picLocks noChangeAspect="1"/>
                    </pic:cNvPicPr>
                  </pic:nvPicPr>
                  <pic:blipFill>
                    <a:blip r:embed="rId50"/>
                    <a:stretch>
                      <a:fillRect/>
                    </a:stretch>
                  </pic:blipFill>
                  <pic:spPr>
                    <a:xfrm>
                      <a:off x="0" y="0"/>
                      <a:ext cx="4886960" cy="3757295"/>
                    </a:xfrm>
                    <a:prstGeom prst="rect">
                      <a:avLst/>
                    </a:prstGeom>
                  </pic:spPr>
                </pic:pic>
              </a:graphicData>
            </a:graphic>
          </wp:inline>
        </w:drawing>
      </w:r>
    </w:p>
    <w:p w14:paraId="32D9EB93">
      <w:pPr>
        <w:pStyle w:val="77"/>
        <w:spacing w:line="360" w:lineRule="auto"/>
        <w:ind w:firstLine="0" w:firstLineChars="0"/>
        <w:rPr>
          <w:rFonts w:hint="default" w:ascii="Times New Roman" w:hAnsi="Times New Roman" w:eastAsia="宋体" w:cs="Times New Roman"/>
          <w:b/>
          <w:bCs/>
          <w:color w:val="auto"/>
          <w:sz w:val="24"/>
          <w:szCs w:val="24"/>
          <w:lang w:val="en-US" w:eastAsia="zh-CN" w:bidi="ar-SA"/>
        </w:rPr>
      </w:pPr>
      <w:r>
        <w:rPr>
          <w:rFonts w:hint="default" w:ascii="Times New Roman" w:hAnsi="Times New Roman" w:cs="Times New Roman"/>
          <w:color w:val="auto"/>
          <w:lang w:eastAsia="zh-CN"/>
        </w:rPr>
        <w:t xml:space="preserve">                 </w:t>
      </w:r>
      <w:r>
        <w:rPr>
          <w:rFonts w:hint="default" w:ascii="Times New Roman" w:hAnsi="Times New Roman" w:eastAsia="宋体" w:cs="Times New Roman"/>
          <w:b/>
          <w:bCs/>
          <w:color w:val="auto"/>
          <w:sz w:val="24"/>
          <w:szCs w:val="24"/>
          <w:lang w:val="en-US" w:eastAsia="zh-CN" w:bidi="ar-SA"/>
        </w:rPr>
        <w:t xml:space="preserve">   图</w:t>
      </w:r>
      <w:r>
        <w:rPr>
          <w:rFonts w:hint="eastAsia" w:ascii="Times New Roman" w:hAnsi="Times New Roman" w:cs="Times New Roman"/>
          <w:b/>
          <w:bCs/>
          <w:color w:val="auto"/>
          <w:sz w:val="24"/>
          <w:szCs w:val="24"/>
          <w:lang w:val="en-US" w:eastAsia="zh-CN" w:bidi="ar-SA"/>
        </w:rPr>
        <w:t>3.1-7</w:t>
      </w:r>
      <w:r>
        <w:rPr>
          <w:rFonts w:hint="default" w:ascii="Times New Roman" w:hAnsi="Times New Roman" w:eastAsia="宋体" w:cs="Times New Roman"/>
          <w:b/>
          <w:bCs/>
          <w:color w:val="auto"/>
          <w:sz w:val="24"/>
          <w:szCs w:val="24"/>
          <w:lang w:val="en-US" w:eastAsia="zh-CN" w:bidi="ar-SA"/>
        </w:rPr>
        <w:t xml:space="preserve"> </w:t>
      </w:r>
      <w:r>
        <w:rPr>
          <w:rFonts w:hint="default" w:ascii="Times New Roman" w:hAnsi="Times New Roman" w:cs="Times New Roman"/>
          <w:b/>
          <w:bCs/>
          <w:color w:val="auto"/>
          <w:sz w:val="24"/>
          <w:szCs w:val="24"/>
          <w:lang w:val="en-US" w:eastAsia="zh-CN" w:bidi="ar-SA"/>
        </w:rPr>
        <w:t>石灰石法脱硫</w:t>
      </w:r>
      <w:r>
        <w:rPr>
          <w:rFonts w:hint="default" w:ascii="Times New Roman" w:hAnsi="Times New Roman" w:eastAsia="宋体" w:cs="Times New Roman"/>
          <w:b/>
          <w:bCs/>
          <w:color w:val="auto"/>
          <w:sz w:val="24"/>
          <w:szCs w:val="24"/>
          <w:lang w:val="en-US" w:eastAsia="zh-CN" w:bidi="ar-SA"/>
        </w:rPr>
        <w:t>工艺流程图</w:t>
      </w:r>
    </w:p>
    <w:p w14:paraId="6DAA418C">
      <w:pPr>
        <w:pStyle w:val="77"/>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设计脱硫效率≥</w:t>
      </w:r>
      <w:r>
        <w:rPr>
          <w:rFonts w:hint="default" w:ascii="Times New Roman" w:hAnsi="Times New Roman" w:cs="Times New Roman"/>
          <w:color w:val="auto"/>
          <w:sz w:val="24"/>
          <w:szCs w:val="24"/>
          <w:lang w:eastAsia="zh-CN"/>
        </w:rPr>
        <w:t>9</w:t>
      </w:r>
      <w:r>
        <w:rPr>
          <w:rFonts w:hint="eastAsia" w:ascii="Times New Roman" w:hAnsi="Times New Roman" w:cs="Times New Roman"/>
          <w:color w:val="auto"/>
          <w:sz w:val="24"/>
          <w:szCs w:val="24"/>
          <w:lang w:val="en-US" w:eastAsia="zh-CN"/>
        </w:rPr>
        <w:t>6.</w:t>
      </w:r>
      <w:r>
        <w:rPr>
          <w:rFonts w:hint="default"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，可确保本工程SO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排放浓度低于</w:t>
      </w:r>
      <w:r>
        <w:rPr>
          <w:rFonts w:hint="default" w:ascii="Times New Roman" w:hAnsi="Times New Roman" w:cs="Times New Roman"/>
          <w:color w:val="auto"/>
          <w:sz w:val="24"/>
          <w:szCs w:val="24"/>
          <w:lang w:val="en-US" w:eastAsia="zh-CN"/>
        </w:rPr>
        <w:t>超低排放35</w:t>
      </w:r>
      <w:r>
        <w:rPr>
          <w:rFonts w:hint="default" w:ascii="Times New Roman" w:hAnsi="Times New Roman" w:cs="Times New Roman"/>
          <w:color w:val="auto"/>
          <w:sz w:val="24"/>
          <w:szCs w:val="24"/>
        </w:rPr>
        <w:t>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的标准要求。</w:t>
      </w:r>
    </w:p>
    <w:p w14:paraId="4B39559F">
      <w:pPr>
        <w:pStyle w:val="5"/>
        <w:tabs>
          <w:tab w:val="left" w:pos="2268"/>
        </w:tabs>
        <w:spacing w:beforeLines="0" w:afterLines="0" w:line="480" w:lineRule="exact"/>
        <w:ind w:left="0" w:firstLine="0"/>
        <w:rPr>
          <w:rStyle w:val="508"/>
          <w:rFonts w:hint="default" w:ascii="Times New Roman" w:hAnsi="Times New Roman" w:eastAsia="宋体" w:cs="Times New Roman"/>
          <w:lang w:val="en-US" w:eastAsia="zh-CN"/>
        </w:rPr>
      </w:pPr>
      <w:r>
        <w:rPr>
          <w:rStyle w:val="508"/>
          <w:rFonts w:hint="default" w:ascii="Times New Roman" w:hAnsi="Times New Roman" w:eastAsia="宋体" w:cs="Times New Roman"/>
          <w:lang w:val="en-US" w:eastAsia="zh-CN"/>
        </w:rPr>
        <w:t>3.</w:t>
      </w:r>
      <w:r>
        <w:rPr>
          <w:rStyle w:val="508"/>
          <w:rFonts w:hint="eastAsia" w:ascii="Times New Roman" w:hAnsi="Times New Roman" w:eastAsia="宋体" w:cs="Times New Roman"/>
          <w:lang w:val="en-US" w:eastAsia="zh-CN"/>
        </w:rPr>
        <w:t>1.2.7</w:t>
      </w:r>
      <w:r>
        <w:rPr>
          <w:rStyle w:val="508"/>
          <w:rFonts w:hint="default" w:ascii="Times New Roman" w:hAnsi="Times New Roman" w:eastAsia="宋体" w:cs="Times New Roman"/>
          <w:lang w:val="en-US" w:eastAsia="zh-CN"/>
        </w:rPr>
        <w:t xml:space="preserve"> SNCR+SCR联合脱硝工艺</w:t>
      </w:r>
    </w:p>
    <w:p w14:paraId="271DEC6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SNCR（选择性非催化还原法）是把炉膛作为反应器，在炉膛温度800-900℃的狭窄范围内，在无催化剂的情况下，利用尿素还原剂可选择性的还原烟气中的NO</w:t>
      </w:r>
      <w:r>
        <w:rPr>
          <w:rFonts w:hint="default" w:ascii="Times New Roman" w:hAnsi="Times New Roman" w:eastAsia="宋体" w:cs="Times New Roman"/>
          <w:color w:val="auto"/>
          <w:vertAlign w:val="subscript"/>
          <w:lang w:val="en-US" w:eastAsia="zh-CN"/>
        </w:rPr>
        <w:t>X</w:t>
      </w:r>
      <w:r>
        <w:rPr>
          <w:rFonts w:hint="default" w:ascii="Times New Roman" w:hAnsi="Times New Roman" w:eastAsia="宋体" w:cs="Times New Roman"/>
          <w:color w:val="auto"/>
          <w:lang w:val="en-US" w:eastAsia="zh-CN"/>
        </w:rPr>
        <w:t>而基本不与O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发生作用。由于在SNCR脱硝系统中有过剩的NH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存在，利用SCR（选择性催化还原脱硝技术）在320~400℃时，过剩的NH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在催化剂的作用下将NO</w:t>
      </w:r>
      <w:r>
        <w:rPr>
          <w:rFonts w:hint="default" w:ascii="Times New Roman" w:hAnsi="Times New Roman" w:eastAsia="宋体" w:cs="Times New Roman"/>
          <w:color w:val="auto"/>
          <w:vertAlign w:val="subscript"/>
          <w:lang w:val="en-US" w:eastAsia="zh-CN"/>
        </w:rPr>
        <w:t>X</w:t>
      </w:r>
      <w:r>
        <w:rPr>
          <w:rFonts w:hint="default" w:ascii="Times New Roman" w:hAnsi="Times New Roman" w:eastAsia="宋体" w:cs="Times New Roman"/>
          <w:color w:val="auto"/>
          <w:lang w:val="en-US" w:eastAsia="zh-CN"/>
        </w:rPr>
        <w:t>还原成氮（N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）和水（H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O），从而达到脱硝的目的。</w:t>
      </w:r>
    </w:p>
    <w:p w14:paraId="6D58215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SNCR+SCR法具有以下特点：</w:t>
      </w:r>
    </w:p>
    <w:p w14:paraId="08FBAA94">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①脱硝效果好。此技术在大型锅炉上能够达到80%以上的NO</w:t>
      </w:r>
      <w:r>
        <w:rPr>
          <w:rFonts w:hint="default" w:ascii="Times New Roman" w:hAnsi="Times New Roman" w:eastAsia="宋体" w:cs="Times New Roman"/>
          <w:color w:val="auto"/>
          <w:vertAlign w:val="subscript"/>
          <w:lang w:val="en-US" w:eastAsia="zh-CN"/>
        </w:rPr>
        <w:t>X</w:t>
      </w:r>
      <w:r>
        <w:rPr>
          <w:rFonts w:hint="default" w:ascii="Times New Roman" w:hAnsi="Times New Roman" w:eastAsia="宋体" w:cs="Times New Roman"/>
          <w:color w:val="auto"/>
          <w:lang w:val="en-US" w:eastAsia="zh-CN"/>
        </w:rPr>
        <w:t>脱除率；在中小型锅炉上可达90%左右的脱除率。</w:t>
      </w:r>
    </w:p>
    <w:p w14:paraId="21915F4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②还原剂易得。可采用液氨、氨水、尿素等。</w:t>
      </w:r>
    </w:p>
    <w:p w14:paraId="76FDC01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③无二次污染。运行过程中没有任何固体和液体污染物产生，无二次污染。</w:t>
      </w:r>
    </w:p>
    <w:p w14:paraId="0913F8C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④经济性好。SNCR+SCR法相结合，减少了昂贵的催化剂用量，其投资成本及运行成本降低。</w:t>
      </w:r>
    </w:p>
    <w:p w14:paraId="596545F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（2）SNCR+SCR还原剂的选择</w:t>
      </w:r>
    </w:p>
    <w:p w14:paraId="2FC144C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本方案采用尿素做还原剂。其优点有：不易燃烧和爆炸，无色、无味、运输、储存、使用比较简单方便；挥发性比氨水小；在炉膛穿透性好、效果较好、脱硝效率高。</w:t>
      </w:r>
    </w:p>
    <w:p w14:paraId="4D47FA0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尿素做还原剂：（最佳温度区 800-950℃)</w:t>
      </w:r>
    </w:p>
    <w:p w14:paraId="28C356B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所发生的基本反应有：</w:t>
      </w:r>
    </w:p>
    <w:p w14:paraId="4ACDAEE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CO(NH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 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 =2NH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+CO</w:t>
      </w:r>
      <w:r>
        <w:rPr>
          <w:rFonts w:hint="default" w:ascii="Times New Roman" w:hAnsi="Times New Roman" w:eastAsia="宋体" w:cs="Times New Roman"/>
          <w:color w:val="auto"/>
          <w:vertAlign w:val="subscript"/>
          <w:lang w:val="en-US" w:eastAsia="zh-CN"/>
        </w:rPr>
        <w:t>2</w:t>
      </w:r>
    </w:p>
    <w:p w14:paraId="2B05E393">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+4NO+ 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=4N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+6H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w:t>
      </w:r>
    </w:p>
    <w:p w14:paraId="6B5B2F8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总的反应式为：</w:t>
      </w:r>
    </w:p>
    <w:p w14:paraId="63C4D68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2NO+CO(NH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+1/2O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=2N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+CO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w:t>
      </w:r>
    </w:p>
    <w:p w14:paraId="0F8D272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本工程采用SNCR+SCR联合脱硝方法，SNCR脱硝反应剩余的NH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继续参与SCR  脱硝反应。</w:t>
      </w:r>
    </w:p>
    <w:p w14:paraId="60850643">
      <w:pPr>
        <w:spacing w:line="5854" w:lineRule="exact"/>
        <w:ind w:firstLine="66"/>
        <w:jc w:val="center"/>
        <w:rPr>
          <w:rFonts w:hint="default" w:ascii="Times New Roman" w:hAnsi="Times New Roman" w:cs="Times New Roman"/>
          <w:color w:val="auto"/>
        </w:rPr>
      </w:pPr>
      <w:r>
        <w:rPr>
          <w:rFonts w:hint="default" w:ascii="Times New Roman" w:hAnsi="Times New Roman" w:cs="Times New Roman"/>
          <w:color w:val="auto"/>
          <w:position w:val="-117"/>
        </w:rPr>
        <w:drawing>
          <wp:inline distT="0" distB="0" distL="0" distR="0">
            <wp:extent cx="5427980" cy="3717290"/>
            <wp:effectExtent l="0" t="0" r="1270" b="16510"/>
            <wp:docPr id="131" name="IM 8"/>
            <wp:cNvGraphicFramePr/>
            <a:graphic xmlns:a="http://schemas.openxmlformats.org/drawingml/2006/main">
              <a:graphicData uri="http://schemas.openxmlformats.org/drawingml/2006/picture">
                <pic:pic xmlns:pic="http://schemas.openxmlformats.org/drawingml/2006/picture">
                  <pic:nvPicPr>
                    <pic:cNvPr id="131" name="IM 8"/>
                    <pic:cNvPicPr/>
                  </pic:nvPicPr>
                  <pic:blipFill>
                    <a:blip r:embed="rId51"/>
                    <a:stretch>
                      <a:fillRect/>
                    </a:stretch>
                  </pic:blipFill>
                  <pic:spPr>
                    <a:xfrm>
                      <a:off x="0" y="0"/>
                      <a:ext cx="5428488" cy="3717544"/>
                    </a:xfrm>
                    <a:prstGeom prst="rect">
                      <a:avLst/>
                    </a:prstGeom>
                  </pic:spPr>
                </pic:pic>
              </a:graphicData>
            </a:graphic>
          </wp:inline>
        </w:drawing>
      </w:r>
    </w:p>
    <w:p w14:paraId="7DA0D8E7">
      <w:pPr>
        <w:pStyle w:val="77"/>
        <w:spacing w:line="360" w:lineRule="auto"/>
        <w:ind w:firstLine="0" w:firstLineChars="0"/>
        <w:jc w:val="center"/>
        <w:rPr>
          <w:rFonts w:hint="default" w:ascii="Times New Roman" w:hAnsi="Times New Roman" w:eastAsia="宋体" w:cs="Times New Roman"/>
          <w:b/>
          <w:bCs/>
          <w:color w:val="auto"/>
          <w:sz w:val="24"/>
          <w:szCs w:val="24"/>
          <w:lang w:val="en-US" w:eastAsia="zh-CN" w:bidi="ar-SA"/>
        </w:rPr>
      </w:pPr>
      <w:r>
        <w:rPr>
          <w:rFonts w:hint="default" w:ascii="Times New Roman" w:hAnsi="Times New Roman" w:eastAsia="宋体" w:cs="Times New Roman"/>
          <w:b/>
          <w:bCs/>
          <w:color w:val="auto"/>
          <w:sz w:val="24"/>
          <w:szCs w:val="24"/>
          <w:lang w:val="en-US" w:eastAsia="zh-CN" w:bidi="ar-SA"/>
        </w:rPr>
        <w:t>图</w:t>
      </w:r>
      <w:r>
        <w:rPr>
          <w:rFonts w:hint="eastAsia" w:ascii="Times New Roman" w:hAnsi="Times New Roman" w:cs="Times New Roman"/>
          <w:b/>
          <w:bCs/>
          <w:color w:val="auto"/>
          <w:sz w:val="24"/>
          <w:szCs w:val="24"/>
          <w:lang w:val="en-US" w:eastAsia="zh-CN" w:bidi="ar-SA"/>
        </w:rPr>
        <w:t>3.1-8</w:t>
      </w:r>
      <w:r>
        <w:rPr>
          <w:rFonts w:hint="default" w:ascii="Times New Roman" w:hAnsi="Times New Roman" w:eastAsia="宋体" w:cs="Times New Roman"/>
          <w:b/>
          <w:bCs/>
          <w:color w:val="auto"/>
          <w:sz w:val="24"/>
          <w:szCs w:val="24"/>
          <w:lang w:val="en-US" w:eastAsia="zh-CN" w:bidi="ar-SA"/>
        </w:rPr>
        <w:t xml:space="preserve"> 还原剂供应系统图</w:t>
      </w:r>
    </w:p>
    <w:p w14:paraId="3BDD7EE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（3）SNCR+SCR联合脱硝工艺流程</w:t>
      </w:r>
    </w:p>
    <w:p w14:paraId="630F1E6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固体尿素与软水配制成10%的溶液，输送到尿素溶液储罐内，尿素溶液通过高流量循环模块（HFD）输送至计量分配模块（MDM）通过计量后通过喷射装置（SNCR喷枪）按需分别喷入到相应的温度区域内，尿素溶液在高温烟气（850- 1050℃) 中迅速分解NH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和CO，并与烟气充分混合，NH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在高温的作用下将NOx还原反应生成N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和H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 ，达到初步脱除氮氧化物的目的。经过脱硝后的烟气排出锅炉，进入SCR脱硝反应系统。由于有过剩的NH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存在，在催化剂的作用下进一步将NO</w:t>
      </w:r>
      <w:r>
        <w:rPr>
          <w:rFonts w:hint="default" w:ascii="Times New Roman" w:hAnsi="Times New Roman" w:eastAsia="宋体" w:cs="Times New Roman"/>
          <w:color w:val="auto"/>
          <w:vertAlign w:val="subscript"/>
          <w:lang w:val="en-US" w:eastAsia="zh-CN"/>
        </w:rPr>
        <w:t>X</w:t>
      </w:r>
      <w:r>
        <w:rPr>
          <w:rFonts w:hint="default" w:ascii="Times New Roman" w:hAnsi="Times New Roman" w:eastAsia="宋体" w:cs="Times New Roman"/>
          <w:color w:val="auto"/>
          <w:lang w:val="en-US" w:eastAsia="zh-CN"/>
        </w:rPr>
        <w:t xml:space="preserve"> 还原成氮（N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）和水（H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O），从而达到脱硝的目的。</w:t>
      </w:r>
    </w:p>
    <w:p w14:paraId="06DB4A4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0" distR="0">
            <wp:extent cx="5460365" cy="3913505"/>
            <wp:effectExtent l="0" t="0" r="6985" b="10795"/>
            <wp:docPr id="132" name="IM 10"/>
            <wp:cNvGraphicFramePr/>
            <a:graphic xmlns:a="http://schemas.openxmlformats.org/drawingml/2006/main">
              <a:graphicData uri="http://schemas.openxmlformats.org/drawingml/2006/picture">
                <pic:pic xmlns:pic="http://schemas.openxmlformats.org/drawingml/2006/picture">
                  <pic:nvPicPr>
                    <pic:cNvPr id="132" name="IM 10"/>
                    <pic:cNvPicPr/>
                  </pic:nvPicPr>
                  <pic:blipFill>
                    <a:blip r:embed="rId52"/>
                    <a:stretch>
                      <a:fillRect/>
                    </a:stretch>
                  </pic:blipFill>
                  <pic:spPr>
                    <a:xfrm>
                      <a:off x="0" y="0"/>
                      <a:ext cx="5460491" cy="3913632"/>
                    </a:xfrm>
                    <a:prstGeom prst="rect">
                      <a:avLst/>
                    </a:prstGeom>
                  </pic:spPr>
                </pic:pic>
              </a:graphicData>
            </a:graphic>
          </wp:inline>
        </w:drawing>
      </w:r>
    </w:p>
    <w:p w14:paraId="6C262061">
      <w:pPr>
        <w:keepNext w:val="0"/>
        <w:keepLines w:val="0"/>
        <w:pageBreakBefore w:val="0"/>
        <w:widowControl/>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sz w:val="24"/>
          <w:szCs w:val="24"/>
          <w:lang w:val="en-US" w:eastAsia="zh-CN" w:bidi="ar-SA"/>
        </w:rPr>
      </w:pPr>
      <w:r>
        <w:rPr>
          <w:rFonts w:hint="default" w:ascii="Times New Roman" w:hAnsi="Times New Roman" w:eastAsia="宋体" w:cs="Times New Roman"/>
          <w:b/>
          <w:bCs/>
          <w:color w:val="auto"/>
          <w:sz w:val="24"/>
          <w:szCs w:val="24"/>
          <w:lang w:val="en-US" w:eastAsia="zh-CN" w:bidi="ar-SA"/>
        </w:rPr>
        <w:t>图</w:t>
      </w:r>
      <w:r>
        <w:rPr>
          <w:rFonts w:hint="eastAsia" w:ascii="Times New Roman" w:hAnsi="Times New Roman" w:cs="Times New Roman"/>
          <w:b/>
          <w:bCs/>
          <w:color w:val="auto"/>
          <w:sz w:val="24"/>
          <w:szCs w:val="24"/>
          <w:lang w:val="en-US" w:eastAsia="zh-CN" w:bidi="ar-SA"/>
        </w:rPr>
        <w:t>3.1-9</w:t>
      </w:r>
      <w:r>
        <w:rPr>
          <w:rFonts w:hint="default" w:ascii="Times New Roman" w:hAnsi="Times New Roman" w:eastAsia="宋体" w:cs="Times New Roman"/>
          <w:b/>
          <w:bCs/>
          <w:color w:val="auto"/>
          <w:sz w:val="24"/>
          <w:szCs w:val="24"/>
          <w:lang w:val="en-US" w:eastAsia="zh-CN" w:bidi="ar-SA"/>
        </w:rPr>
        <w:t xml:space="preserve">  SNCR+SCR联合脱硝工艺流程图</w:t>
      </w:r>
    </w:p>
    <w:p w14:paraId="3BC3688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fldChar w:fldCharType="begin"/>
      </w:r>
      <w:r>
        <w:rPr>
          <w:rFonts w:hint="default" w:ascii="Times New Roman" w:hAnsi="Times New Roman" w:eastAsia="宋体" w:cs="Times New Roman"/>
          <w:color w:val="auto"/>
          <w:lang w:val="en-US" w:eastAsia="zh-CN"/>
        </w:rPr>
        <w:instrText xml:space="preserve"> = 1 \* GB3 \* MERGEFORMAT </w:instrText>
      </w:r>
      <w:r>
        <w:rPr>
          <w:rFonts w:hint="default" w:ascii="Times New Roman" w:hAnsi="Times New Roman" w:eastAsia="宋体" w:cs="Times New Roman"/>
          <w:color w:val="auto"/>
          <w:lang w:val="en-US" w:eastAsia="zh-CN"/>
        </w:rPr>
        <w:fldChar w:fldCharType="separate"/>
      </w:r>
      <w:r>
        <w:rPr>
          <w:rFonts w:hint="default" w:ascii="Times New Roman" w:hAnsi="Times New Roman" w:cs="Times New Roman"/>
          <w:color w:val="auto"/>
        </w:rPr>
        <w:t>①</w:t>
      </w:r>
      <w:r>
        <w:rPr>
          <w:rFonts w:hint="default" w:ascii="Times New Roman" w:hAnsi="Times New Roman" w:eastAsia="宋体" w:cs="Times New Roman"/>
          <w:color w:val="auto"/>
          <w:lang w:val="en-US" w:eastAsia="zh-CN"/>
        </w:rPr>
        <w:fldChar w:fldCharType="end"/>
      </w:r>
      <w:r>
        <w:rPr>
          <w:rFonts w:hint="default" w:ascii="Times New Roman" w:hAnsi="Times New Roman" w:eastAsia="宋体" w:cs="Times New Roman"/>
          <w:color w:val="auto"/>
          <w:lang w:val="en-US" w:eastAsia="zh-CN"/>
        </w:rPr>
        <w:t>SCR脱硝工艺简介</w:t>
      </w:r>
    </w:p>
    <w:p w14:paraId="64228FC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SCR脱硝工艺全称选择性催化还原法脱硝工艺，即在装有催化剂的反应器内用氨作为还原剂来脱除氮氧化物。烟气中的氮氧化物一般由体积浓度约95%的NO和5%的NO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组成。脱硝反应按照下面的基本反应转化成分子态的氮气和水蒸汽。</w:t>
      </w:r>
    </w:p>
    <w:p w14:paraId="7820B3D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sz w:val="24"/>
        </w:rPr>
        <mc:AlternateContent>
          <mc:Choice Requires="wps">
            <w:drawing>
              <wp:anchor distT="0" distB="0" distL="114300" distR="114300" simplePos="0" relativeHeight="251708416" behindDoc="0" locked="0" layoutInCell="1" allowOverlap="1">
                <wp:simplePos x="0" y="0"/>
                <wp:positionH relativeFrom="column">
                  <wp:posOffset>1350645</wp:posOffset>
                </wp:positionH>
                <wp:positionV relativeFrom="paragraph">
                  <wp:posOffset>87630</wp:posOffset>
                </wp:positionV>
                <wp:extent cx="215265" cy="5715"/>
                <wp:effectExtent l="0" t="34290" r="13335" b="36195"/>
                <wp:wrapNone/>
                <wp:docPr id="151" name="直接箭头连接符 151"/>
                <wp:cNvGraphicFramePr/>
                <a:graphic xmlns:a="http://schemas.openxmlformats.org/drawingml/2006/main">
                  <a:graphicData uri="http://schemas.microsoft.com/office/word/2010/wordprocessingShape">
                    <wps:wsp>
                      <wps:cNvCnPr/>
                      <wps:spPr>
                        <a:xfrm>
                          <a:off x="2265045" y="6489700"/>
                          <a:ext cx="215265" cy="5715"/>
                        </a:xfrm>
                        <a:prstGeom prst="straightConnector1">
                          <a:avLst/>
                        </a:prstGeom>
                        <a:ln>
                          <a:solidFill>
                            <a:schemeClr val="tx1"/>
                          </a:solidFill>
                          <a:tailEnd type="arrow" w="sm"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06.35pt;margin-top:6.9pt;height:0.45pt;width:16.95pt;z-index:251708416;mso-width-relative:page;mso-height-relative:page;" filled="f" stroked="t" coordsize="21600,21600" o:gfxdata="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uIOAXYAAAA&#10;CQEAAA8AAAAAAAAAAQAgAAAAIgAAAGRycy9kb3ducmV2LnhtbFBLAQIUABQAAAAIAIdO4kDbZeuV&#10;HQIAAAEEAAAOAAAAAAAAAAEAIAAAACcBAABkcnMvZTJvRG9jLnhtbFBLBQYAAAAABgAGAFkBAAC2&#10;BQAAAAA=&#10;">
                <v:fill on="f" focussize="0,0"/>
                <v:stroke weight="1pt" color="#000000 [3213]" miterlimit="8" joinstyle="miter" endarrow="open" endarrowwidth="narrow" endarrowlength="short"/>
                <v:imagedata o:title=""/>
                <o:lock v:ext="edit" aspectratio="f"/>
              </v:shape>
            </w:pict>
          </mc:Fallback>
        </mc:AlternateContent>
      </w:r>
      <w:r>
        <w:rPr>
          <w:rFonts w:hint="default" w:ascii="Times New Roman" w:hAnsi="Times New Roman" w:eastAsia="宋体" w:cs="Times New Roman"/>
          <w:color w:val="auto"/>
          <w:lang w:val="en-US" w:eastAsia="zh-CN"/>
        </w:rPr>
        <w:t>4NO+4NH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 xml:space="preserve">    4N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+6H2O</w:t>
      </w:r>
    </w:p>
    <w:p w14:paraId="1ECCE7CD">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sz w:val="24"/>
        </w:rPr>
        <mc:AlternateContent>
          <mc:Choice Requires="wps">
            <w:drawing>
              <wp:anchor distT="0" distB="0" distL="114300" distR="114300" simplePos="0" relativeHeight="251709440" behindDoc="0" locked="0" layoutInCell="1" allowOverlap="1">
                <wp:simplePos x="0" y="0"/>
                <wp:positionH relativeFrom="column">
                  <wp:posOffset>1139190</wp:posOffset>
                </wp:positionH>
                <wp:positionV relativeFrom="paragraph">
                  <wp:posOffset>98425</wp:posOffset>
                </wp:positionV>
                <wp:extent cx="215265" cy="5715"/>
                <wp:effectExtent l="0" t="34290" r="13335" b="36195"/>
                <wp:wrapNone/>
                <wp:docPr id="152" name="直接箭头连接符 152"/>
                <wp:cNvGraphicFramePr/>
                <a:graphic xmlns:a="http://schemas.openxmlformats.org/drawingml/2006/main">
                  <a:graphicData uri="http://schemas.microsoft.com/office/word/2010/wordprocessingShape">
                    <wps:wsp>
                      <wps:cNvCnPr/>
                      <wps:spPr>
                        <a:xfrm>
                          <a:off x="0" y="0"/>
                          <a:ext cx="215265" cy="5715"/>
                        </a:xfrm>
                        <a:prstGeom prst="straightConnector1">
                          <a:avLst/>
                        </a:prstGeom>
                        <a:ln>
                          <a:solidFill>
                            <a:schemeClr val="tx1"/>
                          </a:solidFill>
                          <a:tailEnd type="arrow" w="sm"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9.7pt;margin-top:7.75pt;height:0.45pt;width:16.95pt;z-index:251709440;mso-width-relative:page;mso-height-relative:page;" filled="f" stroked="t" coordsize="21600,21600" o:gfxdata="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rcPgTZAAAACQEAAA8AAAAAAAAA&#10;AQAgAAAAIgAAAGRycy9kb3ducmV2LnhtbFBLAQIUABQAAAAIAIdO4kByphpkEAIAAPUDAAAOAAAA&#10;AAAAAAEAIAAAACgBAABkcnMvZTJvRG9jLnhtbFBLBQYAAAAABgAGAFkBAACqBQAAAAA=&#10;">
                <v:fill on="f" focussize="0,0"/>
                <v:stroke weight="1pt" color="#000000 [3213]" miterlimit="8" joinstyle="miter" endarrow="open" endarrowwidth="narrow" endarrowlength="short"/>
                <v:imagedata o:title=""/>
                <o:lock v:ext="edit" aspectratio="f"/>
              </v:shape>
            </w:pict>
          </mc:Fallback>
        </mc:AlternateContent>
      </w:r>
      <w:r>
        <w:rPr>
          <w:rFonts w:hint="default" w:ascii="Times New Roman" w:hAnsi="Times New Roman" w:eastAsia="宋体" w:cs="Times New Roman"/>
          <w:color w:val="auto"/>
          <w:lang w:val="en-US" w:eastAsia="zh-CN"/>
        </w:rPr>
        <w:t>6NO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+8NH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 xml:space="preserve">    7 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+ 12H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w:t>
      </w:r>
    </w:p>
    <w:p w14:paraId="09E0A6E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sz w:val="24"/>
        </w:rPr>
        <mc:AlternateContent>
          <mc:Choice Requires="wps">
            <w:drawing>
              <wp:anchor distT="0" distB="0" distL="114300" distR="114300" simplePos="0" relativeHeight="251710464" behindDoc="0" locked="0" layoutInCell="1" allowOverlap="1">
                <wp:simplePos x="0" y="0"/>
                <wp:positionH relativeFrom="column">
                  <wp:posOffset>1620520</wp:posOffset>
                </wp:positionH>
                <wp:positionV relativeFrom="paragraph">
                  <wp:posOffset>76200</wp:posOffset>
                </wp:positionV>
                <wp:extent cx="215265" cy="5715"/>
                <wp:effectExtent l="0" t="34290" r="13335" b="36195"/>
                <wp:wrapNone/>
                <wp:docPr id="153" name="直接箭头连接符 153"/>
                <wp:cNvGraphicFramePr/>
                <a:graphic xmlns:a="http://schemas.openxmlformats.org/drawingml/2006/main">
                  <a:graphicData uri="http://schemas.microsoft.com/office/word/2010/wordprocessingShape">
                    <wps:wsp>
                      <wps:cNvCnPr/>
                      <wps:spPr>
                        <a:xfrm>
                          <a:off x="0" y="0"/>
                          <a:ext cx="215265" cy="5715"/>
                        </a:xfrm>
                        <a:prstGeom prst="straightConnector1">
                          <a:avLst/>
                        </a:prstGeom>
                        <a:ln>
                          <a:solidFill>
                            <a:schemeClr val="tx1"/>
                          </a:solidFill>
                          <a:tailEnd type="arrow" w="sm"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27.6pt;margin-top:6pt;height:0.45pt;width:16.95pt;z-index:251710464;mso-width-relative:page;mso-height-relative:page;" filled="f" stroked="t" coordsize="21600,21600" o:gfxdata="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Y7KL3XAAAACQEAAA8AAAAAAAAA&#10;AQAgAAAAIgAAAGRycy9kb3ducmV2LnhtbFBLAQIUABQAAAAIAIdO4kC+cwJxEgIAAPUDAAAOAAAA&#10;AAAAAAEAIAAAACYBAABkcnMvZTJvRG9jLnhtbFBLBQYAAAAABgAGAFkBAACqBQAAAAA=&#10;">
                <v:fill on="f" focussize="0,0"/>
                <v:stroke weight="1pt" color="#000000 [3213]" miterlimit="8" joinstyle="miter" endarrow="open" endarrowwidth="narrow" endarrowlength="short"/>
                <v:imagedata o:title=""/>
                <o:lock v:ext="edit" aspectratio="f"/>
              </v:shape>
            </w:pict>
          </mc:Fallback>
        </mc:AlternateContent>
      </w:r>
      <w:r>
        <w:rPr>
          <w:rFonts w:hint="default" w:ascii="Times New Roman" w:hAnsi="Times New Roman" w:eastAsia="宋体" w:cs="Times New Roman"/>
          <w:color w:val="auto"/>
          <w:lang w:val="en-US" w:eastAsia="zh-CN"/>
        </w:rPr>
        <w:t>1NO</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 xml:space="preserve"> + 1NO+ 2NH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 xml:space="preserve">    2 N</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+3H</w:t>
      </w:r>
      <w:r>
        <w:rPr>
          <w:rFonts w:hint="default" w:ascii="Times New Roman" w:hAnsi="Times New Roman" w:eastAsia="宋体" w:cs="Times New Roman"/>
          <w:color w:val="auto"/>
          <w:vertAlign w:val="subscript"/>
          <w:lang w:val="en-US" w:eastAsia="zh-CN"/>
        </w:rPr>
        <w:t>2</w:t>
      </w:r>
      <w:r>
        <w:rPr>
          <w:rFonts w:hint="default" w:ascii="Times New Roman" w:hAnsi="Times New Roman" w:eastAsia="宋体" w:cs="Times New Roman"/>
          <w:color w:val="auto"/>
          <w:lang w:val="en-US" w:eastAsia="zh-CN"/>
        </w:rPr>
        <w:t>O</w:t>
      </w:r>
    </w:p>
    <w:p w14:paraId="0C53A3A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烟气中氧量足以提供NO还原反应所需的氧气。</w:t>
      </w:r>
    </w:p>
    <w:p w14:paraId="7B6DADBF">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根据反应器上游进口的NOx浓度而确定的所需NH</w:t>
      </w:r>
      <w:r>
        <w:rPr>
          <w:rFonts w:hint="default" w:ascii="Times New Roman" w:hAnsi="Times New Roman" w:eastAsia="宋体" w:cs="Times New Roman"/>
          <w:color w:val="auto"/>
          <w:vertAlign w:val="subscript"/>
          <w:lang w:val="en-US" w:eastAsia="zh-CN"/>
        </w:rPr>
        <w:t>3</w:t>
      </w:r>
      <w:r>
        <w:rPr>
          <w:rFonts w:hint="default" w:ascii="Times New Roman" w:hAnsi="Times New Roman" w:eastAsia="宋体" w:cs="Times New Roman"/>
          <w:color w:val="auto"/>
          <w:lang w:val="en-US" w:eastAsia="zh-CN"/>
        </w:rPr>
        <w:t>的浓度，基本上与NO的转化率成比例。</w:t>
      </w:r>
    </w:p>
    <w:p w14:paraId="610CCAA0">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SCR技术需要的反应温度窗口为320℃~420℃ 。在反应温度较高时，催化剂会产生烧结及（或）结晶现象；在反应温度较低时，催化剂的活性会降低。催化剂中含有选择性成分，因此催化剂对 NOx的还原反应具有很高的催化活性。</w:t>
      </w:r>
    </w:p>
    <w:p w14:paraId="092FE8E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 SCR 脱硝要点</w:t>
      </w:r>
    </w:p>
    <w:p w14:paraId="20C022D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本项目针对本期锅炉采用SNCR+SCR联合脱硝工艺，受现场空间所限SCR反应器布锅炉房外的锅炉尾部位置，且满足SCR反应要求的温度300C~420℃。</w:t>
      </w:r>
    </w:p>
    <w:p w14:paraId="6AB4D08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脱硝后的烟气经余热锅炉等尾部受热面排入大气。根据 HJ56-2010标准不设SCR 旁路。</w:t>
      </w:r>
    </w:p>
    <w:p w14:paraId="1D07D2AA">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反应器的入口烟道装有优化烟气温度、速度、组分分布的装置以及氨水喷射格栅:反应器的竖直段装有催化剂。布置2层催化剂。催化剂高约0.9~1.2米。利用CFD 计算流体力学软件设计出通过催化剂层各处的烟气流量、温度.氨气及灰分。催化剂前端有耐磨层，减弱灰分的磨损。催化剂层入口有防尘网, 防止大颗粒灰分堵塞。</w:t>
      </w:r>
    </w:p>
    <w:p w14:paraId="323F8D78">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反应器为板箱式结构，辅以各种加强筋和支撑构件可以满足防震、 承载催化剂、密封、承受其它荷载和抵抗热应力的要求，并且保证与外界隔热。板箱式反应器外设有加强型外壳并支撑在钢结构之上，另外催化剂的各模块中间和模块与墙壁间装设的密封系统可保证烟气流经催化剂床，避免烟气短路。门孔、起重装置和单轨吊用于装卸或拆卸反应器内各层的催化剂箱。人孔可用于定期检修、观察和停机时的维护保养。</w:t>
      </w:r>
    </w:p>
    <w:p w14:paraId="1FA36AA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SCR反应器采用声波吹灰方式，吹灰器的布置不影响催化剂的安装或更换。</w:t>
      </w:r>
    </w:p>
    <w:p w14:paraId="32A727B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在每个脱硝进、出口安装实时烟气参数监测装置，具有就地和远方监测显示功能。监测的项目包括但不限于：脱硝前后NOx浓度、O2含量、温度、压力和NH3逃逸浓度（其中NH3逃逸浓度仅出口安装），确保满足环保部门的要求。</w:t>
      </w:r>
    </w:p>
    <w:p w14:paraId="239E0B65">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项目</w:t>
      </w:r>
      <w:r>
        <w:rPr>
          <w:rFonts w:hint="default" w:ascii="Times New Roman" w:hAnsi="Times New Roman" w:eastAsia="宋体" w:cs="Times New Roman"/>
          <w:color w:val="auto"/>
          <w:lang w:val="en-US" w:eastAsia="zh-CN"/>
        </w:rPr>
        <w:t>脱硝选用SCR+SNCR联合脱硝，脱硝效率可达到85%，经过SNCR法脱脱硝后，NOx 排放可满足</w:t>
      </w:r>
      <w:r>
        <w:rPr>
          <w:rFonts w:hint="eastAsia" w:ascii="Times New Roman" w:hAnsi="Times New Roman" w:eastAsia="宋体" w:cs="Times New Roman"/>
          <w:color w:val="auto"/>
          <w:lang w:val="en-US" w:eastAsia="zh-CN"/>
        </w:rPr>
        <w:t>《关于印发&lt;全面实施燃煤电厂超低排放和节能改造工作方案&gt;的通知》（环发[2015]164号）</w:t>
      </w:r>
      <w:r>
        <w:rPr>
          <w:rFonts w:hint="default" w:ascii="Times New Roman" w:hAnsi="Times New Roman" w:eastAsia="宋体" w:cs="Times New Roman"/>
          <w:color w:val="auto"/>
          <w:lang w:val="en-US" w:eastAsia="zh-CN"/>
        </w:rPr>
        <w:t>中规定的超低排放标准要求，即NOx50mg/m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w:t>
      </w:r>
    </w:p>
    <w:p w14:paraId="7D95F67D">
      <w:pPr>
        <w:pStyle w:val="4"/>
      </w:pPr>
      <w:r>
        <w:rPr>
          <w:rFonts w:hint="eastAsia"/>
          <w:lang w:val="en-US" w:eastAsia="zh-CN"/>
        </w:rPr>
        <w:t>3.1.3</w:t>
      </w:r>
      <w:r>
        <w:t>现有厂区排污情况</w:t>
      </w:r>
    </w:p>
    <w:p w14:paraId="4078704F">
      <w:pPr>
        <w:pStyle w:val="5"/>
      </w:pPr>
      <w:r>
        <w:rPr>
          <w:rFonts w:hint="eastAsia" w:eastAsia="宋体"/>
          <w:lang w:eastAsia="zh-CN"/>
        </w:rPr>
        <w:t>3.1.3</w:t>
      </w:r>
      <w:r>
        <w:t>.1大气污染防治措施及达标情况分析</w:t>
      </w:r>
    </w:p>
    <w:p w14:paraId="212D2EC7">
      <w:pPr>
        <w:spacing w:line="360" w:lineRule="auto"/>
        <w:ind w:firstLine="480" w:firstLineChars="200"/>
        <w:jc w:val="left"/>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现有</w:t>
      </w:r>
      <w:r>
        <w:rPr>
          <w:rFonts w:hint="default"/>
          <w:color w:val="000000" w:themeColor="text1"/>
          <w:lang w:val="en-US" w:eastAsia="zh-CN"/>
          <w14:textFill>
            <w14:solidFill>
              <w14:schemeClr w14:val="tx1"/>
            </w14:solidFill>
          </w14:textFill>
        </w:rPr>
        <w:t>工程</w:t>
      </w:r>
      <w:r>
        <w:rPr>
          <w:rFonts w:hint="eastAsia"/>
          <w:color w:val="000000" w:themeColor="text1"/>
          <w:lang w:val="en-US" w:eastAsia="zh-CN"/>
          <w14:textFill>
            <w14:solidFill>
              <w14:schemeClr w14:val="tx1"/>
            </w14:solidFill>
          </w14:textFill>
        </w:rPr>
        <w:t>有组织</w:t>
      </w:r>
      <w:r>
        <w:rPr>
          <w:rFonts w:hint="default"/>
          <w:color w:val="000000" w:themeColor="text1"/>
          <w:lang w:val="en-US" w:eastAsia="zh-CN"/>
          <w14:textFill>
            <w14:solidFill>
              <w14:schemeClr w14:val="tx1"/>
            </w14:solidFill>
          </w14:textFill>
        </w:rPr>
        <w:t>废气</w:t>
      </w:r>
      <w:r>
        <w:rPr>
          <w:rFonts w:hint="eastAsia"/>
          <w:color w:val="000000" w:themeColor="text1"/>
          <w:lang w:val="en-US" w:eastAsia="zh-CN"/>
          <w14:textFill>
            <w14:solidFill>
              <w14:schemeClr w14:val="tx1"/>
            </w14:solidFill>
          </w14:textFill>
        </w:rPr>
        <w:t>排气筒共41个，</w:t>
      </w:r>
      <w:r>
        <w:rPr>
          <w:rFonts w:hint="default"/>
          <w:color w:val="000000" w:themeColor="text1"/>
          <w:lang w:val="en-US" w:eastAsia="zh-CN"/>
          <w14:textFill>
            <w14:solidFill>
              <w14:schemeClr w14:val="tx1"/>
            </w14:solidFill>
          </w14:textFill>
        </w:rPr>
        <w:t>主要为锅炉产生的烟气</w:t>
      </w:r>
      <w:r>
        <w:rPr>
          <w:rFonts w:hint="eastAsia"/>
          <w:color w:val="000000" w:themeColor="text1"/>
          <w:lang w:val="en-US" w:eastAsia="zh-CN"/>
          <w14:textFill>
            <w14:solidFill>
              <w14:schemeClr w14:val="tx1"/>
            </w14:solidFill>
          </w14:textFill>
        </w:rPr>
        <w:t>（DA001）</w:t>
      </w:r>
      <w:r>
        <w:rPr>
          <w:rFonts w:hint="default"/>
          <w:color w:val="000000" w:themeColor="text1"/>
          <w:lang w:val="en-US" w:eastAsia="zh-CN"/>
          <w14:textFill>
            <w14:solidFill>
              <w14:schemeClr w14:val="tx1"/>
            </w14:solidFill>
          </w14:textFill>
        </w:rPr>
        <w:t>；污水处理站产生的恶臭</w:t>
      </w:r>
      <w:r>
        <w:rPr>
          <w:rFonts w:hint="eastAsia"/>
          <w:color w:val="000000" w:themeColor="text1"/>
          <w:lang w:val="en-US" w:eastAsia="zh-CN"/>
          <w14:textFill>
            <w14:solidFill>
              <w14:schemeClr w14:val="tx1"/>
            </w14:solidFill>
          </w14:textFill>
        </w:rPr>
        <w:t>（DA011）</w:t>
      </w:r>
      <w:r>
        <w:rPr>
          <w:rFonts w:hint="default"/>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不凝气废气（DA003、DA004、DA016、DA017、DA030、DA031）；粉碎废气（DA005-DA010、DA014、DA015、DA018-DA029、DA035、DA040）；冷却废气（DA012、DA033、DA034、DA036-DA039）；CO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洗涤塔废气（DA002、DA032、DA041、DA042）；无组织废气主要为厂界的颗粒物、非甲烷总烃、氨、硫化氢、臭气浓度</w:t>
      </w:r>
      <w:r>
        <w:rPr>
          <w:rFonts w:hint="default"/>
          <w:color w:val="000000" w:themeColor="text1"/>
          <w:lang w:val="en-US" w:eastAsia="zh-CN"/>
          <w14:textFill>
            <w14:solidFill>
              <w14:schemeClr w14:val="tx1"/>
            </w14:solidFill>
          </w14:textFill>
        </w:rPr>
        <w:t>等。</w:t>
      </w:r>
    </w:p>
    <w:p w14:paraId="233C06F9">
      <w:pPr>
        <w:spacing w:line="360" w:lineRule="auto"/>
        <w:ind w:firstLine="480" w:firstLineChars="200"/>
        <w:jc w:val="left"/>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1、有组织废气排放情况</w:t>
      </w:r>
    </w:p>
    <w:p w14:paraId="7EA7B871">
      <w:pPr>
        <w:numPr>
          <w:ilvl w:val="0"/>
          <w:numId w:val="6"/>
        </w:numPr>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锅炉烟气</w:t>
      </w:r>
    </w:p>
    <w:p w14:paraId="47F2C870">
      <w:pPr>
        <w:spacing w:line="360" w:lineRule="auto"/>
        <w:ind w:firstLine="480" w:firstLineChars="200"/>
        <w:jc w:val="left"/>
        <w:rPr>
          <w:rFonts w:hint="default"/>
          <w:color w:val="000000" w:themeColor="text1"/>
          <w:lang w:val="en-US" w:eastAsia="zh-CN"/>
          <w14:textFill>
            <w14:solidFill>
              <w14:schemeClr w14:val="tx1"/>
            </w14:solidFill>
          </w14:textFill>
        </w:rPr>
      </w:pPr>
      <w:r>
        <w:rPr>
          <w:rFonts w:hint="default" w:ascii="Times New Roman" w:hAnsi="Times New Roman" w:eastAsia="宋体" w:cs="Times New Roman"/>
          <w:color w:val="auto"/>
          <w:lang w:val="en-US" w:eastAsia="zh-CN"/>
        </w:rPr>
        <w:t>锅炉房设置</w:t>
      </w:r>
      <w:r>
        <w:rPr>
          <w:rFonts w:hint="eastAsia" w:ascii="Times New Roman" w:hAnsi="Times New Roman" w:cs="Times New Roman"/>
          <w:color w:val="auto"/>
          <w:lang w:val="en-US" w:eastAsia="zh-CN"/>
        </w:rPr>
        <w:t>3</w:t>
      </w:r>
      <w:r>
        <w:rPr>
          <w:rFonts w:hint="default" w:ascii="Times New Roman" w:hAnsi="Times New Roman" w:eastAsia="宋体" w:cs="Times New Roman"/>
          <w:color w:val="auto"/>
          <w:lang w:val="en-US" w:eastAsia="zh-CN"/>
        </w:rPr>
        <w:t>台</w:t>
      </w:r>
      <w:r>
        <w:rPr>
          <w:rFonts w:hint="eastAsia" w:ascii="Times New Roman" w:hAnsi="Times New Roman" w:cs="Times New Roman"/>
          <w:color w:val="auto"/>
          <w:lang w:val="en-US" w:eastAsia="zh-CN"/>
        </w:rPr>
        <w:t>130t/h循环流化床锅炉</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燃煤量为</w:t>
      </w:r>
      <w:r>
        <w:rPr>
          <w:rFonts w:hint="eastAsia" w:ascii="Times New Roman" w:hAnsi="Times New Roman" w:cs="Times New Roman"/>
          <w:color w:val="auto"/>
          <w:lang w:val="en-US" w:eastAsia="zh-CN"/>
        </w:rPr>
        <w:t>473912</w:t>
      </w:r>
      <w:r>
        <w:rPr>
          <w:rFonts w:hint="default" w:ascii="Times New Roman" w:hAnsi="Times New Roman" w:eastAsia="宋体" w:cs="Times New Roman"/>
          <w:color w:val="auto"/>
          <w:lang w:val="en-US" w:eastAsia="zh-CN"/>
        </w:rPr>
        <w:t>t/a，燃煤来自内蒙古莲煤矿。</w:t>
      </w:r>
      <w:r>
        <w:rPr>
          <w:rFonts w:hint="default" w:ascii="Times New Roman" w:hAnsi="Times New Roman" w:eastAsia="宋体" w:cs="Times New Roman"/>
          <w:color w:val="auto"/>
        </w:rPr>
        <w:t>锅炉烟气采用</w:t>
      </w:r>
      <w:r>
        <w:rPr>
          <w:rFonts w:hint="default" w:ascii="Times New Roman" w:hAnsi="Times New Roman" w:cs="Times New Roman"/>
          <w:color w:val="auto"/>
          <w:lang w:val="en-US" w:eastAsia="zh-CN"/>
        </w:rPr>
        <w:t>SCR+SNCR联合脱硝、石灰石法脱硫系统、布袋除尘器</w:t>
      </w:r>
      <w:r>
        <w:rPr>
          <w:rFonts w:hint="default" w:ascii="Times New Roman" w:hAnsi="Times New Roman" w:eastAsia="宋体" w:cs="Times New Roman"/>
          <w:color w:val="auto"/>
        </w:rPr>
        <w:t>处理后由1根</w:t>
      </w:r>
      <w:r>
        <w:rPr>
          <w:rFonts w:hint="eastAsia" w:ascii="Times New Roman" w:hAnsi="Times New Roman" w:cs="Times New Roman"/>
          <w:color w:val="auto"/>
          <w:lang w:val="en-US" w:eastAsia="zh-CN"/>
        </w:rPr>
        <w:t>110m</w:t>
      </w:r>
      <w:r>
        <w:rPr>
          <w:rFonts w:hint="default" w:ascii="Times New Roman" w:hAnsi="Times New Roman" w:eastAsia="宋体" w:cs="Times New Roman"/>
          <w:color w:val="auto"/>
        </w:rPr>
        <w:t>高烟囱排放，</w:t>
      </w:r>
      <w:r>
        <w:rPr>
          <w:rFonts w:hint="default" w:ascii="Times New Roman" w:hAnsi="Times New Roman" w:eastAsia="宋体" w:cs="Times New Roman"/>
          <w:color w:val="auto"/>
          <w:lang w:val="en-US" w:eastAsia="zh-CN"/>
        </w:rPr>
        <w:t>配备在线监测系统</w:t>
      </w:r>
      <w:r>
        <w:rPr>
          <w:rFonts w:hint="default" w:ascii="Times New Roman" w:hAnsi="Times New Roman" w:eastAsia="宋体" w:cs="Times New Roman"/>
          <w:color w:val="auto"/>
          <w:sz w:val="24"/>
          <w:szCs w:val="24"/>
          <w:lang w:val="en-US" w:eastAsia="zh-CN"/>
        </w:rPr>
        <w:t>，并与</w:t>
      </w:r>
      <w:r>
        <w:rPr>
          <w:rFonts w:hint="eastAsia" w:ascii="Times New Roman" w:hAnsi="Times New Roman" w:cs="Times New Roman"/>
          <w:color w:val="auto"/>
          <w:sz w:val="24"/>
          <w:szCs w:val="24"/>
          <w:lang w:val="en-US" w:eastAsia="zh-CN"/>
        </w:rPr>
        <w:t>齐齐哈尔</w:t>
      </w:r>
      <w:r>
        <w:rPr>
          <w:rFonts w:hint="default" w:ascii="Times New Roman" w:hAnsi="Times New Roman" w:eastAsia="宋体" w:cs="Times New Roman"/>
          <w:color w:val="auto"/>
          <w:sz w:val="24"/>
          <w:szCs w:val="24"/>
          <w:lang w:val="en-US" w:eastAsia="zh-CN"/>
        </w:rPr>
        <w:t>市生态环境局联网，在线监测设备正常运行，已完成在线比对</w:t>
      </w:r>
      <w:r>
        <w:rPr>
          <w:rFonts w:hint="default" w:ascii="Times New Roman" w:hAnsi="Times New Roman" w:eastAsia="宋体" w:cs="Times New Roman"/>
          <w:color w:val="auto"/>
        </w:rPr>
        <w:t>。</w:t>
      </w:r>
      <w:r>
        <w:rPr>
          <w:rFonts w:hint="default"/>
          <w:color w:val="000000" w:themeColor="text1"/>
          <w:lang w:val="en-US" w:eastAsia="zh-CN"/>
          <w14:textFill>
            <w14:solidFill>
              <w14:schemeClr w14:val="tx1"/>
            </w14:solidFill>
          </w14:textFill>
        </w:rPr>
        <w:t>3台锅炉合用一座</w:t>
      </w:r>
      <w:r>
        <w:rPr>
          <w:rFonts w:hint="eastAsia"/>
          <w:color w:val="000000" w:themeColor="text1"/>
          <w:lang w:val="en-US" w:eastAsia="zh-CN"/>
          <w14:textFill>
            <w14:solidFill>
              <w14:schemeClr w14:val="tx1"/>
            </w14:solidFill>
          </w14:textFill>
        </w:rPr>
        <w:t>11</w:t>
      </w:r>
      <w:r>
        <w:rPr>
          <w:rFonts w:hint="default"/>
          <w:color w:val="000000" w:themeColor="text1"/>
          <w:lang w:val="en-US" w:eastAsia="zh-CN"/>
          <w14:textFill>
            <w14:solidFill>
              <w14:schemeClr w14:val="tx1"/>
            </w14:solidFill>
          </w14:textFill>
        </w:rPr>
        <w:t>0米排气筒，排气筒内</w:t>
      </w:r>
      <w:r>
        <w:rPr>
          <w:rFonts w:hint="eastAsia"/>
          <w:color w:val="000000" w:themeColor="text1"/>
          <w:lang w:val="en-US" w:eastAsia="zh-CN"/>
          <w14:textFill>
            <w14:solidFill>
              <w14:schemeClr w14:val="tx1"/>
            </w14:solidFill>
          </w14:textFill>
        </w:rPr>
        <w:t>径3.5</w:t>
      </w:r>
      <w:r>
        <w:rPr>
          <w:rFonts w:hint="default"/>
          <w:color w:val="000000" w:themeColor="text1"/>
          <w:lang w:val="en-US" w:eastAsia="zh-CN"/>
          <w14:textFill>
            <w14:solidFill>
              <w14:schemeClr w14:val="tx1"/>
            </w14:solidFill>
          </w14:textFill>
        </w:rPr>
        <w:t>m</w:t>
      </w:r>
      <w:r>
        <w:rPr>
          <w:rFonts w:hint="eastAsia"/>
          <w:color w:val="000000" w:themeColor="text1"/>
          <w:lang w:val="en-US" w:eastAsia="zh-CN"/>
          <w14:textFill>
            <w14:solidFill>
              <w14:schemeClr w14:val="tx1"/>
            </w14:solidFill>
          </w14:textFill>
        </w:rPr>
        <w:t>（DA001）</w:t>
      </w:r>
      <w:r>
        <w:rPr>
          <w:rFonts w:hint="default"/>
          <w:color w:val="000000" w:themeColor="text1"/>
          <w:lang w:val="en-US" w:eastAsia="zh-CN"/>
          <w14:textFill>
            <w14:solidFill>
              <w14:schemeClr w14:val="tx1"/>
            </w14:solidFill>
          </w14:textFill>
        </w:rPr>
        <w:t>。根据</w:t>
      </w:r>
      <w:r>
        <w:rPr>
          <w:rFonts w:hint="eastAsia"/>
          <w:color w:val="000000" w:themeColor="text1"/>
          <w:lang w:val="en-US" w:eastAsia="zh-CN"/>
          <w14:textFill>
            <w14:solidFill>
              <w14:schemeClr w14:val="tx1"/>
            </w14:solidFill>
          </w14:textFill>
        </w:rPr>
        <w:t>2025年年度报告和2026年1季度例行监测报告中的数据，各项污染物监测结果</w:t>
      </w:r>
      <w:r>
        <w:rPr>
          <w:rFonts w:hint="default"/>
          <w:color w:val="000000" w:themeColor="text1"/>
          <w:lang w:val="en-US" w:eastAsia="zh-CN"/>
          <w14:textFill>
            <w14:solidFill>
              <w14:schemeClr w14:val="tx1"/>
            </w14:solidFill>
          </w14:textFill>
        </w:rPr>
        <w:t>均符合</w:t>
      </w:r>
      <w:r>
        <w:rPr>
          <w:rFonts w:hint="eastAsia" w:ascii="Times New Roman" w:hAnsi="Times New Roman" w:cs="Times New Roman"/>
          <w:color w:val="auto"/>
          <w:sz w:val="24"/>
          <w:szCs w:val="24"/>
          <w:lang w:eastAsia="zh-CN"/>
        </w:rPr>
        <w:t>《关于印发&lt;全面实施燃煤电厂超低排放和节能改造工作方案&gt;的通知》（环发[2015]164号）</w:t>
      </w:r>
      <w:r>
        <w:rPr>
          <w:rFonts w:hint="default" w:ascii="Times New Roman" w:hAnsi="Times New Roman" w:cs="Times New Roman"/>
          <w:color w:val="auto"/>
          <w:sz w:val="24"/>
          <w:szCs w:val="24"/>
          <w:lang w:eastAsia="zh-CN"/>
        </w:rPr>
        <w:t>中规定的超低排放标准要求</w:t>
      </w:r>
      <w:r>
        <w:rPr>
          <w:rFonts w:hint="default" w:ascii="Times New Roman" w:hAnsi="Times New Roman" w:eastAsia="宋体" w:cs="Times New Roman"/>
          <w:color w:val="auto"/>
        </w:rPr>
        <w:t>。</w:t>
      </w:r>
    </w:p>
    <w:p w14:paraId="75ED3977">
      <w:pPr>
        <w:numPr>
          <w:ilvl w:val="0"/>
          <w:numId w:val="6"/>
        </w:numPr>
        <w:spacing w:line="360" w:lineRule="auto"/>
        <w:ind w:left="0" w:leftChars="0" w:firstLine="480" w:firstLineChars="200"/>
        <w:jc w:val="left"/>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污水处理站产生的恶臭</w:t>
      </w:r>
    </w:p>
    <w:p w14:paraId="5FE614D8">
      <w:pPr>
        <w:spacing w:before="1" w:line="347" w:lineRule="auto"/>
        <w:ind w:right="165" w:firstLine="480" w:firstLineChars="200"/>
        <w:rPr>
          <w:rFonts w:hint="eastAsia" w:ascii="宋体" w:hAnsi="宋体" w:eastAsia="宋体" w:cs="宋体"/>
          <w:color w:val="000000" w:themeColor="text1"/>
          <w:spacing w:val="-1"/>
          <w:sz w:val="24"/>
          <w:szCs w:val="24"/>
          <w:lang w:val="en-US" w:eastAsia="zh-CN"/>
          <w14:textFill>
            <w14:solidFill>
              <w14:schemeClr w14:val="tx1"/>
            </w14:solidFill>
          </w14:textFill>
        </w:rPr>
      </w:pPr>
      <w:r>
        <w:rPr>
          <w:rFonts w:hint="eastAsia"/>
          <w:snapToGrid w:val="0"/>
          <w:spacing w:val="0"/>
          <w:position w:val="0"/>
          <w:sz w:val="24"/>
          <w:lang w:eastAsia="zh-CN"/>
        </w:rPr>
        <w:t>污水处理站</w:t>
      </w:r>
      <w:r>
        <w:rPr>
          <w:rFonts w:hint="eastAsia"/>
          <w:snapToGrid w:val="0"/>
          <w:spacing w:val="0"/>
          <w:position w:val="0"/>
          <w:sz w:val="24"/>
        </w:rPr>
        <w:t>恶臭气体集中收集</w:t>
      </w:r>
      <w:r>
        <w:rPr>
          <w:snapToGrid w:val="0"/>
          <w:spacing w:val="0"/>
          <w:position w:val="0"/>
          <w:sz w:val="24"/>
        </w:rPr>
        <w:t>经</w:t>
      </w:r>
      <w:r>
        <w:rPr>
          <w:rFonts w:hint="eastAsia" w:ascii="宋体" w:hAnsi="宋体" w:cs="宋体"/>
          <w:snapToGrid w:val="0"/>
          <w:spacing w:val="0"/>
          <w:position w:val="0"/>
          <w:sz w:val="24"/>
        </w:rPr>
        <w:t>活性炭吸附</w:t>
      </w:r>
      <w:r>
        <w:rPr>
          <w:snapToGrid w:val="0"/>
          <w:spacing w:val="0"/>
          <w:position w:val="0"/>
          <w:sz w:val="24"/>
        </w:rPr>
        <w:t>净化</w:t>
      </w:r>
      <w:r>
        <w:rPr>
          <w:rFonts w:ascii="宋体" w:hAnsi="宋体" w:eastAsia="宋体" w:cs="宋体"/>
          <w:color w:val="000000" w:themeColor="text1"/>
          <w:spacing w:val="-1"/>
          <w:sz w:val="24"/>
          <w:szCs w:val="24"/>
          <w14:textFill>
            <w14:solidFill>
              <w14:schemeClr w14:val="tx1"/>
            </w14:solidFill>
          </w14:textFill>
        </w:rPr>
        <w:t>处理后由</w:t>
      </w:r>
      <w:r>
        <w:rPr>
          <w:rFonts w:ascii="宋体" w:hAnsi="宋体" w:eastAsia="宋体" w:cs="宋体"/>
          <w:color w:val="000000" w:themeColor="text1"/>
          <w:spacing w:val="-35"/>
          <w:sz w:val="24"/>
          <w:szCs w:val="24"/>
          <w14:textFill>
            <w14:solidFill>
              <w14:schemeClr w14:val="tx1"/>
            </w14:solidFill>
          </w14:textFill>
        </w:rPr>
        <w:t xml:space="preserve"> </w:t>
      </w:r>
      <w:r>
        <w:rPr>
          <w:rFonts w:hint="eastAsia" w:eastAsia="宋体" w:cs="Times New Roman"/>
          <w:color w:val="000000" w:themeColor="text1"/>
          <w:spacing w:val="-1"/>
          <w:sz w:val="24"/>
          <w:szCs w:val="24"/>
          <w:lang w:val="en-US" w:eastAsia="zh-CN"/>
          <w14:textFill>
            <w14:solidFill>
              <w14:schemeClr w14:val="tx1"/>
            </w14:solidFill>
          </w14:textFill>
        </w:rPr>
        <w:t>1</w:t>
      </w:r>
      <w:r>
        <w:rPr>
          <w:rFonts w:ascii="Times New Roman" w:hAnsi="Times New Roman" w:eastAsia="Times New Roman" w:cs="Times New Roman"/>
          <w:color w:val="000000" w:themeColor="text1"/>
          <w:spacing w:val="-1"/>
          <w:sz w:val="24"/>
          <w:szCs w:val="24"/>
          <w14:textFill>
            <w14:solidFill>
              <w14:schemeClr w14:val="tx1"/>
            </w14:solidFill>
          </w14:textFill>
        </w:rPr>
        <w:t>5m</w:t>
      </w:r>
      <w:r>
        <w:rPr>
          <w:rFonts w:ascii="宋体" w:hAnsi="宋体" w:eastAsia="宋体" w:cs="宋体"/>
          <w:color w:val="000000" w:themeColor="text1"/>
          <w:spacing w:val="-1"/>
          <w:sz w:val="24"/>
          <w:szCs w:val="24"/>
          <w14:textFill>
            <w14:solidFill>
              <w14:schemeClr w14:val="tx1"/>
            </w14:solidFill>
          </w14:textFill>
        </w:rPr>
        <w:t>排气筒</w:t>
      </w:r>
      <w:r>
        <w:rPr>
          <w:rFonts w:hint="eastAsia" w:ascii="宋体" w:hAnsi="宋体" w:eastAsia="宋体" w:cs="宋体"/>
          <w:color w:val="000000" w:themeColor="text1"/>
          <w:spacing w:val="-1"/>
          <w:sz w:val="24"/>
          <w:szCs w:val="24"/>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DA011</w:t>
      </w:r>
      <w:r>
        <w:rPr>
          <w:rFonts w:hint="eastAsia" w:ascii="宋体" w:hAnsi="宋体" w:eastAsia="宋体" w:cs="宋体"/>
          <w:color w:val="000000" w:themeColor="text1"/>
          <w:spacing w:val="-1"/>
          <w:sz w:val="24"/>
          <w:szCs w:val="24"/>
          <w:lang w:eastAsia="zh-CN"/>
          <w14:textFill>
            <w14:solidFill>
              <w14:schemeClr w14:val="tx1"/>
            </w14:solidFill>
          </w14:textFill>
        </w:rPr>
        <w:t>）</w:t>
      </w:r>
      <w:r>
        <w:rPr>
          <w:rFonts w:ascii="宋体" w:hAnsi="宋体" w:eastAsia="宋体" w:cs="宋体"/>
          <w:color w:val="000000" w:themeColor="text1"/>
          <w:spacing w:val="-1"/>
          <w:sz w:val="24"/>
          <w:szCs w:val="24"/>
          <w14:textFill>
            <w14:solidFill>
              <w14:schemeClr w14:val="tx1"/>
            </w14:solidFill>
          </w14:textFill>
        </w:rPr>
        <w:t>排放。</w:t>
      </w:r>
      <w:r>
        <w:rPr>
          <w:rFonts w:hint="default"/>
          <w:color w:val="000000" w:themeColor="text1"/>
          <w:lang w:val="en-US" w:eastAsia="zh-CN"/>
          <w14:textFill>
            <w14:solidFill>
              <w14:schemeClr w14:val="tx1"/>
            </w14:solidFill>
          </w14:textFill>
        </w:rPr>
        <w:t>根据</w:t>
      </w:r>
      <w:r>
        <w:rPr>
          <w:rFonts w:hint="eastAsia"/>
          <w:color w:val="000000" w:themeColor="text1"/>
          <w:lang w:val="en-US" w:eastAsia="zh-CN"/>
          <w14:textFill>
            <w14:solidFill>
              <w14:schemeClr w14:val="tx1"/>
            </w14:solidFill>
          </w14:textFill>
        </w:rPr>
        <w:t>2025年年度报告和2026年1季度例行监测报告中的数据</w:t>
      </w:r>
      <w:r>
        <w:rPr>
          <w:snapToGrid w:val="0"/>
          <w:spacing w:val="0"/>
          <w:position w:val="0"/>
          <w:sz w:val="24"/>
        </w:rPr>
        <w:t>，NH</w:t>
      </w:r>
      <w:r>
        <w:rPr>
          <w:snapToGrid w:val="0"/>
          <w:spacing w:val="0"/>
          <w:position w:val="0"/>
          <w:sz w:val="24"/>
          <w:vertAlign w:val="subscript"/>
        </w:rPr>
        <w:t>3</w:t>
      </w:r>
      <w:r>
        <w:rPr>
          <w:rFonts w:hint="eastAsia"/>
          <w:snapToGrid w:val="0"/>
          <w:spacing w:val="0"/>
          <w:position w:val="0"/>
          <w:sz w:val="24"/>
          <w:lang w:eastAsia="zh-CN"/>
        </w:rPr>
        <w:t>、</w:t>
      </w:r>
      <w:r>
        <w:rPr>
          <w:snapToGrid w:val="0"/>
          <w:spacing w:val="0"/>
          <w:position w:val="0"/>
          <w:sz w:val="24"/>
        </w:rPr>
        <w:t>H</w:t>
      </w:r>
      <w:r>
        <w:rPr>
          <w:snapToGrid w:val="0"/>
          <w:spacing w:val="0"/>
          <w:position w:val="0"/>
          <w:sz w:val="24"/>
          <w:vertAlign w:val="subscript"/>
        </w:rPr>
        <w:t>2</w:t>
      </w:r>
      <w:r>
        <w:rPr>
          <w:snapToGrid w:val="0"/>
          <w:spacing w:val="0"/>
          <w:position w:val="0"/>
          <w:sz w:val="24"/>
        </w:rPr>
        <w:t>S</w:t>
      </w:r>
      <w:r>
        <w:rPr>
          <w:rFonts w:hint="eastAsia"/>
          <w:snapToGrid w:val="0"/>
          <w:spacing w:val="0"/>
          <w:position w:val="0"/>
          <w:sz w:val="24"/>
          <w:lang w:eastAsia="zh-CN"/>
        </w:rPr>
        <w:t>、</w:t>
      </w:r>
      <w:r>
        <w:rPr>
          <w:rFonts w:hint="eastAsia"/>
          <w:snapToGrid w:val="0"/>
          <w:spacing w:val="0"/>
          <w:position w:val="0"/>
          <w:sz w:val="24"/>
          <w:lang w:val="en-US" w:eastAsia="zh-CN"/>
        </w:rPr>
        <w:t>臭气浓度</w:t>
      </w:r>
      <w:r>
        <w:rPr>
          <w:snapToGrid w:val="0"/>
          <w:spacing w:val="0"/>
          <w:position w:val="0"/>
          <w:sz w:val="24"/>
        </w:rPr>
        <w:t>满足《恶臭污染物排放标准》（GB14554-93）表2排放限值要求。</w:t>
      </w:r>
    </w:p>
    <w:p w14:paraId="0816556C">
      <w:pPr>
        <w:numPr>
          <w:ilvl w:val="0"/>
          <w:numId w:val="6"/>
        </w:numPr>
        <w:spacing w:before="1" w:line="347" w:lineRule="auto"/>
        <w:ind w:left="0" w:leftChars="0" w:right="165" w:firstLine="480" w:firstLineChars="2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DDGS工艺产生的不凝气废气</w:t>
      </w:r>
    </w:p>
    <w:p w14:paraId="40AAE97F">
      <w:pPr>
        <w:spacing w:before="1" w:line="347" w:lineRule="auto"/>
        <w:ind w:right="165" w:firstLine="480" w:firstLineChars="200"/>
        <w:rPr>
          <w:rFonts w:hint="default" w:ascii="Times New Roman" w:hAnsi="Times New Roman"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DDGS</w:t>
      </w:r>
      <w:r>
        <w:rPr>
          <w:rFonts w:hint="eastAsia" w:ascii="Times New Roman" w:hAnsi="Times New Roman" w:cs="Times New Roman"/>
          <w:color w:val="000000" w:themeColor="text1"/>
          <w:lang w:val="en-US" w:eastAsia="zh-CN"/>
          <w14:textFill>
            <w14:solidFill>
              <w14:schemeClr w14:val="tx1"/>
            </w14:solidFill>
          </w14:textFill>
        </w:rPr>
        <w:t>生产工艺产生的不凝气废气经碱液吸收处理后经6个18m高排气筒（DA003、DA004、DA016、DA017、DA030、DA031）排放。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ascii="Times New Roman" w:hAnsi="Times New Roman" w:cs="Times New Roman"/>
          <w:color w:val="000000" w:themeColor="text1"/>
          <w:lang w:val="en-US" w:eastAsia="zh-CN"/>
          <w14:textFill>
            <w14:solidFill>
              <w14:schemeClr w14:val="tx1"/>
            </w14:solidFill>
          </w14:textFill>
        </w:rPr>
        <w:t>2025年年度报告和2026年1季度例行监测报告中的数据，不凝气废气中的颗粒物、非甲烷总烃</w:t>
      </w:r>
      <w:r>
        <w:rPr>
          <w:rFonts w:hint="default" w:ascii="Times New Roman" w:hAnsi="Times New Roman" w:cs="Times New Roman"/>
          <w:color w:val="000000" w:themeColor="text1"/>
          <w:lang w:val="en-US" w:eastAsia="zh-CN"/>
          <w14:textFill>
            <w14:solidFill>
              <w14:schemeClr w14:val="tx1"/>
            </w14:solidFill>
          </w14:textFill>
        </w:rPr>
        <w:t>排放满足《大气污染物综合排放标准》（GB16297-1996）二级标准要求</w:t>
      </w:r>
      <w:r>
        <w:rPr>
          <w:rFonts w:hint="eastAsia" w:ascii="Times New Roman" w:hAnsi="Times New Roman" w:cs="Times New Roman"/>
          <w:color w:val="000000" w:themeColor="text1"/>
          <w:lang w:val="en-US" w:eastAsia="zh-CN"/>
          <w14:textFill>
            <w14:solidFill>
              <w14:schemeClr w14:val="tx1"/>
            </w14:solidFill>
          </w14:textFill>
        </w:rPr>
        <w:t>，臭气浓度满足《恶臭污染物排放标准》（GB14554-93）表2排放限值要求</w:t>
      </w:r>
      <w:r>
        <w:rPr>
          <w:rFonts w:hint="default" w:ascii="Times New Roman" w:hAnsi="Times New Roman" w:cs="Times New Roman"/>
          <w:color w:val="000000" w:themeColor="text1"/>
          <w:lang w:val="en-US" w:eastAsia="zh-CN"/>
          <w14:textFill>
            <w14:solidFill>
              <w14:schemeClr w14:val="tx1"/>
            </w14:solidFill>
          </w14:textFill>
        </w:rPr>
        <w:t>。</w:t>
      </w:r>
    </w:p>
    <w:p w14:paraId="5F8EE65E">
      <w:pPr>
        <w:numPr>
          <w:ilvl w:val="0"/>
          <w:numId w:val="6"/>
        </w:numPr>
        <w:spacing w:line="360" w:lineRule="auto"/>
        <w:ind w:left="0" w:leftChars="0" w:firstLine="480" w:firstLineChars="200"/>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玉米粉碎废气</w:t>
      </w:r>
    </w:p>
    <w:p w14:paraId="0B51ED68">
      <w:pPr>
        <w:spacing w:before="1" w:line="347" w:lineRule="auto"/>
        <w:ind w:right="165" w:firstLine="476" w:firstLineChars="200"/>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s="Times New Roman"/>
          <w:color w:val="000000" w:themeColor="text1"/>
          <w:spacing w:val="-1"/>
          <w:sz w:val="24"/>
          <w:szCs w:val="24"/>
          <w:lang w:val="en-US" w:eastAsia="zh-CN"/>
          <w14:textFill>
            <w14:solidFill>
              <w14:schemeClr w14:val="tx1"/>
            </w14:solidFill>
          </w14:textFill>
        </w:rPr>
        <w:t>玉米粉碎过程产生的颗粒物经过布袋除尘器除尘后经过9个22.5m高排气筒</w:t>
      </w:r>
      <w:r>
        <w:rPr>
          <w:rFonts w:hint="eastAsia" w:ascii="Times New Roman" w:hAnsi="Times New Roman" w:cs="Times New Roman"/>
          <w:color w:val="000000" w:themeColor="text1"/>
          <w:lang w:val="en-US" w:eastAsia="zh-CN"/>
          <w14:textFill>
            <w14:solidFill>
              <w14:schemeClr w14:val="tx1"/>
            </w14:solidFill>
          </w14:textFill>
        </w:rPr>
        <w:t>（DA005-DA010、DA014、DA015、DA040）排放和13</w:t>
      </w:r>
      <w:r>
        <w:rPr>
          <w:rFonts w:hint="eastAsia" w:cs="Times New Roman"/>
          <w:color w:val="000000" w:themeColor="text1"/>
          <w:spacing w:val="-1"/>
          <w:sz w:val="24"/>
          <w:szCs w:val="24"/>
          <w:lang w:val="en-US" w:eastAsia="zh-CN"/>
          <w14:textFill>
            <w14:solidFill>
              <w14:schemeClr w14:val="tx1"/>
            </w14:solidFill>
          </w14:textFill>
        </w:rPr>
        <w:t>个25m高排气筒</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DA018-DA029</w:t>
      </w:r>
      <w:r>
        <w:rPr>
          <w:rFonts w:hint="eastAsia" w:ascii="Times New Roman" w:hAnsi="Times New Roman" w:cs="Times New Roman"/>
          <w:color w:val="000000" w:themeColor="text1"/>
          <w:lang w:val="en-US" w:eastAsia="zh-CN"/>
          <w14:textFill>
            <w14:solidFill>
              <w14:schemeClr w14:val="tx1"/>
            </w14:solidFill>
          </w14:textFill>
        </w:rPr>
        <w:t>、DA035）排放。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ascii="Times New Roman" w:hAnsi="Times New Roman" w:cs="Times New Roman"/>
          <w:color w:val="000000" w:themeColor="text1"/>
          <w:lang w:val="en-US" w:eastAsia="zh-CN"/>
          <w14:textFill>
            <w14:solidFill>
              <w14:schemeClr w14:val="tx1"/>
            </w14:solidFill>
          </w14:textFill>
        </w:rPr>
        <w:t>2025年年度报告和2026年1季度例行监测报告中的数据，粉碎废气中的颗粒物</w:t>
      </w:r>
      <w:r>
        <w:rPr>
          <w:rFonts w:hint="default" w:ascii="Times New Roman" w:hAnsi="Times New Roman" w:cs="Times New Roman"/>
          <w:color w:val="000000" w:themeColor="text1"/>
          <w:lang w:val="en-US" w:eastAsia="zh-CN"/>
          <w14:textFill>
            <w14:solidFill>
              <w14:schemeClr w14:val="tx1"/>
            </w14:solidFill>
          </w14:textFill>
        </w:rPr>
        <w:t>排放满足《大气污染物综合排放标准》（GB16297-1996）二级标准要求</w:t>
      </w:r>
      <w:r>
        <w:rPr>
          <w:rFonts w:hint="eastAsia" w:ascii="Times New Roman" w:hAnsi="Times New Roman" w:cs="Times New Roman"/>
          <w:color w:val="000000" w:themeColor="text1"/>
          <w:lang w:val="en-US" w:eastAsia="zh-CN"/>
          <w14:textFill>
            <w14:solidFill>
              <w14:schemeClr w14:val="tx1"/>
            </w14:solidFill>
          </w14:textFill>
        </w:rPr>
        <w:t>。</w:t>
      </w:r>
    </w:p>
    <w:p w14:paraId="563927EE">
      <w:pPr>
        <w:numPr>
          <w:ilvl w:val="0"/>
          <w:numId w:val="6"/>
        </w:numPr>
        <w:spacing w:line="360" w:lineRule="auto"/>
        <w:ind w:left="0" w:leftChars="0" w:firstLine="480" w:firstLineChars="200"/>
        <w:jc w:val="left"/>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DDGS</w:t>
      </w:r>
      <w:r>
        <w:rPr>
          <w:rFonts w:hint="eastAsia" w:cs="Times New Roman"/>
          <w:color w:val="000000" w:themeColor="text1"/>
          <w:spacing w:val="-1"/>
          <w:sz w:val="24"/>
          <w:szCs w:val="24"/>
          <w:lang w:val="en-US" w:eastAsia="zh-CN"/>
          <w14:textFill>
            <w14:solidFill>
              <w14:schemeClr w14:val="tx1"/>
            </w14:solidFill>
          </w14:textFill>
        </w:rPr>
        <w:t>包装工序冷却</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废气</w:t>
      </w:r>
    </w:p>
    <w:p w14:paraId="4D44258F">
      <w:pPr>
        <w:spacing w:before="1" w:line="347" w:lineRule="auto"/>
        <w:ind w:right="165" w:firstLine="480" w:firstLineChars="200"/>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DDGS</w:t>
      </w:r>
      <w:r>
        <w:rPr>
          <w:rFonts w:hint="eastAsia" w:cs="Times New Roman"/>
          <w:color w:val="000000" w:themeColor="text1"/>
          <w:spacing w:val="-1"/>
          <w:sz w:val="24"/>
          <w:szCs w:val="24"/>
          <w:lang w:val="en-US" w:eastAsia="zh-CN"/>
          <w14:textFill>
            <w14:solidFill>
              <w14:schemeClr w14:val="tx1"/>
            </w14:solidFill>
          </w14:textFill>
        </w:rPr>
        <w:t>包装工序冷却过程产生的颗粒物经过布袋除尘器除尘后经过7个18m高排气筒</w:t>
      </w:r>
      <w:r>
        <w:rPr>
          <w:rFonts w:hint="eastAsia" w:ascii="Times New Roman" w:hAnsi="Times New Roman" w:cs="Times New Roman"/>
          <w:color w:val="000000" w:themeColor="text1"/>
          <w:lang w:val="en-US" w:eastAsia="zh-CN"/>
          <w14:textFill>
            <w14:solidFill>
              <w14:schemeClr w14:val="tx1"/>
            </w14:solidFill>
          </w14:textFill>
        </w:rPr>
        <w:t>（DA012、DA033、DA034、DA036-DA039）排放。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ascii="Times New Roman" w:hAnsi="Times New Roman" w:cs="Times New Roman"/>
          <w:color w:val="000000" w:themeColor="text1"/>
          <w:lang w:val="en-US" w:eastAsia="zh-CN"/>
          <w14:textFill>
            <w14:solidFill>
              <w14:schemeClr w14:val="tx1"/>
            </w14:solidFill>
          </w14:textFill>
        </w:rPr>
        <w:t>2025年年度报告和2026年1季度例行监测报告中的数据，粉碎废气中的颗粒物</w:t>
      </w:r>
      <w:r>
        <w:rPr>
          <w:rFonts w:hint="default" w:ascii="Times New Roman" w:hAnsi="Times New Roman" w:cs="Times New Roman"/>
          <w:color w:val="000000" w:themeColor="text1"/>
          <w:lang w:val="en-US" w:eastAsia="zh-CN"/>
          <w14:textFill>
            <w14:solidFill>
              <w14:schemeClr w14:val="tx1"/>
            </w14:solidFill>
          </w14:textFill>
        </w:rPr>
        <w:t>排放满足《大气污染物综合排放标准》（GB16297-1996）二级标准要求</w:t>
      </w:r>
      <w:r>
        <w:rPr>
          <w:rFonts w:hint="eastAsia" w:ascii="Times New Roman" w:hAnsi="Times New Roman" w:cs="Times New Roman"/>
          <w:color w:val="000000" w:themeColor="text1"/>
          <w:lang w:val="en-US" w:eastAsia="zh-CN"/>
          <w14:textFill>
            <w14:solidFill>
              <w14:schemeClr w14:val="tx1"/>
            </w14:solidFill>
          </w14:textFill>
        </w:rPr>
        <w:t>。</w:t>
      </w:r>
    </w:p>
    <w:p w14:paraId="49056D43">
      <w:pPr>
        <w:numPr>
          <w:ilvl w:val="0"/>
          <w:numId w:val="6"/>
        </w:numPr>
        <w:spacing w:line="360" w:lineRule="auto"/>
        <w:ind w:left="0" w:leftChars="0" w:firstLine="480" w:firstLineChars="200"/>
        <w:jc w:val="left"/>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发酵车间CO2洗涤塔废气</w:t>
      </w:r>
    </w:p>
    <w:p w14:paraId="5E79FCE5">
      <w:pPr>
        <w:numPr>
          <w:ilvl w:val="0"/>
          <w:numId w:val="0"/>
        </w:numPr>
        <w:spacing w:line="360" w:lineRule="auto"/>
        <w:ind w:firstLine="480" w:firstLineChars="200"/>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发酵车间CO2工艺</w:t>
      </w:r>
      <w:r>
        <w:rPr>
          <w:rFonts w:hint="default" w:ascii="Times New Roman" w:hAnsi="Times New Roman" w:cs="Times New Roman"/>
          <w:color w:val="000000" w:themeColor="text1"/>
          <w:lang w:val="en-US" w:eastAsia="zh-CN"/>
          <w14:textFill>
            <w14:solidFill>
              <w14:schemeClr w14:val="tx1"/>
            </w14:solidFill>
          </w14:textFill>
        </w:rPr>
        <w:t>产生的</w:t>
      </w:r>
      <w:r>
        <w:rPr>
          <w:rFonts w:hint="eastAsia" w:cs="Times New Roman"/>
          <w:color w:val="000000" w:themeColor="text1"/>
          <w:lang w:val="en-US" w:eastAsia="zh-CN"/>
          <w14:textFill>
            <w14:solidFill>
              <w14:schemeClr w14:val="tx1"/>
            </w14:solidFill>
          </w14:textFill>
        </w:rPr>
        <w:t>非甲烷总烃及臭气浓度</w:t>
      </w:r>
      <w:r>
        <w:rPr>
          <w:rFonts w:hint="eastAsia" w:cs="Times New Roman"/>
          <w:color w:val="000000" w:themeColor="text1"/>
          <w:spacing w:val="-1"/>
          <w:sz w:val="24"/>
          <w:szCs w:val="24"/>
          <w:lang w:val="en-US" w:eastAsia="zh-CN"/>
          <w14:textFill>
            <w14:solidFill>
              <w14:schemeClr w14:val="tx1"/>
            </w14:solidFill>
          </w14:textFill>
        </w:rPr>
        <w:t>由</w:t>
      </w:r>
      <w:r>
        <w:rPr>
          <w:rFonts w:hint="eastAsia"/>
          <w:color w:val="000000" w:themeColor="text1"/>
          <w:lang w:val="en-US" w:eastAsia="zh-CN"/>
          <w14:textFill>
            <w14:solidFill>
              <w14:schemeClr w14:val="tx1"/>
            </w14:solidFill>
          </w14:textFill>
        </w:rPr>
        <w:t>CO2洗涤塔</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处理后经</w:t>
      </w:r>
      <w:r>
        <w:rPr>
          <w:rFonts w:hint="eastAsia" w:cs="Times New Roman"/>
          <w:color w:val="000000" w:themeColor="text1"/>
          <w:spacing w:val="-1"/>
          <w:sz w:val="24"/>
          <w:szCs w:val="24"/>
          <w:lang w:val="en-US" w:eastAsia="zh-CN"/>
          <w14:textFill>
            <w14:solidFill>
              <w14:schemeClr w14:val="tx1"/>
            </w14:solidFill>
          </w14:textFill>
        </w:rPr>
        <w:t>4个15</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m高排气筒</w:t>
      </w:r>
      <w:r>
        <w:rPr>
          <w:rFonts w:hint="eastAsia"/>
          <w:color w:val="000000" w:themeColor="text1"/>
          <w:lang w:val="en-US" w:eastAsia="zh-CN"/>
          <w14:textFill>
            <w14:solidFill>
              <w14:schemeClr w14:val="tx1"/>
            </w14:solidFill>
          </w14:textFill>
        </w:rPr>
        <w:t>（DA002、DA032、DA041、DA042）</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ascii="Times New Roman" w:hAnsi="Times New Roman" w:cs="Times New Roman"/>
          <w:color w:val="000000" w:themeColor="text1"/>
          <w:lang w:val="en-US" w:eastAsia="zh-CN"/>
          <w14:textFill>
            <w14:solidFill>
              <w14:schemeClr w14:val="tx1"/>
            </w14:solidFill>
          </w14:textFill>
        </w:rPr>
        <w:t>2025年年度报告和2026年1季度例行监测报告中的数据，</w:t>
      </w:r>
      <w:r>
        <w:rPr>
          <w:rFonts w:hint="eastAsia"/>
          <w:color w:val="000000" w:themeColor="text1"/>
          <w:lang w:val="en-US" w:eastAsia="zh-CN"/>
          <w14:textFill>
            <w14:solidFill>
              <w14:schemeClr w14:val="tx1"/>
            </w14:solidFill>
          </w14:textFill>
        </w:rPr>
        <w:t>CO2洗涤塔废气中</w:t>
      </w:r>
      <w:r>
        <w:rPr>
          <w:rFonts w:hint="eastAsia" w:ascii="Times New Roman" w:hAnsi="Times New Roman" w:cs="Times New Roman"/>
          <w:color w:val="000000" w:themeColor="text1"/>
          <w:lang w:val="en-US" w:eastAsia="zh-CN"/>
          <w14:textFill>
            <w14:solidFill>
              <w14:schemeClr w14:val="tx1"/>
            </w14:solidFill>
          </w14:textFill>
        </w:rPr>
        <w:t>非甲烷总烃</w:t>
      </w:r>
      <w:r>
        <w:rPr>
          <w:rFonts w:hint="default" w:ascii="Times New Roman" w:hAnsi="Times New Roman" w:cs="Times New Roman"/>
          <w:color w:val="000000" w:themeColor="text1"/>
          <w:lang w:val="en-US" w:eastAsia="zh-CN"/>
          <w14:textFill>
            <w14:solidFill>
              <w14:schemeClr w14:val="tx1"/>
            </w14:solidFill>
          </w14:textFill>
        </w:rPr>
        <w:t>排放满足《大气污染物综合排放标准》（GB16297-1996）二级标准要求</w:t>
      </w:r>
      <w:r>
        <w:rPr>
          <w:rFonts w:hint="eastAsia" w:ascii="Times New Roman" w:hAnsi="Times New Roman" w:cs="Times New Roman"/>
          <w:color w:val="000000" w:themeColor="text1"/>
          <w:lang w:val="en-US" w:eastAsia="zh-CN"/>
          <w14:textFill>
            <w14:solidFill>
              <w14:schemeClr w14:val="tx1"/>
            </w14:solidFill>
          </w14:textFill>
        </w:rPr>
        <w:t>，臭气浓度满足《恶臭污染物排放标准》（GB14554-93）表2排放限值要求</w:t>
      </w:r>
      <w:r>
        <w:rPr>
          <w:rFonts w:hint="default" w:ascii="Times New Roman" w:hAnsi="Times New Roman" w:cs="Times New Roman"/>
          <w:color w:val="000000" w:themeColor="text1"/>
          <w:lang w:val="en-US" w:eastAsia="zh-CN"/>
          <w14:textFill>
            <w14:solidFill>
              <w14:schemeClr w14:val="tx1"/>
            </w14:solidFill>
          </w14:textFill>
        </w:rPr>
        <w:t>。</w:t>
      </w:r>
    </w:p>
    <w:p w14:paraId="15FC7030">
      <w:pPr>
        <w:numPr>
          <w:ilvl w:val="0"/>
          <w:numId w:val="7"/>
        </w:numPr>
        <w:spacing w:line="360" w:lineRule="auto"/>
        <w:ind w:firstLine="480" w:firstLineChars="20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无组织废气排放情况</w:t>
      </w:r>
    </w:p>
    <w:p w14:paraId="7F9849ED">
      <w:pPr>
        <w:spacing w:line="360" w:lineRule="auto"/>
        <w:ind w:firstLine="480" w:firstLineChars="200"/>
        <w:rPr>
          <w:rFonts w:hint="default"/>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ascii="Times New Roman" w:hAnsi="Times New Roman" w:cs="Times New Roman"/>
          <w:color w:val="000000" w:themeColor="text1"/>
          <w:lang w:val="en-US" w:eastAsia="zh-CN"/>
          <w14:textFill>
            <w14:solidFill>
              <w14:schemeClr w14:val="tx1"/>
            </w14:solidFill>
          </w14:textFill>
        </w:rPr>
        <w:t>2025年年度报告和2026年1季度例行监测报告中的数据，</w:t>
      </w:r>
      <w:r>
        <w:rPr>
          <w:rFonts w:hint="eastAsia"/>
          <w:color w:val="000000" w:themeColor="text1"/>
          <w:lang w:val="en-US" w:eastAsia="zh-CN"/>
          <w14:textFill>
            <w14:solidFill>
              <w14:schemeClr w14:val="tx1"/>
            </w14:solidFill>
          </w14:textFill>
        </w:rPr>
        <w:t>现有工程</w:t>
      </w:r>
      <w:r>
        <w:rPr>
          <w:rFonts w:hint="default"/>
          <w:color w:val="000000" w:themeColor="text1"/>
          <w:lang w:val="en-US" w:eastAsia="zh-CN"/>
          <w14:textFill>
            <w14:solidFill>
              <w14:schemeClr w14:val="tx1"/>
            </w14:solidFill>
          </w14:textFill>
        </w:rPr>
        <w:t>厂界臭气</w:t>
      </w:r>
      <w:r>
        <w:rPr>
          <w:rFonts w:hint="eastAsia"/>
          <w:color w:val="000000" w:themeColor="text1"/>
          <w:lang w:val="en-US" w:eastAsia="zh-CN"/>
          <w14:textFill>
            <w14:solidFill>
              <w14:schemeClr w14:val="tx1"/>
            </w14:solidFill>
          </w14:textFill>
        </w:rPr>
        <w:t>浓度</w:t>
      </w:r>
      <w:r>
        <w:rPr>
          <w:rFonts w:hint="default"/>
          <w:color w:val="000000" w:themeColor="text1"/>
          <w:lang w:val="en-US" w:eastAsia="zh-CN"/>
          <w14:textFill>
            <w14:solidFill>
              <w14:schemeClr w14:val="tx1"/>
            </w14:solidFill>
          </w14:textFill>
        </w:rPr>
        <w:t>、氨和硫化氢排放满足《恶臭污染物排放标准》（GB14554-93）；厂界颗粒物</w:t>
      </w:r>
      <w:r>
        <w:rPr>
          <w:rFonts w:hint="eastAsia"/>
          <w:color w:val="000000" w:themeColor="text1"/>
          <w:lang w:val="en-US" w:eastAsia="zh-CN"/>
          <w14:textFill>
            <w14:solidFill>
              <w14:schemeClr w14:val="tx1"/>
            </w14:solidFill>
          </w14:textFill>
        </w:rPr>
        <w:t>、非甲烷总烃</w:t>
      </w:r>
      <w:r>
        <w:rPr>
          <w:rFonts w:hint="default"/>
          <w:color w:val="000000" w:themeColor="text1"/>
          <w:lang w:val="en-US" w:eastAsia="zh-CN"/>
          <w14:textFill>
            <w14:solidFill>
              <w14:schemeClr w14:val="tx1"/>
            </w14:solidFill>
          </w14:textFill>
        </w:rPr>
        <w:t>排放满足《大气污染物综合排放标准》（GB16297-1996）。</w:t>
      </w:r>
    </w:p>
    <w:p w14:paraId="6B92B86B">
      <w:pPr>
        <w:spacing w:line="360" w:lineRule="auto"/>
        <w:ind w:firstLine="480" w:firstLineChars="20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综上所述，现有工程各个排气筒均能够达标排放。厂界各项污染物均能够满足相关标准要求。</w:t>
      </w:r>
    </w:p>
    <w:p w14:paraId="468D805A">
      <w:pPr>
        <w:pStyle w:val="5"/>
      </w:pPr>
      <w:r>
        <w:rPr>
          <w:rFonts w:hint="eastAsia" w:eastAsia="宋体"/>
          <w:lang w:eastAsia="zh-CN"/>
        </w:rPr>
        <w:t>3.1.3</w:t>
      </w:r>
      <w:r>
        <w:t>.2水污染防治措施及达标情况分析</w:t>
      </w:r>
    </w:p>
    <w:p w14:paraId="174721B3">
      <w:pPr>
        <w:spacing w:line="360" w:lineRule="auto"/>
        <w:ind w:firstLine="480" w:firstLineChars="200"/>
        <w:jc w:val="both"/>
        <w:rPr>
          <w:rFonts w:hint="default"/>
          <w:color w:val="000000" w:themeColor="text1"/>
          <w:lang w:val="en-US" w:eastAsia="zh-CN"/>
          <w14:textFill>
            <w14:solidFill>
              <w14:schemeClr w14:val="tx1"/>
            </w14:solidFill>
          </w14:textFill>
        </w:rPr>
      </w:pPr>
      <w:r>
        <w:rPr>
          <w:rFonts w:hint="eastAsia" w:ascii="Times New Roman" w:hAnsi="Times New Roman" w:cs="Times New Roman"/>
          <w:snapToGrid w:val="0"/>
          <w:spacing w:val="0"/>
          <w:position w:val="0"/>
          <w:lang w:val="en-US" w:eastAsia="zh-CN"/>
        </w:rPr>
        <w:t>现有工程</w:t>
      </w:r>
      <w:r>
        <w:rPr>
          <w:rFonts w:hint="default" w:ascii="Times New Roman" w:hAnsi="Times New Roman" w:cs="Times New Roman"/>
          <w:snapToGrid w:val="0"/>
          <w:spacing w:val="0"/>
          <w:position w:val="0"/>
        </w:rPr>
        <w:t xml:space="preserve">污水处理站处理能力 </w:t>
      </w:r>
      <w:r>
        <w:rPr>
          <w:rFonts w:hint="eastAsia" w:ascii="Times New Roman" w:hAnsi="Times New Roman" w:cs="Times New Roman"/>
          <w:snapToGrid w:val="0"/>
          <w:spacing w:val="0"/>
          <w:position w:val="0"/>
          <w:lang w:val="en-US" w:eastAsia="zh-CN"/>
        </w:rPr>
        <w:t>1.2</w:t>
      </w:r>
      <w:r>
        <w:rPr>
          <w:rFonts w:hint="default" w:ascii="Times New Roman" w:hAnsi="Times New Roman" w:cs="Times New Roman"/>
          <w:snapToGrid w:val="0"/>
          <w:spacing w:val="0"/>
          <w:position w:val="0"/>
        </w:rPr>
        <w:t xml:space="preserve">万 </w:t>
      </w:r>
      <w:r>
        <w:rPr>
          <w:rFonts w:hint="default" w:ascii="Times New Roman" w:hAnsi="Times New Roman" w:eastAsia="Times New Roman" w:cs="Times New Roman"/>
          <w:snapToGrid w:val="0"/>
          <w:spacing w:val="0"/>
          <w:position w:val="0"/>
        </w:rPr>
        <w:t>t/d</w:t>
      </w:r>
      <w:r>
        <w:rPr>
          <w:rFonts w:hint="default" w:ascii="Times New Roman" w:hAnsi="Times New Roman" w:cs="Times New Roman"/>
          <w:snapToGrid w:val="0"/>
          <w:spacing w:val="0"/>
          <w:position w:val="0"/>
        </w:rPr>
        <w:t>，采用</w:t>
      </w:r>
      <w:r>
        <w:rPr>
          <w:rFonts w:hint="default" w:ascii="Times New Roman" w:hAnsi="Times New Roman" w:eastAsia="Times New Roman" w:cs="Times New Roman"/>
          <w:snapToGrid w:val="0"/>
          <w:spacing w:val="0"/>
          <w:position w:val="0"/>
        </w:rPr>
        <w:t>“</w:t>
      </w:r>
      <w:r>
        <w:rPr>
          <w:rFonts w:hint="eastAsia" w:ascii="Times New Roman" w:hAnsi="Times New Roman" w:cs="Times New Roman"/>
          <w:snapToGrid w:val="0"/>
          <w:spacing w:val="0"/>
          <w:position w:val="0"/>
          <w:lang w:eastAsia="zh-CN"/>
        </w:rPr>
        <w:t>SPIC厌氧+生物接触氧化+连续活性砂滤</w:t>
      </w:r>
      <w:r>
        <w:rPr>
          <w:rFonts w:hint="default" w:ascii="Times New Roman" w:hAnsi="Times New Roman" w:eastAsia="Times New Roman" w:cs="Times New Roman"/>
          <w:snapToGrid w:val="0"/>
          <w:spacing w:val="0"/>
          <w:position w:val="0"/>
        </w:rPr>
        <w:t>”</w:t>
      </w:r>
      <w:r>
        <w:rPr>
          <w:rFonts w:hint="default" w:ascii="Times New Roman" w:hAnsi="Times New Roman" w:cs="Times New Roman"/>
          <w:snapToGrid w:val="0"/>
          <w:spacing w:val="0"/>
          <w:position w:val="0"/>
        </w:rPr>
        <w:t>方法对污水处理，</w:t>
      </w:r>
      <w:r>
        <w:rPr>
          <w:rFonts w:hint="eastAsia" w:ascii="Times New Roman" w:hAnsi="Times New Roman" w:cs="Times New Roman"/>
          <w:snapToGrid w:val="0"/>
          <w:spacing w:val="0"/>
          <w:position w:val="0"/>
          <w:lang w:eastAsia="zh-CN"/>
        </w:rPr>
        <w:t>本项目的污水经厂区污水处理站处理后，满足《城镇污水处理厂污染物排放标准》（GB18918-2002）中一级标准中的A标准的要求后，</w:t>
      </w:r>
      <w:r>
        <w:rPr>
          <w:rFonts w:hint="eastAsia"/>
          <w:lang w:val="en-US" w:eastAsia="zh-CN"/>
        </w:rPr>
        <w:t>经拉哈生物技术与化学制药产业园区污水处理厂入河排污口排入到嫩江</w:t>
      </w:r>
      <w:r>
        <w:rPr>
          <w:rFonts w:hint="eastAsia" w:ascii="Times New Roman" w:hAnsi="Times New Roman" w:cs="Times New Roman"/>
          <w:snapToGrid w:val="0"/>
          <w:spacing w:val="0"/>
          <w:position w:val="0"/>
          <w:lang w:eastAsia="zh-CN"/>
        </w:rPr>
        <w:t>。</w:t>
      </w:r>
      <w:r>
        <w:rPr>
          <w:rFonts w:hint="default"/>
          <w:color w:val="000000" w:themeColor="text1"/>
          <w:lang w:val="en-US" w:eastAsia="zh-CN"/>
          <w14:textFill>
            <w14:solidFill>
              <w14:schemeClr w14:val="tx1"/>
            </w14:solidFill>
          </w14:textFill>
        </w:rPr>
        <w:t>工艺流程见图 3</w:t>
      </w:r>
      <w:r>
        <w:rPr>
          <w:rFonts w:hint="eastAsia"/>
          <w:color w:val="000000" w:themeColor="text1"/>
          <w:lang w:val="en-US" w:eastAsia="zh-CN"/>
          <w14:textFill>
            <w14:solidFill>
              <w14:schemeClr w14:val="tx1"/>
            </w14:solidFill>
          </w14:textFill>
        </w:rPr>
        <w:t>.</w:t>
      </w:r>
      <w:r>
        <w:rPr>
          <w:rFonts w:hint="default"/>
          <w:color w:val="000000" w:themeColor="text1"/>
          <w:lang w:val="en-US" w:eastAsia="zh-CN"/>
          <w14:textFill>
            <w14:solidFill>
              <w14:schemeClr w14:val="tx1"/>
            </w14:solidFill>
          </w14:textFill>
        </w:rPr>
        <w:t>1-9。</w:t>
      </w:r>
    </w:p>
    <w:p w14:paraId="4B3B9913">
      <w:pPr>
        <w:spacing w:line="360" w:lineRule="auto"/>
        <w:jc w:val="both"/>
        <w:rPr>
          <w:color w:val="000000" w:themeColor="text1"/>
          <w14:textFill>
            <w14:solidFill>
              <w14:schemeClr w14:val="tx1"/>
            </w14:solidFill>
          </w14:textFill>
        </w:rPr>
      </w:pPr>
      <w:r>
        <w:drawing>
          <wp:inline distT="0" distB="0" distL="114300" distR="114300">
            <wp:extent cx="5726430" cy="2637155"/>
            <wp:effectExtent l="0" t="0" r="7620" b="10795"/>
            <wp:docPr id="9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0"/>
                    <pic:cNvPicPr>
                      <a:picLocks noChangeAspect="1"/>
                    </pic:cNvPicPr>
                  </pic:nvPicPr>
                  <pic:blipFill>
                    <a:blip r:embed="rId53"/>
                    <a:stretch>
                      <a:fillRect/>
                    </a:stretch>
                  </pic:blipFill>
                  <pic:spPr>
                    <a:xfrm>
                      <a:off x="0" y="0"/>
                      <a:ext cx="5726430" cy="2637155"/>
                    </a:xfrm>
                    <a:prstGeom prst="rect">
                      <a:avLst/>
                    </a:prstGeom>
                    <a:noFill/>
                    <a:ln>
                      <a:noFill/>
                    </a:ln>
                  </pic:spPr>
                </pic:pic>
              </a:graphicData>
            </a:graphic>
          </wp:inline>
        </w:drawing>
      </w:r>
    </w:p>
    <w:p w14:paraId="07CC5A2B">
      <w:pPr>
        <w:spacing w:before="128" w:line="219" w:lineRule="auto"/>
        <w:ind w:left="2587"/>
        <w:rPr>
          <w:rFonts w:ascii="宋体" w:hAnsi="宋体" w:eastAsia="宋体" w:cs="宋体"/>
          <w:color w:val="000000" w:themeColor="text1"/>
          <w:sz w:val="24"/>
          <w:szCs w:val="24"/>
          <w14:textFill>
            <w14:solidFill>
              <w14:schemeClr w14:val="tx1"/>
            </w14:solidFill>
          </w14:textFill>
        </w:rPr>
      </w:pPr>
      <w:r>
        <w:rPr>
          <w:rFonts w:ascii="宋体" w:hAnsi="宋体" w:eastAsia="宋体" w:cs="宋体"/>
          <w:b/>
          <w:bCs/>
          <w:color w:val="000000" w:themeColor="text1"/>
          <w:spacing w:val="-3"/>
          <w:sz w:val="24"/>
          <w:szCs w:val="24"/>
          <w14:textFill>
            <w14:solidFill>
              <w14:schemeClr w14:val="tx1"/>
            </w14:solidFill>
          </w14:textFill>
        </w:rPr>
        <w:t>图</w:t>
      </w:r>
      <w:r>
        <w:rPr>
          <w:rFonts w:ascii="宋体" w:hAnsi="宋体" w:eastAsia="宋体" w:cs="宋体"/>
          <w:color w:val="000000" w:themeColor="text1"/>
          <w:spacing w:val="-53"/>
          <w:sz w:val="24"/>
          <w:szCs w:val="24"/>
          <w14:textFill>
            <w14:solidFill>
              <w14:schemeClr w14:val="tx1"/>
            </w14:solidFill>
          </w14:textFill>
        </w:rPr>
        <w:t xml:space="preserve"> </w:t>
      </w:r>
      <w:r>
        <w:rPr>
          <w:rFonts w:ascii="Times New Roman" w:hAnsi="Times New Roman" w:eastAsia="Times New Roman" w:cs="Times New Roman"/>
          <w:b/>
          <w:bCs/>
          <w:color w:val="000000" w:themeColor="text1"/>
          <w:spacing w:val="-3"/>
          <w:sz w:val="24"/>
          <w:szCs w:val="24"/>
          <w14:textFill>
            <w14:solidFill>
              <w14:schemeClr w14:val="tx1"/>
            </w14:solidFill>
          </w14:textFill>
        </w:rPr>
        <w:t>3</w:t>
      </w:r>
      <w:r>
        <w:rPr>
          <w:rFonts w:hint="eastAsia" w:eastAsia="宋体" w:cs="Times New Roman"/>
          <w:b/>
          <w:bCs/>
          <w:color w:val="000000" w:themeColor="text1"/>
          <w:spacing w:val="-3"/>
          <w:sz w:val="24"/>
          <w:szCs w:val="24"/>
          <w:lang w:val="en-US" w:eastAsia="zh-CN"/>
          <w14:textFill>
            <w14:solidFill>
              <w14:schemeClr w14:val="tx1"/>
            </w14:solidFill>
          </w14:textFill>
        </w:rPr>
        <w:t>.</w:t>
      </w:r>
      <w:r>
        <w:rPr>
          <w:rFonts w:ascii="Times New Roman" w:hAnsi="Times New Roman" w:eastAsia="Times New Roman" w:cs="Times New Roman"/>
          <w:b/>
          <w:bCs/>
          <w:color w:val="000000" w:themeColor="text1"/>
          <w:spacing w:val="-3"/>
          <w:sz w:val="24"/>
          <w:szCs w:val="24"/>
          <w14:textFill>
            <w14:solidFill>
              <w14:schemeClr w14:val="tx1"/>
            </w14:solidFill>
          </w14:textFill>
        </w:rPr>
        <w:t xml:space="preserve">1-9 </w:t>
      </w:r>
      <w:r>
        <w:rPr>
          <w:rFonts w:ascii="宋体" w:hAnsi="宋体" w:eastAsia="宋体" w:cs="宋体"/>
          <w:b/>
          <w:bCs/>
          <w:color w:val="000000" w:themeColor="text1"/>
          <w:spacing w:val="-3"/>
          <w:sz w:val="24"/>
          <w:szCs w:val="24"/>
          <w14:textFill>
            <w14:solidFill>
              <w14:schemeClr w14:val="tx1"/>
            </w14:solidFill>
          </w14:textFill>
        </w:rPr>
        <w:t>污水处理站工艺流程</w:t>
      </w:r>
    </w:p>
    <w:p w14:paraId="6A7D53EA">
      <w:pPr>
        <w:pStyle w:val="486"/>
        <w:spacing w:line="360" w:lineRule="auto"/>
        <w:ind w:left="0" w:leftChars="0" w:firstLine="480" w:firstLineChars="200"/>
        <w:jc w:val="left"/>
        <w:rPr>
          <w:rFonts w:hint="default" w:ascii="Times New Roman" w:hAnsi="Times New Roman" w:eastAsia="Times New Roman"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ascii="Times New Roman" w:hAnsi="Times New Roman" w:cs="Times New Roman"/>
          <w:color w:val="000000" w:themeColor="text1"/>
          <w:lang w:val="en-US" w:eastAsia="zh-CN"/>
          <w14:textFill>
            <w14:solidFill>
              <w14:schemeClr w14:val="tx1"/>
            </w14:solidFill>
          </w14:textFill>
        </w:rPr>
        <w:t>2025年年度报告和2026年1季度例行监测报告中的数据，现有污水处理站</w:t>
      </w:r>
      <w:r>
        <w:rPr>
          <w:rFonts w:hint="default" w:ascii="Times New Roman" w:hAnsi="Times New Roman" w:eastAsia="Times New Roman" w:cs="Times New Roman"/>
          <w:color w:val="000000" w:themeColor="text1"/>
          <w:lang w:val="en-US" w:eastAsia="zh-CN"/>
          <w14:textFill>
            <w14:solidFill>
              <w14:schemeClr w14:val="tx1"/>
            </w14:solidFill>
          </w14:textFill>
        </w:rPr>
        <w:t>出水满足</w:t>
      </w:r>
      <w:r>
        <w:rPr>
          <w:rFonts w:hint="eastAsia" w:ascii="Times New Roman" w:hAnsi="Times New Roman" w:eastAsia="Times New Roman" w:cs="Times New Roman"/>
          <w:color w:val="000000" w:themeColor="text1"/>
          <w:lang w:val="en-US" w:eastAsia="zh-CN"/>
          <w14:textFill>
            <w14:solidFill>
              <w14:schemeClr w14:val="tx1"/>
            </w14:solidFill>
          </w14:textFill>
        </w:rPr>
        <w:t>《城镇污水处理厂污染物排放标准》（GB18918-2002）一级A标准</w:t>
      </w:r>
      <w:r>
        <w:rPr>
          <w:rFonts w:hint="default" w:ascii="Times New Roman" w:hAnsi="Times New Roman" w:eastAsia="Times New Roman" w:cs="Times New Roman"/>
          <w:color w:val="000000" w:themeColor="text1"/>
          <w:lang w:val="en-US" w:eastAsia="zh-CN"/>
          <w14:textFill>
            <w14:solidFill>
              <w14:schemeClr w14:val="tx1"/>
            </w14:solidFill>
          </w14:textFill>
        </w:rPr>
        <w:t>，</w:t>
      </w:r>
      <w:r>
        <w:rPr>
          <w:rFonts w:hint="eastAsia"/>
          <w:lang w:val="en-US" w:eastAsia="zh-CN"/>
        </w:rPr>
        <w:t>经拉哈生物技术与化学制药产业园区污水处理厂入河排污口排入到嫩江</w:t>
      </w:r>
      <w:r>
        <w:rPr>
          <w:rFonts w:hint="eastAsia" w:ascii="Times New Roman" w:hAnsi="Times New Roman" w:cs="Times New Roman"/>
          <w:snapToGrid w:val="0"/>
          <w:spacing w:val="0"/>
          <w:position w:val="0"/>
          <w:lang w:eastAsia="zh-CN"/>
        </w:rPr>
        <w:t>。</w:t>
      </w:r>
    </w:p>
    <w:p w14:paraId="338C89D1">
      <w:pPr>
        <w:pStyle w:val="5"/>
      </w:pPr>
      <w:r>
        <w:rPr>
          <w:rFonts w:hint="eastAsia" w:eastAsia="宋体"/>
          <w:lang w:eastAsia="zh-CN"/>
        </w:rPr>
        <w:t>3.1.3</w:t>
      </w:r>
      <w:r>
        <w:t>.3噪声污染防治措施及达标情况分析</w:t>
      </w:r>
    </w:p>
    <w:p w14:paraId="3F549C80">
      <w:pPr>
        <w:spacing w:line="360" w:lineRule="auto"/>
        <w:ind w:firstLine="480" w:firstLineChars="200"/>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根据2026年1季度监测报告中的数据，厂界均可以满足《工业企业厂界环境噪声排放标准》（GB12348-2008）中的3类标准要求。</w:t>
      </w:r>
    </w:p>
    <w:p w14:paraId="610EEFBA">
      <w:pPr>
        <w:spacing w:before="184" w:line="219" w:lineRule="auto"/>
        <w:ind w:left="2203"/>
        <w:rPr>
          <w:rFonts w:ascii="宋体" w:hAnsi="宋体" w:eastAsia="宋体" w:cs="宋体"/>
          <w:color w:val="000000" w:themeColor="text1"/>
          <w:sz w:val="24"/>
          <w:szCs w:val="24"/>
          <w14:textFill>
            <w14:solidFill>
              <w14:schemeClr w14:val="tx1"/>
            </w14:solidFill>
          </w14:textFill>
        </w:rPr>
      </w:pPr>
      <w:r>
        <w:rPr>
          <w:rFonts w:ascii="宋体" w:hAnsi="宋体" w:eastAsia="宋体" w:cs="宋体"/>
          <w:b/>
          <w:bCs/>
          <w:color w:val="000000" w:themeColor="text1"/>
          <w:spacing w:val="-2"/>
          <w:sz w:val="24"/>
          <w:szCs w:val="24"/>
          <w14:textFill>
            <w14:solidFill>
              <w14:schemeClr w14:val="tx1"/>
            </w14:solidFill>
          </w14:textFill>
        </w:rPr>
        <w:t>表</w:t>
      </w:r>
      <w:r>
        <w:rPr>
          <w:rFonts w:ascii="宋体" w:hAnsi="宋体" w:eastAsia="宋体" w:cs="宋体"/>
          <w:color w:val="000000" w:themeColor="text1"/>
          <w:spacing w:val="-48"/>
          <w:sz w:val="24"/>
          <w:szCs w:val="24"/>
          <w14:textFill>
            <w14:solidFill>
              <w14:schemeClr w14:val="tx1"/>
            </w14:solidFill>
          </w14:textFill>
        </w:rPr>
        <w:t xml:space="preserve"> </w:t>
      </w:r>
      <w:r>
        <w:rPr>
          <w:rFonts w:hint="eastAsia" w:eastAsia="宋体" w:cs="Times New Roman"/>
          <w:b/>
          <w:bCs/>
          <w:color w:val="000000" w:themeColor="text1"/>
          <w:spacing w:val="-2"/>
          <w:sz w:val="24"/>
          <w:szCs w:val="24"/>
          <w:lang w:val="en-US" w:eastAsia="zh-CN"/>
          <w14:textFill>
            <w14:solidFill>
              <w14:schemeClr w14:val="tx1"/>
            </w14:solidFill>
          </w14:textFill>
        </w:rPr>
        <w:t>3.1-</w:t>
      </w:r>
      <w:r>
        <w:rPr>
          <w:rFonts w:hint="eastAsia" w:cs="Times New Roman"/>
          <w:b/>
          <w:bCs/>
          <w:color w:val="000000" w:themeColor="text1"/>
          <w:spacing w:val="-2"/>
          <w:sz w:val="24"/>
          <w:szCs w:val="24"/>
          <w:lang w:val="en-US" w:eastAsia="zh-CN"/>
          <w14:textFill>
            <w14:solidFill>
              <w14:schemeClr w14:val="tx1"/>
            </w14:solidFill>
          </w14:textFill>
        </w:rPr>
        <w:t>19</w:t>
      </w:r>
      <w:r>
        <w:rPr>
          <w:rFonts w:ascii="Times New Roman" w:hAnsi="Times New Roman" w:eastAsia="Times New Roman" w:cs="Times New Roman"/>
          <w:b/>
          <w:bCs/>
          <w:color w:val="000000" w:themeColor="text1"/>
          <w:spacing w:val="-2"/>
          <w:sz w:val="24"/>
          <w:szCs w:val="24"/>
          <w14:textFill>
            <w14:solidFill>
              <w14:schemeClr w14:val="tx1"/>
            </w14:solidFill>
          </w14:textFill>
        </w:rPr>
        <w:t xml:space="preserve">   </w:t>
      </w:r>
      <w:r>
        <w:rPr>
          <w:rFonts w:hint="eastAsia" w:ascii="Times New Roman" w:hAnsi="Times New Roman" w:eastAsia="宋体" w:cs="Times New Roman"/>
          <w:b/>
          <w:bCs/>
          <w:color w:val="000000" w:themeColor="text1"/>
          <w:spacing w:val="-2"/>
          <w:sz w:val="24"/>
          <w:szCs w:val="24"/>
          <w:lang w:val="en-US" w:eastAsia="zh-CN"/>
          <w14:textFill>
            <w14:solidFill>
              <w14:schemeClr w14:val="tx1"/>
            </w14:solidFill>
          </w14:textFill>
        </w:rPr>
        <w:t>现有工程</w:t>
      </w:r>
      <w:r>
        <w:rPr>
          <w:rFonts w:hint="eastAsia" w:ascii="宋体" w:hAnsi="宋体" w:cs="宋体"/>
          <w:b/>
          <w:bCs/>
          <w:color w:val="000000" w:themeColor="text1"/>
          <w:spacing w:val="-2"/>
          <w:sz w:val="24"/>
          <w:szCs w:val="24"/>
          <w:lang w:val="en-US" w:eastAsia="zh-CN"/>
          <w14:textFill>
            <w14:solidFill>
              <w14:schemeClr w14:val="tx1"/>
            </w14:solidFill>
          </w14:textFill>
        </w:rPr>
        <w:t>厂界噪声</w:t>
      </w:r>
      <w:r>
        <w:rPr>
          <w:rFonts w:ascii="宋体" w:hAnsi="宋体" w:eastAsia="宋体" w:cs="宋体"/>
          <w:b/>
          <w:bCs/>
          <w:color w:val="000000" w:themeColor="text1"/>
          <w:spacing w:val="-2"/>
          <w:sz w:val="24"/>
          <w:szCs w:val="24"/>
          <w14:textFill>
            <w14:solidFill>
              <w14:schemeClr w14:val="tx1"/>
            </w14:solidFill>
          </w14:textFill>
        </w:rPr>
        <w:t>排放情况</w:t>
      </w:r>
    </w:p>
    <w:tbl>
      <w:tblPr>
        <w:tblStyle w:val="500"/>
        <w:tblW w:w="8858" w:type="dxa"/>
        <w:tblInd w:w="1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90"/>
        <w:gridCol w:w="2192"/>
        <w:gridCol w:w="1877"/>
        <w:gridCol w:w="1867"/>
        <w:gridCol w:w="1832"/>
      </w:tblGrid>
      <w:tr w14:paraId="7D6CA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090" w:type="dxa"/>
            <w:vMerge w:val="restart"/>
            <w:vAlign w:val="top"/>
          </w:tcPr>
          <w:p w14:paraId="4DDD4777">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序号</w:t>
            </w:r>
          </w:p>
        </w:tc>
        <w:tc>
          <w:tcPr>
            <w:tcW w:w="2192" w:type="dxa"/>
            <w:vMerge w:val="restart"/>
            <w:vAlign w:val="top"/>
          </w:tcPr>
          <w:p w14:paraId="5684219A">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检测点位</w:t>
            </w:r>
          </w:p>
        </w:tc>
        <w:tc>
          <w:tcPr>
            <w:tcW w:w="3744" w:type="dxa"/>
            <w:gridSpan w:val="2"/>
            <w:vAlign w:val="top"/>
          </w:tcPr>
          <w:p w14:paraId="0EE09545">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检测结果(202</w:t>
            </w:r>
            <w:r>
              <w:rPr>
                <w:rFonts w:hint="eastAsia" w:cs="Times New Roman"/>
                <w:color w:val="000000" w:themeColor="text1"/>
                <w:sz w:val="21"/>
                <w:szCs w:val="21"/>
                <w:lang w:val="en-US" w:eastAsia="zh-CN"/>
                <w14:textFill>
                  <w14:solidFill>
                    <w14:schemeClr w14:val="tx1"/>
                  </w14:solidFill>
                </w14:textFill>
              </w:rPr>
              <w:t>6</w:t>
            </w:r>
            <w:r>
              <w:rPr>
                <w:rFonts w:hint="eastAsia" w:ascii="Times New Roman" w:hAnsi="Times New Roman"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1</w:t>
            </w:r>
            <w:r>
              <w:rPr>
                <w:rFonts w:hint="eastAsia" w:ascii="Times New Roman" w:hAnsi="Times New Roman"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27</w:t>
            </w:r>
            <w:r>
              <w:rPr>
                <w:rFonts w:hint="eastAsia" w:ascii="Times New Roman" w:hAnsi="Times New Roman" w:cs="Times New Roman"/>
                <w:color w:val="000000" w:themeColor="text1"/>
                <w:sz w:val="21"/>
                <w:szCs w:val="21"/>
                <w:lang w:val="en-US" w:eastAsia="zh-CN"/>
                <w14:textFill>
                  <w14:solidFill>
                    <w14:schemeClr w14:val="tx1"/>
                  </w14:solidFill>
                </w14:textFill>
              </w:rPr>
              <w:t>)</w:t>
            </w:r>
          </w:p>
        </w:tc>
        <w:tc>
          <w:tcPr>
            <w:tcW w:w="1832" w:type="dxa"/>
            <w:vMerge w:val="restart"/>
            <w:vAlign w:val="top"/>
          </w:tcPr>
          <w:p w14:paraId="4FFF885B">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单位</w:t>
            </w:r>
          </w:p>
        </w:tc>
      </w:tr>
      <w:tr w14:paraId="2BF04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090" w:type="dxa"/>
            <w:vMerge w:val="continue"/>
            <w:vAlign w:val="top"/>
          </w:tcPr>
          <w:p w14:paraId="0CD8BD95">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2192" w:type="dxa"/>
            <w:vMerge w:val="continue"/>
            <w:vAlign w:val="top"/>
          </w:tcPr>
          <w:p w14:paraId="0E859AB7">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877" w:type="dxa"/>
            <w:vAlign w:val="top"/>
          </w:tcPr>
          <w:p w14:paraId="049B0C87">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昼间</w:t>
            </w:r>
          </w:p>
        </w:tc>
        <w:tc>
          <w:tcPr>
            <w:tcW w:w="1867" w:type="dxa"/>
            <w:vAlign w:val="top"/>
          </w:tcPr>
          <w:p w14:paraId="67F524C2">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夜间</w:t>
            </w:r>
          </w:p>
        </w:tc>
        <w:tc>
          <w:tcPr>
            <w:tcW w:w="1832" w:type="dxa"/>
            <w:vMerge w:val="continue"/>
            <w:vAlign w:val="top"/>
          </w:tcPr>
          <w:p w14:paraId="709CA5B0">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p>
        </w:tc>
      </w:tr>
      <w:tr w14:paraId="75A45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090" w:type="dxa"/>
            <w:vAlign w:val="top"/>
          </w:tcPr>
          <w:p w14:paraId="3761D08A">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w:t>
            </w:r>
          </w:p>
        </w:tc>
        <w:tc>
          <w:tcPr>
            <w:tcW w:w="2192" w:type="dxa"/>
            <w:vAlign w:val="top"/>
          </w:tcPr>
          <w:p w14:paraId="1A35C0AE">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1#东侧厂界</w:t>
            </w:r>
          </w:p>
        </w:tc>
        <w:tc>
          <w:tcPr>
            <w:tcW w:w="1877" w:type="dxa"/>
            <w:vAlign w:val="top"/>
          </w:tcPr>
          <w:p w14:paraId="389DB5D5">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55</w:t>
            </w:r>
          </w:p>
        </w:tc>
        <w:tc>
          <w:tcPr>
            <w:tcW w:w="1867" w:type="dxa"/>
            <w:vAlign w:val="top"/>
          </w:tcPr>
          <w:p w14:paraId="5E0A811E">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46</w:t>
            </w:r>
          </w:p>
        </w:tc>
        <w:tc>
          <w:tcPr>
            <w:tcW w:w="1832" w:type="dxa"/>
            <w:vAlign w:val="top"/>
          </w:tcPr>
          <w:p w14:paraId="3FE5E60E">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dB(A)</w:t>
            </w:r>
          </w:p>
        </w:tc>
      </w:tr>
      <w:tr w14:paraId="579E8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090" w:type="dxa"/>
            <w:vAlign w:val="top"/>
          </w:tcPr>
          <w:p w14:paraId="41572CFE">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w:t>
            </w:r>
          </w:p>
        </w:tc>
        <w:tc>
          <w:tcPr>
            <w:tcW w:w="2192" w:type="dxa"/>
            <w:vAlign w:val="top"/>
          </w:tcPr>
          <w:p w14:paraId="69235A88">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2#南侧厂界</w:t>
            </w:r>
          </w:p>
        </w:tc>
        <w:tc>
          <w:tcPr>
            <w:tcW w:w="1877" w:type="dxa"/>
            <w:vAlign w:val="top"/>
          </w:tcPr>
          <w:p w14:paraId="5175D985">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56</w:t>
            </w:r>
          </w:p>
        </w:tc>
        <w:tc>
          <w:tcPr>
            <w:tcW w:w="1867" w:type="dxa"/>
            <w:vAlign w:val="top"/>
          </w:tcPr>
          <w:p w14:paraId="221B6888">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46</w:t>
            </w:r>
          </w:p>
        </w:tc>
        <w:tc>
          <w:tcPr>
            <w:tcW w:w="1832" w:type="dxa"/>
            <w:vAlign w:val="top"/>
          </w:tcPr>
          <w:p w14:paraId="63BCC5D9">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dB(A)</w:t>
            </w:r>
          </w:p>
        </w:tc>
      </w:tr>
      <w:tr w14:paraId="5B472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090" w:type="dxa"/>
            <w:vAlign w:val="top"/>
          </w:tcPr>
          <w:p w14:paraId="6ACFC846">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3</w:t>
            </w:r>
          </w:p>
        </w:tc>
        <w:tc>
          <w:tcPr>
            <w:tcW w:w="2192" w:type="dxa"/>
            <w:vAlign w:val="top"/>
          </w:tcPr>
          <w:p w14:paraId="4DC7F667">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3#西侧厂界</w:t>
            </w:r>
          </w:p>
        </w:tc>
        <w:tc>
          <w:tcPr>
            <w:tcW w:w="1877" w:type="dxa"/>
            <w:vAlign w:val="top"/>
          </w:tcPr>
          <w:p w14:paraId="646CA84A">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57</w:t>
            </w:r>
          </w:p>
        </w:tc>
        <w:tc>
          <w:tcPr>
            <w:tcW w:w="1867" w:type="dxa"/>
            <w:vAlign w:val="top"/>
          </w:tcPr>
          <w:p w14:paraId="290CFC89">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45</w:t>
            </w:r>
          </w:p>
        </w:tc>
        <w:tc>
          <w:tcPr>
            <w:tcW w:w="1832" w:type="dxa"/>
            <w:vAlign w:val="top"/>
          </w:tcPr>
          <w:p w14:paraId="327AF84A">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dB(A)</w:t>
            </w:r>
          </w:p>
        </w:tc>
      </w:tr>
      <w:tr w14:paraId="4CD5F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atLeast"/>
        </w:trPr>
        <w:tc>
          <w:tcPr>
            <w:tcW w:w="1090" w:type="dxa"/>
            <w:vAlign w:val="top"/>
          </w:tcPr>
          <w:p w14:paraId="25D6B96C">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w:t>
            </w:r>
          </w:p>
        </w:tc>
        <w:tc>
          <w:tcPr>
            <w:tcW w:w="2192" w:type="dxa"/>
            <w:vAlign w:val="top"/>
          </w:tcPr>
          <w:p w14:paraId="75F2D6A3">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4#北侧厂界</w:t>
            </w:r>
          </w:p>
        </w:tc>
        <w:tc>
          <w:tcPr>
            <w:tcW w:w="1877" w:type="dxa"/>
            <w:vAlign w:val="top"/>
          </w:tcPr>
          <w:p w14:paraId="729F52AE">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55</w:t>
            </w:r>
          </w:p>
        </w:tc>
        <w:tc>
          <w:tcPr>
            <w:tcW w:w="1867" w:type="dxa"/>
            <w:vAlign w:val="top"/>
          </w:tcPr>
          <w:p w14:paraId="0A6CC088">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45</w:t>
            </w:r>
          </w:p>
        </w:tc>
        <w:tc>
          <w:tcPr>
            <w:tcW w:w="1832" w:type="dxa"/>
            <w:vAlign w:val="top"/>
          </w:tcPr>
          <w:p w14:paraId="51B716C0">
            <w:pPr>
              <w:jc w:val="center"/>
              <w:rPr>
                <w:rFonts w:hint="eastAsia"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dB(A)</w:t>
            </w:r>
          </w:p>
        </w:tc>
      </w:tr>
    </w:tbl>
    <w:p w14:paraId="20115F96">
      <w:pPr>
        <w:spacing w:line="360" w:lineRule="auto"/>
        <w:ind w:firstLine="480" w:firstLineChars="200"/>
        <w:rPr>
          <w:rFonts w:hint="eastAsia" w:ascii="Times New Roman" w:hAnsi="Times New Roman" w:eastAsia="宋体" w:cs="Times New Roman"/>
          <w:color w:val="000000" w:themeColor="text1"/>
          <w:sz w:val="24"/>
          <w:lang w:val="zh-CN" w:eastAsia="zh-CN"/>
          <w14:textFill>
            <w14:solidFill>
              <w14:schemeClr w14:val="tx1"/>
            </w14:solidFill>
          </w14:textFill>
        </w:rPr>
      </w:pPr>
      <w:r>
        <w:rPr>
          <w:rFonts w:hint="eastAsia" w:ascii="Times New Roman" w:hAnsi="Times New Roman" w:eastAsia="宋体" w:cs="Times New Roman"/>
          <w:color w:val="000000" w:themeColor="text1"/>
          <w:sz w:val="24"/>
          <w:lang w:val="zh-CN" w:eastAsia="zh-CN"/>
          <w14:textFill>
            <w14:solidFill>
              <w14:schemeClr w14:val="tx1"/>
            </w14:solidFill>
          </w14:textFill>
        </w:rPr>
        <w:t>根据</w:t>
      </w:r>
      <w:r>
        <w:rPr>
          <w:rFonts w:hint="eastAsia" w:ascii="Times New Roman" w:hAnsi="Times New Roman" w:cs="Times New Roman"/>
          <w:color w:val="000000" w:themeColor="text1"/>
          <w:sz w:val="24"/>
          <w:lang w:val="en-US" w:eastAsia="zh-CN"/>
          <w14:textFill>
            <w14:solidFill>
              <w14:schemeClr w14:val="tx1"/>
            </w14:solidFill>
          </w14:textFill>
        </w:rPr>
        <w:t>例行</w:t>
      </w:r>
      <w:r>
        <w:rPr>
          <w:rFonts w:hint="eastAsia" w:ascii="Times New Roman" w:hAnsi="Times New Roman" w:eastAsia="宋体" w:cs="Times New Roman"/>
          <w:color w:val="000000" w:themeColor="text1"/>
          <w:sz w:val="24"/>
          <w:lang w:val="zh-CN" w:eastAsia="zh-CN"/>
          <w14:textFill>
            <w14:solidFill>
              <w14:schemeClr w14:val="tx1"/>
            </w14:solidFill>
          </w14:textFill>
        </w:rPr>
        <w:t>监测结果可知，</w:t>
      </w:r>
      <w:r>
        <w:rPr>
          <w:rFonts w:hint="eastAsia" w:ascii="Times New Roman" w:hAnsi="Times New Roman" w:eastAsia="宋体" w:cs="Times New Roman"/>
          <w:color w:val="000000" w:themeColor="text1"/>
          <w:sz w:val="24"/>
          <w:lang w:val="en-US" w:eastAsia="zh-CN"/>
          <w14:textFill>
            <w14:solidFill>
              <w14:schemeClr w14:val="tx1"/>
            </w14:solidFill>
          </w14:textFill>
        </w:rPr>
        <w:t>现有工程</w:t>
      </w:r>
      <w:r>
        <w:rPr>
          <w:rFonts w:hint="eastAsia" w:ascii="Times New Roman" w:hAnsi="Times New Roman" w:eastAsia="宋体" w:cs="Times New Roman"/>
          <w:color w:val="000000" w:themeColor="text1"/>
          <w:sz w:val="24"/>
          <w:lang w:val="zh-CN" w:eastAsia="zh-CN"/>
          <w14:textFill>
            <w14:solidFill>
              <w14:schemeClr w14:val="tx1"/>
            </w14:solidFill>
          </w14:textFill>
        </w:rPr>
        <w:t>昼间噪声值为5</w:t>
      </w:r>
      <w:r>
        <w:rPr>
          <w:rFonts w:hint="eastAsia"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lang w:val="zh-CN" w:eastAsia="zh-CN"/>
          <w14:textFill>
            <w14:solidFill>
              <w14:schemeClr w14:val="tx1"/>
            </w14:solidFill>
          </w14:textFill>
        </w:rPr>
        <w:t>~5</w:t>
      </w:r>
      <w:r>
        <w:rPr>
          <w:rFonts w:hint="eastAsia" w:ascii="Times New Roman" w:hAnsi="Times New Roman" w:cs="Times New Roman"/>
          <w:color w:val="000000" w:themeColor="text1"/>
          <w:sz w:val="24"/>
          <w:lang w:val="en-US" w:eastAsia="zh-CN"/>
          <w14:textFill>
            <w14:solidFill>
              <w14:schemeClr w14:val="tx1"/>
            </w14:solidFill>
          </w14:textFill>
        </w:rPr>
        <w:t>7</w:t>
      </w:r>
      <w:r>
        <w:rPr>
          <w:rFonts w:hint="eastAsia" w:ascii="Times New Roman" w:hAnsi="Times New Roman" w:eastAsia="宋体" w:cs="Times New Roman"/>
          <w:color w:val="000000" w:themeColor="text1"/>
          <w:sz w:val="24"/>
          <w:lang w:val="zh-CN" w:eastAsia="zh-CN"/>
          <w14:textFill>
            <w14:solidFill>
              <w14:schemeClr w14:val="tx1"/>
            </w14:solidFill>
          </w14:textFill>
        </w:rPr>
        <w:t>dB(A)，夜间声值为4</w:t>
      </w:r>
      <w:r>
        <w:rPr>
          <w:rFonts w:hint="eastAsia" w:cs="Times New Roman"/>
          <w:color w:val="000000" w:themeColor="text1"/>
          <w:sz w:val="24"/>
          <w:lang w:val="en-US" w:eastAsia="zh-CN"/>
          <w14:textFill>
            <w14:solidFill>
              <w14:schemeClr w14:val="tx1"/>
            </w14:solidFill>
          </w14:textFill>
        </w:rPr>
        <w:t>5</w:t>
      </w:r>
      <w:r>
        <w:rPr>
          <w:rFonts w:hint="eastAsia" w:ascii="Times New Roman" w:hAnsi="Times New Roman" w:eastAsia="宋体" w:cs="Times New Roman"/>
          <w:color w:val="000000" w:themeColor="text1"/>
          <w:sz w:val="24"/>
          <w:lang w:val="zh-CN" w:eastAsia="zh-CN"/>
          <w14:textFill>
            <w14:solidFill>
              <w14:schemeClr w14:val="tx1"/>
            </w14:solidFill>
          </w14:textFill>
        </w:rPr>
        <w:t>~</w:t>
      </w:r>
      <w:r>
        <w:rPr>
          <w:rFonts w:hint="eastAsia" w:cs="Times New Roman"/>
          <w:color w:val="000000" w:themeColor="text1"/>
          <w:sz w:val="24"/>
          <w:lang w:val="en-US" w:eastAsia="zh-CN"/>
          <w14:textFill>
            <w14:solidFill>
              <w14:schemeClr w14:val="tx1"/>
            </w14:solidFill>
          </w14:textFill>
        </w:rPr>
        <w:t>46</w:t>
      </w:r>
      <w:r>
        <w:rPr>
          <w:rFonts w:hint="eastAsia" w:ascii="Times New Roman" w:hAnsi="Times New Roman" w:eastAsia="宋体" w:cs="Times New Roman"/>
          <w:color w:val="000000" w:themeColor="text1"/>
          <w:sz w:val="24"/>
          <w:lang w:val="zh-CN" w:eastAsia="zh-CN"/>
          <w14:textFill>
            <w14:solidFill>
              <w14:schemeClr w14:val="tx1"/>
            </w14:solidFill>
          </w14:textFill>
        </w:rPr>
        <w:t>dB(A)</w:t>
      </w:r>
      <w:r>
        <w:rPr>
          <w:rFonts w:hint="eastAsia" w:cs="Times New Roman"/>
          <w:color w:val="000000" w:themeColor="text1"/>
          <w:sz w:val="24"/>
          <w:lang w:val="zh-CN" w:eastAsia="zh-CN"/>
          <w14:textFill>
            <w14:solidFill>
              <w14:schemeClr w14:val="tx1"/>
            </w14:solidFill>
          </w14:textFill>
        </w:rPr>
        <w:t>；</w:t>
      </w:r>
      <w:r>
        <w:rPr>
          <w:rFonts w:hint="eastAsia" w:ascii="Times New Roman" w:hAnsi="Times New Roman" w:eastAsia="宋体" w:cs="Times New Roman"/>
          <w:color w:val="000000" w:themeColor="text1"/>
          <w:sz w:val="24"/>
          <w:lang w:val="zh-CN" w:eastAsia="zh-CN"/>
          <w14:textFill>
            <w14:solidFill>
              <w14:schemeClr w14:val="tx1"/>
            </w14:solidFill>
          </w14:textFill>
        </w:rPr>
        <w:t>满足《工业企业厂界环境噪声排放标准》(GB12348-2008)中的</w:t>
      </w:r>
      <w:r>
        <w:rPr>
          <w:rFonts w:hint="eastAsia" w:ascii="Times New Roman" w:hAnsi="Times New Roman" w:cs="Times New Roman"/>
          <w:color w:val="000000" w:themeColor="text1"/>
          <w:sz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lang w:val="zh-CN" w:eastAsia="zh-CN"/>
          <w14:textFill>
            <w14:solidFill>
              <w14:schemeClr w14:val="tx1"/>
            </w14:solidFill>
          </w14:textFill>
        </w:rPr>
        <w:t>类标准限值要求。</w:t>
      </w:r>
    </w:p>
    <w:p w14:paraId="1DCBD3CF">
      <w:pPr>
        <w:pStyle w:val="5"/>
      </w:pPr>
      <w:r>
        <w:rPr>
          <w:rFonts w:hint="eastAsia" w:eastAsia="宋体"/>
          <w:lang w:eastAsia="zh-CN"/>
        </w:rPr>
        <w:t>3.1.3</w:t>
      </w:r>
      <w:r>
        <w:t>.4固体废物处置情况</w:t>
      </w:r>
    </w:p>
    <w:p w14:paraId="20D810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玉米皮等杂质和生活垃圾统一收集后由天津四季环保科技有限公司黑龙江省分公司处理；污水处理站污泥掺混入燃煤进入锅炉燃烧；废活性炭、废树脂、釜渣（塔底废物）、化验室废液和污水处理站在线监测废液属于危险废物，暂存在</w:t>
      </w:r>
      <w:r>
        <w:rPr>
          <w:rFonts w:hint="eastAsia" w:cs="Times New Roman"/>
          <w:color w:val="auto"/>
          <w:lang w:val="en-US" w:eastAsia="zh-CN"/>
        </w:rPr>
        <w:t>危险废物贮存间</w:t>
      </w:r>
      <w:r>
        <w:rPr>
          <w:rFonts w:hint="eastAsia" w:ascii="Times New Roman" w:hAnsi="Times New Roman" w:eastAsia="宋体" w:cs="Times New Roman"/>
          <w:color w:val="auto"/>
          <w:lang w:val="en-US" w:eastAsia="zh-CN"/>
        </w:rPr>
        <w:t>后交由黑龙江天爱优创科技有限公司处置。沼气净化用脱硫剂由长葛市万通催化剂有限公司回收。</w:t>
      </w:r>
      <w:r>
        <w:rPr>
          <w:rFonts w:hint="default" w:ascii="Times New Roman" w:hAnsi="Times New Roman" w:eastAsia="宋体" w:cs="Times New Roman"/>
          <w:color w:val="auto"/>
          <w:lang w:val="en-US" w:eastAsia="zh-CN"/>
        </w:rPr>
        <w:t>综上分析，本项目产生的固体废物处置率达100%，运营期加强管理，固废暂存设施采取防雨、防渗、防漏等措施后，不会对环境产生危害影响。</w:t>
      </w:r>
    </w:p>
    <w:p w14:paraId="5A257CE6">
      <w:pPr>
        <w:pStyle w:val="486"/>
        <w:spacing w:line="360" w:lineRule="auto"/>
        <w:ind w:firstLine="500"/>
        <w:jc w:val="left"/>
        <w:rPr>
          <w:rFonts w:hint="eastAsia" w:ascii="Times New Roman" w:hAnsi="Times New Roman" w:eastAsia="Times New Roman" w:cs="Times New Roman"/>
          <w:color w:val="auto"/>
          <w:lang w:val="en-US" w:eastAsia="zh-CN"/>
        </w:rPr>
      </w:pPr>
      <w:r>
        <w:rPr>
          <w:rFonts w:hint="eastAsia" w:ascii="Times New Roman" w:hAnsi="Times New Roman" w:eastAsia="Times New Roman" w:cs="Times New Roman"/>
          <w:color w:val="auto"/>
          <w:lang w:val="en-US" w:eastAsia="zh-CN"/>
        </w:rPr>
        <w:t>该危险废物贮存间按照《危险废物贮存污染控制标准》（GB18597及其修改单）要求建设。根据《齐齐哈尔市生态环境局关于关于黑龙江鸿展生物科技股份有限公司年200万吨玉米深加工项目固体废物污染防治设施竣工环境保护分期验收合格的函》（齐环行审〔2019〕78号），该危废贮存间已通过竣工环境保护验收。本项目依托的危废贮存间的贮存能力能够满足本项目危险废物的贮存要求。</w:t>
      </w:r>
    </w:p>
    <w:bookmarkEnd w:id="184"/>
    <w:p w14:paraId="2621F112">
      <w:pPr>
        <w:pStyle w:val="5"/>
        <w:rPr>
          <w:rFonts w:hint="default" w:eastAsia="宋体"/>
          <w:color w:val="000000" w:themeColor="text1"/>
          <w:szCs w:val="26"/>
          <w:lang w:val="en-US" w:eastAsia="zh-CN"/>
          <w14:textFill>
            <w14:solidFill>
              <w14:schemeClr w14:val="tx1"/>
            </w14:solidFill>
          </w14:textFill>
        </w:rPr>
      </w:pPr>
      <w:bookmarkStart w:id="185" w:name="bookmark208"/>
      <w:bookmarkStart w:id="186" w:name="bookmark207"/>
      <w:bookmarkStart w:id="187" w:name="bookmark209"/>
      <w:r>
        <w:rPr>
          <w:rFonts w:hint="eastAsia" w:eastAsia="宋体"/>
          <w:color w:val="000000" w:themeColor="text1"/>
          <w:lang w:val="en-US" w:eastAsia="zh-CN"/>
          <w14:textFill>
            <w14:solidFill>
              <w14:schemeClr w14:val="tx1"/>
            </w14:solidFill>
          </w14:textFill>
        </w:rPr>
        <w:t>3.1.3.5</w:t>
      </w:r>
      <w:r>
        <w:rPr>
          <w:rFonts w:hint="eastAsia" w:eastAsia="宋体"/>
          <w:color w:val="000000" w:themeColor="text1"/>
          <w:lang w:eastAsia="zh-CN"/>
          <w14:textFill>
            <w14:solidFill>
              <w14:schemeClr w14:val="tx1"/>
            </w14:solidFill>
          </w14:textFill>
        </w:rPr>
        <w:t>现有工程</w:t>
      </w:r>
      <w:r>
        <w:rPr>
          <w:rFonts w:hint="eastAsia" w:eastAsia="宋体"/>
          <w:color w:val="000000" w:themeColor="text1"/>
          <w:lang w:val="en-US" w:eastAsia="zh-CN"/>
          <w14:textFill>
            <w14:solidFill>
              <w14:schemeClr w14:val="tx1"/>
            </w14:solidFill>
          </w14:textFill>
        </w:rPr>
        <w:t>排污许可制度执行情况</w:t>
      </w:r>
    </w:p>
    <w:p w14:paraId="44032D3A">
      <w:pPr>
        <w:pStyle w:val="486"/>
        <w:spacing w:line="360" w:lineRule="auto"/>
        <w:ind w:firstLine="500"/>
        <w:jc w:val="left"/>
        <w:rPr>
          <w:rFonts w:hint="default" w:ascii="Times New Roman" w:hAnsi="Times New Roman" w:eastAsia="Times New Roman" w:cs="Times New Roman"/>
          <w:color w:val="auto"/>
          <w:lang w:val="en-US" w:eastAsia="zh-CN"/>
        </w:rPr>
      </w:pPr>
      <w:r>
        <w:rPr>
          <w:rFonts w:hint="eastAsia" w:ascii="Times New Roman" w:hAnsi="Times New Roman" w:eastAsia="Times New Roman" w:cs="Times New Roman"/>
          <w:color w:val="auto"/>
          <w:lang w:val="en-US" w:eastAsia="zh-CN"/>
        </w:rPr>
        <w:t>黑龙江鸿展生物科技股份有限公司</w:t>
      </w:r>
      <w:r>
        <w:rPr>
          <w:rFonts w:hint="default" w:ascii="Times New Roman" w:hAnsi="Times New Roman" w:eastAsia="Times New Roman" w:cs="Times New Roman"/>
          <w:color w:val="auto"/>
          <w:lang w:val="en-US" w:eastAsia="zh-CN"/>
        </w:rPr>
        <w:t>于202</w:t>
      </w:r>
      <w:r>
        <w:rPr>
          <w:rFonts w:hint="eastAsia" w:ascii="Times New Roman" w:hAnsi="Times New Roman" w:eastAsia="Times New Roman" w:cs="Times New Roman"/>
          <w:color w:val="auto"/>
          <w:lang w:val="en-US" w:eastAsia="zh-CN"/>
        </w:rPr>
        <w:t>5</w:t>
      </w:r>
      <w:r>
        <w:rPr>
          <w:rFonts w:hint="default" w:ascii="Times New Roman" w:hAnsi="Times New Roman" w:eastAsia="Times New Roman" w:cs="Times New Roman"/>
          <w:color w:val="auto"/>
          <w:lang w:val="en-US" w:eastAsia="zh-CN"/>
        </w:rPr>
        <w:t>年</w:t>
      </w:r>
      <w:r>
        <w:rPr>
          <w:rFonts w:hint="eastAsia" w:ascii="Times New Roman" w:hAnsi="Times New Roman" w:eastAsia="Times New Roman" w:cs="Times New Roman"/>
          <w:color w:val="auto"/>
          <w:lang w:val="en-US" w:eastAsia="zh-CN"/>
        </w:rPr>
        <w:t>04</w:t>
      </w:r>
      <w:r>
        <w:rPr>
          <w:rFonts w:hint="default" w:ascii="Times New Roman" w:hAnsi="Times New Roman" w:eastAsia="Times New Roman" w:cs="Times New Roman"/>
          <w:color w:val="auto"/>
          <w:lang w:val="en-US" w:eastAsia="zh-CN"/>
        </w:rPr>
        <w:t>月</w:t>
      </w:r>
      <w:r>
        <w:rPr>
          <w:rFonts w:hint="eastAsia" w:ascii="Times New Roman" w:hAnsi="Times New Roman" w:eastAsia="Times New Roman" w:cs="Times New Roman"/>
          <w:color w:val="auto"/>
          <w:lang w:val="en-US" w:eastAsia="zh-CN"/>
        </w:rPr>
        <w:t>10</w:t>
      </w:r>
      <w:r>
        <w:rPr>
          <w:rFonts w:hint="default" w:ascii="Times New Roman" w:hAnsi="Times New Roman" w:eastAsia="Times New Roman" w:cs="Times New Roman"/>
          <w:color w:val="auto"/>
          <w:lang w:val="en-US" w:eastAsia="zh-CN"/>
        </w:rPr>
        <w:t>日</w:t>
      </w:r>
      <w:r>
        <w:rPr>
          <w:rFonts w:hint="eastAsia" w:ascii="Times New Roman" w:hAnsi="Times New Roman" w:eastAsia="Times New Roman" w:cs="Times New Roman"/>
          <w:color w:val="auto"/>
          <w:lang w:val="en-US" w:eastAsia="zh-CN"/>
        </w:rPr>
        <w:t>变更</w:t>
      </w:r>
      <w:r>
        <w:rPr>
          <w:rFonts w:hint="default" w:ascii="Times New Roman" w:hAnsi="Times New Roman" w:eastAsia="Times New Roman" w:cs="Times New Roman"/>
          <w:color w:val="auto"/>
          <w:lang w:val="en-US" w:eastAsia="zh-CN"/>
        </w:rPr>
        <w:t>了排污许可证（见附件</w:t>
      </w:r>
      <w:r>
        <w:rPr>
          <w:rFonts w:hint="eastAsia" w:ascii="Times New Roman" w:hAnsi="Times New Roman" w:eastAsia="Times New Roman" w:cs="Times New Roman"/>
          <w:color w:val="auto"/>
          <w:lang w:val="en-US" w:eastAsia="zh-CN"/>
        </w:rPr>
        <w:t>5</w:t>
      </w:r>
      <w:r>
        <w:rPr>
          <w:rFonts w:hint="default" w:ascii="Times New Roman" w:hAnsi="Times New Roman" w:eastAsia="Times New Roman" w:cs="Times New Roman"/>
          <w:color w:val="auto"/>
          <w:lang w:val="en-US" w:eastAsia="zh-CN"/>
        </w:rPr>
        <w:t>），证书编号：</w:t>
      </w:r>
      <w:r>
        <w:rPr>
          <w:rFonts w:hint="eastAsia" w:ascii="Times New Roman" w:hAnsi="Times New Roman" w:cs="Times New Roman"/>
          <w:color w:val="auto"/>
          <w:lang w:eastAsia="zh-CN"/>
        </w:rPr>
        <w:t>91230200MA1977NW21001U</w:t>
      </w:r>
      <w:r>
        <w:rPr>
          <w:rFonts w:hint="default" w:ascii="Times New Roman" w:hAnsi="Times New Roman" w:eastAsia="Times New Roman" w:cs="Times New Roman"/>
          <w:color w:val="auto"/>
          <w:lang w:val="en-US" w:eastAsia="zh-CN"/>
        </w:rPr>
        <w:t>（有效期自202</w:t>
      </w:r>
      <w:r>
        <w:rPr>
          <w:rFonts w:hint="eastAsia" w:ascii="Times New Roman" w:hAnsi="Times New Roman" w:eastAsia="Times New Roman" w:cs="Times New Roman"/>
          <w:color w:val="auto"/>
          <w:lang w:val="en-US" w:eastAsia="zh-CN"/>
        </w:rPr>
        <w:t>5</w:t>
      </w:r>
      <w:r>
        <w:rPr>
          <w:rFonts w:hint="default" w:ascii="Times New Roman" w:hAnsi="Times New Roman" w:eastAsia="Times New Roman" w:cs="Times New Roman"/>
          <w:color w:val="auto"/>
          <w:lang w:val="en-US" w:eastAsia="zh-CN"/>
        </w:rPr>
        <w:t>年0</w:t>
      </w:r>
      <w:r>
        <w:rPr>
          <w:rFonts w:hint="eastAsia" w:ascii="Times New Roman" w:hAnsi="Times New Roman" w:eastAsia="Times New Roman" w:cs="Times New Roman"/>
          <w:color w:val="auto"/>
          <w:lang w:val="en-US" w:eastAsia="zh-CN"/>
        </w:rPr>
        <w:t>3</w:t>
      </w:r>
      <w:r>
        <w:rPr>
          <w:rFonts w:hint="default" w:ascii="Times New Roman" w:hAnsi="Times New Roman" w:eastAsia="Times New Roman" w:cs="Times New Roman"/>
          <w:color w:val="auto"/>
          <w:lang w:val="en-US" w:eastAsia="zh-CN"/>
        </w:rPr>
        <w:t>月</w:t>
      </w:r>
      <w:r>
        <w:rPr>
          <w:rFonts w:hint="eastAsia" w:ascii="Times New Roman" w:hAnsi="Times New Roman" w:eastAsia="Times New Roman" w:cs="Times New Roman"/>
          <w:color w:val="auto"/>
          <w:lang w:val="en-US" w:eastAsia="zh-CN"/>
        </w:rPr>
        <w:t>24</w:t>
      </w:r>
      <w:r>
        <w:rPr>
          <w:rFonts w:hint="default" w:ascii="Times New Roman" w:hAnsi="Times New Roman" w:eastAsia="Times New Roman" w:cs="Times New Roman"/>
          <w:color w:val="auto"/>
          <w:lang w:val="en-US" w:eastAsia="zh-CN"/>
        </w:rPr>
        <w:t>日起至20</w:t>
      </w:r>
      <w:r>
        <w:rPr>
          <w:rFonts w:hint="eastAsia" w:ascii="Times New Roman" w:hAnsi="Times New Roman" w:eastAsia="Times New Roman" w:cs="Times New Roman"/>
          <w:color w:val="auto"/>
          <w:lang w:val="en-US" w:eastAsia="zh-CN"/>
        </w:rPr>
        <w:t>30</w:t>
      </w:r>
      <w:r>
        <w:rPr>
          <w:rFonts w:hint="default" w:ascii="Times New Roman" w:hAnsi="Times New Roman" w:eastAsia="Times New Roman" w:cs="Times New Roman"/>
          <w:color w:val="auto"/>
          <w:lang w:val="en-US" w:eastAsia="zh-CN"/>
        </w:rPr>
        <w:t>年0</w:t>
      </w:r>
      <w:r>
        <w:rPr>
          <w:rFonts w:hint="eastAsia" w:ascii="Times New Roman" w:hAnsi="Times New Roman" w:eastAsia="Times New Roman" w:cs="Times New Roman"/>
          <w:color w:val="auto"/>
          <w:lang w:val="en-US" w:eastAsia="zh-CN"/>
        </w:rPr>
        <w:t>3</w:t>
      </w:r>
      <w:r>
        <w:rPr>
          <w:rFonts w:hint="default" w:ascii="Times New Roman" w:hAnsi="Times New Roman" w:eastAsia="Times New Roman" w:cs="Times New Roman"/>
          <w:color w:val="auto"/>
          <w:lang w:val="en-US" w:eastAsia="zh-CN"/>
        </w:rPr>
        <w:t>月</w:t>
      </w:r>
      <w:r>
        <w:rPr>
          <w:rFonts w:hint="eastAsia" w:ascii="Times New Roman" w:hAnsi="Times New Roman" w:eastAsia="Times New Roman" w:cs="Times New Roman"/>
          <w:color w:val="auto"/>
          <w:lang w:val="en-US" w:eastAsia="zh-CN"/>
        </w:rPr>
        <w:t>23</w:t>
      </w:r>
      <w:r>
        <w:rPr>
          <w:rFonts w:hint="default" w:ascii="Times New Roman" w:hAnsi="Times New Roman" w:eastAsia="Times New Roman" w:cs="Times New Roman"/>
          <w:color w:val="auto"/>
          <w:lang w:val="en-US" w:eastAsia="zh-CN"/>
        </w:rPr>
        <w:t>日止）。企业按时开展自行监测，填报完成了排污许可执行报告季报及年报，建立了环境管理台账。</w:t>
      </w:r>
    </w:p>
    <w:p w14:paraId="68FCAC49">
      <w:pPr>
        <w:ind w:firstLine="0" w:firstLineChars="0"/>
        <w:jc w:val="center"/>
      </w:pPr>
      <w:r>
        <w:drawing>
          <wp:inline distT="0" distB="0" distL="114300" distR="114300">
            <wp:extent cx="5892165" cy="2651125"/>
            <wp:effectExtent l="0" t="0" r="13335" b="15875"/>
            <wp:docPr id="6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
                    <pic:cNvPicPr>
                      <a:picLocks noChangeAspect="1"/>
                    </pic:cNvPicPr>
                  </pic:nvPicPr>
                  <pic:blipFill>
                    <a:blip r:embed="rId54"/>
                    <a:stretch>
                      <a:fillRect/>
                    </a:stretch>
                  </pic:blipFill>
                  <pic:spPr>
                    <a:xfrm>
                      <a:off x="0" y="0"/>
                      <a:ext cx="5892165" cy="2651125"/>
                    </a:xfrm>
                    <a:prstGeom prst="rect">
                      <a:avLst/>
                    </a:prstGeom>
                    <a:noFill/>
                    <a:ln>
                      <a:noFill/>
                    </a:ln>
                  </pic:spPr>
                </pic:pic>
              </a:graphicData>
            </a:graphic>
          </wp:inline>
        </w:drawing>
      </w:r>
      <w:r>
        <w:drawing>
          <wp:inline distT="0" distB="0" distL="114300" distR="114300">
            <wp:extent cx="5902325" cy="2214880"/>
            <wp:effectExtent l="0" t="0" r="3175" b="13970"/>
            <wp:docPr id="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1"/>
                    <pic:cNvPicPr>
                      <a:picLocks noChangeAspect="1"/>
                    </pic:cNvPicPr>
                  </pic:nvPicPr>
                  <pic:blipFill>
                    <a:blip r:embed="rId55"/>
                    <a:stretch>
                      <a:fillRect/>
                    </a:stretch>
                  </pic:blipFill>
                  <pic:spPr>
                    <a:xfrm>
                      <a:off x="0" y="0"/>
                      <a:ext cx="5902325" cy="2214880"/>
                    </a:xfrm>
                    <a:prstGeom prst="rect">
                      <a:avLst/>
                    </a:prstGeom>
                    <a:noFill/>
                    <a:ln>
                      <a:noFill/>
                    </a:ln>
                  </pic:spPr>
                </pic:pic>
              </a:graphicData>
            </a:graphic>
          </wp:inline>
        </w:drawing>
      </w:r>
    </w:p>
    <w:p w14:paraId="659ABECD">
      <w:pPr>
        <w:rPr>
          <w:rFonts w:hint="default"/>
        </w:rPr>
      </w:pPr>
      <w:r>
        <w:drawing>
          <wp:inline distT="0" distB="0" distL="114300" distR="114300">
            <wp:extent cx="5904230" cy="1557655"/>
            <wp:effectExtent l="0" t="0" r="1270" b="4445"/>
            <wp:docPr id="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2"/>
                    <pic:cNvPicPr>
                      <a:picLocks noChangeAspect="1"/>
                    </pic:cNvPicPr>
                  </pic:nvPicPr>
                  <pic:blipFill>
                    <a:blip r:embed="rId56"/>
                    <a:stretch>
                      <a:fillRect/>
                    </a:stretch>
                  </pic:blipFill>
                  <pic:spPr>
                    <a:xfrm>
                      <a:off x="0" y="0"/>
                      <a:ext cx="5904230" cy="1557655"/>
                    </a:xfrm>
                    <a:prstGeom prst="rect">
                      <a:avLst/>
                    </a:prstGeom>
                    <a:noFill/>
                    <a:ln>
                      <a:noFill/>
                    </a:ln>
                  </pic:spPr>
                </pic:pic>
              </a:graphicData>
            </a:graphic>
          </wp:inline>
        </w:drawing>
      </w:r>
    </w:p>
    <w:p w14:paraId="04622D4E">
      <w:pPr>
        <w:ind w:firstLine="0" w:firstLineChars="0"/>
        <w:jc w:val="center"/>
        <w:rPr>
          <w:rFonts w:hint="eastAsia" w:eastAsia="宋体"/>
          <w:lang w:eastAsia="zh-CN"/>
        </w:rPr>
      </w:pPr>
      <w:r>
        <w:rPr>
          <w:rFonts w:hint="default" w:ascii="Times New Roman" w:hAnsi="Times New Roman" w:cs="Times New Roman"/>
          <w:b/>
          <w:bCs/>
          <w:color w:val="000000" w:themeColor="text1"/>
          <w:highlight w:val="none"/>
          <w14:textFill>
            <w14:solidFill>
              <w14:schemeClr w14:val="tx1"/>
            </w14:solidFill>
          </w14:textFill>
        </w:rPr>
        <w:t>图3</w:t>
      </w:r>
      <w:r>
        <w:rPr>
          <w:rFonts w:hint="eastAsia" w:cs="Times New Roman"/>
          <w:b/>
          <w:bCs/>
          <w:color w:val="000000" w:themeColor="text1"/>
          <w:highlight w:val="none"/>
          <w:lang w:val="en-US" w:eastAsia="zh-CN"/>
          <w14:textFill>
            <w14:solidFill>
              <w14:schemeClr w14:val="tx1"/>
            </w14:solidFill>
          </w14:textFill>
        </w:rPr>
        <w:t>.</w:t>
      </w:r>
      <w:r>
        <w:rPr>
          <w:rFonts w:hint="default" w:ascii="Times New Roman" w:hAnsi="Times New Roman" w:cs="Times New Roman"/>
          <w:b/>
          <w:bCs/>
          <w:color w:val="000000" w:themeColor="text1"/>
          <w:highlight w:val="none"/>
          <w14:textFill>
            <w14:solidFill>
              <w14:schemeClr w14:val="tx1"/>
            </w14:solidFill>
          </w14:textFill>
        </w:rPr>
        <w:t>1-</w:t>
      </w:r>
      <w:r>
        <w:rPr>
          <w:rFonts w:hint="eastAsia" w:cs="Times New Roman"/>
          <w:b/>
          <w:bCs/>
          <w:color w:val="000000" w:themeColor="text1"/>
          <w:highlight w:val="none"/>
          <w:lang w:val="en-US" w:eastAsia="zh-CN"/>
          <w14:textFill>
            <w14:solidFill>
              <w14:schemeClr w14:val="tx1"/>
            </w14:solidFill>
          </w14:textFill>
        </w:rPr>
        <w:t>1</w:t>
      </w:r>
      <w:r>
        <w:rPr>
          <w:rFonts w:hint="default" w:ascii="Times New Roman" w:hAnsi="Times New Roman" w:eastAsia="黑体" w:cs="Times New Roman"/>
          <w:color w:val="000000" w:themeColor="text1"/>
          <w:spacing w:val="-3"/>
          <w:highlight w:val="none"/>
          <w14:textFill>
            <w14:solidFill>
              <w14:schemeClr w14:val="tx1"/>
            </w14:solidFill>
          </w14:textFill>
        </w:rPr>
        <w:t xml:space="preserve"> </w:t>
      </w:r>
      <w:r>
        <w:rPr>
          <w:rFonts w:hint="default" w:ascii="Times New Roman" w:hAnsi="Times New Roman" w:eastAsia="Times New Roman" w:cs="Times New Roman"/>
          <w:color w:val="000000" w:themeColor="text1"/>
          <w:spacing w:val="-3"/>
          <w:highlight w:val="none"/>
          <w14:textFill>
            <w14:solidFill>
              <w14:schemeClr w14:val="tx1"/>
            </w14:solidFill>
          </w14:textFill>
        </w:rPr>
        <w:t xml:space="preserve"> </w:t>
      </w:r>
      <w:r>
        <w:rPr>
          <w:rFonts w:hint="default" w:ascii="Times New Roman" w:hAnsi="Times New Roman" w:cs="Times New Roman"/>
          <w:b/>
          <w:bCs/>
          <w:color w:val="000000" w:themeColor="text1"/>
          <w:highlight w:val="none"/>
          <w14:textFill>
            <w14:solidFill>
              <w14:schemeClr w14:val="tx1"/>
            </w14:solidFill>
          </w14:textFill>
        </w:rPr>
        <w:t>执行报告截图</w:t>
      </w:r>
    </w:p>
    <w:p w14:paraId="471DAAF3">
      <w:pPr>
        <w:pStyle w:val="5"/>
        <w:rPr>
          <w:szCs w:val="26"/>
        </w:rPr>
      </w:pPr>
      <w:r>
        <w:rPr>
          <w:rFonts w:hint="eastAsia" w:eastAsia="宋体"/>
          <w:lang w:eastAsia="zh-CN"/>
        </w:rPr>
        <w:t>3.1.3</w:t>
      </w:r>
      <w:r>
        <w:t>.</w:t>
      </w:r>
      <w:r>
        <w:rPr>
          <w:rFonts w:hint="eastAsia" w:eastAsia="宋体"/>
          <w:lang w:val="en-US" w:eastAsia="zh-CN"/>
        </w:rPr>
        <w:t>6</w:t>
      </w:r>
      <w:r>
        <w:rPr>
          <w:rFonts w:hint="eastAsia" w:eastAsia="宋体"/>
        </w:rPr>
        <w:t>原有</w:t>
      </w:r>
      <w:r>
        <w:t>项目现状排放总量的统计</w:t>
      </w:r>
      <w:bookmarkEnd w:id="185"/>
      <w:bookmarkEnd w:id="186"/>
      <w:bookmarkEnd w:id="187"/>
    </w:p>
    <w:p w14:paraId="5F37B312">
      <w:pPr>
        <w:pStyle w:val="486"/>
        <w:spacing w:line="360" w:lineRule="auto"/>
        <w:ind w:firstLine="500"/>
        <w:jc w:val="left"/>
        <w:rPr>
          <w:rFonts w:hint="default" w:ascii="Times New Roman" w:hAnsi="Times New Roman" w:eastAsia="宋体" w:cs="Times New Roman"/>
          <w:color w:val="auto"/>
          <w:lang w:eastAsia="zh-CN"/>
        </w:rPr>
      </w:pPr>
      <w:r>
        <w:rPr>
          <w:rFonts w:hint="default" w:ascii="Times New Roman" w:hAnsi="Times New Roman" w:eastAsia="宋体" w:cs="Times New Roman"/>
          <w:lang w:val="en-US" w:eastAsia="zh-CN"/>
        </w:rPr>
        <w:t>排污许可证申请总量：</w:t>
      </w:r>
      <w:r>
        <w:rPr>
          <w:rFonts w:hint="default" w:ascii="Times New Roman" w:hAnsi="Times New Roman" w:eastAsia="宋体" w:cs="Times New Roman"/>
          <w:color w:val="auto"/>
        </w:rPr>
        <w:t>COD</w:t>
      </w:r>
      <w:r>
        <w:rPr>
          <w:rFonts w:hint="eastAsia" w:ascii="Times New Roman" w:hAnsi="Times New Roman" w:cs="Times New Roman"/>
          <w:color w:val="auto"/>
          <w:lang w:val="en-US" w:eastAsia="zh-CN"/>
        </w:rPr>
        <w:t>160</w:t>
      </w:r>
      <w:r>
        <w:rPr>
          <w:rFonts w:hint="default" w:ascii="Times New Roman" w:hAnsi="Times New Roman" w:eastAsia="宋体" w:cs="Times New Roman"/>
          <w:color w:val="auto"/>
        </w:rPr>
        <w:t>t/a，氨氮</w:t>
      </w:r>
      <w:r>
        <w:rPr>
          <w:rFonts w:hint="eastAsia" w:ascii="Times New Roman" w:hAnsi="Times New Roman" w:cs="Times New Roman"/>
          <w:color w:val="auto"/>
          <w:lang w:val="en-US" w:eastAsia="zh-CN"/>
        </w:rPr>
        <w:t>25.6</w:t>
      </w:r>
      <w:r>
        <w:rPr>
          <w:rFonts w:hint="default" w:ascii="Times New Roman" w:hAnsi="Times New Roman" w:eastAsia="宋体" w:cs="Times New Roman"/>
          <w:color w:val="auto"/>
        </w:rPr>
        <w:t>t/a、SO</w:t>
      </w:r>
      <w:r>
        <w:rPr>
          <w:rFonts w:hint="default" w:ascii="Times New Roman" w:hAnsi="Times New Roman" w:eastAsia="宋体" w:cs="Times New Roman"/>
          <w:color w:val="auto"/>
          <w:vertAlign w:val="subscript"/>
        </w:rPr>
        <w:t>2</w:t>
      </w:r>
      <w:r>
        <w:rPr>
          <w:rFonts w:hint="eastAsia" w:ascii="Times New Roman" w:hAnsi="Times New Roman" w:cs="Times New Roman"/>
          <w:color w:val="auto"/>
          <w:lang w:val="en-US" w:eastAsia="zh-CN"/>
        </w:rPr>
        <w:t>111.36</w:t>
      </w:r>
      <w:r>
        <w:rPr>
          <w:rFonts w:hint="default" w:ascii="Times New Roman" w:hAnsi="Times New Roman" w:eastAsia="宋体" w:cs="Times New Roman"/>
          <w:color w:val="auto"/>
        </w:rPr>
        <w:t>t/a、NO</w:t>
      </w:r>
      <w:r>
        <w:rPr>
          <w:rFonts w:hint="default" w:ascii="Times New Roman" w:hAnsi="Times New Roman" w:eastAsia="宋体" w:cs="Times New Roman"/>
          <w:color w:val="auto"/>
          <w:vertAlign w:val="subscript"/>
          <w:lang w:val="en-US" w:eastAsia="zh-CN"/>
        </w:rPr>
        <w:t>x</w:t>
      </w:r>
      <w:r>
        <w:rPr>
          <w:rFonts w:hint="eastAsia" w:ascii="Times New Roman" w:hAnsi="Times New Roman" w:cs="Times New Roman"/>
          <w:color w:val="auto"/>
          <w:lang w:val="en-US" w:eastAsia="zh-CN"/>
        </w:rPr>
        <w:t>152.16</w:t>
      </w:r>
      <w:r>
        <w:rPr>
          <w:rFonts w:hint="default" w:ascii="Times New Roman" w:hAnsi="Times New Roman" w:eastAsia="宋体" w:cs="Times New Roman"/>
          <w:color w:val="auto"/>
        </w:rPr>
        <w:t>t/a、颗粒物</w:t>
      </w:r>
      <w:r>
        <w:rPr>
          <w:rFonts w:hint="eastAsia" w:ascii="Times New Roman" w:hAnsi="Times New Roman" w:cs="Times New Roman"/>
          <w:color w:val="auto"/>
          <w:lang w:val="en-US" w:eastAsia="zh-CN"/>
        </w:rPr>
        <w:t>33.76</w:t>
      </w:r>
      <w:r>
        <w:rPr>
          <w:rFonts w:hint="default" w:ascii="Times New Roman" w:hAnsi="Times New Roman" w:eastAsia="宋体" w:cs="Times New Roman"/>
          <w:color w:val="auto"/>
          <w:lang w:val="en-US" w:eastAsia="zh-CN"/>
        </w:rPr>
        <w:t xml:space="preserve"> </w:t>
      </w:r>
      <w:r>
        <w:rPr>
          <w:rFonts w:hint="default" w:ascii="Times New Roman" w:hAnsi="Times New Roman" w:eastAsia="宋体" w:cs="Times New Roman"/>
          <w:color w:val="auto"/>
        </w:rPr>
        <w:t>t/a</w:t>
      </w:r>
      <w:r>
        <w:rPr>
          <w:rFonts w:hint="default" w:ascii="Times New Roman" w:hAnsi="Times New Roman" w:eastAsia="宋体" w:cs="Times New Roman"/>
          <w:color w:val="auto"/>
          <w:lang w:eastAsia="zh-CN"/>
        </w:rPr>
        <w:t>。</w:t>
      </w:r>
    </w:p>
    <w:p w14:paraId="799BDB50">
      <w:pPr>
        <w:pStyle w:val="486"/>
        <w:spacing w:line="360" w:lineRule="auto"/>
        <w:ind w:firstLine="500"/>
        <w:jc w:val="left"/>
        <w:rPr>
          <w:rFonts w:ascii="Times New Roman" w:hAnsi="Times New Roman" w:cs="Times New Roman"/>
        </w:rPr>
      </w:pPr>
      <w:r>
        <w:rPr>
          <w:rFonts w:ascii="Times New Roman" w:hAnsi="Times New Roman" w:eastAsia="Times New Roman" w:cs="Times New Roman"/>
        </w:rPr>
        <w:t>20</w:t>
      </w:r>
      <w:r>
        <w:rPr>
          <w:rFonts w:hint="eastAsia" w:ascii="Times New Roman" w:hAnsi="Times New Roman" w:eastAsia="宋体" w:cs="Times New Roman"/>
          <w:lang w:val="en-US" w:eastAsia="zh-CN"/>
        </w:rPr>
        <w:t>2</w:t>
      </w:r>
      <w:r>
        <w:rPr>
          <w:rFonts w:hint="eastAsia" w:ascii="Times New Roman" w:hAnsi="Times New Roman" w:cs="Times New Roman"/>
          <w:lang w:val="en-US" w:eastAsia="zh-CN"/>
        </w:rPr>
        <w:t>5</w:t>
      </w:r>
      <w:r>
        <w:rPr>
          <w:rFonts w:ascii="Times New Roman" w:hAnsi="Times New Roman" w:cs="Times New Roman"/>
        </w:rPr>
        <w:t>年</w:t>
      </w:r>
      <w:r>
        <w:rPr>
          <w:rFonts w:hint="eastAsia" w:ascii="Times New Roman" w:hAnsi="Times New Roman" w:eastAsia="宋体"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10</w:t>
      </w:r>
      <w:r>
        <w:rPr>
          <w:rFonts w:ascii="Times New Roman" w:hAnsi="Times New Roman" w:cs="Times New Roman"/>
        </w:rPr>
        <w:t>日齐齐哈尔生态环境局对</w:t>
      </w:r>
      <w:r>
        <w:rPr>
          <w:rFonts w:hint="eastAsia" w:ascii="Times New Roman" w:hAnsi="Times New Roman" w:cs="Times New Roman"/>
          <w:lang w:val="en-US" w:eastAsia="zh-CN"/>
        </w:rPr>
        <w:t>黑龙江鸿展生物科技股份有限公司</w:t>
      </w:r>
      <w:r>
        <w:rPr>
          <w:rFonts w:ascii="Times New Roman" w:hAnsi="Times New Roman" w:cs="Times New Roman"/>
        </w:rPr>
        <w:t>出具了排污许可证，证书编号：</w:t>
      </w:r>
      <w:r>
        <w:rPr>
          <w:rFonts w:hint="eastAsia" w:ascii="Times New Roman" w:hAnsi="Times New Roman" w:cs="Times New Roman"/>
          <w:lang w:eastAsia="zh-CN"/>
        </w:rPr>
        <w:t>91230200MA1977NW21001U</w:t>
      </w:r>
      <w:r>
        <w:rPr>
          <w:rFonts w:ascii="Times New Roman" w:hAnsi="Times New Roman" w:cs="Times New Roman"/>
        </w:rPr>
        <w:t xml:space="preserve">（有效期 </w:t>
      </w:r>
      <w:r>
        <w:rPr>
          <w:rFonts w:ascii="Times New Roman" w:hAnsi="Times New Roman" w:eastAsia="Times New Roman" w:cs="Times New Roman"/>
        </w:rPr>
        <w:t>20</w:t>
      </w:r>
      <w:r>
        <w:rPr>
          <w:rFonts w:hint="eastAsia" w:ascii="Times New Roman" w:hAnsi="Times New Roman" w:eastAsia="宋体" w:cs="Times New Roman"/>
          <w:lang w:val="en-US" w:eastAsia="zh-CN"/>
        </w:rPr>
        <w:t>2</w:t>
      </w:r>
      <w:r>
        <w:rPr>
          <w:rFonts w:hint="eastAsia" w:ascii="Times New Roman" w:hAnsi="Times New Roman" w:cs="Times New Roman"/>
          <w:lang w:val="en-US" w:eastAsia="zh-CN"/>
        </w:rPr>
        <w:t>5</w:t>
      </w:r>
      <w:r>
        <w:rPr>
          <w:rFonts w:ascii="Times New Roman" w:hAnsi="Times New Roman" w:cs="Times New Roman"/>
        </w:rPr>
        <w:t>年</w:t>
      </w:r>
      <w:r>
        <w:rPr>
          <w:rFonts w:hint="eastAsia" w:ascii="Times New Roman" w:hAnsi="Times New Roman" w:eastAsia="宋体" w:cs="Times New Roman"/>
          <w:lang w:val="en-US" w:eastAsia="zh-CN"/>
        </w:rPr>
        <w:t>03</w:t>
      </w:r>
      <w:r>
        <w:rPr>
          <w:rFonts w:ascii="Times New Roman" w:hAnsi="Times New Roman" w:cs="Times New Roman"/>
        </w:rPr>
        <w:t>月</w:t>
      </w:r>
      <w:r>
        <w:rPr>
          <w:rFonts w:hint="eastAsia" w:ascii="Times New Roman" w:hAnsi="Times New Roman" w:cs="Times New Roman"/>
          <w:lang w:val="en-US" w:eastAsia="zh-CN"/>
        </w:rPr>
        <w:t>24</w:t>
      </w:r>
      <w:r>
        <w:rPr>
          <w:rFonts w:ascii="Times New Roman" w:hAnsi="Times New Roman" w:cs="Times New Roman"/>
        </w:rPr>
        <w:t>日至</w:t>
      </w:r>
      <w:r>
        <w:rPr>
          <w:rFonts w:ascii="Times New Roman" w:hAnsi="Times New Roman" w:eastAsia="Times New Roman" w:cs="Times New Roman"/>
        </w:rPr>
        <w:t>20</w:t>
      </w:r>
      <w:r>
        <w:rPr>
          <w:rFonts w:hint="eastAsia" w:ascii="Times New Roman" w:hAnsi="Times New Roman" w:cs="Times New Roman"/>
          <w:lang w:val="en-US" w:eastAsia="zh-CN"/>
        </w:rPr>
        <w:t>30</w:t>
      </w:r>
      <w:r>
        <w:rPr>
          <w:rFonts w:ascii="Times New Roman" w:hAnsi="Times New Roman" w:cs="Times New Roman"/>
        </w:rPr>
        <w:t>年</w:t>
      </w:r>
      <w:r>
        <w:rPr>
          <w:rFonts w:hint="eastAsia" w:ascii="Times New Roman" w:hAnsi="Times New Roman" w:eastAsia="宋体" w:cs="Times New Roman"/>
          <w:lang w:val="en-US" w:eastAsia="zh-CN"/>
        </w:rPr>
        <w:t>03</w:t>
      </w:r>
      <w:r>
        <w:rPr>
          <w:rFonts w:ascii="Times New Roman" w:hAnsi="Times New Roman" w:cs="Times New Roman"/>
        </w:rPr>
        <w:t>月</w:t>
      </w:r>
      <w:r>
        <w:rPr>
          <w:rFonts w:hint="eastAsia" w:ascii="Times New Roman" w:hAnsi="Times New Roman" w:cs="Times New Roman"/>
          <w:lang w:val="en-US" w:eastAsia="zh-CN"/>
        </w:rPr>
        <w:t>23</w:t>
      </w:r>
      <w:r>
        <w:rPr>
          <w:rFonts w:ascii="Times New Roman" w:hAnsi="Times New Roman" w:cs="Times New Roman"/>
        </w:rPr>
        <w:t>日止），排污许可证允许排放量如下表。</w:t>
      </w:r>
    </w:p>
    <w:p w14:paraId="1C43ECF5">
      <w:pPr>
        <w:spacing w:line="360" w:lineRule="auto"/>
        <w:jc w:val="center"/>
        <w:rPr>
          <w:b/>
          <w:bCs/>
        </w:rPr>
      </w:pPr>
    </w:p>
    <w:p w14:paraId="0E823BF1">
      <w:pPr>
        <w:spacing w:line="360" w:lineRule="auto"/>
        <w:jc w:val="center"/>
        <w:rPr>
          <w:b/>
          <w:bCs/>
        </w:rPr>
      </w:pPr>
      <w:r>
        <w:rPr>
          <w:b/>
          <w:bCs/>
        </w:rPr>
        <w:t>表3.1-3  现有</w:t>
      </w:r>
      <w:r>
        <w:rPr>
          <w:rFonts w:hint="eastAsia"/>
          <w:b/>
          <w:bCs/>
          <w:lang w:val="en-US" w:eastAsia="zh-CN"/>
        </w:rPr>
        <w:t>工程</w:t>
      </w:r>
      <w:r>
        <w:rPr>
          <w:b/>
          <w:bCs/>
        </w:rPr>
        <w:t>排污许可证允许排放量统计表（t/a）</w:t>
      </w:r>
    </w:p>
    <w:tbl>
      <w:tblPr>
        <w:tblStyle w:val="54"/>
        <w:tblW w:w="51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9"/>
        <w:gridCol w:w="1153"/>
        <w:gridCol w:w="1155"/>
        <w:gridCol w:w="1156"/>
        <w:gridCol w:w="1156"/>
        <w:gridCol w:w="1156"/>
        <w:gridCol w:w="1156"/>
        <w:gridCol w:w="1156"/>
      </w:tblGrid>
      <w:tr w14:paraId="030B1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715" w:type="pct"/>
            <w:tcBorders>
              <w:tl2br w:val="nil"/>
              <w:tr2bl w:val="nil"/>
            </w:tcBorders>
            <w:vAlign w:val="center"/>
          </w:tcPr>
          <w:p w14:paraId="570892E4">
            <w:pPr>
              <w:jc w:val="center"/>
              <w:rPr>
                <w:b/>
                <w:bCs/>
                <w:sz w:val="21"/>
                <w:szCs w:val="21"/>
              </w:rPr>
            </w:pPr>
            <w:bookmarkStart w:id="188" w:name="bookmark212"/>
            <w:bookmarkStart w:id="189" w:name="bookmark210"/>
            <w:bookmarkStart w:id="190" w:name="bookmark211"/>
            <w:r>
              <w:rPr>
                <w:b/>
                <w:bCs/>
                <w:sz w:val="21"/>
                <w:szCs w:val="21"/>
              </w:rPr>
              <w:t>污染物种类</w:t>
            </w:r>
          </w:p>
        </w:tc>
        <w:tc>
          <w:tcPr>
            <w:tcW w:w="611" w:type="pct"/>
            <w:tcBorders>
              <w:tl2br w:val="nil"/>
              <w:tr2bl w:val="nil"/>
            </w:tcBorders>
            <w:vAlign w:val="center"/>
          </w:tcPr>
          <w:p w14:paraId="663CBD17">
            <w:pPr>
              <w:jc w:val="center"/>
              <w:rPr>
                <w:b/>
                <w:bCs/>
                <w:sz w:val="21"/>
                <w:szCs w:val="21"/>
              </w:rPr>
            </w:pPr>
            <w:r>
              <w:rPr>
                <w:b/>
                <w:bCs/>
                <w:sz w:val="21"/>
                <w:szCs w:val="21"/>
              </w:rPr>
              <w:t>颗粒物</w:t>
            </w:r>
          </w:p>
        </w:tc>
        <w:tc>
          <w:tcPr>
            <w:tcW w:w="612" w:type="pct"/>
            <w:tcBorders>
              <w:tl2br w:val="nil"/>
              <w:tr2bl w:val="nil"/>
            </w:tcBorders>
            <w:vAlign w:val="center"/>
          </w:tcPr>
          <w:p w14:paraId="3A66C6AD">
            <w:pPr>
              <w:jc w:val="center"/>
              <w:rPr>
                <w:b/>
                <w:bCs/>
                <w:sz w:val="21"/>
                <w:szCs w:val="21"/>
              </w:rPr>
            </w:pPr>
            <w:r>
              <w:rPr>
                <w:b/>
                <w:bCs/>
                <w:sz w:val="21"/>
                <w:szCs w:val="21"/>
              </w:rPr>
              <w:t>SO</w:t>
            </w:r>
            <w:r>
              <w:rPr>
                <w:b/>
                <w:bCs/>
                <w:sz w:val="21"/>
                <w:szCs w:val="21"/>
                <w:vertAlign w:val="subscript"/>
              </w:rPr>
              <w:t>2</w:t>
            </w:r>
          </w:p>
        </w:tc>
        <w:tc>
          <w:tcPr>
            <w:tcW w:w="612" w:type="pct"/>
            <w:tcBorders>
              <w:tl2br w:val="nil"/>
              <w:tr2bl w:val="nil"/>
            </w:tcBorders>
            <w:vAlign w:val="center"/>
          </w:tcPr>
          <w:p w14:paraId="5CBE074C">
            <w:pPr>
              <w:jc w:val="center"/>
              <w:rPr>
                <w:b/>
                <w:bCs/>
                <w:sz w:val="21"/>
                <w:szCs w:val="21"/>
              </w:rPr>
            </w:pPr>
            <w:r>
              <w:rPr>
                <w:b/>
                <w:bCs/>
                <w:sz w:val="21"/>
                <w:szCs w:val="21"/>
              </w:rPr>
              <w:t>NOx</w:t>
            </w:r>
          </w:p>
        </w:tc>
        <w:tc>
          <w:tcPr>
            <w:tcW w:w="612" w:type="pct"/>
            <w:tcBorders>
              <w:tl2br w:val="nil"/>
              <w:tr2bl w:val="nil"/>
            </w:tcBorders>
            <w:vAlign w:val="center"/>
          </w:tcPr>
          <w:p w14:paraId="488BFEB8">
            <w:pPr>
              <w:jc w:val="center"/>
              <w:rPr>
                <w:rFonts w:hint="default" w:eastAsia="宋体"/>
                <w:b/>
                <w:bCs/>
                <w:sz w:val="21"/>
                <w:szCs w:val="21"/>
                <w:lang w:val="en-US" w:eastAsia="zh-CN"/>
              </w:rPr>
            </w:pPr>
            <w:r>
              <w:rPr>
                <w:rFonts w:hint="eastAsia"/>
                <w:b/>
                <w:bCs/>
                <w:sz w:val="21"/>
                <w:szCs w:val="21"/>
                <w:lang w:val="en-US" w:eastAsia="zh-CN"/>
              </w:rPr>
              <w:t>COD</w:t>
            </w:r>
          </w:p>
        </w:tc>
        <w:tc>
          <w:tcPr>
            <w:tcW w:w="612" w:type="pct"/>
            <w:tcBorders>
              <w:tl2br w:val="nil"/>
              <w:tr2bl w:val="nil"/>
            </w:tcBorders>
            <w:vAlign w:val="center"/>
          </w:tcPr>
          <w:p w14:paraId="1CD39577">
            <w:pPr>
              <w:jc w:val="center"/>
              <w:rPr>
                <w:rFonts w:hint="default" w:eastAsia="宋体"/>
                <w:b/>
                <w:bCs/>
                <w:sz w:val="21"/>
                <w:szCs w:val="21"/>
                <w:lang w:val="en-US" w:eastAsia="zh-CN"/>
              </w:rPr>
            </w:pPr>
            <w:r>
              <w:rPr>
                <w:rFonts w:hint="eastAsia"/>
                <w:b/>
                <w:bCs/>
                <w:sz w:val="21"/>
                <w:szCs w:val="21"/>
                <w:lang w:val="en-US" w:eastAsia="zh-CN"/>
              </w:rPr>
              <w:t>氨氮</w:t>
            </w:r>
          </w:p>
        </w:tc>
        <w:tc>
          <w:tcPr>
            <w:tcW w:w="612" w:type="pct"/>
            <w:tcBorders>
              <w:tl2br w:val="nil"/>
              <w:tr2bl w:val="nil"/>
            </w:tcBorders>
            <w:vAlign w:val="center"/>
          </w:tcPr>
          <w:p w14:paraId="59510D8B">
            <w:pPr>
              <w:jc w:val="center"/>
              <w:rPr>
                <w:rFonts w:hint="eastAsia" w:eastAsia="宋体"/>
                <w:b/>
                <w:bCs/>
                <w:sz w:val="21"/>
                <w:szCs w:val="21"/>
                <w:lang w:val="en-US" w:eastAsia="zh-CN"/>
              </w:rPr>
            </w:pPr>
            <w:r>
              <w:rPr>
                <w:rFonts w:hint="eastAsia"/>
                <w:b/>
                <w:bCs/>
                <w:sz w:val="21"/>
                <w:szCs w:val="21"/>
                <w:lang w:val="en-US" w:eastAsia="zh-CN"/>
              </w:rPr>
              <w:t>总氮</w:t>
            </w:r>
          </w:p>
        </w:tc>
        <w:tc>
          <w:tcPr>
            <w:tcW w:w="612" w:type="pct"/>
            <w:tcBorders>
              <w:tl2br w:val="nil"/>
              <w:tr2bl w:val="nil"/>
            </w:tcBorders>
            <w:vAlign w:val="center"/>
          </w:tcPr>
          <w:p w14:paraId="46DC9869">
            <w:pPr>
              <w:jc w:val="center"/>
              <w:rPr>
                <w:rFonts w:hint="eastAsia" w:eastAsia="宋体"/>
                <w:b/>
                <w:bCs/>
                <w:sz w:val="21"/>
                <w:szCs w:val="21"/>
                <w:lang w:val="en-US" w:eastAsia="zh-CN"/>
              </w:rPr>
            </w:pPr>
            <w:r>
              <w:rPr>
                <w:rFonts w:hint="eastAsia"/>
                <w:b/>
                <w:bCs/>
                <w:sz w:val="21"/>
                <w:szCs w:val="21"/>
                <w:lang w:val="en-US" w:eastAsia="zh-CN"/>
              </w:rPr>
              <w:t>总磷</w:t>
            </w:r>
          </w:p>
        </w:tc>
      </w:tr>
      <w:tr w14:paraId="26991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715" w:type="pct"/>
            <w:tcBorders>
              <w:tl2br w:val="nil"/>
              <w:tr2bl w:val="nil"/>
            </w:tcBorders>
            <w:vAlign w:val="center"/>
          </w:tcPr>
          <w:p w14:paraId="26A3546F">
            <w:pPr>
              <w:jc w:val="center"/>
              <w:rPr>
                <w:sz w:val="21"/>
                <w:szCs w:val="21"/>
              </w:rPr>
            </w:pPr>
            <w:r>
              <w:rPr>
                <w:sz w:val="21"/>
                <w:szCs w:val="21"/>
              </w:rPr>
              <w:t>许可年排放量限值</w:t>
            </w:r>
          </w:p>
        </w:tc>
        <w:tc>
          <w:tcPr>
            <w:tcW w:w="611" w:type="pct"/>
            <w:tcBorders>
              <w:tl2br w:val="nil"/>
              <w:tr2bl w:val="nil"/>
            </w:tcBorders>
            <w:vAlign w:val="center"/>
          </w:tcPr>
          <w:p w14:paraId="29CA91D5">
            <w:pPr>
              <w:jc w:val="center"/>
              <w:rPr>
                <w:rFonts w:hint="default" w:eastAsia="宋体"/>
                <w:sz w:val="21"/>
                <w:szCs w:val="21"/>
                <w:lang w:val="en-US" w:eastAsia="zh-CN"/>
              </w:rPr>
            </w:pPr>
            <w:r>
              <w:rPr>
                <w:rFonts w:hint="eastAsia"/>
                <w:sz w:val="21"/>
                <w:szCs w:val="21"/>
                <w:lang w:val="en-US" w:eastAsia="zh-CN"/>
              </w:rPr>
              <w:t>33.76</w:t>
            </w:r>
          </w:p>
        </w:tc>
        <w:tc>
          <w:tcPr>
            <w:tcW w:w="612" w:type="pct"/>
            <w:tcBorders>
              <w:tl2br w:val="nil"/>
              <w:tr2bl w:val="nil"/>
            </w:tcBorders>
            <w:vAlign w:val="center"/>
          </w:tcPr>
          <w:p w14:paraId="3159918A">
            <w:pPr>
              <w:jc w:val="center"/>
              <w:rPr>
                <w:rFonts w:hint="default" w:eastAsia="宋体"/>
                <w:sz w:val="21"/>
                <w:szCs w:val="21"/>
                <w:lang w:val="en-US" w:eastAsia="zh-CN"/>
              </w:rPr>
            </w:pPr>
            <w:r>
              <w:rPr>
                <w:rFonts w:hint="eastAsia"/>
                <w:sz w:val="21"/>
                <w:szCs w:val="21"/>
                <w:lang w:val="en-US" w:eastAsia="zh-CN"/>
              </w:rPr>
              <w:t>111.36</w:t>
            </w:r>
          </w:p>
        </w:tc>
        <w:tc>
          <w:tcPr>
            <w:tcW w:w="612" w:type="pct"/>
            <w:tcBorders>
              <w:tl2br w:val="nil"/>
              <w:tr2bl w:val="nil"/>
            </w:tcBorders>
            <w:vAlign w:val="center"/>
          </w:tcPr>
          <w:p w14:paraId="2542E253">
            <w:pPr>
              <w:jc w:val="center"/>
              <w:rPr>
                <w:rFonts w:hint="default" w:eastAsia="宋体"/>
                <w:sz w:val="21"/>
                <w:szCs w:val="21"/>
                <w:lang w:val="en-US" w:eastAsia="zh-CN"/>
              </w:rPr>
            </w:pPr>
            <w:r>
              <w:rPr>
                <w:rFonts w:hint="eastAsia"/>
                <w:sz w:val="21"/>
                <w:szCs w:val="21"/>
                <w:lang w:val="en-US" w:eastAsia="zh-CN"/>
              </w:rPr>
              <w:t>152.16</w:t>
            </w:r>
          </w:p>
        </w:tc>
        <w:tc>
          <w:tcPr>
            <w:tcW w:w="612" w:type="pct"/>
            <w:tcBorders>
              <w:tl2br w:val="nil"/>
              <w:tr2bl w:val="nil"/>
            </w:tcBorders>
            <w:vAlign w:val="center"/>
          </w:tcPr>
          <w:p w14:paraId="7B5E821F">
            <w:pPr>
              <w:jc w:val="center"/>
              <w:rPr>
                <w:rFonts w:hint="default" w:eastAsia="宋体"/>
                <w:sz w:val="21"/>
                <w:szCs w:val="21"/>
                <w:lang w:val="en-US" w:eastAsia="zh-CN"/>
              </w:rPr>
            </w:pPr>
            <w:r>
              <w:rPr>
                <w:rFonts w:hint="eastAsia"/>
                <w:sz w:val="21"/>
                <w:szCs w:val="21"/>
                <w:lang w:val="en-US" w:eastAsia="zh-CN"/>
              </w:rPr>
              <w:t>160</w:t>
            </w:r>
          </w:p>
        </w:tc>
        <w:tc>
          <w:tcPr>
            <w:tcW w:w="612" w:type="pct"/>
            <w:tcBorders>
              <w:tl2br w:val="nil"/>
              <w:tr2bl w:val="nil"/>
            </w:tcBorders>
            <w:vAlign w:val="center"/>
          </w:tcPr>
          <w:p w14:paraId="2B208174">
            <w:pPr>
              <w:jc w:val="center"/>
              <w:rPr>
                <w:rFonts w:hint="default" w:eastAsia="宋体"/>
                <w:sz w:val="21"/>
                <w:szCs w:val="21"/>
                <w:lang w:val="en-US" w:eastAsia="zh-CN"/>
              </w:rPr>
            </w:pPr>
            <w:r>
              <w:rPr>
                <w:rFonts w:hint="eastAsia"/>
                <w:sz w:val="21"/>
                <w:szCs w:val="21"/>
                <w:lang w:val="en-US" w:eastAsia="zh-CN"/>
              </w:rPr>
              <w:t>25.6</w:t>
            </w:r>
          </w:p>
        </w:tc>
        <w:tc>
          <w:tcPr>
            <w:tcW w:w="612" w:type="pct"/>
            <w:tcBorders>
              <w:tl2br w:val="nil"/>
              <w:tr2bl w:val="nil"/>
            </w:tcBorders>
            <w:vAlign w:val="center"/>
          </w:tcPr>
          <w:p w14:paraId="68BE1409">
            <w:pPr>
              <w:jc w:val="center"/>
              <w:rPr>
                <w:rFonts w:hint="default" w:eastAsia="宋体"/>
                <w:sz w:val="21"/>
                <w:szCs w:val="21"/>
                <w:lang w:val="en-US" w:eastAsia="zh-CN"/>
              </w:rPr>
            </w:pPr>
            <w:r>
              <w:rPr>
                <w:rFonts w:hint="eastAsia"/>
                <w:sz w:val="21"/>
                <w:szCs w:val="21"/>
                <w:lang w:val="en-US" w:eastAsia="zh-CN"/>
              </w:rPr>
              <w:t>48</w:t>
            </w:r>
          </w:p>
        </w:tc>
        <w:tc>
          <w:tcPr>
            <w:tcW w:w="612" w:type="pct"/>
            <w:tcBorders>
              <w:tl2br w:val="nil"/>
              <w:tr2bl w:val="nil"/>
            </w:tcBorders>
            <w:vAlign w:val="center"/>
          </w:tcPr>
          <w:p w14:paraId="4B8DA958">
            <w:pPr>
              <w:jc w:val="center"/>
              <w:rPr>
                <w:rFonts w:hint="default" w:eastAsia="宋体"/>
                <w:sz w:val="21"/>
                <w:szCs w:val="21"/>
                <w:lang w:val="en-US" w:eastAsia="zh-CN"/>
              </w:rPr>
            </w:pPr>
            <w:r>
              <w:rPr>
                <w:rFonts w:hint="eastAsia"/>
                <w:sz w:val="21"/>
                <w:szCs w:val="21"/>
                <w:lang w:val="en-US" w:eastAsia="zh-CN"/>
              </w:rPr>
              <w:t>1.6</w:t>
            </w:r>
          </w:p>
        </w:tc>
      </w:tr>
    </w:tbl>
    <w:p w14:paraId="09C6520D">
      <w:pPr>
        <w:pStyle w:val="5"/>
        <w:rPr>
          <w:rFonts w:eastAsia="宋体"/>
          <w:color w:val="auto"/>
        </w:rPr>
      </w:pPr>
      <w:r>
        <w:rPr>
          <w:rFonts w:hint="eastAsia" w:eastAsia="宋体"/>
          <w:color w:val="auto"/>
          <w:lang w:eastAsia="zh-CN"/>
        </w:rPr>
        <w:t>3.1.3</w:t>
      </w:r>
      <w:r>
        <w:rPr>
          <w:color w:val="auto"/>
          <w:lang w:eastAsia="en-US"/>
        </w:rPr>
        <w:t>.</w:t>
      </w:r>
      <w:r>
        <w:rPr>
          <w:rFonts w:hint="eastAsia" w:eastAsia="宋体"/>
          <w:color w:val="auto"/>
          <w:lang w:val="en-US" w:eastAsia="zh-CN"/>
        </w:rPr>
        <w:t>7</w:t>
      </w:r>
      <w:r>
        <w:rPr>
          <w:rFonts w:hint="eastAsia" w:eastAsia="宋体"/>
          <w:color w:val="auto"/>
        </w:rPr>
        <w:t xml:space="preserve"> 应急预案</w:t>
      </w:r>
    </w:p>
    <w:p w14:paraId="4560FFF6">
      <w:pPr>
        <w:spacing w:line="360" w:lineRule="auto"/>
        <w:ind w:firstLine="480" w:firstLineChars="200"/>
        <w:rPr>
          <w:color w:val="auto"/>
        </w:rPr>
      </w:pPr>
      <w:r>
        <w:rPr>
          <w:color w:val="auto"/>
        </w:rPr>
        <w:t>企业编制了《</w:t>
      </w:r>
      <w:r>
        <w:rPr>
          <w:rFonts w:hint="eastAsia"/>
          <w:color w:val="auto"/>
          <w:lang w:eastAsia="zh-CN"/>
        </w:rPr>
        <w:t>黑龙江鸿展生物科技股份有限公司</w:t>
      </w:r>
      <w:r>
        <w:rPr>
          <w:color w:val="auto"/>
        </w:rPr>
        <w:t>环境事故应急预案》，并</w:t>
      </w:r>
      <w:r>
        <w:rPr>
          <w:rFonts w:hint="eastAsia"/>
          <w:color w:val="auto"/>
        </w:rPr>
        <w:t>已</w:t>
      </w:r>
      <w:r>
        <w:rPr>
          <w:color w:val="auto"/>
        </w:rPr>
        <w:t>在</w:t>
      </w:r>
      <w:r>
        <w:rPr>
          <w:rFonts w:hint="eastAsia"/>
          <w:color w:val="auto"/>
        </w:rPr>
        <w:t>讷河市环境监察大队</w:t>
      </w:r>
      <w:r>
        <w:rPr>
          <w:color w:val="auto"/>
        </w:rPr>
        <w:t>进行了备案。</w:t>
      </w:r>
    </w:p>
    <w:p w14:paraId="6077BAE4">
      <w:pPr>
        <w:pStyle w:val="5"/>
        <w:rPr>
          <w:color w:val="auto"/>
        </w:rPr>
      </w:pPr>
      <w:r>
        <w:rPr>
          <w:rFonts w:hint="eastAsia" w:eastAsia="宋体"/>
          <w:color w:val="auto"/>
          <w:lang w:eastAsia="zh-CN"/>
        </w:rPr>
        <w:t>3.1.3</w:t>
      </w:r>
      <w:r>
        <w:rPr>
          <w:rFonts w:hint="eastAsia" w:eastAsia="宋体"/>
          <w:color w:val="auto"/>
        </w:rPr>
        <w:t>.</w:t>
      </w:r>
      <w:r>
        <w:rPr>
          <w:rFonts w:hint="eastAsia" w:eastAsia="宋体"/>
          <w:color w:val="auto"/>
          <w:lang w:val="en-US" w:eastAsia="zh-CN"/>
        </w:rPr>
        <w:t>8</w:t>
      </w:r>
      <w:r>
        <w:rPr>
          <w:color w:val="auto"/>
        </w:rPr>
        <w:t>场区存在的现有环境问题</w:t>
      </w:r>
      <w:bookmarkEnd w:id="188"/>
      <w:bookmarkEnd w:id="189"/>
      <w:bookmarkEnd w:id="190"/>
    </w:p>
    <w:p w14:paraId="4E65DCAB">
      <w:pPr>
        <w:spacing w:line="360" w:lineRule="auto"/>
        <w:ind w:firstLine="480" w:firstLineChars="200"/>
        <w:rPr>
          <w:color w:val="auto"/>
        </w:rPr>
      </w:pPr>
      <w:r>
        <w:rPr>
          <w:rFonts w:hint="eastAsia"/>
          <w:color w:val="auto"/>
          <w:lang w:val="en-US" w:eastAsia="zh-CN"/>
        </w:rPr>
        <w:t>现有工程均正常生产并投入使用，各项污染物均能够达标排放，因此不存在原有的环境问题</w:t>
      </w:r>
      <w:r>
        <w:rPr>
          <w:rFonts w:hint="eastAsia"/>
          <w:color w:val="auto"/>
        </w:rPr>
        <w:t>。</w:t>
      </w:r>
    </w:p>
    <w:p w14:paraId="39BD6A3C">
      <w:pPr>
        <w:pStyle w:val="3"/>
        <w:rPr>
          <w:szCs w:val="30"/>
        </w:rPr>
      </w:pPr>
      <w:bookmarkStart w:id="191" w:name="_Toc7508"/>
      <w:bookmarkStart w:id="192" w:name="_Toc18621"/>
      <w:bookmarkStart w:id="193" w:name="_Toc21313"/>
      <w:bookmarkStart w:id="194" w:name="_Toc5779"/>
      <w:bookmarkStart w:id="195" w:name="_Toc17689"/>
      <w:bookmarkStart w:id="196" w:name="_Toc28325"/>
      <w:bookmarkStart w:id="197" w:name="_Toc802"/>
      <w:r>
        <w:rPr>
          <w:szCs w:val="30"/>
        </w:rPr>
        <w:t>3.2建设项目概况</w:t>
      </w:r>
      <w:bookmarkEnd w:id="191"/>
      <w:bookmarkEnd w:id="192"/>
      <w:bookmarkEnd w:id="193"/>
      <w:bookmarkEnd w:id="194"/>
      <w:bookmarkEnd w:id="195"/>
      <w:bookmarkEnd w:id="196"/>
      <w:bookmarkEnd w:id="197"/>
    </w:p>
    <w:p w14:paraId="6F540F4C">
      <w:pPr>
        <w:pStyle w:val="4"/>
        <w:rPr>
          <w:szCs w:val="28"/>
        </w:rPr>
      </w:pPr>
      <w:bookmarkStart w:id="198" w:name="bookmark223"/>
      <w:bookmarkStart w:id="199" w:name="bookmark222"/>
      <w:bookmarkStart w:id="200" w:name="bookmark224"/>
      <w:r>
        <w:rPr>
          <w:szCs w:val="28"/>
        </w:rPr>
        <w:t>3.2.1基本情况</w:t>
      </w:r>
    </w:p>
    <w:p w14:paraId="2AA2CF0F">
      <w:pPr>
        <w:spacing w:line="360" w:lineRule="auto"/>
        <w:ind w:firstLine="480" w:firstLineChars="200"/>
        <w:rPr>
          <w:rFonts w:hint="eastAsia" w:eastAsia="宋体"/>
          <w:lang w:eastAsia="zh-CN"/>
        </w:rPr>
      </w:pPr>
      <w:r>
        <w:t>项目名称：</w:t>
      </w:r>
      <w:r>
        <w:rPr>
          <w:rFonts w:hint="eastAsia"/>
          <w:lang w:eastAsia="zh-CN"/>
        </w:rPr>
        <w:t>黑龙江鸿展生物科技股份有限公司年产70万吨医用酒精技术改造项目</w:t>
      </w:r>
    </w:p>
    <w:p w14:paraId="70C9BA6A">
      <w:pPr>
        <w:spacing w:line="360" w:lineRule="auto"/>
        <w:ind w:firstLine="480" w:firstLineChars="200"/>
        <w:rPr>
          <w:rFonts w:hint="eastAsia" w:eastAsia="宋体"/>
          <w:lang w:eastAsia="zh-CN"/>
        </w:rPr>
      </w:pPr>
      <w:r>
        <w:t>建设单位：</w:t>
      </w:r>
      <w:r>
        <w:rPr>
          <w:rFonts w:hint="eastAsia"/>
          <w:lang w:eastAsia="zh-CN"/>
        </w:rPr>
        <w:t>黑龙江鸿展生物科技股份有限公司</w:t>
      </w:r>
    </w:p>
    <w:p w14:paraId="0557A34E">
      <w:pPr>
        <w:spacing w:line="360" w:lineRule="auto"/>
        <w:ind w:firstLine="480" w:firstLineChars="200"/>
        <w:rPr>
          <w:rFonts w:hint="eastAsia" w:eastAsia="宋体"/>
          <w:lang w:eastAsia="zh-CN"/>
        </w:rPr>
      </w:pPr>
      <w:r>
        <w:t>建设地点：</w:t>
      </w:r>
      <w:r>
        <w:rPr>
          <w:rFonts w:hint="eastAsia"/>
          <w:lang w:eastAsia="zh-CN"/>
        </w:rPr>
        <w:t>拉哈生物技术与化学制药产业园黑龙江鸿展生物科技股份有限公司院内（</w:t>
      </w:r>
      <w:r>
        <w:rPr>
          <w:rFonts w:ascii="Times New Roman" w:hAnsi="Times New Roman" w:cs="Times New Roman"/>
          <w:bCs/>
          <w:snapToGrid w:val="0"/>
          <w:color w:val="auto"/>
          <w:sz w:val="24"/>
          <w:szCs w:val="24"/>
          <w:highlight w:val="none"/>
          <w:lang w:val="en-US"/>
        </w:rPr>
        <w:t>厂区中心坐标为</w:t>
      </w:r>
      <w:r>
        <w:rPr>
          <w:rFonts w:ascii="Times New Roman" w:hAnsi="Times New Roman" w:cs="Times New Roman"/>
          <w:bCs/>
          <w:snapToGrid w:val="0"/>
          <w:color w:val="auto"/>
          <w:sz w:val="24"/>
          <w:szCs w:val="24"/>
          <w:highlight w:val="none"/>
        </w:rPr>
        <w:t>东经124</w:t>
      </w:r>
      <w:r>
        <w:rPr>
          <w:rFonts w:ascii="Times New Roman" w:hAnsi="Times New Roman" w:cs="Times New Roman"/>
          <w:bCs/>
          <w:snapToGrid w:val="0"/>
          <w:color w:val="auto"/>
          <w:sz w:val="24"/>
          <w:szCs w:val="24"/>
          <w:highlight w:val="none"/>
          <w:lang w:val="en-US"/>
        </w:rPr>
        <w:t>.</w:t>
      </w:r>
      <w:r>
        <w:rPr>
          <w:rFonts w:hint="eastAsia" w:cs="Times New Roman"/>
          <w:bCs/>
          <w:snapToGrid w:val="0"/>
          <w:color w:val="auto"/>
          <w:sz w:val="24"/>
          <w:szCs w:val="24"/>
          <w:highlight w:val="none"/>
          <w:lang w:val="en-US" w:eastAsia="zh-CN"/>
        </w:rPr>
        <w:t>872622</w:t>
      </w:r>
      <w:r>
        <w:rPr>
          <w:rFonts w:ascii="Times New Roman" w:hAnsi="Times New Roman" w:cs="Times New Roman"/>
          <w:bCs/>
          <w:snapToGrid w:val="0"/>
          <w:color w:val="auto"/>
          <w:sz w:val="24"/>
          <w:szCs w:val="24"/>
          <w:highlight w:val="none"/>
        </w:rPr>
        <w:t>°，北纬4</w:t>
      </w:r>
      <w:r>
        <w:rPr>
          <w:rFonts w:hint="eastAsia" w:cs="Times New Roman"/>
          <w:bCs/>
          <w:snapToGrid w:val="0"/>
          <w:color w:val="auto"/>
          <w:sz w:val="24"/>
          <w:szCs w:val="24"/>
          <w:highlight w:val="none"/>
          <w:lang w:val="en-US" w:eastAsia="zh-CN"/>
        </w:rPr>
        <w:t>8.470858</w:t>
      </w:r>
      <w:r>
        <w:rPr>
          <w:rFonts w:ascii="Times New Roman" w:hAnsi="Times New Roman" w:cs="Times New Roman"/>
          <w:bCs/>
          <w:snapToGrid w:val="0"/>
          <w:color w:val="auto"/>
          <w:sz w:val="24"/>
          <w:szCs w:val="24"/>
          <w:highlight w:val="none"/>
        </w:rPr>
        <w:t>°</w:t>
      </w:r>
      <w:r>
        <w:rPr>
          <w:rFonts w:hint="eastAsia"/>
          <w:lang w:eastAsia="zh-CN"/>
        </w:rPr>
        <w:t>）</w:t>
      </w:r>
    </w:p>
    <w:p w14:paraId="3182EA48">
      <w:pPr>
        <w:spacing w:line="360" w:lineRule="auto"/>
        <w:ind w:firstLine="480" w:firstLineChars="200"/>
        <w:rPr>
          <w:color w:val="FF0000"/>
          <w:highlight w:val="yellow"/>
        </w:rPr>
      </w:pPr>
      <w:r>
        <w:t>项目投资：</w:t>
      </w:r>
      <w:r>
        <w:rPr>
          <w:rFonts w:hint="eastAsia"/>
          <w:lang w:eastAsia="zh-CN"/>
        </w:rPr>
        <w:t>4505</w:t>
      </w:r>
      <w:r>
        <w:t>万元，其中环保投资</w:t>
      </w:r>
      <w:r>
        <w:rPr>
          <w:rFonts w:hint="eastAsia"/>
          <w:lang w:eastAsia="zh-CN"/>
        </w:rPr>
        <w:t>890</w:t>
      </w:r>
      <w:r>
        <w:t>万元，占总投资的</w:t>
      </w:r>
      <w:r>
        <w:rPr>
          <w:rFonts w:hint="eastAsia"/>
          <w:lang w:eastAsia="zh-CN"/>
        </w:rPr>
        <w:t>19.76</w:t>
      </w:r>
      <w:r>
        <w:t>%。</w:t>
      </w:r>
    </w:p>
    <w:p w14:paraId="1CB09446">
      <w:pPr>
        <w:spacing w:line="360" w:lineRule="auto"/>
        <w:ind w:firstLine="480" w:firstLineChars="200"/>
        <w:rPr>
          <w:rFonts w:hint="eastAsia" w:eastAsia="宋体"/>
          <w:lang w:val="en-US" w:eastAsia="zh-CN"/>
        </w:rPr>
      </w:pPr>
      <w:r>
        <w:t>建设性质：</w:t>
      </w:r>
      <w:r>
        <w:rPr>
          <w:rFonts w:hint="eastAsia"/>
          <w:lang w:val="en-US" w:eastAsia="zh-CN"/>
        </w:rPr>
        <w:t>技术改造</w:t>
      </w:r>
    </w:p>
    <w:p w14:paraId="13CF50B9">
      <w:pPr>
        <w:widowControl w:val="0"/>
        <w:autoSpaceDE w:val="0"/>
        <w:autoSpaceDN w:val="0"/>
        <w:spacing w:line="360" w:lineRule="auto"/>
        <w:ind w:firstLine="480" w:firstLineChars="200"/>
        <w:rPr>
          <w:rFonts w:hint="eastAsia" w:ascii="Times New Roman"/>
          <w:szCs w:val="24"/>
        </w:rPr>
      </w:pPr>
      <w:r>
        <w:rPr>
          <w:rFonts w:ascii="Times New Roman" w:hAnsi="Times New Roman" w:eastAsia="宋体" w:cs="Times New Roman"/>
        </w:rPr>
        <w:t>建设规模：</w:t>
      </w:r>
      <w:r>
        <w:rPr>
          <w:rFonts w:hint="eastAsia" w:ascii="Times New Roman" w:hAnsi="Times New Roman" w:cs="Times New Roman"/>
          <w:lang w:eastAsia="zh-CN"/>
        </w:rPr>
        <w:t>对原有的30万吨酒精（</w:t>
      </w:r>
      <w:r>
        <w:rPr>
          <w:rFonts w:hint="eastAsia" w:ascii="Times New Roman" w:hAnsi="Times New Roman" w:cs="Times New Roman"/>
        </w:rPr>
        <w:t>食用酒精3万吨</w:t>
      </w:r>
      <w:r>
        <w:rPr>
          <w:rFonts w:hint="eastAsia" w:ascii="Times New Roman" w:hAnsi="Times New Roman" w:cs="Times New Roman"/>
          <w:lang w:eastAsia="zh-CN"/>
        </w:rPr>
        <w:t>，</w:t>
      </w:r>
      <w:r>
        <w:rPr>
          <w:rFonts w:hint="eastAsia" w:ascii="Times New Roman" w:hAnsi="Times New Roman" w:cs="Times New Roman"/>
        </w:rPr>
        <w:t>化妆品用酒精10万吨</w:t>
      </w:r>
      <w:r>
        <w:rPr>
          <w:rFonts w:hint="eastAsia" w:ascii="Times New Roman" w:hAnsi="Times New Roman" w:cs="Times New Roman"/>
          <w:lang w:eastAsia="zh-CN"/>
        </w:rPr>
        <w:t>，</w:t>
      </w:r>
      <w:r>
        <w:rPr>
          <w:rFonts w:hint="eastAsia" w:ascii="Times New Roman" w:hAnsi="Times New Roman" w:cs="Times New Roman"/>
        </w:rPr>
        <w:t>电子级无水酒精17万吨</w:t>
      </w:r>
      <w:r>
        <w:rPr>
          <w:rFonts w:hint="eastAsia" w:ascii="Times New Roman" w:hAnsi="Times New Roman" w:cs="Times New Roman"/>
          <w:lang w:eastAsia="zh-CN"/>
        </w:rPr>
        <w:t>）生产线进行技术改造，新增</w:t>
      </w:r>
      <w:r>
        <w:rPr>
          <w:rFonts w:hint="eastAsia" w:cs="Times New Roman"/>
          <w:lang w:val="en-US" w:eastAsia="zh-CN"/>
        </w:rPr>
        <w:t>玉米原材料30万吨，</w:t>
      </w:r>
      <w:r>
        <w:t>蒸馏工艺技</w:t>
      </w:r>
      <w:r>
        <w:rPr>
          <w:spacing w:val="-1"/>
        </w:rPr>
        <w:t>改</w:t>
      </w:r>
      <w:r>
        <w:rPr>
          <w:rFonts w:hint="eastAsia" w:ascii="Times New Roman" w:hAnsi="Times New Roman" w:cs="Times New Roman"/>
          <w:lang w:eastAsia="zh-CN"/>
        </w:rPr>
        <w:t>，并配套扩建处理能力为6000m³/d污水处理站一座，其他生产、辅助</w:t>
      </w:r>
      <w:r>
        <w:rPr>
          <w:rFonts w:hint="eastAsia" w:cs="Times New Roman"/>
          <w:lang w:val="en-US" w:eastAsia="zh-CN"/>
        </w:rPr>
        <w:t>工程</w:t>
      </w:r>
      <w:r>
        <w:rPr>
          <w:rFonts w:hint="eastAsia" w:ascii="Times New Roman" w:hAnsi="Times New Roman" w:cs="Times New Roman"/>
          <w:lang w:eastAsia="zh-CN"/>
        </w:rPr>
        <w:t>维持不变</w:t>
      </w:r>
      <w:r>
        <w:rPr>
          <w:rFonts w:hint="eastAsia" w:cs="Times New Roman"/>
          <w:lang w:eastAsia="zh-CN"/>
        </w:rPr>
        <w:t>，</w:t>
      </w:r>
      <w:r>
        <w:rPr>
          <w:rFonts w:hint="eastAsia" w:cs="Times New Roman"/>
          <w:lang w:val="en-US" w:eastAsia="zh-CN"/>
        </w:rPr>
        <w:t>最终实现</w:t>
      </w:r>
      <w:r>
        <w:rPr>
          <w:rFonts w:hint="eastAsia" w:ascii="Times New Roman"/>
          <w:szCs w:val="24"/>
        </w:rPr>
        <w:t>“</w:t>
      </w:r>
      <w:r>
        <w:rPr>
          <w:rFonts w:hint="eastAsia" w:ascii="Times New Roman"/>
          <w:szCs w:val="24"/>
          <w:lang w:val="en-US" w:eastAsia="zh-CN"/>
        </w:rPr>
        <w:t>其他酒精60万吨或医用酒精70万吨</w:t>
      </w:r>
      <w:r>
        <w:rPr>
          <w:rFonts w:hint="eastAsia" w:ascii="Times New Roman"/>
          <w:szCs w:val="24"/>
        </w:rPr>
        <w:t>”两条腿走路的生产计划。</w:t>
      </w:r>
    </w:p>
    <w:p w14:paraId="33D9FD08">
      <w:pPr>
        <w:pStyle w:val="486"/>
        <w:spacing w:line="360" w:lineRule="auto"/>
        <w:ind w:firstLine="480" w:firstLineChars="200"/>
        <w:rPr>
          <w:rFonts w:ascii="Times New Roman" w:hAnsi="Times New Roman" w:cs="Times New Roman"/>
        </w:rPr>
      </w:pPr>
      <w:r>
        <w:rPr>
          <w:rFonts w:ascii="Times New Roman" w:hAnsi="Times New Roman" w:cs="Times New Roman"/>
        </w:rPr>
        <w:t>劳动定员：本次</w:t>
      </w:r>
      <w:r>
        <w:rPr>
          <w:rFonts w:hint="eastAsia" w:ascii="Times New Roman" w:hAnsi="Times New Roman" w:cs="Times New Roman"/>
          <w:lang w:val="en-US" w:eastAsia="zh-CN"/>
        </w:rPr>
        <w:t>不</w:t>
      </w:r>
      <w:r>
        <w:rPr>
          <w:rFonts w:ascii="Times New Roman" w:hAnsi="Times New Roman" w:cs="Times New Roman"/>
        </w:rPr>
        <w:t>新增劳动定员</w:t>
      </w:r>
    </w:p>
    <w:p w14:paraId="69BB51C5">
      <w:pPr>
        <w:pStyle w:val="486"/>
        <w:spacing w:line="360" w:lineRule="auto"/>
        <w:ind w:firstLine="480" w:firstLineChars="200"/>
        <w:rPr>
          <w:rFonts w:ascii="Times New Roman" w:hAnsi="Times New Roman" w:cs="Times New Roman"/>
          <w:lang w:val="en-US" w:eastAsia="zh-CN"/>
        </w:rPr>
      </w:pPr>
      <w:r>
        <w:rPr>
          <w:rFonts w:ascii="Times New Roman" w:hAnsi="Times New Roman" w:cs="Times New Roman"/>
        </w:rPr>
        <w:t>年运行时数：</w:t>
      </w:r>
      <w:r>
        <w:rPr>
          <w:rFonts w:hint="eastAsia" w:ascii="Times New Roman" w:hAnsi="Times New Roman" w:cs="Times New Roman"/>
          <w:lang w:val="en-US" w:eastAsia="zh-CN"/>
        </w:rPr>
        <w:t>年</w:t>
      </w:r>
      <w:r>
        <w:rPr>
          <w:rFonts w:ascii="Times New Roman" w:hAnsi="Times New Roman" w:cs="Times New Roman"/>
        </w:rPr>
        <w:t>运行时长</w:t>
      </w:r>
      <w:r>
        <w:rPr>
          <w:rFonts w:hint="eastAsia" w:ascii="Times New Roman" w:hAnsi="Times New Roman" w:cs="Times New Roman"/>
          <w:lang w:val="en-US" w:eastAsia="zh-CN"/>
        </w:rPr>
        <w:t>80</w:t>
      </w:r>
      <w:r>
        <w:rPr>
          <w:rFonts w:ascii="Times New Roman" w:hAnsi="Times New Roman" w:cs="Times New Roman"/>
          <w:lang w:val="en-US" w:eastAsia="zh-CN"/>
        </w:rPr>
        <w:t>00h/a。</w:t>
      </w:r>
    </w:p>
    <w:p w14:paraId="5ACF3723">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改</w:t>
      </w:r>
      <w:r>
        <w:rPr>
          <w:rFonts w:hint="eastAsia" w:cs="Times New Roman"/>
          <w:lang w:val="en-US" w:eastAsia="zh-CN"/>
        </w:rPr>
        <w:t>本项目</w:t>
      </w:r>
      <w:r>
        <w:rPr>
          <w:rFonts w:hint="eastAsia" w:ascii="Times New Roman" w:hAnsi="Times New Roman" w:eastAsia="宋体" w:cs="Times New Roman"/>
          <w:lang w:val="en-US" w:eastAsia="zh-CN"/>
        </w:rPr>
        <w:t>：</w:t>
      </w:r>
    </w:p>
    <w:p w14:paraId="5842C99C">
      <w:pPr>
        <w:spacing w:line="360" w:lineRule="auto"/>
        <w:ind w:firstLine="480" w:firstLineChars="200"/>
        <w:rPr>
          <w:rFonts w:ascii="Times New Roman" w:hAnsi="Times New Roman" w:eastAsia="宋体" w:cs="Times New Roman"/>
        </w:rPr>
      </w:pPr>
      <w:r>
        <w:rPr>
          <w:rFonts w:hint="eastAsia" w:ascii="Times New Roman" w:hAnsi="Times New Roman" w:eastAsia="宋体" w:cs="Times New Roman"/>
          <w:lang w:eastAsia="zh-CN"/>
        </w:rPr>
        <w:t>（</w:t>
      </w:r>
      <w:r>
        <w:rPr>
          <w:rFonts w:hint="eastAsia" w:cs="Times New Roman"/>
          <w:lang w:val="en-US" w:eastAsia="zh-CN"/>
        </w:rPr>
        <w:t>1</w:t>
      </w:r>
      <w:r>
        <w:rPr>
          <w:rFonts w:hint="eastAsia" w:ascii="Times New Roman" w:hAnsi="Times New Roman" w:eastAsia="宋体" w:cs="Times New Roman"/>
          <w:lang w:eastAsia="zh-CN"/>
        </w:rPr>
        <w:t>）</w:t>
      </w:r>
      <w:r>
        <w:rPr>
          <w:rFonts w:ascii="Times New Roman" w:hAnsi="Times New Roman" w:eastAsia="宋体" w:cs="Times New Roman"/>
        </w:rPr>
        <w:t>蒸馏脱水车间</w:t>
      </w:r>
    </w:p>
    <w:p w14:paraId="26CC58F1">
      <w:pPr>
        <w:spacing w:line="360" w:lineRule="auto"/>
        <w:ind w:firstLine="480" w:firstLineChars="200"/>
        <w:rPr>
          <w:rFonts w:hint="eastAsia" w:ascii="Times New Roman" w:hAnsi="Times New Roman" w:eastAsia="宋体" w:cs="Times New Roman"/>
          <w:lang w:eastAsia="zh-CN"/>
        </w:rPr>
      </w:pPr>
      <w:r>
        <w:rPr>
          <w:rFonts w:ascii="Times New Roman" w:hAnsi="Times New Roman" w:eastAsia="宋体" w:cs="Times New Roman"/>
        </w:rPr>
        <w:t>原蒸馏脱水车间建筑和结构形式均不变，仅在室内和室外增加若干设备，原蒸馏脱水车间建筑面积：3315.72m</w:t>
      </w:r>
      <w:r>
        <w:rPr>
          <w:rFonts w:ascii="Times New Roman" w:hAnsi="Times New Roman" w:eastAsia="宋体" w:cs="Times New Roman"/>
          <w:vertAlign w:val="superscript"/>
        </w:rPr>
        <w:t>2</w:t>
      </w:r>
      <w:r>
        <w:rPr>
          <w:rFonts w:ascii="Times New Roman" w:hAnsi="Times New Roman" w:eastAsia="宋体" w:cs="Times New Roman"/>
        </w:rPr>
        <w:t>，建筑高度：21.15m</w:t>
      </w:r>
      <w:r>
        <w:rPr>
          <w:rFonts w:hint="eastAsia" w:ascii="Times New Roman" w:hAnsi="Times New Roman" w:eastAsia="宋体" w:cs="Times New Roman"/>
          <w:lang w:eastAsia="zh-CN"/>
        </w:rPr>
        <w:t>。</w:t>
      </w:r>
    </w:p>
    <w:p w14:paraId="2CA379AD">
      <w:pPr>
        <w:numPr>
          <w:ilvl w:val="0"/>
          <w:numId w:val="0"/>
        </w:numPr>
        <w:spacing w:line="360" w:lineRule="auto"/>
        <w:ind w:left="480" w:leftChars="0"/>
        <w:rPr>
          <w:rFonts w:ascii="Times New Roman" w:hAnsi="Times New Roman" w:eastAsia="宋体" w:cs="Times New Roman"/>
        </w:rPr>
      </w:pPr>
      <w:r>
        <w:rPr>
          <w:rFonts w:hint="eastAsia" w:cs="Times New Roman"/>
          <w:lang w:eastAsia="zh-CN"/>
        </w:rPr>
        <w:t>（</w:t>
      </w:r>
      <w:r>
        <w:rPr>
          <w:rFonts w:hint="eastAsia" w:cs="Times New Roman"/>
          <w:lang w:val="en-US" w:eastAsia="zh-CN"/>
        </w:rPr>
        <w:t>2</w:t>
      </w:r>
      <w:r>
        <w:rPr>
          <w:rFonts w:hint="eastAsia" w:cs="Times New Roman"/>
          <w:lang w:eastAsia="zh-CN"/>
        </w:rPr>
        <w:t>）</w:t>
      </w:r>
      <w:r>
        <w:rPr>
          <w:rFonts w:ascii="Times New Roman" w:hAnsi="Times New Roman" w:eastAsia="宋体" w:cs="Times New Roman"/>
        </w:rPr>
        <w:t>扩建</w:t>
      </w:r>
      <w:r>
        <w:rPr>
          <w:rFonts w:hint="eastAsia"/>
          <w:lang w:val="en-US" w:eastAsia="zh-CN"/>
        </w:rPr>
        <w:t>建6000m</w:t>
      </w:r>
      <w:r>
        <w:rPr>
          <w:rFonts w:hint="eastAsia"/>
          <w:vertAlign w:val="superscript"/>
          <w:lang w:val="en-US" w:eastAsia="zh-CN"/>
        </w:rPr>
        <w:t>3</w:t>
      </w:r>
      <w:r>
        <w:rPr>
          <w:rFonts w:hint="eastAsia"/>
          <w:lang w:val="en-US" w:eastAsia="zh-CN"/>
        </w:rPr>
        <w:t>/d</w:t>
      </w:r>
      <w:r>
        <w:rPr>
          <w:rFonts w:ascii="Times New Roman" w:hAnsi="Times New Roman" w:eastAsia="宋体" w:cs="Times New Roman"/>
        </w:rPr>
        <w:t>污水处理站</w:t>
      </w:r>
    </w:p>
    <w:p w14:paraId="2B8ADE2A">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厌氧操作间：建筑面积：284.418m</w:t>
      </w:r>
      <w:r>
        <w:rPr>
          <w:rFonts w:ascii="Times New Roman" w:hAnsi="Times New Roman" w:eastAsia="宋体" w:cs="Times New Roman"/>
          <w:vertAlign w:val="superscript"/>
        </w:rPr>
        <w:t>2</w:t>
      </w:r>
      <w:r>
        <w:rPr>
          <w:rFonts w:ascii="Times New Roman" w:hAnsi="Times New Roman" w:eastAsia="宋体" w:cs="Times New Roman"/>
        </w:rPr>
        <w:t>，建筑高度：4.5m；建筑层数：单层；结构形式：框架结构；水泥砂浆面层地面，墙体采用加气混凝土砌块，外墙外保温涂料墙面。</w:t>
      </w:r>
    </w:p>
    <w:p w14:paraId="3D407309">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药剂间：建筑面积：833.673m</w:t>
      </w:r>
      <w:r>
        <w:rPr>
          <w:rFonts w:ascii="Times New Roman" w:hAnsi="Times New Roman" w:eastAsia="宋体" w:cs="Times New Roman"/>
          <w:vertAlign w:val="superscript"/>
        </w:rPr>
        <w:t>2</w:t>
      </w:r>
      <w:r>
        <w:rPr>
          <w:rFonts w:ascii="Times New Roman" w:hAnsi="Times New Roman" w:eastAsia="宋体" w:cs="Times New Roman"/>
        </w:rPr>
        <w:t>，建筑高度：4.7m；建筑层数：地下一层（化学水中和池），地上一层；结构形式：框架结构；地面：碱液间为耐碱混凝土面层地面，其他地面为水泥砂浆面层地面，墙体采用加气混凝土砌块，外墙外保温涂料墙面。</w:t>
      </w:r>
    </w:p>
    <w:p w14:paraId="17F0F68F">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污泥脱水间：建筑面积：209.96m</w:t>
      </w:r>
      <w:r>
        <w:rPr>
          <w:rFonts w:ascii="Times New Roman" w:hAnsi="Times New Roman" w:eastAsia="宋体" w:cs="Times New Roman"/>
          <w:vertAlign w:val="superscript"/>
        </w:rPr>
        <w:t>2</w:t>
      </w:r>
      <w:r>
        <w:rPr>
          <w:rFonts w:ascii="Times New Roman" w:hAnsi="Times New Roman" w:eastAsia="宋体" w:cs="Times New Roman"/>
        </w:rPr>
        <w:t>，建筑高度：8.00m；建筑层数：二层；结构形式：框架结构；水泥混凝土地面，墙体采用加气混凝土砌块，外墙外保温涂料墙面。</w:t>
      </w:r>
    </w:p>
    <w:p w14:paraId="73737CCE">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中水回用车间：建筑面积：386.93m</w:t>
      </w:r>
      <w:r>
        <w:rPr>
          <w:rFonts w:ascii="Times New Roman" w:hAnsi="Times New Roman" w:eastAsia="宋体" w:cs="Times New Roman"/>
          <w:vertAlign w:val="superscript"/>
        </w:rPr>
        <w:t>2</w:t>
      </w:r>
      <w:r>
        <w:rPr>
          <w:rFonts w:ascii="Times New Roman" w:hAnsi="Times New Roman" w:eastAsia="宋体" w:cs="Times New Roman"/>
        </w:rPr>
        <w:t>，建筑高度：11.6m；建筑层数：单层；结构形式：框架结构；水泥混凝土地面，墙体采用加气混凝土砌块，外墙外保温涂料墙面。</w:t>
      </w:r>
    </w:p>
    <w:p w14:paraId="204FA441">
      <w:pPr>
        <w:widowControl w:val="0"/>
        <w:autoSpaceDE w:val="0"/>
        <w:autoSpaceDN w:val="0"/>
        <w:spacing w:line="360" w:lineRule="auto"/>
        <w:ind w:firstLine="480" w:firstLineChars="200"/>
        <w:rPr>
          <w:rFonts w:hint="eastAsia"/>
          <w:lang w:val="en-US" w:eastAsia="zh-CN"/>
        </w:rPr>
      </w:pPr>
      <w:r>
        <w:rPr>
          <w:rFonts w:hint="default" w:ascii="Times New Roman" w:hAnsi="Times New Roman" w:cs="Times New Roman"/>
          <w:snapToGrid w:val="0"/>
          <w:spacing w:val="0"/>
          <w:position w:val="0"/>
        </w:rPr>
        <w:t>采用</w:t>
      </w:r>
      <w:r>
        <w:rPr>
          <w:rFonts w:hint="default" w:ascii="Times New Roman" w:hAnsi="Times New Roman" w:eastAsia="Times New Roman" w:cs="Times New Roman"/>
          <w:snapToGrid w:val="0"/>
          <w:spacing w:val="0"/>
          <w:position w:val="0"/>
        </w:rPr>
        <w:t>“</w:t>
      </w:r>
      <w:r>
        <w:rPr>
          <w:rFonts w:hint="eastAsia" w:ascii="Times New Roman" w:hAnsi="Times New Roman" w:cs="Times New Roman"/>
          <w:snapToGrid w:val="0"/>
          <w:spacing w:val="0"/>
          <w:position w:val="0"/>
          <w:lang w:eastAsia="zh-CN"/>
        </w:rPr>
        <w:t>SPIC厌氧+生物接触氧化+连续活性砂滤</w:t>
      </w:r>
      <w:r>
        <w:rPr>
          <w:rFonts w:hint="default" w:ascii="Times New Roman" w:hAnsi="Times New Roman" w:eastAsia="Times New Roman" w:cs="Times New Roman"/>
          <w:snapToGrid w:val="0"/>
          <w:spacing w:val="0"/>
          <w:position w:val="0"/>
        </w:rPr>
        <w:t>”</w:t>
      </w:r>
      <w:r>
        <w:rPr>
          <w:rFonts w:hint="default" w:ascii="Times New Roman" w:hAnsi="Times New Roman" w:cs="Times New Roman"/>
          <w:snapToGrid w:val="0"/>
          <w:spacing w:val="0"/>
          <w:position w:val="0"/>
        </w:rPr>
        <w:t>方法对污水处理</w:t>
      </w:r>
      <w:r>
        <w:rPr>
          <w:rFonts w:hint="eastAsia" w:ascii="Times New Roman" w:hAnsi="Times New Roman" w:cs="Times New Roman"/>
          <w:snapToGrid w:val="0"/>
          <w:spacing w:val="0"/>
          <w:position w:val="0"/>
          <w:lang w:eastAsia="zh-CN"/>
        </w:rPr>
        <w:t>，</w:t>
      </w:r>
      <w:r>
        <w:rPr>
          <w:rFonts w:hint="eastAsia"/>
          <w:lang w:val="en-US" w:eastAsia="zh-CN"/>
        </w:rPr>
        <w:t>尾水满足《城镇污水处理厂污染物排放标准》（GB18918-2002）中一级标准中的A标准的要求后，经拉哈生物技术与化学制药产业园区污水处理厂入河排污口排入到嫩江（排污口坐标为E124.57451°，N48.19451°）。待拉哈小镇工业园区污水处理厂投入运营后，全厂污水满足拉哈小镇工业园区污水处理厂纳管标准后排入拉哈小镇工业园区污水处理厂。</w:t>
      </w:r>
    </w:p>
    <w:p w14:paraId="47A7F5EF">
      <w:pPr>
        <w:jc w:val="center"/>
      </w:pPr>
      <w:r>
        <w:rPr>
          <w:b/>
          <w:bCs/>
        </w:rPr>
        <w:t>表3.</w:t>
      </w:r>
      <w:r>
        <w:rPr>
          <w:rFonts w:hint="eastAsia"/>
          <w:b/>
          <w:bCs/>
          <w:lang w:val="en-US" w:eastAsia="zh-CN"/>
        </w:rPr>
        <w:t>2</w:t>
      </w:r>
      <w:r>
        <w:rPr>
          <w:b/>
          <w:bCs/>
        </w:rPr>
        <w:t xml:space="preserve">-1  </w:t>
      </w:r>
      <w:r>
        <w:rPr>
          <w:rFonts w:hint="eastAsia"/>
          <w:b/>
          <w:bCs/>
          <w:lang w:val="en-US" w:eastAsia="zh-CN"/>
        </w:rPr>
        <w:t>技改</w:t>
      </w:r>
      <w:r>
        <w:rPr>
          <w:b/>
          <w:bCs/>
        </w:rPr>
        <w:t>项目组成一览表</w:t>
      </w:r>
    </w:p>
    <w:tbl>
      <w:tblPr>
        <w:tblStyle w:val="53"/>
        <w:tblW w:w="89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893"/>
        <w:gridCol w:w="5160"/>
        <w:gridCol w:w="1119"/>
      </w:tblGrid>
      <w:tr w14:paraId="6BE1A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9" w:hRule="atLeast"/>
          <w:jc w:val="center"/>
        </w:trPr>
        <w:tc>
          <w:tcPr>
            <w:tcW w:w="746" w:type="dxa"/>
            <w:vAlign w:val="center"/>
          </w:tcPr>
          <w:p w14:paraId="32D4D65F">
            <w:pPr>
              <w:spacing w:line="240" w:lineRule="exact"/>
              <w:jc w:val="center"/>
              <w:rPr>
                <w:color w:val="auto"/>
                <w:sz w:val="21"/>
                <w:szCs w:val="21"/>
              </w:rPr>
            </w:pPr>
            <w:r>
              <w:rPr>
                <w:color w:val="auto"/>
                <w:sz w:val="21"/>
                <w:szCs w:val="21"/>
              </w:rPr>
              <w:t>类别</w:t>
            </w:r>
          </w:p>
        </w:tc>
        <w:tc>
          <w:tcPr>
            <w:tcW w:w="1893" w:type="dxa"/>
            <w:vAlign w:val="center"/>
          </w:tcPr>
          <w:p w14:paraId="6752B821">
            <w:pPr>
              <w:spacing w:line="240" w:lineRule="exact"/>
              <w:jc w:val="center"/>
              <w:rPr>
                <w:color w:val="auto"/>
                <w:sz w:val="21"/>
                <w:szCs w:val="21"/>
              </w:rPr>
            </w:pPr>
            <w:r>
              <w:rPr>
                <w:color w:val="auto"/>
                <w:sz w:val="21"/>
                <w:szCs w:val="21"/>
              </w:rPr>
              <w:t>工程名称</w:t>
            </w:r>
          </w:p>
        </w:tc>
        <w:tc>
          <w:tcPr>
            <w:tcW w:w="5160" w:type="dxa"/>
            <w:vAlign w:val="center"/>
          </w:tcPr>
          <w:p w14:paraId="6CE35309">
            <w:pPr>
              <w:spacing w:line="240" w:lineRule="exact"/>
              <w:jc w:val="center"/>
              <w:rPr>
                <w:color w:val="auto"/>
                <w:sz w:val="21"/>
                <w:szCs w:val="21"/>
              </w:rPr>
            </w:pPr>
            <w:r>
              <w:rPr>
                <w:color w:val="auto"/>
                <w:sz w:val="21"/>
                <w:szCs w:val="21"/>
              </w:rPr>
              <w:t>内 容 及 规 模</w:t>
            </w:r>
          </w:p>
        </w:tc>
        <w:tc>
          <w:tcPr>
            <w:tcW w:w="1119" w:type="dxa"/>
            <w:vAlign w:val="center"/>
          </w:tcPr>
          <w:p w14:paraId="249990EF">
            <w:pPr>
              <w:spacing w:line="240" w:lineRule="exact"/>
              <w:jc w:val="center"/>
              <w:rPr>
                <w:color w:val="auto"/>
                <w:sz w:val="21"/>
                <w:szCs w:val="21"/>
              </w:rPr>
            </w:pPr>
            <w:r>
              <w:rPr>
                <w:color w:val="auto"/>
                <w:sz w:val="21"/>
                <w:szCs w:val="21"/>
              </w:rPr>
              <w:t>备注</w:t>
            </w:r>
          </w:p>
        </w:tc>
      </w:tr>
      <w:tr w14:paraId="54880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9" w:hRule="atLeast"/>
          <w:jc w:val="center"/>
        </w:trPr>
        <w:tc>
          <w:tcPr>
            <w:tcW w:w="746" w:type="dxa"/>
            <w:vMerge w:val="restart"/>
            <w:vAlign w:val="center"/>
          </w:tcPr>
          <w:p w14:paraId="3499D7FE">
            <w:pPr>
              <w:spacing w:line="240" w:lineRule="exact"/>
              <w:jc w:val="center"/>
              <w:rPr>
                <w:rFonts w:hint="eastAsia" w:eastAsia="宋体"/>
                <w:color w:val="auto"/>
                <w:sz w:val="21"/>
                <w:szCs w:val="21"/>
                <w:lang w:val="en-US" w:eastAsia="zh-CN"/>
              </w:rPr>
            </w:pPr>
            <w:r>
              <w:rPr>
                <w:rFonts w:hint="eastAsia"/>
                <w:color w:val="auto"/>
                <w:sz w:val="21"/>
                <w:szCs w:val="21"/>
                <w:lang w:val="en-US" w:eastAsia="zh-CN"/>
              </w:rPr>
              <w:t>主体工程</w:t>
            </w:r>
          </w:p>
        </w:tc>
        <w:tc>
          <w:tcPr>
            <w:tcW w:w="1893" w:type="dxa"/>
            <w:vAlign w:val="center"/>
          </w:tcPr>
          <w:p w14:paraId="35CF0E92">
            <w:pPr>
              <w:spacing w:line="240" w:lineRule="exact"/>
              <w:jc w:val="center"/>
              <w:rPr>
                <w:rFonts w:ascii="Times New Roman" w:hAnsi="Times New Roman" w:cs="Times New Roman"/>
                <w:color w:val="auto"/>
                <w:sz w:val="21"/>
                <w:szCs w:val="21"/>
                <w:lang w:val="zh-CN"/>
              </w:rPr>
            </w:pPr>
            <w:r>
              <w:rPr>
                <w:rFonts w:hint="eastAsia" w:ascii="Times New Roman" w:hAnsi="Times New Roman" w:cs="Times New Roman"/>
                <w:color w:val="auto"/>
                <w:sz w:val="21"/>
                <w:szCs w:val="21"/>
                <w:lang w:val="en-US" w:eastAsia="zh-CN"/>
              </w:rPr>
              <w:t>1</w:t>
            </w:r>
            <w:r>
              <w:rPr>
                <w:rFonts w:hint="eastAsia" w:ascii="Times New Roman" w:hAnsi="Times New Roman" w:cs="Times New Roman"/>
                <w:color w:val="auto"/>
                <w:sz w:val="21"/>
                <w:szCs w:val="21"/>
                <w:lang w:val="zh-CN"/>
              </w:rPr>
              <w:t>、</w:t>
            </w:r>
            <w:r>
              <w:rPr>
                <w:rFonts w:ascii="Times New Roman" w:hAnsi="Times New Roman" w:cs="Times New Roman"/>
                <w:color w:val="auto"/>
                <w:sz w:val="21"/>
                <w:szCs w:val="21"/>
                <w:lang w:val="zh-CN"/>
              </w:rPr>
              <w:t>蒸馏</w:t>
            </w:r>
            <w:r>
              <w:rPr>
                <w:rFonts w:hint="eastAsia" w:ascii="Times New Roman" w:hAnsi="Times New Roman" w:cs="Times New Roman"/>
                <w:color w:val="auto"/>
                <w:sz w:val="21"/>
                <w:szCs w:val="21"/>
                <w:lang w:val="zh-CN"/>
              </w:rPr>
              <w:t>、脱水</w:t>
            </w:r>
            <w:r>
              <w:rPr>
                <w:rFonts w:ascii="Times New Roman" w:hAnsi="Times New Roman" w:cs="Times New Roman"/>
                <w:color w:val="auto"/>
                <w:sz w:val="21"/>
                <w:szCs w:val="21"/>
                <w:lang w:val="zh-CN"/>
              </w:rPr>
              <w:t>车间</w:t>
            </w:r>
          </w:p>
        </w:tc>
        <w:tc>
          <w:tcPr>
            <w:tcW w:w="5160" w:type="dxa"/>
            <w:vAlign w:val="center"/>
          </w:tcPr>
          <w:p w14:paraId="21B64B9A">
            <w:pPr>
              <w:spacing w:line="2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原蒸馏脱水车间建筑和结构形式均不变，仅在室内和室外增加若干设备，原蒸馏脱水车间建筑面积：3315.72m2，建筑高度：21.15m</w:t>
            </w:r>
            <w:r>
              <w:rPr>
                <w:rFonts w:hint="eastAsia" w:ascii="Times New Roman" w:hAnsi="Times New Roman" w:cs="Times New Roman"/>
                <w:color w:val="auto"/>
                <w:sz w:val="21"/>
                <w:szCs w:val="21"/>
                <w:lang w:eastAsia="zh-CN"/>
              </w:rPr>
              <w:t>。</w:t>
            </w:r>
          </w:p>
        </w:tc>
        <w:tc>
          <w:tcPr>
            <w:tcW w:w="1119" w:type="dxa"/>
            <w:vAlign w:val="center"/>
          </w:tcPr>
          <w:p w14:paraId="39B3A640">
            <w:pPr>
              <w:spacing w:line="240" w:lineRule="exact"/>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技术改造</w:t>
            </w:r>
          </w:p>
        </w:tc>
      </w:tr>
      <w:tr w14:paraId="34D4A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9" w:hRule="atLeast"/>
          <w:jc w:val="center"/>
        </w:trPr>
        <w:tc>
          <w:tcPr>
            <w:tcW w:w="746" w:type="dxa"/>
            <w:vMerge w:val="continue"/>
            <w:vAlign w:val="center"/>
          </w:tcPr>
          <w:p w14:paraId="7B90CDBA">
            <w:pPr>
              <w:spacing w:line="240" w:lineRule="exact"/>
              <w:jc w:val="center"/>
              <w:rPr>
                <w:color w:val="auto"/>
                <w:sz w:val="21"/>
                <w:szCs w:val="21"/>
              </w:rPr>
            </w:pPr>
          </w:p>
        </w:tc>
        <w:tc>
          <w:tcPr>
            <w:tcW w:w="1893" w:type="dxa"/>
            <w:vAlign w:val="center"/>
          </w:tcPr>
          <w:p w14:paraId="330478D7">
            <w:pPr>
              <w:spacing w:line="240" w:lineRule="exact"/>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2、污水处理站</w:t>
            </w:r>
          </w:p>
        </w:tc>
        <w:tc>
          <w:tcPr>
            <w:tcW w:w="5160" w:type="dxa"/>
            <w:vAlign w:val="center"/>
          </w:tcPr>
          <w:p w14:paraId="4998C07B">
            <w:pPr>
              <w:spacing w:line="2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厌氧操作间：建筑面积：284.418m2，建筑高度：4.5m；建筑层数：单层；结构形式：框架结构；水泥砂浆面层地面，墙体采用加气混凝土砌块，外墙外保温涂料墙面。</w:t>
            </w:r>
          </w:p>
          <w:p w14:paraId="1539193A">
            <w:pPr>
              <w:spacing w:line="2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药剂间：建筑面积：833.673m2，建筑高度：4.7m；建筑层数：地下一层（化学水中和池），地上一层；结构形式：框架结构；地面：碱液间为耐碱混凝土面层地面，其他地面为水泥砂浆面层地面，墙体采用加气混凝土砌块，外墙外保温涂料墙面。</w:t>
            </w:r>
          </w:p>
          <w:p w14:paraId="22E44390">
            <w:pPr>
              <w:spacing w:line="2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污泥脱水间：建筑面积：209.96m2，建筑高度：8.00m；建筑层数：二层；结构形式：框架结构；水泥混凝土地面，墙体采用加气混凝土砌块，外墙外保温涂料墙面。</w:t>
            </w:r>
          </w:p>
          <w:p w14:paraId="3BED23BA">
            <w:pPr>
              <w:spacing w:line="2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中水回用车间：建筑面积：386.93m2，建筑高度：11.6m；建筑层数：单层；结构形式：框架结构；水泥混凝土地面，墙体采用加气混凝土砌块，外墙外保温涂料墙面。</w:t>
            </w:r>
          </w:p>
          <w:p w14:paraId="7658644B">
            <w:pPr>
              <w:spacing w:line="240" w:lineRule="exact"/>
              <w:jc w:val="center"/>
              <w:rPr>
                <w:rFonts w:hint="eastAsia" w:ascii="Times New Roman" w:hAnsi="Times New Roman" w:cs="Times New Roman"/>
                <w:color w:val="auto"/>
                <w:sz w:val="21"/>
                <w:szCs w:val="21"/>
                <w:lang w:val="zh-CN"/>
              </w:rPr>
            </w:pPr>
            <w:r>
              <w:rPr>
                <w:rFonts w:hint="default" w:ascii="Times New Roman" w:hAnsi="Times New Roman" w:cs="Times New Roman"/>
                <w:color w:val="auto"/>
                <w:sz w:val="21"/>
                <w:szCs w:val="21"/>
                <w:lang w:val="en-US" w:eastAsia="zh-CN"/>
              </w:rPr>
              <w:t>采用“</w:t>
            </w:r>
            <w:r>
              <w:rPr>
                <w:rFonts w:hint="eastAsia" w:ascii="Times New Roman" w:hAnsi="Times New Roman" w:cs="Times New Roman"/>
                <w:color w:val="auto"/>
                <w:sz w:val="21"/>
                <w:szCs w:val="21"/>
                <w:lang w:val="en-US" w:eastAsia="zh-CN"/>
              </w:rPr>
              <w:t>SPIC厌氧+生物接触氧化+连续活性砂滤</w:t>
            </w:r>
            <w:r>
              <w:rPr>
                <w:rFonts w:hint="default" w:ascii="Times New Roman" w:hAnsi="Times New Roman" w:cs="Times New Roman"/>
                <w:color w:val="auto"/>
                <w:sz w:val="21"/>
                <w:szCs w:val="21"/>
                <w:lang w:val="en-US" w:eastAsia="zh-CN"/>
              </w:rPr>
              <w:t>”方法对污水处理</w:t>
            </w:r>
            <w:r>
              <w:rPr>
                <w:rFonts w:hint="eastAsia" w:ascii="Times New Roman" w:hAnsi="Times New Roman" w:cs="Times New Roman"/>
                <w:color w:val="auto"/>
                <w:sz w:val="21"/>
                <w:szCs w:val="21"/>
                <w:lang w:val="en-US" w:eastAsia="zh-CN"/>
              </w:rPr>
              <w:t>，尾水满足《城镇污水处理厂污染物排放标准》（GB18918-2002）中一级标准中的A标准的要求后，经拉哈生物技术与化学制药产业园区污水处理厂入河排污口排入到嫩江（排污口坐标为E124.57451°，N48.19451°）。待拉哈小镇工业园区污水处理厂投入运营后，全厂污水满足拉哈小镇工业园区污水处理厂纳管标准后排入拉哈小镇工业园区污水处理厂。</w:t>
            </w:r>
          </w:p>
        </w:tc>
        <w:tc>
          <w:tcPr>
            <w:tcW w:w="1119" w:type="dxa"/>
            <w:vAlign w:val="center"/>
          </w:tcPr>
          <w:p w14:paraId="49BE9180">
            <w:pPr>
              <w:spacing w:line="240" w:lineRule="exact"/>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扩建</w:t>
            </w:r>
          </w:p>
        </w:tc>
      </w:tr>
      <w:tr w14:paraId="4E47B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9" w:hRule="atLeast"/>
          <w:jc w:val="center"/>
        </w:trPr>
        <w:tc>
          <w:tcPr>
            <w:tcW w:w="746" w:type="dxa"/>
            <w:vAlign w:val="center"/>
          </w:tcPr>
          <w:p w14:paraId="40B10559">
            <w:pPr>
              <w:spacing w:line="240" w:lineRule="exact"/>
              <w:jc w:val="center"/>
              <w:rPr>
                <w:color w:val="auto"/>
                <w:sz w:val="21"/>
                <w:szCs w:val="21"/>
              </w:rPr>
            </w:pPr>
            <w:r>
              <w:rPr>
                <w:color w:val="auto"/>
                <w:sz w:val="21"/>
                <w:szCs w:val="21"/>
              </w:rPr>
              <w:t>公用</w:t>
            </w:r>
          </w:p>
          <w:p w14:paraId="2A1CDB55">
            <w:pPr>
              <w:spacing w:line="240" w:lineRule="exact"/>
              <w:jc w:val="center"/>
              <w:rPr>
                <w:color w:val="auto"/>
                <w:sz w:val="21"/>
                <w:szCs w:val="21"/>
              </w:rPr>
            </w:pPr>
            <w:r>
              <w:rPr>
                <w:color w:val="auto"/>
                <w:sz w:val="21"/>
                <w:szCs w:val="21"/>
              </w:rPr>
              <w:t>工程</w:t>
            </w:r>
          </w:p>
        </w:tc>
        <w:tc>
          <w:tcPr>
            <w:tcW w:w="1893" w:type="dxa"/>
            <w:vAlign w:val="center"/>
          </w:tcPr>
          <w:p w14:paraId="33DDF474">
            <w:pPr>
              <w:spacing w:line="240" w:lineRule="exact"/>
              <w:jc w:val="center"/>
              <w:rPr>
                <w:color w:val="auto"/>
                <w:sz w:val="21"/>
                <w:szCs w:val="21"/>
              </w:rPr>
            </w:pPr>
            <w:r>
              <w:rPr>
                <w:color w:val="auto"/>
                <w:sz w:val="21"/>
                <w:szCs w:val="21"/>
              </w:rPr>
              <w:t>给水</w:t>
            </w:r>
          </w:p>
        </w:tc>
        <w:tc>
          <w:tcPr>
            <w:tcW w:w="5160" w:type="dxa"/>
            <w:vAlign w:val="center"/>
          </w:tcPr>
          <w:p w14:paraId="4A5ECFF0">
            <w:pPr>
              <w:adjustRightInd w:val="0"/>
              <w:snapToGrid w:val="0"/>
              <w:spacing w:line="240" w:lineRule="exact"/>
              <w:jc w:val="center"/>
              <w:rPr>
                <w:color w:val="auto"/>
                <w:sz w:val="21"/>
                <w:szCs w:val="21"/>
              </w:rPr>
            </w:pPr>
            <w:r>
              <w:rPr>
                <w:color w:val="auto"/>
                <w:sz w:val="21"/>
                <w:szCs w:val="21"/>
                <w:lang w:val="zh-CN"/>
              </w:rPr>
              <w:t>水源为地下水，新增深井4眼（3用1备），单眼井出水量为90m</w:t>
            </w:r>
            <w:r>
              <w:rPr>
                <w:color w:val="auto"/>
                <w:sz w:val="21"/>
                <w:szCs w:val="21"/>
                <w:vertAlign w:val="superscript"/>
                <w:lang w:val="zh-CN"/>
              </w:rPr>
              <w:t>3</w:t>
            </w:r>
            <w:r>
              <w:rPr>
                <w:color w:val="auto"/>
                <w:sz w:val="21"/>
                <w:szCs w:val="21"/>
                <w:lang w:val="zh-CN"/>
              </w:rPr>
              <w:t>/h。设1000m</w:t>
            </w:r>
            <w:r>
              <w:rPr>
                <w:color w:val="auto"/>
                <w:sz w:val="21"/>
                <w:szCs w:val="21"/>
                <w:vertAlign w:val="superscript"/>
                <w:lang w:val="zh-CN"/>
              </w:rPr>
              <w:t>3</w:t>
            </w:r>
            <w:r>
              <w:rPr>
                <w:color w:val="auto"/>
                <w:sz w:val="21"/>
                <w:szCs w:val="21"/>
              </w:rPr>
              <w:t>生产生活用水池一座</w:t>
            </w:r>
            <w:r>
              <w:rPr>
                <w:color w:val="auto"/>
                <w:sz w:val="21"/>
                <w:szCs w:val="21"/>
                <w:lang w:val="zh-CN"/>
              </w:rPr>
              <w:t>。生产用水量</w:t>
            </w:r>
            <w:r>
              <w:rPr>
                <w:rFonts w:hint="eastAsia"/>
                <w:color w:val="auto"/>
                <w:sz w:val="21"/>
                <w:szCs w:val="21"/>
                <w:lang w:val="zh-CN"/>
              </w:rPr>
              <w:t>210t/h</w:t>
            </w:r>
            <w:r>
              <w:rPr>
                <w:color w:val="auto"/>
                <w:sz w:val="21"/>
                <w:szCs w:val="21"/>
                <w:lang w:val="zh-CN"/>
              </w:rPr>
              <w:t>，生活用水量</w:t>
            </w:r>
            <w:r>
              <w:rPr>
                <w:rFonts w:hint="eastAsia"/>
                <w:color w:val="auto"/>
                <w:sz w:val="21"/>
                <w:szCs w:val="21"/>
                <w:lang w:val="zh-CN"/>
              </w:rPr>
              <w:t>1.5t/h</w:t>
            </w:r>
            <w:r>
              <w:rPr>
                <w:color w:val="auto"/>
                <w:sz w:val="21"/>
                <w:szCs w:val="21"/>
                <w:lang w:val="zh-CN"/>
              </w:rPr>
              <w:t>。</w:t>
            </w:r>
          </w:p>
        </w:tc>
        <w:tc>
          <w:tcPr>
            <w:tcW w:w="1119" w:type="dxa"/>
            <w:vAlign w:val="center"/>
          </w:tcPr>
          <w:p w14:paraId="0D990C34">
            <w:pPr>
              <w:spacing w:line="240" w:lineRule="exact"/>
              <w:jc w:val="center"/>
              <w:rPr>
                <w:rFonts w:hint="default" w:eastAsia="宋体"/>
                <w:color w:val="auto"/>
                <w:sz w:val="21"/>
                <w:szCs w:val="21"/>
                <w:lang w:val="en-US" w:eastAsia="zh-CN"/>
              </w:rPr>
            </w:pPr>
            <w:r>
              <w:rPr>
                <w:rFonts w:hint="eastAsia"/>
                <w:color w:val="auto"/>
                <w:sz w:val="21"/>
                <w:szCs w:val="21"/>
                <w:lang w:val="en-US" w:eastAsia="zh-CN"/>
              </w:rPr>
              <w:t>依托原有</w:t>
            </w:r>
          </w:p>
        </w:tc>
      </w:tr>
      <w:tr w14:paraId="5DBB1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0" w:hRule="atLeast"/>
          <w:jc w:val="center"/>
        </w:trPr>
        <w:tc>
          <w:tcPr>
            <w:tcW w:w="746" w:type="dxa"/>
            <w:vMerge w:val="restart"/>
            <w:vAlign w:val="center"/>
          </w:tcPr>
          <w:p w14:paraId="1AF09B47">
            <w:pPr>
              <w:spacing w:line="240" w:lineRule="exact"/>
              <w:jc w:val="center"/>
              <w:rPr>
                <w:color w:val="auto"/>
                <w:sz w:val="21"/>
                <w:szCs w:val="21"/>
              </w:rPr>
            </w:pPr>
            <w:r>
              <w:rPr>
                <w:rFonts w:hint="eastAsia"/>
                <w:color w:val="auto"/>
                <w:sz w:val="21"/>
                <w:szCs w:val="21"/>
              </w:rPr>
              <w:t>辅助工程</w:t>
            </w:r>
          </w:p>
        </w:tc>
        <w:tc>
          <w:tcPr>
            <w:tcW w:w="1893" w:type="dxa"/>
            <w:vAlign w:val="center"/>
          </w:tcPr>
          <w:p w14:paraId="18CD9313">
            <w:pPr>
              <w:spacing w:line="240" w:lineRule="exact"/>
              <w:jc w:val="center"/>
              <w:rPr>
                <w:color w:val="auto"/>
                <w:sz w:val="21"/>
                <w:szCs w:val="21"/>
              </w:rPr>
            </w:pPr>
            <w:r>
              <w:rPr>
                <w:rFonts w:hint="eastAsia"/>
                <w:color w:val="auto"/>
                <w:sz w:val="21"/>
                <w:szCs w:val="21"/>
              </w:rPr>
              <w:t>综合楼</w:t>
            </w:r>
          </w:p>
        </w:tc>
        <w:tc>
          <w:tcPr>
            <w:tcW w:w="5160" w:type="dxa"/>
            <w:vAlign w:val="center"/>
          </w:tcPr>
          <w:p w14:paraId="18B72631">
            <w:pPr>
              <w:adjustRightInd w:val="0"/>
              <w:snapToGrid w:val="0"/>
              <w:spacing w:line="240" w:lineRule="exact"/>
              <w:jc w:val="center"/>
              <w:rPr>
                <w:color w:val="auto"/>
                <w:sz w:val="21"/>
                <w:szCs w:val="21"/>
                <w:lang w:val="zh-CN"/>
              </w:rPr>
            </w:pPr>
            <w:r>
              <w:rPr>
                <w:rFonts w:hint="eastAsia"/>
                <w:color w:val="auto"/>
                <w:sz w:val="21"/>
                <w:szCs w:val="21"/>
                <w:lang w:val="zh-CN"/>
              </w:rPr>
              <w:t>1座，</w:t>
            </w:r>
            <w:r>
              <w:rPr>
                <w:color w:val="auto"/>
                <w:sz w:val="21"/>
                <w:szCs w:val="21"/>
                <w:lang w:val="zh-CN"/>
              </w:rPr>
              <w:t>建筑面积</w:t>
            </w:r>
            <w:r>
              <w:rPr>
                <w:rFonts w:hint="eastAsia"/>
                <w:color w:val="auto"/>
                <w:sz w:val="21"/>
                <w:szCs w:val="21"/>
              </w:rPr>
              <w:t>11547.36</w:t>
            </w:r>
            <w:r>
              <w:rPr>
                <w:color w:val="auto"/>
                <w:sz w:val="21"/>
                <w:szCs w:val="21"/>
                <w:lang w:val="zh-CN"/>
              </w:rPr>
              <w:t>m</w:t>
            </w:r>
            <w:r>
              <w:rPr>
                <w:color w:val="auto"/>
                <w:sz w:val="21"/>
                <w:szCs w:val="21"/>
                <w:vertAlign w:val="superscript"/>
                <w:lang w:val="zh-CN"/>
              </w:rPr>
              <w:t>2</w:t>
            </w:r>
            <w:r>
              <w:rPr>
                <w:color w:val="auto"/>
                <w:sz w:val="21"/>
                <w:szCs w:val="21"/>
                <w:lang w:val="zh-CN"/>
              </w:rPr>
              <w:t>，</w:t>
            </w:r>
            <w:r>
              <w:rPr>
                <w:rFonts w:hint="eastAsia"/>
                <w:color w:val="auto"/>
                <w:sz w:val="21"/>
                <w:szCs w:val="21"/>
                <w:lang w:val="zh-CN"/>
              </w:rPr>
              <w:t>高度31.5m</w:t>
            </w:r>
            <w:r>
              <w:rPr>
                <w:color w:val="auto"/>
                <w:sz w:val="21"/>
                <w:szCs w:val="21"/>
                <w:lang w:val="zh-CN"/>
              </w:rPr>
              <w:t>。</w:t>
            </w:r>
          </w:p>
        </w:tc>
        <w:tc>
          <w:tcPr>
            <w:tcW w:w="1119" w:type="dxa"/>
            <w:vAlign w:val="center"/>
          </w:tcPr>
          <w:p w14:paraId="691C5BBE">
            <w:pPr>
              <w:spacing w:line="240" w:lineRule="exact"/>
              <w:jc w:val="center"/>
              <w:rPr>
                <w:rFonts w:hint="eastAsia" w:eastAsia="宋体"/>
                <w:color w:val="auto"/>
                <w:sz w:val="21"/>
                <w:szCs w:val="21"/>
                <w:lang w:eastAsia="zh-CN"/>
              </w:rPr>
            </w:pPr>
            <w:r>
              <w:rPr>
                <w:rFonts w:hint="eastAsia"/>
                <w:color w:val="auto"/>
                <w:sz w:val="21"/>
                <w:szCs w:val="21"/>
                <w:lang w:val="en-US" w:eastAsia="zh-CN"/>
              </w:rPr>
              <w:t>依托原有</w:t>
            </w:r>
          </w:p>
        </w:tc>
      </w:tr>
      <w:tr w14:paraId="12F1C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9" w:hRule="atLeast"/>
          <w:jc w:val="center"/>
        </w:trPr>
        <w:tc>
          <w:tcPr>
            <w:tcW w:w="746" w:type="dxa"/>
            <w:vMerge w:val="continue"/>
            <w:vAlign w:val="center"/>
          </w:tcPr>
          <w:p w14:paraId="5804E6BE">
            <w:pPr>
              <w:spacing w:line="240" w:lineRule="exact"/>
              <w:jc w:val="center"/>
              <w:rPr>
                <w:color w:val="auto"/>
                <w:sz w:val="21"/>
                <w:szCs w:val="21"/>
              </w:rPr>
            </w:pPr>
          </w:p>
        </w:tc>
        <w:tc>
          <w:tcPr>
            <w:tcW w:w="1893" w:type="dxa"/>
            <w:vAlign w:val="center"/>
          </w:tcPr>
          <w:p w14:paraId="655B2615">
            <w:pPr>
              <w:spacing w:line="240" w:lineRule="exact"/>
              <w:jc w:val="center"/>
              <w:rPr>
                <w:color w:val="auto"/>
                <w:sz w:val="21"/>
                <w:szCs w:val="21"/>
              </w:rPr>
            </w:pPr>
            <w:r>
              <w:rPr>
                <w:rFonts w:hint="eastAsia"/>
                <w:color w:val="auto"/>
                <w:sz w:val="21"/>
                <w:szCs w:val="21"/>
              </w:rPr>
              <w:t>门卫</w:t>
            </w:r>
          </w:p>
        </w:tc>
        <w:tc>
          <w:tcPr>
            <w:tcW w:w="5160" w:type="dxa"/>
            <w:vAlign w:val="center"/>
          </w:tcPr>
          <w:p w14:paraId="4C4C96B2">
            <w:pPr>
              <w:adjustRightInd w:val="0"/>
              <w:snapToGrid w:val="0"/>
              <w:spacing w:line="240" w:lineRule="exact"/>
              <w:jc w:val="center"/>
              <w:rPr>
                <w:color w:val="auto"/>
                <w:sz w:val="21"/>
                <w:szCs w:val="21"/>
                <w:lang w:val="zh-CN"/>
              </w:rPr>
            </w:pPr>
            <w:r>
              <w:rPr>
                <w:rFonts w:hint="eastAsia"/>
                <w:color w:val="auto"/>
                <w:sz w:val="21"/>
                <w:szCs w:val="21"/>
                <w:lang w:val="zh-CN"/>
              </w:rPr>
              <w:t>4座，</w:t>
            </w:r>
            <w:r>
              <w:rPr>
                <w:color w:val="auto"/>
                <w:sz w:val="21"/>
                <w:szCs w:val="21"/>
                <w:lang w:val="zh-CN"/>
              </w:rPr>
              <w:t>建筑面积</w:t>
            </w:r>
            <w:r>
              <w:rPr>
                <w:rFonts w:hint="eastAsia"/>
                <w:color w:val="auto"/>
                <w:sz w:val="21"/>
                <w:szCs w:val="21"/>
              </w:rPr>
              <w:t>89.1</w:t>
            </w:r>
            <w:r>
              <w:rPr>
                <w:color w:val="auto"/>
                <w:sz w:val="21"/>
                <w:szCs w:val="21"/>
                <w:lang w:val="zh-CN"/>
              </w:rPr>
              <w:t>m</w:t>
            </w:r>
            <w:r>
              <w:rPr>
                <w:color w:val="auto"/>
                <w:sz w:val="21"/>
                <w:szCs w:val="21"/>
                <w:vertAlign w:val="superscript"/>
                <w:lang w:val="zh-CN"/>
              </w:rPr>
              <w:t>2</w:t>
            </w:r>
            <w:r>
              <w:rPr>
                <w:color w:val="auto"/>
                <w:sz w:val="21"/>
                <w:szCs w:val="21"/>
                <w:lang w:val="zh-CN"/>
              </w:rPr>
              <w:t>，</w:t>
            </w:r>
            <w:r>
              <w:rPr>
                <w:rFonts w:hint="eastAsia"/>
                <w:color w:val="auto"/>
                <w:sz w:val="21"/>
                <w:szCs w:val="21"/>
                <w:lang w:val="zh-CN"/>
              </w:rPr>
              <w:t>高度3.9m</w:t>
            </w:r>
            <w:r>
              <w:rPr>
                <w:color w:val="auto"/>
                <w:sz w:val="21"/>
                <w:szCs w:val="21"/>
                <w:lang w:val="zh-CN"/>
              </w:rPr>
              <w:t>。</w:t>
            </w:r>
            <w:r>
              <w:rPr>
                <w:rFonts w:hint="eastAsia"/>
                <w:color w:val="auto"/>
                <w:sz w:val="21"/>
                <w:szCs w:val="21"/>
                <w:lang w:val="zh-CN"/>
              </w:rPr>
              <w:t>地磅120t共5台。</w:t>
            </w:r>
          </w:p>
        </w:tc>
        <w:tc>
          <w:tcPr>
            <w:tcW w:w="1119" w:type="dxa"/>
            <w:vAlign w:val="center"/>
          </w:tcPr>
          <w:p w14:paraId="40C274C3">
            <w:pPr>
              <w:spacing w:line="240" w:lineRule="exact"/>
              <w:jc w:val="center"/>
              <w:rPr>
                <w:rFonts w:hint="eastAsia" w:eastAsia="宋体"/>
                <w:color w:val="auto"/>
                <w:sz w:val="21"/>
                <w:szCs w:val="21"/>
                <w:lang w:eastAsia="zh-CN"/>
              </w:rPr>
            </w:pPr>
            <w:r>
              <w:rPr>
                <w:rFonts w:hint="eastAsia"/>
                <w:color w:val="auto"/>
                <w:sz w:val="21"/>
                <w:szCs w:val="21"/>
                <w:lang w:val="en-US" w:eastAsia="zh-CN"/>
              </w:rPr>
              <w:t>依托原有</w:t>
            </w:r>
          </w:p>
        </w:tc>
      </w:tr>
      <w:tr w14:paraId="62F29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9" w:hRule="atLeast"/>
          <w:jc w:val="center"/>
        </w:trPr>
        <w:tc>
          <w:tcPr>
            <w:tcW w:w="746" w:type="dxa"/>
            <w:vMerge w:val="restart"/>
            <w:vAlign w:val="center"/>
          </w:tcPr>
          <w:p w14:paraId="62D96737">
            <w:pPr>
              <w:spacing w:line="240" w:lineRule="exact"/>
              <w:jc w:val="center"/>
              <w:rPr>
                <w:color w:val="auto"/>
                <w:sz w:val="21"/>
                <w:szCs w:val="21"/>
              </w:rPr>
            </w:pPr>
            <w:r>
              <w:rPr>
                <w:color w:val="auto"/>
                <w:sz w:val="21"/>
                <w:szCs w:val="21"/>
              </w:rPr>
              <w:t>环保工程</w:t>
            </w:r>
          </w:p>
        </w:tc>
        <w:tc>
          <w:tcPr>
            <w:tcW w:w="1893" w:type="dxa"/>
            <w:vMerge w:val="restart"/>
            <w:vAlign w:val="center"/>
          </w:tcPr>
          <w:p w14:paraId="67BD26EB">
            <w:pPr>
              <w:spacing w:line="240" w:lineRule="exact"/>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zh-CN" w:eastAsia="zh-CN"/>
              </w:rPr>
              <w:t>污水处理站</w:t>
            </w:r>
          </w:p>
        </w:tc>
        <w:tc>
          <w:tcPr>
            <w:tcW w:w="5160" w:type="dxa"/>
            <w:vAlign w:val="center"/>
          </w:tcPr>
          <w:p w14:paraId="5551D779">
            <w:pPr>
              <w:spacing w:line="240" w:lineRule="exact"/>
              <w:jc w:val="center"/>
              <w:rPr>
                <w:rFonts w:hint="eastAsia"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采用“</w:t>
            </w:r>
            <w:r>
              <w:rPr>
                <w:rFonts w:hint="eastAsia" w:ascii="Times New Roman" w:hAnsi="Times New Roman" w:cs="Times New Roman"/>
                <w:color w:val="auto"/>
                <w:sz w:val="21"/>
                <w:szCs w:val="21"/>
                <w:lang w:val="en-US" w:eastAsia="zh-CN"/>
              </w:rPr>
              <w:t>SPIC厌氧+生物接触氧化+连续活性砂滤</w:t>
            </w:r>
            <w:r>
              <w:rPr>
                <w:rFonts w:hint="default" w:ascii="Times New Roman" w:hAnsi="Times New Roman" w:cs="Times New Roman"/>
                <w:color w:val="auto"/>
                <w:sz w:val="21"/>
                <w:szCs w:val="21"/>
                <w:lang w:val="en-US" w:eastAsia="zh-CN"/>
              </w:rPr>
              <w:t>”方法对污水处理</w:t>
            </w:r>
            <w:r>
              <w:rPr>
                <w:rFonts w:hint="eastAsia" w:ascii="Times New Roman" w:hAnsi="Times New Roman" w:cs="Times New Roman"/>
                <w:color w:val="auto"/>
                <w:sz w:val="21"/>
                <w:szCs w:val="21"/>
                <w:lang w:val="en-US" w:eastAsia="zh-CN"/>
              </w:rPr>
              <w:t>，尾水满足《城镇污水处理厂污染物排放标准》（GB18918-2002）中一级标准中的A标准的要求后，经拉哈生物技术与化学制药产业园区污水处理厂入河排污口排入到嫩江（排污口坐标为E124.57451°，N48.19451°）。待拉哈小镇工业园区污水处理厂投入运营后，全厂污水满足拉哈小镇工业园区污水处理厂纳管标准后排入拉哈小镇工业园区污水处理厂。</w:t>
            </w:r>
          </w:p>
        </w:tc>
        <w:tc>
          <w:tcPr>
            <w:tcW w:w="1119" w:type="dxa"/>
            <w:vAlign w:val="center"/>
          </w:tcPr>
          <w:p w14:paraId="2C1D050A">
            <w:pPr>
              <w:spacing w:line="240" w:lineRule="exact"/>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扩建</w:t>
            </w:r>
          </w:p>
        </w:tc>
      </w:tr>
      <w:tr w14:paraId="4760E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9" w:hRule="atLeast"/>
          <w:jc w:val="center"/>
        </w:trPr>
        <w:tc>
          <w:tcPr>
            <w:tcW w:w="746" w:type="dxa"/>
            <w:vMerge w:val="continue"/>
            <w:vAlign w:val="center"/>
          </w:tcPr>
          <w:p w14:paraId="36CAB9A7">
            <w:pPr>
              <w:spacing w:line="240" w:lineRule="exact"/>
              <w:jc w:val="center"/>
              <w:rPr>
                <w:color w:val="auto"/>
                <w:sz w:val="21"/>
                <w:szCs w:val="21"/>
              </w:rPr>
            </w:pPr>
          </w:p>
        </w:tc>
        <w:tc>
          <w:tcPr>
            <w:tcW w:w="1893" w:type="dxa"/>
            <w:vMerge w:val="continue"/>
            <w:vAlign w:val="center"/>
          </w:tcPr>
          <w:p w14:paraId="548CDC29">
            <w:pPr>
              <w:spacing w:line="240" w:lineRule="exact"/>
              <w:jc w:val="center"/>
              <w:rPr>
                <w:rFonts w:hint="eastAsia" w:ascii="Times New Roman" w:hAnsi="Times New Roman" w:cs="Times New Roman"/>
                <w:color w:val="auto"/>
                <w:sz w:val="21"/>
                <w:szCs w:val="21"/>
                <w:lang w:val="zh-CN" w:eastAsia="zh-CN"/>
              </w:rPr>
            </w:pPr>
          </w:p>
        </w:tc>
        <w:tc>
          <w:tcPr>
            <w:tcW w:w="5160" w:type="dxa"/>
            <w:vAlign w:val="center"/>
          </w:tcPr>
          <w:p w14:paraId="7E270F47">
            <w:pPr>
              <w:spacing w:line="240" w:lineRule="exact"/>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污水处理站污泥脱水间和污泥存放间</w:t>
            </w:r>
            <w:r>
              <w:rPr>
                <w:rFonts w:hint="eastAsia" w:cs="Times New Roman"/>
                <w:color w:val="auto"/>
                <w:sz w:val="21"/>
                <w:szCs w:val="21"/>
                <w:lang w:val="en-US" w:eastAsia="zh-CN"/>
              </w:rPr>
              <w:t>依托原有</w:t>
            </w:r>
            <w:r>
              <w:rPr>
                <w:rFonts w:hint="default" w:ascii="Times New Roman" w:hAnsi="Times New Roman" w:cs="Times New Roman"/>
                <w:color w:val="auto"/>
                <w:sz w:val="21"/>
                <w:szCs w:val="21"/>
                <w:lang w:val="en-US" w:eastAsia="zh-CN"/>
              </w:rPr>
              <w:t>封闭建筑</w:t>
            </w:r>
            <w:r>
              <w:rPr>
                <w:rFonts w:hint="eastAsia" w:ascii="Times New Roman" w:hAnsi="Times New Roman" w:cs="Times New Roman"/>
                <w:color w:val="auto"/>
                <w:sz w:val="21"/>
                <w:szCs w:val="21"/>
                <w:lang w:val="en-US" w:eastAsia="zh-CN"/>
              </w:rPr>
              <w:t>，并</w:t>
            </w:r>
            <w:r>
              <w:rPr>
                <w:rFonts w:hint="default" w:ascii="Times New Roman" w:hAnsi="Times New Roman" w:cs="Times New Roman"/>
                <w:color w:val="auto"/>
                <w:sz w:val="21"/>
                <w:szCs w:val="21"/>
                <w:lang w:val="en-US" w:eastAsia="zh-CN"/>
              </w:rPr>
              <w:t>设置集排风装置（</w:t>
            </w:r>
            <w:r>
              <w:rPr>
                <w:rFonts w:hint="eastAsia" w:ascii="Times New Roman" w:hAnsi="Times New Roman" w:cs="Times New Roman"/>
                <w:color w:val="auto"/>
                <w:sz w:val="21"/>
                <w:szCs w:val="21"/>
                <w:lang w:val="en-US" w:eastAsia="zh-CN"/>
              </w:rPr>
              <w:t>捕集效率80%</w:t>
            </w:r>
            <w:r>
              <w:rPr>
                <w:rFonts w:hint="default" w:ascii="Times New Roman" w:hAnsi="Times New Roman" w:cs="Times New Roman"/>
                <w:color w:val="auto"/>
                <w:sz w:val="21"/>
                <w:szCs w:val="21"/>
                <w:lang w:val="en-US" w:eastAsia="zh-CN"/>
              </w:rPr>
              <w:t>），收集的恶臭气体通过</w:t>
            </w:r>
            <w:r>
              <w:rPr>
                <w:rFonts w:hint="eastAsia" w:ascii="Times New Roman" w:hAnsi="Times New Roman" w:cs="Times New Roman"/>
                <w:color w:val="auto"/>
                <w:sz w:val="21"/>
                <w:szCs w:val="21"/>
                <w:lang w:val="en-US" w:eastAsia="zh-CN"/>
              </w:rPr>
              <w:t>活性炭吸附</w:t>
            </w:r>
            <w:r>
              <w:rPr>
                <w:rFonts w:hint="default" w:ascii="Times New Roman" w:hAnsi="Times New Roman" w:cs="Times New Roman"/>
                <w:color w:val="auto"/>
                <w:sz w:val="21"/>
                <w:szCs w:val="21"/>
                <w:lang w:val="en-US" w:eastAsia="zh-CN"/>
              </w:rPr>
              <w:t>净化处理后排放</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净化效率不低于90%</w:t>
            </w:r>
            <w:r>
              <w:rPr>
                <w:rFonts w:hint="eastAsia" w:ascii="Times New Roman" w:hAnsi="Times New Roman" w:cs="Times New Roman"/>
                <w:color w:val="auto"/>
                <w:sz w:val="21"/>
                <w:szCs w:val="21"/>
                <w:lang w:val="en-US" w:eastAsia="zh-CN"/>
              </w:rPr>
              <w:t>。</w:t>
            </w:r>
          </w:p>
        </w:tc>
        <w:tc>
          <w:tcPr>
            <w:tcW w:w="1119" w:type="dxa"/>
            <w:vAlign w:val="center"/>
          </w:tcPr>
          <w:p w14:paraId="3AABA1E6">
            <w:pPr>
              <w:spacing w:line="240" w:lineRule="exact"/>
              <w:jc w:val="center"/>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依托原有</w:t>
            </w:r>
          </w:p>
        </w:tc>
      </w:tr>
    </w:tbl>
    <w:p w14:paraId="159EBFAE">
      <w:pPr>
        <w:pStyle w:val="42"/>
      </w:pPr>
    </w:p>
    <w:p w14:paraId="5CAD5514">
      <w:pPr>
        <w:pStyle w:val="4"/>
      </w:pPr>
      <w:r>
        <w:rPr>
          <w:lang w:eastAsia="en-US"/>
        </w:rPr>
        <w:t>3.</w:t>
      </w:r>
      <w:r>
        <w:t>2</w:t>
      </w:r>
      <w:r>
        <w:rPr>
          <w:lang w:eastAsia="en-US"/>
        </w:rPr>
        <w:t>.</w:t>
      </w:r>
      <w:r>
        <w:t>2主要原辅材料消耗</w:t>
      </w:r>
      <w:bookmarkEnd w:id="198"/>
      <w:bookmarkEnd w:id="199"/>
      <w:bookmarkEnd w:id="200"/>
    </w:p>
    <w:p w14:paraId="51FD1A59">
      <w:pPr>
        <w:pStyle w:val="486"/>
        <w:spacing w:after="200" w:line="240" w:lineRule="auto"/>
        <w:ind w:firstLine="500"/>
        <w:jc w:val="left"/>
        <w:rPr>
          <w:rFonts w:ascii="Times New Roman" w:hAnsi="Times New Roman" w:cs="Times New Roman"/>
        </w:rPr>
      </w:pPr>
      <w:r>
        <w:rPr>
          <w:rFonts w:hint="eastAsia" w:ascii="Times New Roman" w:hAnsi="Times New Roman" w:cs="Times New Roman"/>
          <w:lang w:eastAsia="zh-CN"/>
        </w:rPr>
        <w:t>本项目</w:t>
      </w:r>
      <w:r>
        <w:rPr>
          <w:rFonts w:ascii="Times New Roman" w:hAnsi="Times New Roman" w:cs="Times New Roman"/>
        </w:rPr>
        <w:t>运行期主要原辅材料及能源消耗情况详见下表：</w:t>
      </w:r>
    </w:p>
    <w:p w14:paraId="4DB18736">
      <w:pPr>
        <w:jc w:val="center"/>
        <w:rPr>
          <w:b/>
          <w:bCs/>
        </w:rPr>
      </w:pPr>
      <w:r>
        <w:rPr>
          <w:rFonts w:hint="eastAsia"/>
          <w:b/>
          <w:bCs/>
        </w:rPr>
        <w:t xml:space="preserve"> </w:t>
      </w:r>
      <w:r>
        <w:rPr>
          <w:b/>
          <w:bCs/>
        </w:rPr>
        <w:t>3.2-</w:t>
      </w:r>
      <w:r>
        <w:rPr>
          <w:rFonts w:hint="eastAsia"/>
          <w:b/>
          <w:bCs/>
          <w:lang w:val="en-US" w:eastAsia="zh-CN"/>
        </w:rPr>
        <w:t>2</w:t>
      </w:r>
      <w:r>
        <w:rPr>
          <w:b/>
          <w:bCs/>
        </w:rPr>
        <w:t xml:space="preserve"> 主要原辅材料及能源物质消耗表</w:t>
      </w:r>
    </w:p>
    <w:tbl>
      <w:tblPr>
        <w:tblStyle w:val="54"/>
        <w:tblW w:w="4996" w:type="pct"/>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5"/>
        <w:gridCol w:w="2190"/>
        <w:gridCol w:w="1846"/>
        <w:gridCol w:w="1728"/>
        <w:gridCol w:w="1717"/>
      </w:tblGrid>
      <w:tr w14:paraId="6D263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38236CAD">
            <w:pPr>
              <w:jc w:val="center"/>
              <w:rPr>
                <w:b/>
                <w:bCs/>
                <w:color w:val="auto"/>
                <w:sz w:val="21"/>
                <w:szCs w:val="21"/>
                <w:lang w:val="zh-TW" w:eastAsia="zh-TW"/>
              </w:rPr>
            </w:pPr>
            <w:r>
              <w:rPr>
                <w:b/>
                <w:bCs/>
                <w:color w:val="auto"/>
                <w:sz w:val="21"/>
                <w:szCs w:val="21"/>
              </w:rPr>
              <w:t>序号</w:t>
            </w:r>
          </w:p>
        </w:tc>
        <w:tc>
          <w:tcPr>
            <w:tcW w:w="1185" w:type="pct"/>
            <w:tcBorders>
              <w:tl2br w:val="nil"/>
              <w:tr2bl w:val="nil"/>
            </w:tcBorders>
            <w:vAlign w:val="center"/>
          </w:tcPr>
          <w:p w14:paraId="1E4B4A16">
            <w:pPr>
              <w:jc w:val="center"/>
              <w:rPr>
                <w:b/>
                <w:bCs/>
                <w:color w:val="auto"/>
                <w:sz w:val="21"/>
                <w:szCs w:val="21"/>
                <w:lang w:val="zh-TW" w:eastAsia="zh-TW"/>
              </w:rPr>
            </w:pPr>
            <w:r>
              <w:rPr>
                <w:b/>
                <w:bCs/>
                <w:color w:val="auto"/>
                <w:sz w:val="21"/>
                <w:szCs w:val="21"/>
              </w:rPr>
              <w:t>物质名称</w:t>
            </w:r>
          </w:p>
        </w:tc>
        <w:tc>
          <w:tcPr>
            <w:tcW w:w="999" w:type="pct"/>
            <w:tcBorders>
              <w:tl2br w:val="nil"/>
              <w:tr2bl w:val="nil"/>
            </w:tcBorders>
            <w:vAlign w:val="center"/>
          </w:tcPr>
          <w:p w14:paraId="15115FD3">
            <w:pPr>
              <w:jc w:val="center"/>
              <w:rPr>
                <w:b/>
                <w:bCs/>
                <w:color w:val="auto"/>
                <w:sz w:val="21"/>
                <w:szCs w:val="21"/>
              </w:rPr>
            </w:pPr>
            <w:r>
              <w:rPr>
                <w:rFonts w:hint="eastAsia"/>
                <w:b/>
                <w:bCs/>
                <w:color w:val="auto"/>
                <w:sz w:val="21"/>
                <w:szCs w:val="21"/>
                <w:lang w:val="en-US" w:eastAsia="zh-CN"/>
              </w:rPr>
              <w:t>技改项目</w:t>
            </w:r>
            <w:r>
              <w:rPr>
                <w:b/>
                <w:bCs/>
                <w:color w:val="auto"/>
                <w:sz w:val="21"/>
                <w:szCs w:val="21"/>
              </w:rPr>
              <w:t>年用量</w:t>
            </w:r>
          </w:p>
        </w:tc>
        <w:tc>
          <w:tcPr>
            <w:tcW w:w="935" w:type="pct"/>
            <w:tcBorders>
              <w:tl2br w:val="nil"/>
              <w:tr2bl w:val="nil"/>
            </w:tcBorders>
            <w:vAlign w:val="center"/>
          </w:tcPr>
          <w:p w14:paraId="58DD287D">
            <w:pPr>
              <w:jc w:val="center"/>
              <w:rPr>
                <w:rFonts w:hint="default" w:eastAsia="宋体"/>
                <w:b/>
                <w:bCs/>
                <w:color w:val="auto"/>
                <w:sz w:val="21"/>
                <w:szCs w:val="21"/>
                <w:lang w:val="en-US" w:eastAsia="zh-CN"/>
              </w:rPr>
            </w:pPr>
            <w:r>
              <w:rPr>
                <w:rFonts w:hint="eastAsia"/>
                <w:b/>
                <w:bCs/>
                <w:color w:val="auto"/>
                <w:sz w:val="21"/>
                <w:szCs w:val="21"/>
                <w:lang w:val="en-US" w:eastAsia="zh-CN"/>
              </w:rPr>
              <w:t>现有工程年用量</w:t>
            </w:r>
          </w:p>
        </w:tc>
        <w:tc>
          <w:tcPr>
            <w:tcW w:w="929" w:type="pct"/>
            <w:tcBorders>
              <w:tl2br w:val="nil"/>
              <w:tr2bl w:val="nil"/>
            </w:tcBorders>
            <w:vAlign w:val="center"/>
          </w:tcPr>
          <w:p w14:paraId="62BD8D8B">
            <w:pPr>
              <w:jc w:val="center"/>
              <w:rPr>
                <w:rFonts w:hint="default" w:eastAsia="宋体"/>
                <w:b/>
                <w:bCs/>
                <w:color w:val="auto"/>
                <w:sz w:val="21"/>
                <w:szCs w:val="21"/>
                <w:lang w:val="en-US" w:eastAsia="zh-CN"/>
              </w:rPr>
            </w:pPr>
            <w:r>
              <w:rPr>
                <w:rFonts w:hint="eastAsia"/>
                <w:b/>
                <w:bCs/>
                <w:color w:val="auto"/>
                <w:sz w:val="21"/>
                <w:szCs w:val="21"/>
                <w:lang w:val="en-US" w:eastAsia="zh-CN"/>
              </w:rPr>
              <w:t>全厂年用量</w:t>
            </w:r>
          </w:p>
        </w:tc>
      </w:tr>
      <w:tr w14:paraId="2C169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3F051EF4">
            <w:pPr>
              <w:jc w:val="center"/>
              <w:rPr>
                <w:rFonts w:ascii="Times New Roman" w:hAnsi="Times New Roman" w:eastAsia="宋体" w:cs="Times New Roman"/>
                <w:color w:val="auto"/>
                <w:sz w:val="21"/>
                <w:szCs w:val="21"/>
                <w:lang w:val="zh-TW" w:eastAsia="zh-TW" w:bidi="ar-SA"/>
              </w:rPr>
            </w:pPr>
            <w:r>
              <w:rPr>
                <w:color w:val="auto"/>
                <w:sz w:val="21"/>
                <w:szCs w:val="21"/>
              </w:rPr>
              <w:t>1</w:t>
            </w:r>
          </w:p>
        </w:tc>
        <w:tc>
          <w:tcPr>
            <w:tcW w:w="1185" w:type="pct"/>
            <w:tcBorders>
              <w:tl2br w:val="nil"/>
              <w:tr2bl w:val="nil"/>
            </w:tcBorders>
            <w:vAlign w:val="center"/>
          </w:tcPr>
          <w:p w14:paraId="5A164A51">
            <w:pPr>
              <w:pStyle w:val="198"/>
              <w:spacing w:line="240" w:lineRule="auto"/>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玉米</w:t>
            </w:r>
          </w:p>
        </w:tc>
        <w:tc>
          <w:tcPr>
            <w:tcW w:w="999" w:type="pct"/>
            <w:tcBorders>
              <w:tl2br w:val="nil"/>
              <w:tr2bl w:val="nil"/>
            </w:tcBorders>
            <w:vAlign w:val="center"/>
          </w:tcPr>
          <w:p w14:paraId="587D07BD">
            <w:pPr>
              <w:jc w:val="center"/>
              <w:rPr>
                <w:rFonts w:hint="default" w:eastAsia="宋体"/>
                <w:b/>
                <w:bCs/>
                <w:color w:val="auto"/>
                <w:sz w:val="21"/>
                <w:szCs w:val="21"/>
                <w:lang w:val="en-US" w:eastAsia="zh-CN"/>
              </w:rPr>
            </w:pPr>
            <w:r>
              <w:rPr>
                <w:rFonts w:hint="eastAsia"/>
                <w:b w:val="0"/>
                <w:bCs w:val="0"/>
                <w:color w:val="auto"/>
                <w:sz w:val="21"/>
                <w:szCs w:val="21"/>
                <w:lang w:val="en-US" w:eastAsia="zh-CN"/>
              </w:rPr>
              <w:t>30万t</w:t>
            </w:r>
          </w:p>
        </w:tc>
        <w:tc>
          <w:tcPr>
            <w:tcW w:w="935" w:type="pct"/>
            <w:tcBorders>
              <w:tl2br w:val="nil"/>
              <w:tr2bl w:val="nil"/>
            </w:tcBorders>
            <w:vAlign w:val="center"/>
          </w:tcPr>
          <w:p w14:paraId="7F25118D">
            <w:pPr>
              <w:jc w:val="center"/>
              <w:rPr>
                <w:rFonts w:hint="default"/>
                <w:b w:val="0"/>
                <w:bCs w:val="0"/>
                <w:color w:val="auto"/>
                <w:sz w:val="21"/>
                <w:szCs w:val="21"/>
                <w:lang w:val="en-US" w:eastAsia="zh-CN"/>
              </w:rPr>
            </w:pPr>
            <w:r>
              <w:rPr>
                <w:rFonts w:hint="eastAsia"/>
                <w:b w:val="0"/>
                <w:bCs w:val="0"/>
                <w:color w:val="auto"/>
                <w:sz w:val="21"/>
                <w:szCs w:val="21"/>
                <w:lang w:val="en-US" w:eastAsia="zh-CN"/>
              </w:rPr>
              <w:t>200t</w:t>
            </w:r>
          </w:p>
        </w:tc>
        <w:tc>
          <w:tcPr>
            <w:tcW w:w="929" w:type="pct"/>
            <w:tcBorders>
              <w:tl2br w:val="nil"/>
              <w:tr2bl w:val="nil"/>
            </w:tcBorders>
            <w:vAlign w:val="center"/>
          </w:tcPr>
          <w:p w14:paraId="72D803A2">
            <w:pPr>
              <w:jc w:val="center"/>
              <w:rPr>
                <w:rFonts w:hint="default"/>
                <w:b w:val="0"/>
                <w:bCs w:val="0"/>
                <w:color w:val="auto"/>
                <w:sz w:val="21"/>
                <w:szCs w:val="21"/>
                <w:lang w:val="en-US" w:eastAsia="zh-CN"/>
              </w:rPr>
            </w:pPr>
            <w:r>
              <w:rPr>
                <w:rFonts w:hint="eastAsia"/>
                <w:b w:val="0"/>
                <w:bCs w:val="0"/>
                <w:color w:val="auto"/>
                <w:sz w:val="21"/>
                <w:szCs w:val="21"/>
                <w:lang w:val="en-US" w:eastAsia="zh-CN"/>
              </w:rPr>
              <w:t>230t</w:t>
            </w:r>
          </w:p>
        </w:tc>
      </w:tr>
      <w:tr w14:paraId="49D8A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390281C9">
            <w:pPr>
              <w:jc w:val="center"/>
              <w:rPr>
                <w:rFonts w:hint="eastAsia" w:eastAsia="宋体"/>
                <w:color w:val="auto"/>
                <w:sz w:val="21"/>
                <w:szCs w:val="21"/>
                <w:lang w:val="en-US" w:eastAsia="zh-CN"/>
              </w:rPr>
            </w:pPr>
            <w:r>
              <w:rPr>
                <w:rFonts w:hint="eastAsia"/>
                <w:color w:val="auto"/>
                <w:sz w:val="21"/>
                <w:szCs w:val="21"/>
                <w:lang w:val="en-US" w:eastAsia="zh-CN"/>
              </w:rPr>
              <w:t>2</w:t>
            </w:r>
          </w:p>
        </w:tc>
        <w:tc>
          <w:tcPr>
            <w:tcW w:w="1185" w:type="pct"/>
            <w:tcBorders>
              <w:tl2br w:val="nil"/>
              <w:tr2bl w:val="nil"/>
            </w:tcBorders>
            <w:vAlign w:val="center"/>
          </w:tcPr>
          <w:p w14:paraId="1D1E472A">
            <w:pPr>
              <w:pStyle w:val="198"/>
              <w:spacing w:line="240" w:lineRule="auto"/>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糖化酶</w:t>
            </w:r>
          </w:p>
        </w:tc>
        <w:tc>
          <w:tcPr>
            <w:tcW w:w="999" w:type="pct"/>
            <w:tcBorders>
              <w:tl2br w:val="nil"/>
              <w:tr2bl w:val="nil"/>
            </w:tcBorders>
            <w:vAlign w:val="center"/>
          </w:tcPr>
          <w:p w14:paraId="35720B8E">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103t</w:t>
            </w:r>
          </w:p>
        </w:tc>
        <w:tc>
          <w:tcPr>
            <w:tcW w:w="935" w:type="pct"/>
            <w:tcBorders>
              <w:tl2br w:val="nil"/>
              <w:tr2bl w:val="nil"/>
            </w:tcBorders>
            <w:vAlign w:val="center"/>
          </w:tcPr>
          <w:p w14:paraId="4D2E8D1D">
            <w:pPr>
              <w:jc w:val="center"/>
              <w:rPr>
                <w:rFonts w:hint="eastAsia"/>
                <w:b w:val="0"/>
                <w:bCs w:val="0"/>
                <w:color w:val="auto"/>
                <w:sz w:val="21"/>
                <w:szCs w:val="21"/>
                <w:lang w:val="en-US" w:eastAsia="zh-CN"/>
              </w:rPr>
            </w:pPr>
          </w:p>
        </w:tc>
        <w:tc>
          <w:tcPr>
            <w:tcW w:w="929" w:type="pct"/>
            <w:tcBorders>
              <w:tl2br w:val="nil"/>
              <w:tr2bl w:val="nil"/>
            </w:tcBorders>
            <w:vAlign w:val="center"/>
          </w:tcPr>
          <w:p w14:paraId="0AAE72F0">
            <w:pPr>
              <w:jc w:val="center"/>
              <w:rPr>
                <w:rFonts w:hint="eastAsia"/>
                <w:b w:val="0"/>
                <w:bCs w:val="0"/>
                <w:color w:val="auto"/>
                <w:sz w:val="21"/>
                <w:szCs w:val="21"/>
                <w:lang w:val="en-US" w:eastAsia="zh-CN"/>
              </w:rPr>
            </w:pPr>
          </w:p>
        </w:tc>
      </w:tr>
      <w:tr w14:paraId="04F73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6174C454">
            <w:pPr>
              <w:jc w:val="center"/>
              <w:rPr>
                <w:rFonts w:hint="eastAsia" w:eastAsia="宋体"/>
                <w:color w:val="auto"/>
                <w:sz w:val="21"/>
                <w:szCs w:val="21"/>
                <w:lang w:val="en-US" w:eastAsia="zh-CN"/>
              </w:rPr>
            </w:pPr>
            <w:r>
              <w:rPr>
                <w:rFonts w:hint="eastAsia"/>
                <w:color w:val="auto"/>
                <w:sz w:val="21"/>
                <w:szCs w:val="21"/>
                <w:lang w:val="en-US" w:eastAsia="zh-CN"/>
              </w:rPr>
              <w:t>3</w:t>
            </w:r>
          </w:p>
        </w:tc>
        <w:tc>
          <w:tcPr>
            <w:tcW w:w="1185" w:type="pct"/>
            <w:tcBorders>
              <w:tl2br w:val="nil"/>
              <w:tr2bl w:val="nil"/>
            </w:tcBorders>
            <w:vAlign w:val="center"/>
          </w:tcPr>
          <w:p w14:paraId="21A1BCEC">
            <w:pPr>
              <w:pStyle w:val="198"/>
              <w:spacing w:line="240" w:lineRule="auto"/>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活性干酵母</w:t>
            </w:r>
          </w:p>
        </w:tc>
        <w:tc>
          <w:tcPr>
            <w:tcW w:w="999" w:type="pct"/>
            <w:tcBorders>
              <w:tl2br w:val="nil"/>
              <w:tr2bl w:val="nil"/>
            </w:tcBorders>
            <w:vAlign w:val="center"/>
          </w:tcPr>
          <w:p w14:paraId="5EF4BD2C">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7t</w:t>
            </w:r>
          </w:p>
        </w:tc>
        <w:tc>
          <w:tcPr>
            <w:tcW w:w="935" w:type="pct"/>
            <w:tcBorders>
              <w:tl2br w:val="nil"/>
              <w:tr2bl w:val="nil"/>
            </w:tcBorders>
            <w:vAlign w:val="center"/>
          </w:tcPr>
          <w:p w14:paraId="783A5AD2">
            <w:pPr>
              <w:jc w:val="center"/>
              <w:rPr>
                <w:rFonts w:hint="eastAsia"/>
                <w:b w:val="0"/>
                <w:bCs w:val="0"/>
                <w:color w:val="auto"/>
                <w:sz w:val="21"/>
                <w:szCs w:val="21"/>
                <w:lang w:val="en-US" w:eastAsia="zh-CN"/>
              </w:rPr>
            </w:pPr>
          </w:p>
        </w:tc>
        <w:tc>
          <w:tcPr>
            <w:tcW w:w="929" w:type="pct"/>
            <w:tcBorders>
              <w:tl2br w:val="nil"/>
              <w:tr2bl w:val="nil"/>
            </w:tcBorders>
            <w:vAlign w:val="center"/>
          </w:tcPr>
          <w:p w14:paraId="3CB38E50">
            <w:pPr>
              <w:jc w:val="center"/>
              <w:rPr>
                <w:rFonts w:hint="eastAsia"/>
                <w:b w:val="0"/>
                <w:bCs w:val="0"/>
                <w:color w:val="auto"/>
                <w:sz w:val="21"/>
                <w:szCs w:val="21"/>
                <w:lang w:val="en-US" w:eastAsia="zh-CN"/>
              </w:rPr>
            </w:pPr>
          </w:p>
        </w:tc>
      </w:tr>
      <w:tr w14:paraId="13D30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7988C048">
            <w:pPr>
              <w:jc w:val="center"/>
              <w:rPr>
                <w:rFonts w:hint="eastAsia" w:eastAsia="宋体"/>
                <w:color w:val="auto"/>
                <w:sz w:val="21"/>
                <w:szCs w:val="21"/>
                <w:lang w:val="en-US" w:eastAsia="zh-CN"/>
              </w:rPr>
            </w:pPr>
            <w:r>
              <w:rPr>
                <w:rFonts w:hint="eastAsia"/>
                <w:color w:val="auto"/>
                <w:sz w:val="21"/>
                <w:szCs w:val="21"/>
                <w:lang w:val="en-US" w:eastAsia="zh-CN"/>
              </w:rPr>
              <w:t>4</w:t>
            </w:r>
          </w:p>
        </w:tc>
        <w:tc>
          <w:tcPr>
            <w:tcW w:w="1185" w:type="pct"/>
            <w:tcBorders>
              <w:tl2br w:val="nil"/>
              <w:tr2bl w:val="nil"/>
            </w:tcBorders>
            <w:vAlign w:val="center"/>
          </w:tcPr>
          <w:p w14:paraId="2C8A934E">
            <w:pPr>
              <w:pStyle w:val="198"/>
              <w:spacing w:line="240" w:lineRule="auto"/>
              <w:jc w:val="center"/>
              <w:rPr>
                <w:rFonts w:hint="eastAsia"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a-淀粉酶</w:t>
            </w:r>
          </w:p>
        </w:tc>
        <w:tc>
          <w:tcPr>
            <w:tcW w:w="999" w:type="pct"/>
            <w:tcBorders>
              <w:tl2br w:val="nil"/>
              <w:tr2bl w:val="nil"/>
            </w:tcBorders>
            <w:vAlign w:val="center"/>
          </w:tcPr>
          <w:p w14:paraId="2ACD2438">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30t</w:t>
            </w:r>
          </w:p>
        </w:tc>
        <w:tc>
          <w:tcPr>
            <w:tcW w:w="935" w:type="pct"/>
            <w:tcBorders>
              <w:tl2br w:val="nil"/>
              <w:tr2bl w:val="nil"/>
            </w:tcBorders>
            <w:vAlign w:val="center"/>
          </w:tcPr>
          <w:p w14:paraId="25209032">
            <w:pPr>
              <w:jc w:val="center"/>
              <w:rPr>
                <w:rFonts w:hint="eastAsia"/>
                <w:b w:val="0"/>
                <w:bCs w:val="0"/>
                <w:color w:val="auto"/>
                <w:sz w:val="21"/>
                <w:szCs w:val="21"/>
                <w:lang w:val="en-US" w:eastAsia="zh-CN"/>
              </w:rPr>
            </w:pPr>
          </w:p>
        </w:tc>
        <w:tc>
          <w:tcPr>
            <w:tcW w:w="929" w:type="pct"/>
            <w:tcBorders>
              <w:tl2br w:val="nil"/>
              <w:tr2bl w:val="nil"/>
            </w:tcBorders>
            <w:vAlign w:val="center"/>
          </w:tcPr>
          <w:p w14:paraId="6E8A76D0">
            <w:pPr>
              <w:jc w:val="center"/>
              <w:rPr>
                <w:rFonts w:hint="eastAsia"/>
                <w:b w:val="0"/>
                <w:bCs w:val="0"/>
                <w:color w:val="auto"/>
                <w:sz w:val="21"/>
                <w:szCs w:val="21"/>
                <w:lang w:val="en-US" w:eastAsia="zh-CN"/>
              </w:rPr>
            </w:pPr>
          </w:p>
        </w:tc>
      </w:tr>
      <w:tr w14:paraId="61505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0C4CA7B0">
            <w:pPr>
              <w:jc w:val="center"/>
              <w:rPr>
                <w:rFonts w:hint="eastAsia" w:ascii="Times New Roman" w:hAnsi="Times New Roman" w:eastAsia="宋体" w:cs="Times New Roman"/>
                <w:color w:val="auto"/>
                <w:sz w:val="21"/>
                <w:szCs w:val="21"/>
                <w:lang w:val="zh-TW" w:eastAsia="zh-CN" w:bidi="ar-SA"/>
              </w:rPr>
            </w:pPr>
            <w:r>
              <w:rPr>
                <w:rFonts w:hint="eastAsia"/>
                <w:color w:val="auto"/>
                <w:sz w:val="21"/>
                <w:szCs w:val="21"/>
                <w:lang w:val="en-US" w:eastAsia="zh-CN"/>
              </w:rPr>
              <w:t>5</w:t>
            </w:r>
          </w:p>
        </w:tc>
        <w:tc>
          <w:tcPr>
            <w:tcW w:w="1185" w:type="pct"/>
            <w:tcBorders>
              <w:tl2br w:val="nil"/>
              <w:tr2bl w:val="nil"/>
            </w:tcBorders>
            <w:vAlign w:val="center"/>
          </w:tcPr>
          <w:p w14:paraId="134C69E2">
            <w:pPr>
              <w:pStyle w:val="198"/>
              <w:spacing w:line="240" w:lineRule="auto"/>
              <w:jc w:val="center"/>
              <w:rPr>
                <w:rFonts w:ascii="Times New Roman" w:eastAsia="宋体"/>
                <w:color w:val="auto"/>
                <w:kern w:val="2"/>
                <w:sz w:val="21"/>
                <w:szCs w:val="21"/>
                <w:lang w:val="en-US" w:eastAsia="zh-CN"/>
              </w:rPr>
            </w:pPr>
            <w:r>
              <w:rPr>
                <w:rFonts w:ascii="Times New Roman" w:eastAsia="宋体"/>
                <w:color w:val="auto"/>
                <w:kern w:val="2"/>
                <w:sz w:val="21"/>
                <w:szCs w:val="21"/>
                <w:lang w:val="en-US" w:eastAsia="zh-CN"/>
              </w:rPr>
              <w:t>聚合氯化铝</w:t>
            </w:r>
          </w:p>
          <w:p w14:paraId="52B52BBE">
            <w:pPr>
              <w:pStyle w:val="198"/>
              <w:spacing w:line="240" w:lineRule="auto"/>
              <w:jc w:val="center"/>
              <w:rPr>
                <w:color w:val="auto"/>
                <w:sz w:val="21"/>
                <w:szCs w:val="21"/>
                <w:lang w:val="zh-TW" w:eastAsia="zh-TW"/>
              </w:rPr>
            </w:pPr>
            <w:r>
              <w:rPr>
                <w:rFonts w:ascii="Times New Roman" w:eastAsia="宋体"/>
                <w:color w:val="auto"/>
                <w:kern w:val="2"/>
                <w:sz w:val="21"/>
                <w:szCs w:val="21"/>
                <w:lang w:val="en-US" w:eastAsia="zh-CN"/>
              </w:rPr>
              <w:t>（液体10%PAC）</w:t>
            </w:r>
          </w:p>
        </w:tc>
        <w:tc>
          <w:tcPr>
            <w:tcW w:w="999" w:type="pct"/>
            <w:tcBorders>
              <w:tl2br w:val="nil"/>
              <w:tr2bl w:val="nil"/>
            </w:tcBorders>
            <w:vAlign w:val="center"/>
          </w:tcPr>
          <w:p w14:paraId="1BFFF26A">
            <w:pPr>
              <w:jc w:val="center"/>
              <w:rPr>
                <w:color w:val="auto"/>
                <w:sz w:val="21"/>
                <w:szCs w:val="21"/>
              </w:rPr>
            </w:pPr>
            <w:r>
              <w:rPr>
                <w:rFonts w:hint="eastAsia"/>
                <w:color w:val="auto"/>
                <w:sz w:val="21"/>
                <w:szCs w:val="21"/>
                <w:lang w:val="en-US" w:eastAsia="zh-CN"/>
              </w:rPr>
              <w:t>300</w:t>
            </w:r>
            <w:r>
              <w:rPr>
                <w:color w:val="auto"/>
                <w:sz w:val="21"/>
                <w:szCs w:val="21"/>
              </w:rPr>
              <w:t>t</w:t>
            </w:r>
          </w:p>
        </w:tc>
        <w:tc>
          <w:tcPr>
            <w:tcW w:w="935" w:type="pct"/>
            <w:tcBorders>
              <w:tl2br w:val="nil"/>
              <w:tr2bl w:val="nil"/>
            </w:tcBorders>
            <w:vAlign w:val="center"/>
          </w:tcPr>
          <w:p w14:paraId="0159E6BC">
            <w:pPr>
              <w:jc w:val="center"/>
              <w:rPr>
                <w:rFonts w:hint="eastAsia"/>
                <w:color w:val="auto"/>
                <w:sz w:val="21"/>
                <w:szCs w:val="21"/>
                <w:lang w:val="en-US" w:eastAsia="zh-CN"/>
              </w:rPr>
            </w:pPr>
          </w:p>
        </w:tc>
        <w:tc>
          <w:tcPr>
            <w:tcW w:w="929" w:type="pct"/>
            <w:tcBorders>
              <w:tl2br w:val="nil"/>
              <w:tr2bl w:val="nil"/>
            </w:tcBorders>
            <w:vAlign w:val="center"/>
          </w:tcPr>
          <w:p w14:paraId="3A929423">
            <w:pPr>
              <w:jc w:val="center"/>
              <w:rPr>
                <w:rFonts w:hint="eastAsia"/>
                <w:color w:val="auto"/>
                <w:sz w:val="21"/>
                <w:szCs w:val="21"/>
                <w:lang w:val="en-US" w:eastAsia="zh-CN"/>
              </w:rPr>
            </w:pPr>
          </w:p>
        </w:tc>
      </w:tr>
      <w:tr w14:paraId="144FA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2CF31721">
            <w:pPr>
              <w:jc w:val="center"/>
              <w:rPr>
                <w:rFonts w:hint="eastAsia" w:ascii="Times New Roman" w:hAnsi="Times New Roman" w:eastAsia="宋体" w:cs="Times New Roman"/>
                <w:color w:val="auto"/>
                <w:sz w:val="21"/>
                <w:szCs w:val="21"/>
                <w:lang w:val="zh-TW" w:eastAsia="zh-TW" w:bidi="ar-SA"/>
              </w:rPr>
            </w:pPr>
            <w:r>
              <w:rPr>
                <w:rFonts w:hint="eastAsia"/>
                <w:color w:val="auto"/>
                <w:sz w:val="21"/>
                <w:szCs w:val="21"/>
                <w:lang w:val="en-US" w:eastAsia="zh-CN"/>
              </w:rPr>
              <w:t>6</w:t>
            </w:r>
          </w:p>
        </w:tc>
        <w:tc>
          <w:tcPr>
            <w:tcW w:w="1185" w:type="pct"/>
            <w:tcBorders>
              <w:tl2br w:val="nil"/>
              <w:tr2bl w:val="nil"/>
            </w:tcBorders>
            <w:vAlign w:val="center"/>
          </w:tcPr>
          <w:p w14:paraId="721D70B3">
            <w:pPr>
              <w:pStyle w:val="198"/>
              <w:spacing w:line="240" w:lineRule="auto"/>
              <w:jc w:val="center"/>
              <w:rPr>
                <w:color w:val="auto"/>
                <w:sz w:val="21"/>
                <w:szCs w:val="21"/>
                <w:lang w:val="zh-TW" w:eastAsia="zh-TW"/>
              </w:rPr>
            </w:pPr>
            <w:r>
              <w:rPr>
                <w:rFonts w:ascii="Times New Roman" w:eastAsia="宋体"/>
                <w:color w:val="auto"/>
                <w:kern w:val="2"/>
                <w:sz w:val="21"/>
                <w:szCs w:val="21"/>
                <w:lang w:val="en-US" w:eastAsia="zh-CN"/>
              </w:rPr>
              <w:t>聚丙烯酰胺（PAM）</w:t>
            </w:r>
          </w:p>
        </w:tc>
        <w:tc>
          <w:tcPr>
            <w:tcW w:w="999" w:type="pct"/>
            <w:tcBorders>
              <w:tl2br w:val="nil"/>
              <w:tr2bl w:val="nil"/>
            </w:tcBorders>
            <w:vAlign w:val="center"/>
          </w:tcPr>
          <w:p w14:paraId="46DC376B">
            <w:pPr>
              <w:jc w:val="center"/>
              <w:rPr>
                <w:color w:val="auto"/>
                <w:sz w:val="21"/>
                <w:szCs w:val="21"/>
              </w:rPr>
            </w:pPr>
            <w:r>
              <w:rPr>
                <w:rFonts w:hint="eastAsia"/>
                <w:color w:val="auto"/>
                <w:sz w:val="21"/>
                <w:szCs w:val="21"/>
                <w:lang w:val="en-US" w:eastAsia="zh-CN"/>
              </w:rPr>
              <w:t>20</w:t>
            </w:r>
            <w:r>
              <w:rPr>
                <w:rFonts w:hint="eastAsia"/>
                <w:color w:val="auto"/>
                <w:sz w:val="21"/>
                <w:szCs w:val="21"/>
              </w:rPr>
              <w:t>0</w:t>
            </w:r>
            <w:r>
              <w:rPr>
                <w:color w:val="auto"/>
                <w:sz w:val="21"/>
                <w:szCs w:val="21"/>
              </w:rPr>
              <w:t>t</w:t>
            </w:r>
          </w:p>
        </w:tc>
        <w:tc>
          <w:tcPr>
            <w:tcW w:w="935" w:type="pct"/>
            <w:tcBorders>
              <w:tl2br w:val="nil"/>
              <w:tr2bl w:val="nil"/>
            </w:tcBorders>
            <w:vAlign w:val="center"/>
          </w:tcPr>
          <w:p w14:paraId="3017234C">
            <w:pPr>
              <w:jc w:val="center"/>
              <w:rPr>
                <w:rFonts w:hint="eastAsia"/>
                <w:color w:val="auto"/>
                <w:sz w:val="21"/>
                <w:szCs w:val="21"/>
                <w:lang w:val="en-US" w:eastAsia="zh-CN"/>
              </w:rPr>
            </w:pPr>
          </w:p>
        </w:tc>
        <w:tc>
          <w:tcPr>
            <w:tcW w:w="929" w:type="pct"/>
            <w:tcBorders>
              <w:tl2br w:val="nil"/>
              <w:tr2bl w:val="nil"/>
            </w:tcBorders>
            <w:vAlign w:val="center"/>
          </w:tcPr>
          <w:p w14:paraId="6F3F6B34">
            <w:pPr>
              <w:jc w:val="center"/>
              <w:rPr>
                <w:rFonts w:hint="eastAsia"/>
                <w:color w:val="auto"/>
                <w:sz w:val="21"/>
                <w:szCs w:val="21"/>
                <w:lang w:val="en-US" w:eastAsia="zh-CN"/>
              </w:rPr>
            </w:pPr>
          </w:p>
        </w:tc>
      </w:tr>
      <w:tr w14:paraId="7A99B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950" w:type="pct"/>
            <w:tcBorders>
              <w:tl2br w:val="nil"/>
              <w:tr2bl w:val="nil"/>
            </w:tcBorders>
            <w:vAlign w:val="center"/>
          </w:tcPr>
          <w:p w14:paraId="7AF2C0C6">
            <w:pPr>
              <w:jc w:val="center"/>
              <w:rPr>
                <w:rFonts w:hint="eastAsia" w:ascii="Times New Roman" w:hAnsi="Times New Roman" w:eastAsia="宋体" w:cs="Times New Roman"/>
                <w:color w:val="auto"/>
                <w:sz w:val="21"/>
                <w:szCs w:val="21"/>
                <w:lang w:val="en-US" w:eastAsia="zh-CN" w:bidi="ar-SA"/>
              </w:rPr>
            </w:pPr>
            <w:r>
              <w:rPr>
                <w:rFonts w:hint="eastAsia"/>
                <w:color w:val="auto"/>
                <w:sz w:val="21"/>
                <w:szCs w:val="21"/>
                <w:lang w:val="en-US" w:eastAsia="zh-CN"/>
              </w:rPr>
              <w:t>7</w:t>
            </w:r>
          </w:p>
        </w:tc>
        <w:tc>
          <w:tcPr>
            <w:tcW w:w="1185" w:type="pct"/>
            <w:tcBorders>
              <w:tl2br w:val="nil"/>
              <w:tr2bl w:val="nil"/>
            </w:tcBorders>
            <w:vAlign w:val="center"/>
          </w:tcPr>
          <w:p w14:paraId="4C566FAE">
            <w:pPr>
              <w:pStyle w:val="198"/>
              <w:spacing w:line="240" w:lineRule="auto"/>
              <w:jc w:val="center"/>
              <w:rPr>
                <w:rFonts w:hint="default" w:ascii="Times New Roman" w:eastAsia="宋体"/>
                <w:color w:val="auto"/>
                <w:kern w:val="2"/>
                <w:sz w:val="21"/>
                <w:szCs w:val="21"/>
                <w:lang w:val="en-US" w:eastAsia="zh-CN"/>
              </w:rPr>
            </w:pPr>
            <w:r>
              <w:rPr>
                <w:rFonts w:hint="eastAsia"/>
                <w:color w:val="auto"/>
                <w:kern w:val="2"/>
                <w:sz w:val="21"/>
                <w:szCs w:val="21"/>
                <w:lang w:val="en-US" w:eastAsia="zh-CN"/>
              </w:rPr>
              <w:t>NaOH</w:t>
            </w:r>
          </w:p>
        </w:tc>
        <w:tc>
          <w:tcPr>
            <w:tcW w:w="999" w:type="pct"/>
            <w:tcBorders>
              <w:tl2br w:val="nil"/>
              <w:tr2bl w:val="nil"/>
            </w:tcBorders>
            <w:vAlign w:val="center"/>
          </w:tcPr>
          <w:p w14:paraId="5941225F">
            <w:pPr>
              <w:jc w:val="center"/>
              <w:rPr>
                <w:rFonts w:hint="default"/>
                <w:color w:val="auto"/>
                <w:sz w:val="21"/>
                <w:szCs w:val="21"/>
                <w:lang w:val="en-US" w:eastAsia="zh-CN"/>
              </w:rPr>
            </w:pPr>
            <w:r>
              <w:rPr>
                <w:rFonts w:hint="eastAsia"/>
                <w:color w:val="auto"/>
                <w:sz w:val="21"/>
                <w:szCs w:val="21"/>
                <w:lang w:val="en-US" w:eastAsia="zh-CN"/>
              </w:rPr>
              <w:t>35t</w:t>
            </w:r>
          </w:p>
        </w:tc>
        <w:tc>
          <w:tcPr>
            <w:tcW w:w="935" w:type="pct"/>
            <w:tcBorders>
              <w:tl2br w:val="nil"/>
              <w:tr2bl w:val="nil"/>
            </w:tcBorders>
            <w:vAlign w:val="center"/>
          </w:tcPr>
          <w:p w14:paraId="31AA8029">
            <w:pPr>
              <w:jc w:val="center"/>
              <w:rPr>
                <w:rFonts w:hint="eastAsia"/>
                <w:color w:val="auto"/>
                <w:sz w:val="21"/>
                <w:szCs w:val="21"/>
                <w:lang w:val="en-US" w:eastAsia="zh-CN"/>
              </w:rPr>
            </w:pPr>
          </w:p>
        </w:tc>
        <w:tc>
          <w:tcPr>
            <w:tcW w:w="929" w:type="pct"/>
            <w:tcBorders>
              <w:tl2br w:val="nil"/>
              <w:tr2bl w:val="nil"/>
            </w:tcBorders>
            <w:vAlign w:val="center"/>
          </w:tcPr>
          <w:p w14:paraId="731D6A42">
            <w:pPr>
              <w:jc w:val="center"/>
              <w:rPr>
                <w:rFonts w:hint="eastAsia"/>
                <w:color w:val="auto"/>
                <w:sz w:val="21"/>
                <w:szCs w:val="21"/>
                <w:lang w:val="en-US" w:eastAsia="zh-CN"/>
              </w:rPr>
            </w:pPr>
          </w:p>
        </w:tc>
      </w:tr>
      <w:tr w14:paraId="45B0E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50" w:type="pct"/>
            <w:tcBorders>
              <w:tl2br w:val="nil"/>
              <w:tr2bl w:val="nil"/>
            </w:tcBorders>
            <w:vAlign w:val="center"/>
          </w:tcPr>
          <w:p w14:paraId="169FE94B">
            <w:pPr>
              <w:jc w:val="center"/>
              <w:rPr>
                <w:rFonts w:hint="default" w:eastAsia="宋体"/>
                <w:color w:val="auto"/>
                <w:sz w:val="21"/>
                <w:szCs w:val="21"/>
                <w:lang w:val="en-US" w:eastAsia="zh-CN"/>
              </w:rPr>
            </w:pPr>
            <w:r>
              <w:rPr>
                <w:rFonts w:hint="eastAsia"/>
                <w:color w:val="auto"/>
                <w:sz w:val="21"/>
                <w:szCs w:val="21"/>
                <w:lang w:val="en-US" w:eastAsia="zh-CN"/>
              </w:rPr>
              <w:t>8</w:t>
            </w:r>
          </w:p>
        </w:tc>
        <w:tc>
          <w:tcPr>
            <w:tcW w:w="1185" w:type="pct"/>
            <w:tcBorders>
              <w:tl2br w:val="nil"/>
              <w:tr2bl w:val="nil"/>
            </w:tcBorders>
            <w:vAlign w:val="center"/>
          </w:tcPr>
          <w:p w14:paraId="262DBB67">
            <w:pPr>
              <w:jc w:val="center"/>
              <w:rPr>
                <w:color w:val="auto"/>
                <w:sz w:val="21"/>
                <w:szCs w:val="21"/>
                <w:lang w:val="zh-TW" w:eastAsia="zh-TW"/>
              </w:rPr>
            </w:pPr>
            <w:r>
              <w:rPr>
                <w:color w:val="auto"/>
                <w:sz w:val="21"/>
                <w:szCs w:val="21"/>
              </w:rPr>
              <w:t>电</w:t>
            </w:r>
          </w:p>
        </w:tc>
        <w:tc>
          <w:tcPr>
            <w:tcW w:w="999" w:type="pct"/>
            <w:tcBorders>
              <w:tl2br w:val="nil"/>
              <w:tr2bl w:val="nil"/>
            </w:tcBorders>
            <w:vAlign w:val="center"/>
          </w:tcPr>
          <w:p w14:paraId="47CAC52C">
            <w:pPr>
              <w:jc w:val="center"/>
              <w:rPr>
                <w:color w:val="auto"/>
                <w:sz w:val="21"/>
                <w:szCs w:val="21"/>
              </w:rPr>
            </w:pPr>
            <w:r>
              <w:rPr>
                <w:color w:val="auto"/>
                <w:sz w:val="21"/>
                <w:szCs w:val="21"/>
              </w:rPr>
              <w:t>50万度</w:t>
            </w:r>
          </w:p>
        </w:tc>
        <w:tc>
          <w:tcPr>
            <w:tcW w:w="935" w:type="pct"/>
            <w:tcBorders>
              <w:tl2br w:val="nil"/>
              <w:tr2bl w:val="nil"/>
            </w:tcBorders>
            <w:vAlign w:val="center"/>
          </w:tcPr>
          <w:p w14:paraId="5F76F210">
            <w:pPr>
              <w:jc w:val="center"/>
              <w:rPr>
                <w:color w:val="auto"/>
                <w:sz w:val="21"/>
                <w:szCs w:val="21"/>
              </w:rPr>
            </w:pPr>
          </w:p>
        </w:tc>
        <w:tc>
          <w:tcPr>
            <w:tcW w:w="929" w:type="pct"/>
            <w:tcBorders>
              <w:tl2br w:val="nil"/>
              <w:tr2bl w:val="nil"/>
            </w:tcBorders>
            <w:vAlign w:val="center"/>
          </w:tcPr>
          <w:p w14:paraId="1DCEDEC2">
            <w:pPr>
              <w:jc w:val="center"/>
              <w:rPr>
                <w:color w:val="auto"/>
                <w:sz w:val="21"/>
                <w:szCs w:val="21"/>
              </w:rPr>
            </w:pPr>
          </w:p>
        </w:tc>
      </w:tr>
      <w:tr w14:paraId="08293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950" w:type="pct"/>
            <w:tcBorders>
              <w:tl2br w:val="nil"/>
              <w:tr2bl w:val="nil"/>
            </w:tcBorders>
            <w:vAlign w:val="center"/>
          </w:tcPr>
          <w:p w14:paraId="3FEBE07D">
            <w:pPr>
              <w:jc w:val="center"/>
              <w:rPr>
                <w:rFonts w:hint="default"/>
                <w:color w:val="auto"/>
                <w:sz w:val="21"/>
                <w:szCs w:val="21"/>
                <w:lang w:val="en-US" w:eastAsia="zh-CN"/>
              </w:rPr>
            </w:pPr>
            <w:bookmarkStart w:id="201" w:name="bookmark227"/>
            <w:bookmarkStart w:id="202" w:name="bookmark225"/>
            <w:bookmarkStart w:id="203" w:name="bookmark226"/>
            <w:r>
              <w:rPr>
                <w:rFonts w:hint="eastAsia"/>
                <w:color w:val="auto"/>
                <w:sz w:val="21"/>
                <w:szCs w:val="21"/>
                <w:lang w:val="en-US" w:eastAsia="zh-CN"/>
              </w:rPr>
              <w:t>9</w:t>
            </w:r>
          </w:p>
        </w:tc>
        <w:tc>
          <w:tcPr>
            <w:tcW w:w="1185" w:type="pct"/>
            <w:tcBorders>
              <w:tl2br w:val="nil"/>
              <w:tr2bl w:val="nil"/>
            </w:tcBorders>
            <w:vAlign w:val="center"/>
          </w:tcPr>
          <w:p w14:paraId="6AE9D9CF">
            <w:pPr>
              <w:jc w:val="center"/>
              <w:rPr>
                <w:rFonts w:hint="default" w:eastAsia="宋体"/>
                <w:color w:val="auto"/>
                <w:sz w:val="21"/>
                <w:szCs w:val="21"/>
                <w:lang w:val="en-US" w:eastAsia="zh-CN"/>
              </w:rPr>
            </w:pPr>
            <w:r>
              <w:rPr>
                <w:rFonts w:hint="eastAsia"/>
                <w:color w:val="auto"/>
                <w:sz w:val="21"/>
                <w:szCs w:val="21"/>
                <w:lang w:val="en-US" w:eastAsia="zh-CN"/>
              </w:rPr>
              <w:t>水</w:t>
            </w:r>
          </w:p>
        </w:tc>
        <w:tc>
          <w:tcPr>
            <w:tcW w:w="999" w:type="pct"/>
            <w:tcBorders>
              <w:tl2br w:val="nil"/>
              <w:tr2bl w:val="nil"/>
            </w:tcBorders>
            <w:vAlign w:val="center"/>
          </w:tcPr>
          <w:p w14:paraId="4E1CA35B">
            <w:pPr>
              <w:jc w:val="center"/>
              <w:rPr>
                <w:rFonts w:hint="default" w:eastAsia="宋体"/>
                <w:color w:val="auto"/>
                <w:sz w:val="21"/>
                <w:szCs w:val="21"/>
                <w:lang w:val="en-US" w:eastAsia="zh-CN"/>
              </w:rPr>
            </w:pPr>
            <w:r>
              <w:rPr>
                <w:rFonts w:hint="eastAsia"/>
                <w:color w:val="auto"/>
                <w:sz w:val="21"/>
                <w:szCs w:val="21"/>
                <w:lang w:val="en-US" w:eastAsia="zh-CN"/>
              </w:rPr>
              <w:t>67.45万t</w:t>
            </w:r>
          </w:p>
        </w:tc>
        <w:tc>
          <w:tcPr>
            <w:tcW w:w="935" w:type="pct"/>
            <w:tcBorders>
              <w:tl2br w:val="nil"/>
              <w:tr2bl w:val="nil"/>
            </w:tcBorders>
            <w:vAlign w:val="center"/>
          </w:tcPr>
          <w:p w14:paraId="416B96EB">
            <w:pPr>
              <w:jc w:val="center"/>
              <w:rPr>
                <w:rFonts w:hint="eastAsia"/>
                <w:color w:val="auto"/>
                <w:sz w:val="21"/>
                <w:szCs w:val="21"/>
                <w:lang w:val="en-US" w:eastAsia="zh-CN"/>
              </w:rPr>
            </w:pPr>
          </w:p>
        </w:tc>
        <w:tc>
          <w:tcPr>
            <w:tcW w:w="929" w:type="pct"/>
            <w:tcBorders>
              <w:tl2br w:val="nil"/>
              <w:tr2bl w:val="nil"/>
            </w:tcBorders>
            <w:vAlign w:val="center"/>
          </w:tcPr>
          <w:p w14:paraId="46AE3605">
            <w:pPr>
              <w:jc w:val="center"/>
              <w:rPr>
                <w:rFonts w:hint="eastAsia"/>
                <w:color w:val="auto"/>
                <w:sz w:val="21"/>
                <w:szCs w:val="21"/>
                <w:lang w:val="en-US" w:eastAsia="zh-CN"/>
              </w:rPr>
            </w:pPr>
          </w:p>
        </w:tc>
      </w:tr>
    </w:tbl>
    <w:p w14:paraId="4AC9B822">
      <w:pPr>
        <w:pStyle w:val="4"/>
        <w:rPr>
          <w:rFonts w:hint="default" w:eastAsia="宋体"/>
          <w:lang w:val="en-US" w:eastAsia="zh-CN"/>
        </w:rPr>
      </w:pPr>
      <w:r>
        <w:rPr>
          <w:lang w:eastAsia="en-US"/>
        </w:rPr>
        <w:t>3.</w:t>
      </w:r>
      <w:r>
        <w:t>2</w:t>
      </w:r>
      <w:r>
        <w:rPr>
          <w:lang w:eastAsia="en-US"/>
        </w:rPr>
        <w:t>.</w:t>
      </w:r>
      <w:r>
        <w:t>3</w:t>
      </w:r>
      <w:bookmarkEnd w:id="201"/>
      <w:r>
        <w:rPr>
          <w:rFonts w:hint="eastAsia"/>
          <w:lang w:val="en-US" w:eastAsia="zh-CN"/>
        </w:rPr>
        <w:t>主要设备</w:t>
      </w:r>
    </w:p>
    <w:bookmarkEnd w:id="202"/>
    <w:bookmarkEnd w:id="203"/>
    <w:p w14:paraId="1D5C0FF5">
      <w:pPr>
        <w:jc w:val="center"/>
        <w:rPr>
          <w:rFonts w:hint="eastAsia"/>
          <w:b/>
          <w:bCs/>
        </w:rPr>
      </w:pPr>
      <w:r>
        <w:rPr>
          <w:rFonts w:hint="eastAsia"/>
          <w:b/>
          <w:bCs/>
        </w:rPr>
        <w:t>表</w:t>
      </w:r>
      <w:r>
        <w:rPr>
          <w:rFonts w:hint="eastAsia"/>
          <w:b/>
          <w:bCs/>
          <w:lang w:val="en-US" w:eastAsia="zh-CN"/>
        </w:rPr>
        <w:t>3.2-3</w:t>
      </w:r>
      <w:r>
        <w:rPr>
          <w:rFonts w:hint="eastAsia"/>
          <w:b/>
          <w:bCs/>
        </w:rPr>
        <w:t>新增的设备及技改的设备表</w:t>
      </w:r>
    </w:p>
    <w:tbl>
      <w:tblPr>
        <w:tblStyle w:val="53"/>
        <w:tblW w:w="92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662"/>
        <w:gridCol w:w="1231"/>
        <w:gridCol w:w="1788"/>
        <w:gridCol w:w="1833"/>
        <w:gridCol w:w="1334"/>
        <w:gridCol w:w="959"/>
        <w:gridCol w:w="1420"/>
      </w:tblGrid>
      <w:tr w14:paraId="582EC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7" w:hRule="atLeast"/>
          <w:jc w:val="center"/>
        </w:trPr>
        <w:tc>
          <w:tcPr>
            <w:tcW w:w="662" w:type="dxa"/>
            <w:shd w:val="clear" w:color="auto" w:fill="auto"/>
            <w:vAlign w:val="center"/>
          </w:tcPr>
          <w:p w14:paraId="474646EB">
            <w:pPr>
              <w:jc w:val="center"/>
              <w:rPr>
                <w:rFonts w:hint="eastAsia" w:ascii="Times New Roman" w:hAnsi="Times New Roman" w:eastAsia="宋体" w:cs="Times New Roman"/>
                <w:color w:val="auto"/>
                <w:sz w:val="21"/>
                <w:szCs w:val="21"/>
                <w:lang w:val="en-US" w:eastAsia="zh-CN"/>
              </w:rPr>
            </w:pPr>
            <w:bookmarkStart w:id="204" w:name="4.1.4主要原辅材料及能源消耗"/>
            <w:bookmarkEnd w:id="204"/>
            <w:r>
              <w:rPr>
                <w:rFonts w:hint="eastAsia" w:ascii="Times New Roman" w:hAnsi="Times New Roman" w:eastAsia="宋体" w:cs="Times New Roman"/>
                <w:color w:val="auto"/>
                <w:sz w:val="21"/>
                <w:szCs w:val="21"/>
                <w:lang w:val="en-US" w:eastAsia="zh-CN"/>
              </w:rPr>
              <w:t>序号</w:t>
            </w:r>
          </w:p>
        </w:tc>
        <w:tc>
          <w:tcPr>
            <w:tcW w:w="1231" w:type="dxa"/>
            <w:shd w:val="clear" w:color="auto" w:fill="auto"/>
            <w:vAlign w:val="center"/>
          </w:tcPr>
          <w:p w14:paraId="0D567B3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设备号</w:t>
            </w:r>
          </w:p>
        </w:tc>
        <w:tc>
          <w:tcPr>
            <w:tcW w:w="1788" w:type="dxa"/>
            <w:shd w:val="clear" w:color="auto" w:fill="auto"/>
            <w:vAlign w:val="center"/>
          </w:tcPr>
          <w:p w14:paraId="1C657B1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设备名称</w:t>
            </w:r>
          </w:p>
        </w:tc>
        <w:tc>
          <w:tcPr>
            <w:tcW w:w="1833" w:type="dxa"/>
            <w:shd w:val="clear" w:color="auto" w:fill="auto"/>
            <w:vAlign w:val="center"/>
          </w:tcPr>
          <w:p w14:paraId="2BB0A18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设备规格</w:t>
            </w:r>
          </w:p>
        </w:tc>
        <w:tc>
          <w:tcPr>
            <w:tcW w:w="1334" w:type="dxa"/>
            <w:shd w:val="clear" w:color="auto" w:fill="auto"/>
            <w:vAlign w:val="center"/>
          </w:tcPr>
          <w:p w14:paraId="7224401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材质</w:t>
            </w:r>
          </w:p>
        </w:tc>
        <w:tc>
          <w:tcPr>
            <w:tcW w:w="959" w:type="dxa"/>
            <w:shd w:val="clear" w:color="auto" w:fill="auto"/>
            <w:vAlign w:val="center"/>
          </w:tcPr>
          <w:p w14:paraId="6E4DEF0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总数量</w:t>
            </w:r>
          </w:p>
        </w:tc>
        <w:tc>
          <w:tcPr>
            <w:tcW w:w="1420" w:type="dxa"/>
            <w:shd w:val="clear" w:color="auto" w:fill="auto"/>
            <w:vAlign w:val="center"/>
          </w:tcPr>
          <w:p w14:paraId="72366FC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备注</w:t>
            </w:r>
          </w:p>
        </w:tc>
      </w:tr>
      <w:tr w14:paraId="31723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662" w:type="dxa"/>
            <w:shd w:val="clear" w:color="auto" w:fill="auto"/>
            <w:vAlign w:val="center"/>
          </w:tcPr>
          <w:p w14:paraId="0C79BBD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231" w:type="dxa"/>
            <w:shd w:val="clear" w:color="auto" w:fill="auto"/>
            <w:vAlign w:val="center"/>
          </w:tcPr>
          <w:p w14:paraId="5F5F9B8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T530</w:t>
            </w:r>
          </w:p>
        </w:tc>
        <w:tc>
          <w:tcPr>
            <w:tcW w:w="1788" w:type="dxa"/>
            <w:shd w:val="clear" w:color="auto" w:fill="auto"/>
            <w:vAlign w:val="center"/>
          </w:tcPr>
          <w:p w14:paraId="5A91C12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精塔B</w:t>
            </w:r>
          </w:p>
        </w:tc>
        <w:tc>
          <w:tcPr>
            <w:tcW w:w="1833" w:type="dxa"/>
            <w:shd w:val="clear" w:color="auto" w:fill="auto"/>
            <w:vAlign w:val="center"/>
          </w:tcPr>
          <w:p w14:paraId="59749E0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DN5000×43600</w:t>
            </w:r>
          </w:p>
        </w:tc>
        <w:tc>
          <w:tcPr>
            <w:tcW w:w="1334" w:type="dxa"/>
            <w:shd w:val="clear" w:color="auto" w:fill="auto"/>
            <w:vAlign w:val="center"/>
          </w:tcPr>
          <w:p w14:paraId="2DC44D8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576986F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7C93CB2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上部增加1 0层塔内件</w:t>
            </w:r>
          </w:p>
        </w:tc>
      </w:tr>
      <w:tr w14:paraId="65934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662" w:type="dxa"/>
            <w:shd w:val="clear" w:color="auto" w:fill="auto"/>
            <w:vAlign w:val="center"/>
          </w:tcPr>
          <w:p w14:paraId="5AAD60B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231" w:type="dxa"/>
            <w:shd w:val="clear" w:color="auto" w:fill="auto"/>
            <w:vAlign w:val="center"/>
          </w:tcPr>
          <w:p w14:paraId="360B079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T550</w:t>
            </w:r>
          </w:p>
        </w:tc>
        <w:tc>
          <w:tcPr>
            <w:tcW w:w="1788" w:type="dxa"/>
            <w:shd w:val="clear" w:color="auto" w:fill="auto"/>
            <w:vAlign w:val="center"/>
          </w:tcPr>
          <w:p w14:paraId="3401E2B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甲醇塔</w:t>
            </w:r>
          </w:p>
        </w:tc>
        <w:tc>
          <w:tcPr>
            <w:tcW w:w="1833" w:type="dxa"/>
            <w:shd w:val="clear" w:color="auto" w:fill="auto"/>
            <w:vAlign w:val="center"/>
          </w:tcPr>
          <w:p w14:paraId="3EA604C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DN3600×34100</w:t>
            </w:r>
          </w:p>
        </w:tc>
        <w:tc>
          <w:tcPr>
            <w:tcW w:w="1334" w:type="dxa"/>
            <w:shd w:val="clear" w:color="auto" w:fill="auto"/>
            <w:vAlign w:val="center"/>
          </w:tcPr>
          <w:p w14:paraId="34498AB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71691B2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9D5FCA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67A67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62" w:type="dxa"/>
            <w:shd w:val="clear" w:color="auto" w:fill="auto"/>
            <w:vAlign w:val="center"/>
          </w:tcPr>
          <w:p w14:paraId="45F4754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231" w:type="dxa"/>
            <w:shd w:val="clear" w:color="auto" w:fill="auto"/>
            <w:vAlign w:val="center"/>
          </w:tcPr>
          <w:p w14:paraId="0245EF8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T560</w:t>
            </w:r>
          </w:p>
        </w:tc>
        <w:tc>
          <w:tcPr>
            <w:tcW w:w="1788" w:type="dxa"/>
            <w:shd w:val="clear" w:color="auto" w:fill="auto"/>
            <w:vAlign w:val="center"/>
          </w:tcPr>
          <w:p w14:paraId="6D0D317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w:t>
            </w:r>
          </w:p>
        </w:tc>
        <w:tc>
          <w:tcPr>
            <w:tcW w:w="1833" w:type="dxa"/>
            <w:shd w:val="clear" w:color="auto" w:fill="auto"/>
            <w:vAlign w:val="center"/>
          </w:tcPr>
          <w:p w14:paraId="0122EE2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DN3800×31000</w:t>
            </w:r>
          </w:p>
        </w:tc>
        <w:tc>
          <w:tcPr>
            <w:tcW w:w="1334" w:type="dxa"/>
            <w:shd w:val="clear" w:color="auto" w:fill="auto"/>
            <w:vAlign w:val="center"/>
          </w:tcPr>
          <w:p w14:paraId="3BE2AB6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510822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516A95D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7AA44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662" w:type="dxa"/>
            <w:shd w:val="clear" w:color="auto" w:fill="auto"/>
            <w:vAlign w:val="center"/>
          </w:tcPr>
          <w:p w14:paraId="2DA10F7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1231" w:type="dxa"/>
            <w:shd w:val="clear" w:color="auto" w:fill="auto"/>
            <w:vAlign w:val="center"/>
          </w:tcPr>
          <w:p w14:paraId="1DEA819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R601E-F</w:t>
            </w:r>
          </w:p>
        </w:tc>
        <w:tc>
          <w:tcPr>
            <w:tcW w:w="1788" w:type="dxa"/>
            <w:shd w:val="clear" w:color="auto" w:fill="auto"/>
            <w:vAlign w:val="center"/>
          </w:tcPr>
          <w:p w14:paraId="06D05FC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分子筛吸咐柱</w:t>
            </w:r>
          </w:p>
        </w:tc>
        <w:tc>
          <w:tcPr>
            <w:tcW w:w="1833" w:type="dxa"/>
            <w:shd w:val="clear" w:color="auto" w:fill="auto"/>
            <w:vAlign w:val="center"/>
          </w:tcPr>
          <w:p w14:paraId="7F4906C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DN4300×14600</w:t>
            </w:r>
          </w:p>
        </w:tc>
        <w:tc>
          <w:tcPr>
            <w:tcW w:w="1334" w:type="dxa"/>
            <w:shd w:val="clear" w:color="auto" w:fill="auto"/>
            <w:vAlign w:val="center"/>
          </w:tcPr>
          <w:p w14:paraId="4F9E80C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Q345R</w:t>
            </w:r>
          </w:p>
        </w:tc>
        <w:tc>
          <w:tcPr>
            <w:tcW w:w="959" w:type="dxa"/>
            <w:shd w:val="clear" w:color="auto" w:fill="auto"/>
            <w:vAlign w:val="center"/>
          </w:tcPr>
          <w:p w14:paraId="080C166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2BF9B98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拆除</w:t>
            </w:r>
          </w:p>
        </w:tc>
      </w:tr>
      <w:tr w14:paraId="4035B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662" w:type="dxa"/>
            <w:shd w:val="clear" w:color="auto" w:fill="auto"/>
            <w:vAlign w:val="center"/>
          </w:tcPr>
          <w:p w14:paraId="37B6EF4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231" w:type="dxa"/>
            <w:shd w:val="clear" w:color="auto" w:fill="auto"/>
            <w:vAlign w:val="center"/>
          </w:tcPr>
          <w:p w14:paraId="32BD74B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E530C</w:t>
            </w:r>
          </w:p>
        </w:tc>
        <w:tc>
          <w:tcPr>
            <w:tcW w:w="1788" w:type="dxa"/>
            <w:shd w:val="clear" w:color="auto" w:fill="auto"/>
            <w:vAlign w:val="center"/>
          </w:tcPr>
          <w:p w14:paraId="305DAF1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精塔B再沸器C</w:t>
            </w:r>
          </w:p>
        </w:tc>
        <w:tc>
          <w:tcPr>
            <w:tcW w:w="1833" w:type="dxa"/>
            <w:shd w:val="clear" w:color="auto" w:fill="auto"/>
            <w:vAlign w:val="center"/>
          </w:tcPr>
          <w:p w14:paraId="3AE6545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DN2100×19400</w:t>
            </w:r>
          </w:p>
        </w:tc>
        <w:tc>
          <w:tcPr>
            <w:tcW w:w="1334" w:type="dxa"/>
            <w:shd w:val="clear" w:color="auto" w:fill="auto"/>
            <w:vAlign w:val="center"/>
          </w:tcPr>
          <w:p w14:paraId="100B7BB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493E3A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DC7064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拆除</w:t>
            </w:r>
          </w:p>
        </w:tc>
      </w:tr>
      <w:tr w14:paraId="502D1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2" w:type="dxa"/>
            <w:shd w:val="clear" w:color="auto" w:fill="auto"/>
            <w:vAlign w:val="center"/>
          </w:tcPr>
          <w:p w14:paraId="11041A2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1231" w:type="dxa"/>
            <w:shd w:val="clear" w:color="auto" w:fill="auto"/>
            <w:vAlign w:val="center"/>
          </w:tcPr>
          <w:p w14:paraId="424B28F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E550AB</w:t>
            </w:r>
          </w:p>
        </w:tc>
        <w:tc>
          <w:tcPr>
            <w:tcW w:w="1788" w:type="dxa"/>
            <w:shd w:val="clear" w:color="auto" w:fill="auto"/>
            <w:vAlign w:val="center"/>
          </w:tcPr>
          <w:p w14:paraId="381A0D8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甲醇塔再沸器AB</w:t>
            </w:r>
          </w:p>
        </w:tc>
        <w:tc>
          <w:tcPr>
            <w:tcW w:w="1833" w:type="dxa"/>
            <w:shd w:val="clear" w:color="auto" w:fill="auto"/>
            <w:vAlign w:val="center"/>
          </w:tcPr>
          <w:p w14:paraId="6A4A3C9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DN1900×16800</w:t>
            </w:r>
          </w:p>
        </w:tc>
        <w:tc>
          <w:tcPr>
            <w:tcW w:w="1334" w:type="dxa"/>
            <w:shd w:val="clear" w:color="auto" w:fill="auto"/>
            <w:vAlign w:val="center"/>
          </w:tcPr>
          <w:p w14:paraId="1A00282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7DBABFF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0DB9060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1C44D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662" w:type="dxa"/>
            <w:shd w:val="clear" w:color="auto" w:fill="auto"/>
            <w:vAlign w:val="center"/>
          </w:tcPr>
          <w:p w14:paraId="0AE2BF9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1231" w:type="dxa"/>
            <w:shd w:val="clear" w:color="auto" w:fill="auto"/>
            <w:vAlign w:val="center"/>
          </w:tcPr>
          <w:p w14:paraId="2AA2133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E560</w:t>
            </w:r>
          </w:p>
        </w:tc>
        <w:tc>
          <w:tcPr>
            <w:tcW w:w="1788" w:type="dxa"/>
            <w:shd w:val="clear" w:color="auto" w:fill="auto"/>
            <w:vAlign w:val="center"/>
          </w:tcPr>
          <w:p w14:paraId="08FC615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水洗塔再沸器</w:t>
            </w:r>
          </w:p>
        </w:tc>
        <w:tc>
          <w:tcPr>
            <w:tcW w:w="1833" w:type="dxa"/>
            <w:shd w:val="clear" w:color="auto" w:fill="auto"/>
            <w:vAlign w:val="center"/>
          </w:tcPr>
          <w:p w14:paraId="454C0E7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DN2100×19400</w:t>
            </w:r>
          </w:p>
        </w:tc>
        <w:tc>
          <w:tcPr>
            <w:tcW w:w="1334" w:type="dxa"/>
            <w:shd w:val="clear" w:color="auto" w:fill="auto"/>
            <w:vAlign w:val="center"/>
          </w:tcPr>
          <w:p w14:paraId="7C4FEC2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2F9960A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4C68B2C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利旧E530C</w:t>
            </w:r>
          </w:p>
        </w:tc>
      </w:tr>
      <w:tr w14:paraId="12CE2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jc w:val="center"/>
        </w:trPr>
        <w:tc>
          <w:tcPr>
            <w:tcW w:w="662" w:type="dxa"/>
            <w:shd w:val="clear" w:color="auto" w:fill="auto"/>
            <w:vAlign w:val="center"/>
          </w:tcPr>
          <w:p w14:paraId="6701C33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1231" w:type="dxa"/>
            <w:shd w:val="clear" w:color="auto" w:fill="auto"/>
            <w:vAlign w:val="center"/>
          </w:tcPr>
          <w:p w14:paraId="3956FFB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E524</w:t>
            </w:r>
          </w:p>
        </w:tc>
        <w:tc>
          <w:tcPr>
            <w:tcW w:w="1788" w:type="dxa"/>
            <w:shd w:val="clear" w:color="auto" w:fill="auto"/>
            <w:vAlign w:val="center"/>
          </w:tcPr>
          <w:p w14:paraId="594236D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精塔A进料一级 预热器</w:t>
            </w:r>
          </w:p>
        </w:tc>
        <w:tc>
          <w:tcPr>
            <w:tcW w:w="1833" w:type="dxa"/>
            <w:shd w:val="clear" w:color="auto" w:fill="auto"/>
            <w:vAlign w:val="center"/>
          </w:tcPr>
          <w:p w14:paraId="29EDA93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700×1050</w:t>
            </w:r>
          </w:p>
        </w:tc>
        <w:tc>
          <w:tcPr>
            <w:tcW w:w="1334" w:type="dxa"/>
            <w:shd w:val="clear" w:color="auto" w:fill="auto"/>
            <w:vAlign w:val="center"/>
          </w:tcPr>
          <w:p w14:paraId="76D52C9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2E6B74B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6E07B94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拆除</w:t>
            </w:r>
          </w:p>
        </w:tc>
      </w:tr>
      <w:tr w14:paraId="7E3A5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62" w:type="dxa"/>
            <w:shd w:val="clear" w:color="auto" w:fill="auto"/>
            <w:vAlign w:val="center"/>
          </w:tcPr>
          <w:p w14:paraId="6D88CC5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231" w:type="dxa"/>
            <w:shd w:val="clear" w:color="auto" w:fill="auto"/>
            <w:vAlign w:val="center"/>
          </w:tcPr>
          <w:p w14:paraId="1E6EDB7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E525</w:t>
            </w:r>
          </w:p>
        </w:tc>
        <w:tc>
          <w:tcPr>
            <w:tcW w:w="1788" w:type="dxa"/>
            <w:shd w:val="clear" w:color="auto" w:fill="auto"/>
            <w:vAlign w:val="center"/>
          </w:tcPr>
          <w:p w14:paraId="774833A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精塔A进料二级 预热器</w:t>
            </w:r>
          </w:p>
        </w:tc>
        <w:tc>
          <w:tcPr>
            <w:tcW w:w="1833" w:type="dxa"/>
            <w:shd w:val="clear" w:color="auto" w:fill="auto"/>
            <w:vAlign w:val="center"/>
          </w:tcPr>
          <w:p w14:paraId="1BA5EE9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700×1050</w:t>
            </w:r>
          </w:p>
        </w:tc>
        <w:tc>
          <w:tcPr>
            <w:tcW w:w="1334" w:type="dxa"/>
            <w:shd w:val="clear" w:color="auto" w:fill="auto"/>
            <w:vAlign w:val="center"/>
          </w:tcPr>
          <w:p w14:paraId="5BE53F1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3A456F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47A2019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拆除</w:t>
            </w:r>
          </w:p>
        </w:tc>
      </w:tr>
      <w:tr w14:paraId="797BC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62" w:type="dxa"/>
            <w:shd w:val="clear" w:color="auto" w:fill="auto"/>
            <w:vAlign w:val="center"/>
          </w:tcPr>
          <w:p w14:paraId="166CCC2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1231" w:type="dxa"/>
            <w:shd w:val="clear" w:color="auto" w:fill="auto"/>
            <w:vAlign w:val="center"/>
          </w:tcPr>
          <w:p w14:paraId="29D4AC6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E565</w:t>
            </w:r>
          </w:p>
        </w:tc>
        <w:tc>
          <w:tcPr>
            <w:tcW w:w="1788" w:type="dxa"/>
            <w:shd w:val="clear" w:color="auto" w:fill="auto"/>
            <w:vAlign w:val="center"/>
          </w:tcPr>
          <w:p w14:paraId="2772EFA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水洗塔冷凝器</w:t>
            </w:r>
          </w:p>
        </w:tc>
        <w:tc>
          <w:tcPr>
            <w:tcW w:w="1833" w:type="dxa"/>
            <w:shd w:val="clear" w:color="auto" w:fill="auto"/>
            <w:vAlign w:val="center"/>
          </w:tcPr>
          <w:p w14:paraId="43F40F2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DN900×3000</w:t>
            </w:r>
          </w:p>
        </w:tc>
        <w:tc>
          <w:tcPr>
            <w:tcW w:w="1334" w:type="dxa"/>
            <w:shd w:val="clear" w:color="auto" w:fill="auto"/>
            <w:vAlign w:val="center"/>
          </w:tcPr>
          <w:p w14:paraId="0BF6F65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C416E0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59024D3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798B3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662" w:type="dxa"/>
            <w:shd w:val="clear" w:color="auto" w:fill="auto"/>
            <w:vAlign w:val="center"/>
          </w:tcPr>
          <w:p w14:paraId="5BE151D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1231" w:type="dxa"/>
            <w:shd w:val="clear" w:color="auto" w:fill="auto"/>
            <w:vAlign w:val="center"/>
          </w:tcPr>
          <w:p w14:paraId="23B5EF6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E566</w:t>
            </w:r>
          </w:p>
        </w:tc>
        <w:tc>
          <w:tcPr>
            <w:tcW w:w="1788" w:type="dxa"/>
            <w:shd w:val="clear" w:color="auto" w:fill="auto"/>
            <w:vAlign w:val="center"/>
          </w:tcPr>
          <w:p w14:paraId="428EBA4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水洗塔末冷</w:t>
            </w:r>
          </w:p>
        </w:tc>
        <w:tc>
          <w:tcPr>
            <w:tcW w:w="1833" w:type="dxa"/>
            <w:shd w:val="clear" w:color="auto" w:fill="auto"/>
            <w:vAlign w:val="center"/>
          </w:tcPr>
          <w:p w14:paraId="3D824F4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DN600×3000</w:t>
            </w:r>
          </w:p>
        </w:tc>
        <w:tc>
          <w:tcPr>
            <w:tcW w:w="1334" w:type="dxa"/>
            <w:shd w:val="clear" w:color="auto" w:fill="auto"/>
            <w:vAlign w:val="center"/>
          </w:tcPr>
          <w:p w14:paraId="5FC88B1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3DC81A8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5D784D3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0B990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662" w:type="dxa"/>
            <w:shd w:val="clear" w:color="auto" w:fill="auto"/>
            <w:vAlign w:val="center"/>
          </w:tcPr>
          <w:p w14:paraId="4FDD577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1231" w:type="dxa"/>
            <w:shd w:val="clear" w:color="auto" w:fill="auto"/>
            <w:vAlign w:val="center"/>
          </w:tcPr>
          <w:p w14:paraId="50318A1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E555</w:t>
            </w:r>
          </w:p>
        </w:tc>
        <w:tc>
          <w:tcPr>
            <w:tcW w:w="1788" w:type="dxa"/>
            <w:shd w:val="clear" w:color="auto" w:fill="auto"/>
            <w:vAlign w:val="center"/>
          </w:tcPr>
          <w:p w14:paraId="6EB3584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甲醇塔冷凝器</w:t>
            </w:r>
          </w:p>
        </w:tc>
        <w:tc>
          <w:tcPr>
            <w:tcW w:w="1833" w:type="dxa"/>
            <w:shd w:val="clear" w:color="auto" w:fill="auto"/>
            <w:vAlign w:val="center"/>
          </w:tcPr>
          <w:p w14:paraId="1482D0E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DN600×3000</w:t>
            </w:r>
          </w:p>
        </w:tc>
        <w:tc>
          <w:tcPr>
            <w:tcW w:w="1334" w:type="dxa"/>
            <w:shd w:val="clear" w:color="auto" w:fill="auto"/>
            <w:vAlign w:val="center"/>
          </w:tcPr>
          <w:p w14:paraId="1EC1D32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0A30367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7DA5561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0019C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662" w:type="dxa"/>
            <w:shd w:val="clear" w:color="auto" w:fill="auto"/>
            <w:vAlign w:val="center"/>
          </w:tcPr>
          <w:p w14:paraId="19DB9AA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1231" w:type="dxa"/>
            <w:shd w:val="clear" w:color="auto" w:fill="auto"/>
            <w:vAlign w:val="center"/>
          </w:tcPr>
          <w:p w14:paraId="0FB6832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E607</w:t>
            </w:r>
          </w:p>
        </w:tc>
        <w:tc>
          <w:tcPr>
            <w:tcW w:w="1788" w:type="dxa"/>
            <w:shd w:val="clear" w:color="auto" w:fill="auto"/>
            <w:vAlign w:val="center"/>
          </w:tcPr>
          <w:p w14:paraId="278FC09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原料酒蒸发器</w:t>
            </w:r>
          </w:p>
        </w:tc>
        <w:tc>
          <w:tcPr>
            <w:tcW w:w="1833" w:type="dxa"/>
            <w:shd w:val="clear" w:color="auto" w:fill="auto"/>
            <w:vAlign w:val="center"/>
          </w:tcPr>
          <w:p w14:paraId="3564D58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DN1100×5200</w:t>
            </w:r>
          </w:p>
        </w:tc>
        <w:tc>
          <w:tcPr>
            <w:tcW w:w="1334" w:type="dxa"/>
            <w:shd w:val="clear" w:color="auto" w:fill="auto"/>
            <w:vAlign w:val="center"/>
          </w:tcPr>
          <w:p w14:paraId="25092C3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63CA9EC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77D1FD7E">
            <w:pPr>
              <w:jc w:val="center"/>
              <w:rPr>
                <w:rFonts w:hint="eastAsia" w:ascii="Times New Roman" w:hAnsi="Times New Roman" w:eastAsia="宋体" w:cs="Times New Roman"/>
                <w:color w:val="auto"/>
                <w:sz w:val="21"/>
                <w:szCs w:val="21"/>
                <w:lang w:val="en-US" w:eastAsia="zh-CN"/>
              </w:rPr>
            </w:pPr>
          </w:p>
        </w:tc>
      </w:tr>
      <w:tr w14:paraId="5D870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62" w:type="dxa"/>
            <w:shd w:val="clear" w:color="auto" w:fill="auto"/>
            <w:vAlign w:val="center"/>
          </w:tcPr>
          <w:p w14:paraId="0691E41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1231" w:type="dxa"/>
            <w:shd w:val="clear" w:color="auto" w:fill="auto"/>
            <w:vAlign w:val="center"/>
          </w:tcPr>
          <w:p w14:paraId="0963E10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E541A</w:t>
            </w:r>
          </w:p>
        </w:tc>
        <w:tc>
          <w:tcPr>
            <w:tcW w:w="1788" w:type="dxa"/>
            <w:shd w:val="clear" w:color="auto" w:fill="auto"/>
            <w:vAlign w:val="center"/>
          </w:tcPr>
          <w:p w14:paraId="6EB624D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淡酒预热器A</w:t>
            </w:r>
          </w:p>
        </w:tc>
        <w:tc>
          <w:tcPr>
            <w:tcW w:w="1833" w:type="dxa"/>
            <w:shd w:val="clear" w:color="auto" w:fill="auto"/>
            <w:vAlign w:val="center"/>
          </w:tcPr>
          <w:p w14:paraId="19456A9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1516×750×2475</w:t>
            </w:r>
          </w:p>
        </w:tc>
        <w:tc>
          <w:tcPr>
            <w:tcW w:w="1334" w:type="dxa"/>
            <w:shd w:val="clear" w:color="auto" w:fill="auto"/>
            <w:vAlign w:val="center"/>
          </w:tcPr>
          <w:p w14:paraId="5BC51F5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308994D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CBCDDDE">
            <w:pPr>
              <w:jc w:val="center"/>
              <w:rPr>
                <w:rFonts w:hint="eastAsia" w:ascii="Times New Roman" w:hAnsi="Times New Roman" w:eastAsia="宋体" w:cs="Times New Roman"/>
                <w:color w:val="auto"/>
                <w:sz w:val="21"/>
                <w:szCs w:val="21"/>
                <w:lang w:val="en-US" w:eastAsia="zh-CN"/>
              </w:rPr>
            </w:pPr>
          </w:p>
        </w:tc>
      </w:tr>
      <w:tr w14:paraId="33396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662" w:type="dxa"/>
            <w:shd w:val="clear" w:color="auto" w:fill="auto"/>
            <w:vAlign w:val="center"/>
          </w:tcPr>
          <w:p w14:paraId="7CB91C5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231" w:type="dxa"/>
            <w:shd w:val="clear" w:color="auto" w:fill="auto"/>
            <w:vAlign w:val="center"/>
          </w:tcPr>
          <w:p w14:paraId="5CAA21F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E541B</w:t>
            </w:r>
          </w:p>
        </w:tc>
        <w:tc>
          <w:tcPr>
            <w:tcW w:w="1788" w:type="dxa"/>
            <w:shd w:val="clear" w:color="auto" w:fill="auto"/>
            <w:vAlign w:val="center"/>
          </w:tcPr>
          <w:p w14:paraId="1224E16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淡酒预热器B</w:t>
            </w:r>
          </w:p>
        </w:tc>
        <w:tc>
          <w:tcPr>
            <w:tcW w:w="1833" w:type="dxa"/>
            <w:shd w:val="clear" w:color="auto" w:fill="auto"/>
            <w:vAlign w:val="center"/>
          </w:tcPr>
          <w:p w14:paraId="2F87129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1516×750×2475</w:t>
            </w:r>
          </w:p>
        </w:tc>
        <w:tc>
          <w:tcPr>
            <w:tcW w:w="1334" w:type="dxa"/>
            <w:shd w:val="clear" w:color="auto" w:fill="auto"/>
            <w:vAlign w:val="center"/>
          </w:tcPr>
          <w:p w14:paraId="46FB11F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2A1429E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E9CE78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3559B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62" w:type="dxa"/>
            <w:shd w:val="clear" w:color="auto" w:fill="auto"/>
            <w:vAlign w:val="center"/>
          </w:tcPr>
          <w:p w14:paraId="22E564C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w:t>
            </w:r>
          </w:p>
        </w:tc>
        <w:tc>
          <w:tcPr>
            <w:tcW w:w="1231" w:type="dxa"/>
            <w:shd w:val="clear" w:color="auto" w:fill="auto"/>
            <w:vAlign w:val="center"/>
          </w:tcPr>
          <w:p w14:paraId="20FDA46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E521B</w:t>
            </w:r>
          </w:p>
        </w:tc>
        <w:tc>
          <w:tcPr>
            <w:tcW w:w="1788" w:type="dxa"/>
            <w:shd w:val="clear" w:color="auto" w:fill="auto"/>
            <w:vAlign w:val="center"/>
          </w:tcPr>
          <w:p w14:paraId="544AFB0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粗酒一级预热器B</w:t>
            </w:r>
          </w:p>
        </w:tc>
        <w:tc>
          <w:tcPr>
            <w:tcW w:w="1833" w:type="dxa"/>
            <w:shd w:val="clear" w:color="auto" w:fill="auto"/>
            <w:vAlign w:val="center"/>
          </w:tcPr>
          <w:p w14:paraId="3BAC9C6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2005×7600×2028</w:t>
            </w:r>
          </w:p>
        </w:tc>
        <w:tc>
          <w:tcPr>
            <w:tcW w:w="1334" w:type="dxa"/>
            <w:shd w:val="clear" w:color="auto" w:fill="auto"/>
            <w:vAlign w:val="center"/>
          </w:tcPr>
          <w:p w14:paraId="6BF5CD4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B7B593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59E8AB4F">
            <w:pPr>
              <w:jc w:val="center"/>
              <w:rPr>
                <w:rFonts w:hint="eastAsia" w:ascii="Times New Roman" w:hAnsi="Times New Roman" w:eastAsia="宋体" w:cs="Times New Roman"/>
                <w:color w:val="auto"/>
                <w:sz w:val="21"/>
                <w:szCs w:val="21"/>
                <w:lang w:val="en-US" w:eastAsia="zh-CN"/>
              </w:rPr>
            </w:pPr>
          </w:p>
        </w:tc>
      </w:tr>
      <w:tr w14:paraId="2D0BB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662" w:type="dxa"/>
            <w:shd w:val="clear" w:color="auto" w:fill="auto"/>
            <w:vAlign w:val="center"/>
          </w:tcPr>
          <w:p w14:paraId="0D968C3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w:t>
            </w:r>
          </w:p>
        </w:tc>
        <w:tc>
          <w:tcPr>
            <w:tcW w:w="1231" w:type="dxa"/>
            <w:shd w:val="clear" w:color="auto" w:fill="auto"/>
            <w:vAlign w:val="center"/>
          </w:tcPr>
          <w:p w14:paraId="70AD71D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E522</w:t>
            </w:r>
          </w:p>
        </w:tc>
        <w:tc>
          <w:tcPr>
            <w:tcW w:w="1788" w:type="dxa"/>
            <w:shd w:val="clear" w:color="auto" w:fill="auto"/>
            <w:vAlign w:val="center"/>
          </w:tcPr>
          <w:p w14:paraId="205D553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工业酒冷却器</w:t>
            </w:r>
          </w:p>
        </w:tc>
        <w:tc>
          <w:tcPr>
            <w:tcW w:w="1833" w:type="dxa"/>
            <w:shd w:val="clear" w:color="auto" w:fill="auto"/>
            <w:vAlign w:val="center"/>
          </w:tcPr>
          <w:p w14:paraId="3D7379D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790×355×895</w:t>
            </w:r>
          </w:p>
        </w:tc>
        <w:tc>
          <w:tcPr>
            <w:tcW w:w="1334" w:type="dxa"/>
            <w:shd w:val="clear" w:color="auto" w:fill="auto"/>
            <w:vAlign w:val="center"/>
          </w:tcPr>
          <w:p w14:paraId="6FCD07D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36D0BB0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1E98CD22">
            <w:pPr>
              <w:jc w:val="center"/>
              <w:rPr>
                <w:rFonts w:hint="eastAsia" w:ascii="Times New Roman" w:hAnsi="Times New Roman" w:eastAsia="宋体" w:cs="Times New Roman"/>
                <w:color w:val="auto"/>
                <w:sz w:val="21"/>
                <w:szCs w:val="21"/>
                <w:lang w:val="en-US" w:eastAsia="zh-CN"/>
              </w:rPr>
            </w:pPr>
          </w:p>
        </w:tc>
      </w:tr>
      <w:tr w14:paraId="11A4B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662" w:type="dxa"/>
            <w:shd w:val="clear" w:color="auto" w:fill="auto"/>
            <w:vAlign w:val="center"/>
          </w:tcPr>
          <w:p w14:paraId="36625B9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w:t>
            </w:r>
          </w:p>
        </w:tc>
        <w:tc>
          <w:tcPr>
            <w:tcW w:w="1231" w:type="dxa"/>
            <w:shd w:val="clear" w:color="auto" w:fill="auto"/>
            <w:vAlign w:val="center"/>
          </w:tcPr>
          <w:p w14:paraId="2B00AE9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V565</w:t>
            </w:r>
          </w:p>
        </w:tc>
        <w:tc>
          <w:tcPr>
            <w:tcW w:w="1788" w:type="dxa"/>
            <w:shd w:val="clear" w:color="auto" w:fill="auto"/>
            <w:vAlign w:val="center"/>
          </w:tcPr>
          <w:p w14:paraId="1C3E830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水洗塔回流罐</w:t>
            </w:r>
          </w:p>
        </w:tc>
        <w:tc>
          <w:tcPr>
            <w:tcW w:w="1833" w:type="dxa"/>
            <w:shd w:val="clear" w:color="auto" w:fill="auto"/>
            <w:vAlign w:val="center"/>
          </w:tcPr>
          <w:p w14:paraId="1769894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DN2000×3000</w:t>
            </w:r>
          </w:p>
        </w:tc>
        <w:tc>
          <w:tcPr>
            <w:tcW w:w="1334" w:type="dxa"/>
            <w:shd w:val="clear" w:color="auto" w:fill="auto"/>
            <w:vAlign w:val="center"/>
          </w:tcPr>
          <w:p w14:paraId="37E9AE3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364575B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0DA569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2649C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662" w:type="dxa"/>
            <w:shd w:val="clear" w:color="auto" w:fill="auto"/>
            <w:vAlign w:val="center"/>
          </w:tcPr>
          <w:p w14:paraId="3092CEE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19</w:t>
            </w:r>
          </w:p>
        </w:tc>
        <w:tc>
          <w:tcPr>
            <w:tcW w:w="1231" w:type="dxa"/>
            <w:shd w:val="clear" w:color="auto" w:fill="auto"/>
            <w:vAlign w:val="center"/>
          </w:tcPr>
          <w:p w14:paraId="714084D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V555</w:t>
            </w:r>
          </w:p>
        </w:tc>
        <w:tc>
          <w:tcPr>
            <w:tcW w:w="1788" w:type="dxa"/>
            <w:shd w:val="clear" w:color="auto" w:fill="auto"/>
            <w:vAlign w:val="center"/>
          </w:tcPr>
          <w:p w14:paraId="3EF5456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甲醇塔回流罐</w:t>
            </w:r>
          </w:p>
        </w:tc>
        <w:tc>
          <w:tcPr>
            <w:tcW w:w="1833" w:type="dxa"/>
            <w:shd w:val="clear" w:color="auto" w:fill="auto"/>
            <w:vAlign w:val="center"/>
          </w:tcPr>
          <w:p w14:paraId="2701DDC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DN2000×3000</w:t>
            </w:r>
          </w:p>
        </w:tc>
        <w:tc>
          <w:tcPr>
            <w:tcW w:w="1334" w:type="dxa"/>
            <w:shd w:val="clear" w:color="auto" w:fill="auto"/>
            <w:vAlign w:val="center"/>
          </w:tcPr>
          <w:p w14:paraId="58DD4D6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4FF62AE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64A338A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7EFF4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662" w:type="dxa"/>
            <w:shd w:val="clear" w:color="auto" w:fill="auto"/>
            <w:vAlign w:val="center"/>
          </w:tcPr>
          <w:p w14:paraId="333D0FA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w:t>
            </w:r>
          </w:p>
        </w:tc>
        <w:tc>
          <w:tcPr>
            <w:tcW w:w="1231" w:type="dxa"/>
            <w:shd w:val="clear" w:color="auto" w:fill="auto"/>
            <w:vAlign w:val="center"/>
          </w:tcPr>
          <w:p w14:paraId="179ED3A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V522</w:t>
            </w:r>
          </w:p>
        </w:tc>
        <w:tc>
          <w:tcPr>
            <w:tcW w:w="1788" w:type="dxa"/>
            <w:shd w:val="clear" w:color="auto" w:fill="auto"/>
            <w:vAlign w:val="center"/>
          </w:tcPr>
          <w:p w14:paraId="70B25F1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工业酒精暂储罐</w:t>
            </w:r>
          </w:p>
        </w:tc>
        <w:tc>
          <w:tcPr>
            <w:tcW w:w="1833" w:type="dxa"/>
            <w:shd w:val="clear" w:color="auto" w:fill="auto"/>
            <w:vAlign w:val="center"/>
          </w:tcPr>
          <w:p w14:paraId="4441D52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DN2000×3000</w:t>
            </w:r>
          </w:p>
        </w:tc>
        <w:tc>
          <w:tcPr>
            <w:tcW w:w="1334" w:type="dxa"/>
            <w:shd w:val="clear" w:color="auto" w:fill="auto"/>
            <w:vAlign w:val="center"/>
          </w:tcPr>
          <w:p w14:paraId="530B09F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Q235B</w:t>
            </w:r>
          </w:p>
        </w:tc>
        <w:tc>
          <w:tcPr>
            <w:tcW w:w="959" w:type="dxa"/>
            <w:shd w:val="clear" w:color="auto" w:fill="auto"/>
            <w:vAlign w:val="center"/>
          </w:tcPr>
          <w:p w14:paraId="4AB2A81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2694886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65AEE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62" w:type="dxa"/>
            <w:shd w:val="clear" w:color="auto" w:fill="auto"/>
            <w:vAlign w:val="center"/>
          </w:tcPr>
          <w:p w14:paraId="0FB7216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w:t>
            </w:r>
          </w:p>
        </w:tc>
        <w:tc>
          <w:tcPr>
            <w:tcW w:w="1231" w:type="dxa"/>
            <w:shd w:val="clear" w:color="auto" w:fill="auto"/>
            <w:vAlign w:val="center"/>
          </w:tcPr>
          <w:p w14:paraId="4C994CF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S555</w:t>
            </w:r>
          </w:p>
        </w:tc>
        <w:tc>
          <w:tcPr>
            <w:tcW w:w="1788" w:type="dxa"/>
            <w:shd w:val="clear" w:color="auto" w:fill="auto"/>
            <w:vAlign w:val="center"/>
          </w:tcPr>
          <w:p w14:paraId="0809DBC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汽液分离器</w:t>
            </w:r>
          </w:p>
        </w:tc>
        <w:tc>
          <w:tcPr>
            <w:tcW w:w="1833" w:type="dxa"/>
            <w:shd w:val="clear" w:color="auto" w:fill="auto"/>
            <w:vAlign w:val="center"/>
          </w:tcPr>
          <w:p w14:paraId="0AF209F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DN300×300</w:t>
            </w:r>
          </w:p>
        </w:tc>
        <w:tc>
          <w:tcPr>
            <w:tcW w:w="1334" w:type="dxa"/>
            <w:shd w:val="clear" w:color="auto" w:fill="auto"/>
            <w:vAlign w:val="center"/>
          </w:tcPr>
          <w:p w14:paraId="359F962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7C2249F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2BEA308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7F596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62" w:type="dxa"/>
            <w:shd w:val="clear" w:color="auto" w:fill="auto"/>
            <w:vAlign w:val="center"/>
          </w:tcPr>
          <w:p w14:paraId="44D06E7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w:t>
            </w:r>
          </w:p>
        </w:tc>
        <w:tc>
          <w:tcPr>
            <w:tcW w:w="1231" w:type="dxa"/>
            <w:shd w:val="clear" w:color="auto" w:fill="auto"/>
            <w:vAlign w:val="center"/>
          </w:tcPr>
          <w:p w14:paraId="49D959B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S565</w:t>
            </w:r>
          </w:p>
        </w:tc>
        <w:tc>
          <w:tcPr>
            <w:tcW w:w="1788" w:type="dxa"/>
            <w:shd w:val="clear" w:color="auto" w:fill="auto"/>
            <w:vAlign w:val="center"/>
          </w:tcPr>
          <w:p w14:paraId="4FDC528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汽液分离器</w:t>
            </w:r>
          </w:p>
        </w:tc>
        <w:tc>
          <w:tcPr>
            <w:tcW w:w="1833" w:type="dxa"/>
            <w:shd w:val="clear" w:color="auto" w:fill="auto"/>
            <w:vAlign w:val="center"/>
          </w:tcPr>
          <w:p w14:paraId="74EC550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DN300×300</w:t>
            </w:r>
          </w:p>
        </w:tc>
        <w:tc>
          <w:tcPr>
            <w:tcW w:w="1334" w:type="dxa"/>
            <w:shd w:val="clear" w:color="auto" w:fill="auto"/>
            <w:vAlign w:val="center"/>
          </w:tcPr>
          <w:p w14:paraId="44DD851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4A6E0B7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927EFF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1C6AF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662" w:type="dxa"/>
            <w:shd w:val="clear" w:color="auto" w:fill="auto"/>
            <w:vAlign w:val="center"/>
          </w:tcPr>
          <w:p w14:paraId="7D92ECB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w:t>
            </w:r>
          </w:p>
        </w:tc>
        <w:tc>
          <w:tcPr>
            <w:tcW w:w="1231" w:type="dxa"/>
            <w:shd w:val="clear" w:color="auto" w:fill="auto"/>
            <w:vAlign w:val="center"/>
          </w:tcPr>
          <w:p w14:paraId="4A063AC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S566</w:t>
            </w:r>
          </w:p>
        </w:tc>
        <w:tc>
          <w:tcPr>
            <w:tcW w:w="1788" w:type="dxa"/>
            <w:shd w:val="clear" w:color="auto" w:fill="auto"/>
            <w:vAlign w:val="center"/>
          </w:tcPr>
          <w:p w14:paraId="25F5046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汽液分离器</w:t>
            </w:r>
          </w:p>
        </w:tc>
        <w:tc>
          <w:tcPr>
            <w:tcW w:w="1833" w:type="dxa"/>
            <w:shd w:val="clear" w:color="auto" w:fill="auto"/>
            <w:vAlign w:val="center"/>
          </w:tcPr>
          <w:p w14:paraId="4067A41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DN300×300</w:t>
            </w:r>
          </w:p>
        </w:tc>
        <w:tc>
          <w:tcPr>
            <w:tcW w:w="1334" w:type="dxa"/>
            <w:shd w:val="clear" w:color="auto" w:fill="auto"/>
            <w:vAlign w:val="center"/>
          </w:tcPr>
          <w:p w14:paraId="5200E59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76BEA2C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1563D33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126DC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662" w:type="dxa"/>
            <w:shd w:val="clear" w:color="auto" w:fill="auto"/>
            <w:vAlign w:val="center"/>
          </w:tcPr>
          <w:p w14:paraId="05F37BE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w:t>
            </w:r>
          </w:p>
        </w:tc>
        <w:tc>
          <w:tcPr>
            <w:tcW w:w="1231" w:type="dxa"/>
            <w:shd w:val="clear" w:color="auto" w:fill="auto"/>
            <w:vAlign w:val="center"/>
          </w:tcPr>
          <w:p w14:paraId="27305F4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V607</w:t>
            </w:r>
          </w:p>
        </w:tc>
        <w:tc>
          <w:tcPr>
            <w:tcW w:w="1788" w:type="dxa"/>
            <w:shd w:val="clear" w:color="auto" w:fill="auto"/>
            <w:vAlign w:val="center"/>
          </w:tcPr>
          <w:p w14:paraId="69C63AE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汽液分离器</w:t>
            </w:r>
          </w:p>
        </w:tc>
        <w:tc>
          <w:tcPr>
            <w:tcW w:w="1833" w:type="dxa"/>
            <w:shd w:val="clear" w:color="auto" w:fill="auto"/>
            <w:vAlign w:val="center"/>
          </w:tcPr>
          <w:p w14:paraId="574D594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DN1800×2500</w:t>
            </w:r>
          </w:p>
        </w:tc>
        <w:tc>
          <w:tcPr>
            <w:tcW w:w="1334" w:type="dxa"/>
            <w:shd w:val="clear" w:color="auto" w:fill="auto"/>
            <w:vAlign w:val="center"/>
          </w:tcPr>
          <w:p w14:paraId="713C559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04F027D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F5050F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51973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662" w:type="dxa"/>
            <w:shd w:val="clear" w:color="auto" w:fill="auto"/>
            <w:vAlign w:val="center"/>
          </w:tcPr>
          <w:p w14:paraId="39A6215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w:t>
            </w:r>
          </w:p>
        </w:tc>
        <w:tc>
          <w:tcPr>
            <w:tcW w:w="1231" w:type="dxa"/>
            <w:shd w:val="clear" w:color="auto" w:fill="auto"/>
            <w:vAlign w:val="center"/>
          </w:tcPr>
          <w:p w14:paraId="33B2EB5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V608</w:t>
            </w:r>
          </w:p>
        </w:tc>
        <w:tc>
          <w:tcPr>
            <w:tcW w:w="1788" w:type="dxa"/>
            <w:shd w:val="clear" w:color="auto" w:fill="auto"/>
            <w:vAlign w:val="center"/>
          </w:tcPr>
          <w:p w14:paraId="12E99D4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无水原料罐</w:t>
            </w:r>
          </w:p>
        </w:tc>
        <w:tc>
          <w:tcPr>
            <w:tcW w:w="1833" w:type="dxa"/>
            <w:shd w:val="clear" w:color="auto" w:fill="auto"/>
            <w:vAlign w:val="center"/>
          </w:tcPr>
          <w:p w14:paraId="5812307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DN2500×3000</w:t>
            </w:r>
          </w:p>
        </w:tc>
        <w:tc>
          <w:tcPr>
            <w:tcW w:w="1334" w:type="dxa"/>
            <w:shd w:val="clear" w:color="auto" w:fill="auto"/>
            <w:vAlign w:val="center"/>
          </w:tcPr>
          <w:p w14:paraId="1F62FD9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37501C3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16AF534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51184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662" w:type="dxa"/>
            <w:shd w:val="clear" w:color="auto" w:fill="auto"/>
            <w:vAlign w:val="center"/>
          </w:tcPr>
          <w:p w14:paraId="0B2534E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w:t>
            </w:r>
          </w:p>
        </w:tc>
        <w:tc>
          <w:tcPr>
            <w:tcW w:w="1231" w:type="dxa"/>
            <w:shd w:val="clear" w:color="auto" w:fill="auto"/>
            <w:vAlign w:val="center"/>
          </w:tcPr>
          <w:p w14:paraId="00481AF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V609</w:t>
            </w:r>
          </w:p>
        </w:tc>
        <w:tc>
          <w:tcPr>
            <w:tcW w:w="1788" w:type="dxa"/>
            <w:shd w:val="clear" w:color="auto" w:fill="auto"/>
            <w:vAlign w:val="center"/>
          </w:tcPr>
          <w:p w14:paraId="411647D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汽液分离器</w:t>
            </w:r>
          </w:p>
        </w:tc>
        <w:tc>
          <w:tcPr>
            <w:tcW w:w="1833" w:type="dxa"/>
            <w:shd w:val="clear" w:color="auto" w:fill="auto"/>
            <w:vAlign w:val="center"/>
          </w:tcPr>
          <w:p w14:paraId="24BE384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DN600×800</w:t>
            </w:r>
          </w:p>
        </w:tc>
        <w:tc>
          <w:tcPr>
            <w:tcW w:w="1334" w:type="dxa"/>
            <w:shd w:val="clear" w:color="auto" w:fill="auto"/>
            <w:vAlign w:val="center"/>
          </w:tcPr>
          <w:p w14:paraId="15148BB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Q245R</w:t>
            </w:r>
          </w:p>
        </w:tc>
        <w:tc>
          <w:tcPr>
            <w:tcW w:w="959" w:type="dxa"/>
            <w:shd w:val="clear" w:color="auto" w:fill="auto"/>
            <w:vAlign w:val="center"/>
          </w:tcPr>
          <w:p w14:paraId="20EE747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402D6F0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28147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662" w:type="dxa"/>
            <w:shd w:val="clear" w:color="auto" w:fill="auto"/>
            <w:vAlign w:val="center"/>
          </w:tcPr>
          <w:p w14:paraId="65A75DF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27</w:t>
            </w:r>
          </w:p>
        </w:tc>
        <w:tc>
          <w:tcPr>
            <w:tcW w:w="1231" w:type="dxa"/>
            <w:shd w:val="clear" w:color="auto" w:fill="auto"/>
            <w:vAlign w:val="center"/>
          </w:tcPr>
          <w:p w14:paraId="3A0F24E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P510A/B/C/D/E</w:t>
            </w:r>
          </w:p>
        </w:tc>
        <w:tc>
          <w:tcPr>
            <w:tcW w:w="1788" w:type="dxa"/>
            <w:shd w:val="clear" w:color="auto" w:fill="auto"/>
            <w:vAlign w:val="center"/>
          </w:tcPr>
          <w:p w14:paraId="71504DF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精塔B循环泵A/B/C/D/E</w:t>
            </w:r>
          </w:p>
        </w:tc>
        <w:tc>
          <w:tcPr>
            <w:tcW w:w="1833" w:type="dxa"/>
            <w:shd w:val="clear" w:color="auto" w:fill="auto"/>
            <w:vAlign w:val="center"/>
          </w:tcPr>
          <w:p w14:paraId="1B378761">
            <w:pPr>
              <w:jc w:val="center"/>
              <w:rPr>
                <w:rFonts w:hint="default" w:ascii="Times New Roman" w:hAnsi="Times New Roman" w:eastAsia="宋体" w:cs="Times New Roman"/>
                <w:color w:val="auto"/>
                <w:sz w:val="21"/>
                <w:szCs w:val="21"/>
                <w:lang w:val="en-US" w:eastAsia="zh-CN"/>
              </w:rPr>
            </w:pPr>
          </w:p>
        </w:tc>
        <w:tc>
          <w:tcPr>
            <w:tcW w:w="1334" w:type="dxa"/>
            <w:shd w:val="clear" w:color="auto" w:fill="auto"/>
            <w:vAlign w:val="center"/>
          </w:tcPr>
          <w:p w14:paraId="6036CDA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26708D6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420" w:type="dxa"/>
            <w:shd w:val="clear" w:color="auto" w:fill="auto"/>
            <w:vAlign w:val="center"/>
          </w:tcPr>
          <w:p w14:paraId="7D62EC8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拆除P510E</w:t>
            </w:r>
          </w:p>
        </w:tc>
      </w:tr>
      <w:tr w14:paraId="2C7CD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662" w:type="dxa"/>
            <w:shd w:val="clear" w:color="auto" w:fill="auto"/>
            <w:vAlign w:val="center"/>
          </w:tcPr>
          <w:p w14:paraId="7A45B0D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w:t>
            </w:r>
          </w:p>
        </w:tc>
        <w:tc>
          <w:tcPr>
            <w:tcW w:w="1231" w:type="dxa"/>
            <w:shd w:val="clear" w:color="auto" w:fill="auto"/>
            <w:vAlign w:val="center"/>
          </w:tcPr>
          <w:p w14:paraId="4B86ABB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P511A/B</w:t>
            </w:r>
          </w:p>
        </w:tc>
        <w:tc>
          <w:tcPr>
            <w:tcW w:w="1788" w:type="dxa"/>
            <w:shd w:val="clear" w:color="auto" w:fill="auto"/>
            <w:vAlign w:val="center"/>
          </w:tcPr>
          <w:p w14:paraId="21A704A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精塔B废水泵A/B</w:t>
            </w:r>
          </w:p>
        </w:tc>
        <w:tc>
          <w:tcPr>
            <w:tcW w:w="1833" w:type="dxa"/>
            <w:shd w:val="clear" w:color="auto" w:fill="auto"/>
            <w:vAlign w:val="center"/>
          </w:tcPr>
          <w:p w14:paraId="7F48C139">
            <w:pPr>
              <w:jc w:val="center"/>
              <w:rPr>
                <w:rFonts w:hint="default" w:ascii="Times New Roman" w:hAnsi="Times New Roman" w:eastAsia="宋体" w:cs="Times New Roman"/>
                <w:color w:val="auto"/>
                <w:sz w:val="21"/>
                <w:szCs w:val="21"/>
                <w:lang w:val="en-US" w:eastAsia="zh-CN"/>
              </w:rPr>
            </w:pPr>
          </w:p>
        </w:tc>
        <w:tc>
          <w:tcPr>
            <w:tcW w:w="1334" w:type="dxa"/>
            <w:shd w:val="clear" w:color="auto" w:fill="auto"/>
            <w:vAlign w:val="center"/>
          </w:tcPr>
          <w:p w14:paraId="6D36286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5A198C4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03B8481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拆除</w:t>
            </w:r>
          </w:p>
        </w:tc>
      </w:tr>
      <w:tr w14:paraId="682B4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662" w:type="dxa"/>
            <w:shd w:val="clear" w:color="auto" w:fill="auto"/>
            <w:vAlign w:val="center"/>
          </w:tcPr>
          <w:p w14:paraId="7790658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29</w:t>
            </w:r>
          </w:p>
        </w:tc>
        <w:tc>
          <w:tcPr>
            <w:tcW w:w="1231" w:type="dxa"/>
            <w:shd w:val="clear" w:color="auto" w:fill="auto"/>
            <w:vAlign w:val="center"/>
          </w:tcPr>
          <w:p w14:paraId="254A02D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P514A/B</w:t>
            </w:r>
          </w:p>
        </w:tc>
        <w:tc>
          <w:tcPr>
            <w:tcW w:w="1788" w:type="dxa"/>
            <w:shd w:val="clear" w:color="auto" w:fill="auto"/>
            <w:vAlign w:val="center"/>
          </w:tcPr>
          <w:p w14:paraId="3E955A9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精塔A废水泵A/B</w:t>
            </w:r>
          </w:p>
        </w:tc>
        <w:tc>
          <w:tcPr>
            <w:tcW w:w="1833" w:type="dxa"/>
            <w:shd w:val="clear" w:color="auto" w:fill="auto"/>
            <w:vAlign w:val="center"/>
          </w:tcPr>
          <w:p w14:paraId="06EAA7B5">
            <w:pPr>
              <w:jc w:val="center"/>
              <w:rPr>
                <w:rFonts w:hint="default" w:ascii="Times New Roman" w:hAnsi="Times New Roman" w:eastAsia="宋体" w:cs="Times New Roman"/>
                <w:color w:val="auto"/>
                <w:sz w:val="21"/>
                <w:szCs w:val="21"/>
                <w:lang w:val="en-US" w:eastAsia="zh-CN"/>
              </w:rPr>
            </w:pPr>
          </w:p>
        </w:tc>
        <w:tc>
          <w:tcPr>
            <w:tcW w:w="1334" w:type="dxa"/>
            <w:shd w:val="clear" w:color="auto" w:fill="auto"/>
            <w:vAlign w:val="center"/>
          </w:tcPr>
          <w:p w14:paraId="7EBF81A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43A3B5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05DDF4E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拆除</w:t>
            </w:r>
          </w:p>
        </w:tc>
      </w:tr>
      <w:tr w14:paraId="7BD15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62" w:type="dxa"/>
            <w:shd w:val="clear" w:color="auto" w:fill="auto"/>
            <w:vAlign w:val="center"/>
          </w:tcPr>
          <w:p w14:paraId="387A623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w:t>
            </w:r>
          </w:p>
        </w:tc>
        <w:tc>
          <w:tcPr>
            <w:tcW w:w="1231" w:type="dxa"/>
            <w:shd w:val="clear" w:color="auto" w:fill="auto"/>
            <w:vAlign w:val="center"/>
          </w:tcPr>
          <w:p w14:paraId="7FF37DD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P565A/B</w:t>
            </w:r>
          </w:p>
        </w:tc>
        <w:tc>
          <w:tcPr>
            <w:tcW w:w="1788" w:type="dxa"/>
            <w:shd w:val="clear" w:color="auto" w:fill="auto"/>
            <w:vAlign w:val="center"/>
          </w:tcPr>
          <w:p w14:paraId="6A27923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水洗塔回流泵</w:t>
            </w:r>
          </w:p>
        </w:tc>
        <w:tc>
          <w:tcPr>
            <w:tcW w:w="1833" w:type="dxa"/>
            <w:shd w:val="clear" w:color="auto" w:fill="auto"/>
            <w:vAlign w:val="center"/>
          </w:tcPr>
          <w:p w14:paraId="450BAEC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Q=70m³H=45m</w:t>
            </w:r>
          </w:p>
        </w:tc>
        <w:tc>
          <w:tcPr>
            <w:tcW w:w="1334" w:type="dxa"/>
            <w:shd w:val="clear" w:color="auto" w:fill="auto"/>
            <w:vAlign w:val="center"/>
          </w:tcPr>
          <w:p w14:paraId="35D2EFB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6D0AD42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4F7F52A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0C168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662" w:type="dxa"/>
            <w:shd w:val="clear" w:color="auto" w:fill="auto"/>
            <w:vAlign w:val="center"/>
          </w:tcPr>
          <w:p w14:paraId="7ED3EBD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31</w:t>
            </w:r>
          </w:p>
        </w:tc>
        <w:tc>
          <w:tcPr>
            <w:tcW w:w="1231" w:type="dxa"/>
            <w:shd w:val="clear" w:color="auto" w:fill="auto"/>
            <w:vAlign w:val="center"/>
          </w:tcPr>
          <w:p w14:paraId="5B61EC8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P555A/B</w:t>
            </w:r>
          </w:p>
        </w:tc>
        <w:tc>
          <w:tcPr>
            <w:tcW w:w="1788" w:type="dxa"/>
            <w:shd w:val="clear" w:color="auto" w:fill="auto"/>
            <w:vAlign w:val="center"/>
          </w:tcPr>
          <w:p w14:paraId="6BFDCA0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甲醇塔回流泵</w:t>
            </w:r>
          </w:p>
        </w:tc>
        <w:tc>
          <w:tcPr>
            <w:tcW w:w="1833" w:type="dxa"/>
            <w:shd w:val="clear" w:color="auto" w:fill="auto"/>
            <w:vAlign w:val="center"/>
          </w:tcPr>
          <w:p w14:paraId="212F16D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Q=160m³H=55m</w:t>
            </w:r>
          </w:p>
        </w:tc>
        <w:tc>
          <w:tcPr>
            <w:tcW w:w="1334" w:type="dxa"/>
            <w:shd w:val="clear" w:color="auto" w:fill="auto"/>
            <w:vAlign w:val="center"/>
          </w:tcPr>
          <w:p w14:paraId="670F73B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44DB62F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2AE407C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0FE49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62" w:type="dxa"/>
            <w:shd w:val="clear" w:color="auto" w:fill="auto"/>
            <w:vAlign w:val="center"/>
          </w:tcPr>
          <w:p w14:paraId="03288DA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w:t>
            </w:r>
          </w:p>
        </w:tc>
        <w:tc>
          <w:tcPr>
            <w:tcW w:w="1231" w:type="dxa"/>
            <w:shd w:val="clear" w:color="auto" w:fill="auto"/>
            <w:vAlign w:val="center"/>
          </w:tcPr>
          <w:p w14:paraId="0A7E8C4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P560A/B</w:t>
            </w:r>
          </w:p>
        </w:tc>
        <w:tc>
          <w:tcPr>
            <w:tcW w:w="1788" w:type="dxa"/>
            <w:shd w:val="clear" w:color="auto" w:fill="auto"/>
            <w:vAlign w:val="center"/>
          </w:tcPr>
          <w:p w14:paraId="3C17E81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水洗塔淡酒泵</w:t>
            </w:r>
          </w:p>
        </w:tc>
        <w:tc>
          <w:tcPr>
            <w:tcW w:w="1833" w:type="dxa"/>
            <w:shd w:val="clear" w:color="auto" w:fill="auto"/>
            <w:vAlign w:val="center"/>
          </w:tcPr>
          <w:p w14:paraId="70346FB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Q=300m³H=85m</w:t>
            </w:r>
          </w:p>
        </w:tc>
        <w:tc>
          <w:tcPr>
            <w:tcW w:w="1334" w:type="dxa"/>
            <w:shd w:val="clear" w:color="auto" w:fill="auto"/>
            <w:vAlign w:val="center"/>
          </w:tcPr>
          <w:p w14:paraId="7BCBE7B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6FBE641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54D3226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70813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62" w:type="dxa"/>
            <w:shd w:val="clear" w:color="auto" w:fill="auto"/>
            <w:vAlign w:val="center"/>
          </w:tcPr>
          <w:p w14:paraId="2701973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33</w:t>
            </w:r>
          </w:p>
        </w:tc>
        <w:tc>
          <w:tcPr>
            <w:tcW w:w="1231" w:type="dxa"/>
            <w:shd w:val="clear" w:color="auto" w:fill="auto"/>
            <w:vAlign w:val="center"/>
          </w:tcPr>
          <w:p w14:paraId="2E7887E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P560C</w:t>
            </w:r>
          </w:p>
        </w:tc>
        <w:tc>
          <w:tcPr>
            <w:tcW w:w="1788" w:type="dxa"/>
            <w:shd w:val="clear" w:color="auto" w:fill="auto"/>
            <w:vAlign w:val="center"/>
          </w:tcPr>
          <w:p w14:paraId="6DE8C10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水洗塔淡酒泵</w:t>
            </w:r>
          </w:p>
        </w:tc>
        <w:tc>
          <w:tcPr>
            <w:tcW w:w="1833" w:type="dxa"/>
            <w:shd w:val="clear" w:color="auto" w:fill="auto"/>
            <w:vAlign w:val="center"/>
          </w:tcPr>
          <w:p w14:paraId="6A3BE5C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Q=250m³H=25m</w:t>
            </w:r>
          </w:p>
        </w:tc>
        <w:tc>
          <w:tcPr>
            <w:tcW w:w="1334" w:type="dxa"/>
            <w:shd w:val="clear" w:color="auto" w:fill="auto"/>
            <w:vAlign w:val="center"/>
          </w:tcPr>
          <w:p w14:paraId="488AE6A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41445E1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0CB3AA8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42AEF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662" w:type="dxa"/>
            <w:shd w:val="clear" w:color="auto" w:fill="auto"/>
            <w:vAlign w:val="center"/>
          </w:tcPr>
          <w:p w14:paraId="6DA438A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34</w:t>
            </w:r>
          </w:p>
        </w:tc>
        <w:tc>
          <w:tcPr>
            <w:tcW w:w="1231" w:type="dxa"/>
            <w:shd w:val="clear" w:color="auto" w:fill="auto"/>
            <w:vAlign w:val="center"/>
          </w:tcPr>
          <w:p w14:paraId="4CD531F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P552A/B/C</w:t>
            </w:r>
          </w:p>
        </w:tc>
        <w:tc>
          <w:tcPr>
            <w:tcW w:w="1788" w:type="dxa"/>
            <w:shd w:val="clear" w:color="auto" w:fill="auto"/>
            <w:vAlign w:val="center"/>
          </w:tcPr>
          <w:p w14:paraId="3BDB420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甲醇塔循环泵</w:t>
            </w:r>
          </w:p>
        </w:tc>
        <w:tc>
          <w:tcPr>
            <w:tcW w:w="1833" w:type="dxa"/>
            <w:shd w:val="clear" w:color="auto" w:fill="auto"/>
            <w:vAlign w:val="center"/>
          </w:tcPr>
          <w:p w14:paraId="205229A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Q=200m³H=23m</w:t>
            </w:r>
          </w:p>
        </w:tc>
        <w:tc>
          <w:tcPr>
            <w:tcW w:w="1334" w:type="dxa"/>
            <w:shd w:val="clear" w:color="auto" w:fill="auto"/>
            <w:vAlign w:val="center"/>
          </w:tcPr>
          <w:p w14:paraId="2E7C3DC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76F61A7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1420" w:type="dxa"/>
            <w:shd w:val="clear" w:color="auto" w:fill="auto"/>
            <w:vAlign w:val="center"/>
          </w:tcPr>
          <w:p w14:paraId="2169174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1F7F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2" w:type="dxa"/>
            <w:shd w:val="clear" w:color="auto" w:fill="auto"/>
            <w:vAlign w:val="center"/>
          </w:tcPr>
          <w:p w14:paraId="3EC6F10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c>
          <w:tcPr>
            <w:tcW w:w="1231" w:type="dxa"/>
            <w:shd w:val="clear" w:color="auto" w:fill="auto"/>
            <w:vAlign w:val="center"/>
          </w:tcPr>
          <w:p w14:paraId="30D3662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P5551 A/B</w:t>
            </w:r>
          </w:p>
        </w:tc>
        <w:tc>
          <w:tcPr>
            <w:tcW w:w="1788" w:type="dxa"/>
            <w:shd w:val="clear" w:color="auto" w:fill="auto"/>
            <w:vAlign w:val="center"/>
          </w:tcPr>
          <w:p w14:paraId="23A0F35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成品泵</w:t>
            </w:r>
          </w:p>
        </w:tc>
        <w:tc>
          <w:tcPr>
            <w:tcW w:w="1833" w:type="dxa"/>
            <w:shd w:val="clear" w:color="auto" w:fill="auto"/>
            <w:vAlign w:val="center"/>
          </w:tcPr>
          <w:p w14:paraId="2150E82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Q=100m³H=45m</w:t>
            </w:r>
          </w:p>
        </w:tc>
        <w:tc>
          <w:tcPr>
            <w:tcW w:w="1334" w:type="dxa"/>
            <w:shd w:val="clear" w:color="auto" w:fill="auto"/>
            <w:vAlign w:val="center"/>
          </w:tcPr>
          <w:p w14:paraId="6B2D345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214F841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0531B3F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62F32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662" w:type="dxa"/>
            <w:shd w:val="clear" w:color="auto" w:fill="auto"/>
            <w:vAlign w:val="center"/>
          </w:tcPr>
          <w:p w14:paraId="7941A0A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w:t>
            </w:r>
          </w:p>
        </w:tc>
        <w:tc>
          <w:tcPr>
            <w:tcW w:w="1231" w:type="dxa"/>
            <w:shd w:val="clear" w:color="auto" w:fill="auto"/>
            <w:vAlign w:val="center"/>
          </w:tcPr>
          <w:p w14:paraId="752E24F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P562A</w:t>
            </w:r>
          </w:p>
        </w:tc>
        <w:tc>
          <w:tcPr>
            <w:tcW w:w="1788" w:type="dxa"/>
            <w:shd w:val="clear" w:color="auto" w:fill="auto"/>
            <w:vAlign w:val="center"/>
          </w:tcPr>
          <w:p w14:paraId="7DE1062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水洗塔循环泵A</w:t>
            </w:r>
          </w:p>
        </w:tc>
        <w:tc>
          <w:tcPr>
            <w:tcW w:w="1833" w:type="dxa"/>
            <w:shd w:val="clear" w:color="auto" w:fill="auto"/>
            <w:vAlign w:val="center"/>
          </w:tcPr>
          <w:p w14:paraId="7F95015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Q=250m³H=23m</w:t>
            </w:r>
          </w:p>
        </w:tc>
        <w:tc>
          <w:tcPr>
            <w:tcW w:w="1334" w:type="dxa"/>
            <w:shd w:val="clear" w:color="auto" w:fill="auto"/>
            <w:vAlign w:val="center"/>
          </w:tcPr>
          <w:p w14:paraId="1B40376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16B203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3E00B57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7FE9F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662" w:type="dxa"/>
            <w:shd w:val="clear" w:color="auto" w:fill="auto"/>
            <w:vAlign w:val="center"/>
          </w:tcPr>
          <w:p w14:paraId="17050F5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37</w:t>
            </w:r>
          </w:p>
        </w:tc>
        <w:tc>
          <w:tcPr>
            <w:tcW w:w="1231" w:type="dxa"/>
            <w:shd w:val="clear" w:color="auto" w:fill="auto"/>
            <w:vAlign w:val="center"/>
          </w:tcPr>
          <w:p w14:paraId="7EBF450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P562B</w:t>
            </w:r>
          </w:p>
        </w:tc>
        <w:tc>
          <w:tcPr>
            <w:tcW w:w="1788" w:type="dxa"/>
            <w:shd w:val="clear" w:color="auto" w:fill="auto"/>
            <w:vAlign w:val="center"/>
          </w:tcPr>
          <w:p w14:paraId="161EC72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水洗塔循环泵B</w:t>
            </w:r>
          </w:p>
        </w:tc>
        <w:tc>
          <w:tcPr>
            <w:tcW w:w="1833" w:type="dxa"/>
            <w:shd w:val="clear" w:color="auto" w:fill="auto"/>
            <w:vAlign w:val="center"/>
          </w:tcPr>
          <w:p w14:paraId="58224E3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Q=250m³H=23m</w:t>
            </w:r>
          </w:p>
        </w:tc>
        <w:tc>
          <w:tcPr>
            <w:tcW w:w="1334" w:type="dxa"/>
            <w:shd w:val="clear" w:color="auto" w:fill="auto"/>
            <w:vAlign w:val="center"/>
          </w:tcPr>
          <w:p w14:paraId="780CA0E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51538DF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61A717B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利旧P510E</w:t>
            </w:r>
          </w:p>
        </w:tc>
      </w:tr>
      <w:tr w14:paraId="20380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662" w:type="dxa"/>
            <w:shd w:val="clear" w:color="auto" w:fill="auto"/>
            <w:vAlign w:val="center"/>
          </w:tcPr>
          <w:p w14:paraId="129E5DD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38</w:t>
            </w:r>
          </w:p>
        </w:tc>
        <w:tc>
          <w:tcPr>
            <w:tcW w:w="1231" w:type="dxa"/>
            <w:shd w:val="clear" w:color="auto" w:fill="auto"/>
            <w:vAlign w:val="center"/>
          </w:tcPr>
          <w:p w14:paraId="0310984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P522</w:t>
            </w:r>
          </w:p>
        </w:tc>
        <w:tc>
          <w:tcPr>
            <w:tcW w:w="1788" w:type="dxa"/>
            <w:shd w:val="clear" w:color="auto" w:fill="auto"/>
            <w:vAlign w:val="center"/>
          </w:tcPr>
          <w:p w14:paraId="35026C7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工业酒精泵</w:t>
            </w:r>
          </w:p>
        </w:tc>
        <w:tc>
          <w:tcPr>
            <w:tcW w:w="1833" w:type="dxa"/>
            <w:shd w:val="clear" w:color="auto" w:fill="auto"/>
            <w:vAlign w:val="center"/>
          </w:tcPr>
          <w:p w14:paraId="0F66110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Q=20m³H=30m</w:t>
            </w:r>
          </w:p>
        </w:tc>
        <w:tc>
          <w:tcPr>
            <w:tcW w:w="1334" w:type="dxa"/>
            <w:shd w:val="clear" w:color="auto" w:fill="auto"/>
            <w:vAlign w:val="center"/>
          </w:tcPr>
          <w:p w14:paraId="4B25963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0885B7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1420" w:type="dxa"/>
            <w:shd w:val="clear" w:color="auto" w:fill="auto"/>
            <w:vAlign w:val="center"/>
          </w:tcPr>
          <w:p w14:paraId="6928120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1B520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662" w:type="dxa"/>
            <w:shd w:val="clear" w:color="auto" w:fill="auto"/>
            <w:vAlign w:val="center"/>
          </w:tcPr>
          <w:p w14:paraId="3F1ECB7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w:t>
            </w:r>
          </w:p>
        </w:tc>
        <w:tc>
          <w:tcPr>
            <w:tcW w:w="1231" w:type="dxa"/>
            <w:shd w:val="clear" w:color="auto" w:fill="auto"/>
            <w:vAlign w:val="center"/>
          </w:tcPr>
          <w:p w14:paraId="1822AF21">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P514A/B</w:t>
            </w:r>
          </w:p>
        </w:tc>
        <w:tc>
          <w:tcPr>
            <w:tcW w:w="1788" w:type="dxa"/>
            <w:shd w:val="clear" w:color="auto" w:fill="auto"/>
            <w:vAlign w:val="center"/>
          </w:tcPr>
          <w:p w14:paraId="093919D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精塔A废水泵</w:t>
            </w:r>
          </w:p>
        </w:tc>
        <w:tc>
          <w:tcPr>
            <w:tcW w:w="1833" w:type="dxa"/>
            <w:shd w:val="clear" w:color="auto" w:fill="auto"/>
            <w:vAlign w:val="center"/>
          </w:tcPr>
          <w:p w14:paraId="4EF80D2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Q=250m³H=35m</w:t>
            </w:r>
          </w:p>
        </w:tc>
        <w:tc>
          <w:tcPr>
            <w:tcW w:w="1334" w:type="dxa"/>
            <w:shd w:val="clear" w:color="auto" w:fill="auto"/>
            <w:vAlign w:val="center"/>
          </w:tcPr>
          <w:p w14:paraId="320A0E9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7B5A446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0DE4F01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47AFF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662" w:type="dxa"/>
            <w:shd w:val="clear" w:color="auto" w:fill="auto"/>
            <w:vAlign w:val="center"/>
          </w:tcPr>
          <w:p w14:paraId="1E643C8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40</w:t>
            </w:r>
          </w:p>
        </w:tc>
        <w:tc>
          <w:tcPr>
            <w:tcW w:w="1231" w:type="dxa"/>
            <w:shd w:val="clear" w:color="auto" w:fill="auto"/>
            <w:vAlign w:val="center"/>
          </w:tcPr>
          <w:p w14:paraId="5089961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P511A/B</w:t>
            </w:r>
          </w:p>
        </w:tc>
        <w:tc>
          <w:tcPr>
            <w:tcW w:w="1788" w:type="dxa"/>
            <w:shd w:val="clear" w:color="auto" w:fill="auto"/>
            <w:vAlign w:val="center"/>
          </w:tcPr>
          <w:p w14:paraId="1E84A59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精塔B废水泵</w:t>
            </w:r>
          </w:p>
        </w:tc>
        <w:tc>
          <w:tcPr>
            <w:tcW w:w="1833" w:type="dxa"/>
            <w:shd w:val="clear" w:color="auto" w:fill="auto"/>
            <w:vAlign w:val="center"/>
          </w:tcPr>
          <w:p w14:paraId="6B84D76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Q=200m³H=40m</w:t>
            </w:r>
          </w:p>
        </w:tc>
        <w:tc>
          <w:tcPr>
            <w:tcW w:w="1334" w:type="dxa"/>
            <w:shd w:val="clear" w:color="auto" w:fill="auto"/>
            <w:vAlign w:val="center"/>
          </w:tcPr>
          <w:p w14:paraId="0CF0281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3EB6F5D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03CACC44">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r w14:paraId="0E999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662" w:type="dxa"/>
            <w:shd w:val="clear" w:color="auto" w:fill="auto"/>
            <w:vAlign w:val="center"/>
          </w:tcPr>
          <w:p w14:paraId="57D9501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41</w:t>
            </w:r>
          </w:p>
        </w:tc>
        <w:tc>
          <w:tcPr>
            <w:tcW w:w="1231" w:type="dxa"/>
            <w:shd w:val="clear" w:color="auto" w:fill="auto"/>
            <w:vAlign w:val="center"/>
          </w:tcPr>
          <w:p w14:paraId="1ED5216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P604A/B</w:t>
            </w:r>
          </w:p>
        </w:tc>
        <w:tc>
          <w:tcPr>
            <w:tcW w:w="1788" w:type="dxa"/>
            <w:shd w:val="clear" w:color="auto" w:fill="auto"/>
            <w:vAlign w:val="center"/>
          </w:tcPr>
          <w:p w14:paraId="484123F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无水原料泵</w:t>
            </w:r>
          </w:p>
        </w:tc>
        <w:tc>
          <w:tcPr>
            <w:tcW w:w="1833" w:type="dxa"/>
            <w:shd w:val="clear" w:color="auto" w:fill="auto"/>
            <w:vAlign w:val="center"/>
          </w:tcPr>
          <w:p w14:paraId="098995BC">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Q=25m³H=50m</w:t>
            </w:r>
          </w:p>
        </w:tc>
        <w:tc>
          <w:tcPr>
            <w:tcW w:w="1334" w:type="dxa"/>
            <w:shd w:val="clear" w:color="auto" w:fill="auto"/>
            <w:vAlign w:val="center"/>
          </w:tcPr>
          <w:p w14:paraId="3E58F64A">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06Cr19Ni10</w:t>
            </w:r>
          </w:p>
        </w:tc>
        <w:tc>
          <w:tcPr>
            <w:tcW w:w="959" w:type="dxa"/>
            <w:shd w:val="clear" w:color="auto" w:fill="auto"/>
            <w:vAlign w:val="center"/>
          </w:tcPr>
          <w:p w14:paraId="11FB6E92">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420" w:type="dxa"/>
            <w:shd w:val="clear" w:color="auto" w:fill="auto"/>
            <w:vAlign w:val="center"/>
          </w:tcPr>
          <w:p w14:paraId="5A1453E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新增</w:t>
            </w:r>
          </w:p>
        </w:tc>
      </w:tr>
    </w:tbl>
    <w:p w14:paraId="72E70061">
      <w:pPr>
        <w:pStyle w:val="4"/>
      </w:pPr>
      <w:r>
        <w:t>3.2.4</w:t>
      </w:r>
      <w:bookmarkStart w:id="205" w:name="bookmark270"/>
      <w:bookmarkStart w:id="206" w:name="bookmark269"/>
      <w:bookmarkStart w:id="207" w:name="bookmark271"/>
      <w:r>
        <w:t>公用工程</w:t>
      </w:r>
      <w:bookmarkEnd w:id="205"/>
      <w:bookmarkEnd w:id="206"/>
      <w:bookmarkEnd w:id="207"/>
    </w:p>
    <w:p w14:paraId="31C1BAC6">
      <w:pPr>
        <w:pStyle w:val="5"/>
      </w:pPr>
      <w:r>
        <w:t>3.2.</w:t>
      </w:r>
      <w:r>
        <w:rPr>
          <w:rFonts w:hint="eastAsia" w:eastAsia="宋体"/>
          <w:lang w:val="en-US" w:eastAsia="zh-CN"/>
        </w:rPr>
        <w:t>4</w:t>
      </w:r>
      <w:r>
        <w:t>.1供水</w:t>
      </w:r>
    </w:p>
    <w:p w14:paraId="0586E2D5">
      <w:pPr>
        <w:spacing w:line="360" w:lineRule="auto"/>
        <w:ind w:firstLine="480" w:firstLineChars="200"/>
        <w:rPr>
          <w:rFonts w:hint="eastAsia"/>
          <w:lang w:val="en-US" w:eastAsia="zh-CN"/>
        </w:rPr>
      </w:pPr>
      <w:r>
        <w:rPr>
          <w:rFonts w:hint="eastAsia"/>
          <w:lang w:eastAsia="zh-CN"/>
        </w:rPr>
        <w:t>本项目</w:t>
      </w:r>
      <w:r>
        <w:t>用</w:t>
      </w:r>
      <w:r>
        <w:rPr>
          <w:rFonts w:hint="eastAsia"/>
          <w:lang w:val="en-US" w:eastAsia="zh-CN"/>
        </w:rPr>
        <w:t>依托原有项目供水工程，采用地下水水源。</w:t>
      </w:r>
    </w:p>
    <w:p w14:paraId="68B6759D">
      <w:pPr>
        <w:pStyle w:val="5"/>
      </w:pPr>
      <w:r>
        <w:t>3.2.</w:t>
      </w:r>
      <w:r>
        <w:rPr>
          <w:rFonts w:hint="eastAsia" w:eastAsia="宋体"/>
          <w:lang w:val="en-US" w:eastAsia="zh-CN"/>
        </w:rPr>
        <w:t>4</w:t>
      </w:r>
      <w:r>
        <w:t>.2排水</w:t>
      </w:r>
    </w:p>
    <w:p w14:paraId="6A94CA7D">
      <w:pPr>
        <w:spacing w:line="360" w:lineRule="auto"/>
        <w:ind w:firstLine="480" w:firstLineChars="200"/>
        <w:rPr>
          <w:rFonts w:hint="eastAsia"/>
          <w:lang w:val="en-US" w:eastAsia="zh-CN"/>
        </w:rPr>
      </w:pPr>
      <w:r>
        <w:rPr>
          <w:rFonts w:hint="eastAsia"/>
          <w:color w:val="auto"/>
          <w:lang w:val="en-US" w:eastAsia="zh-CN"/>
        </w:rPr>
        <w:t>全厂污水经厂区污水处理站处理后，满足《城镇污水处理厂污</w:t>
      </w:r>
      <w:r>
        <w:rPr>
          <w:rFonts w:hint="eastAsia"/>
          <w:lang w:val="en-US" w:eastAsia="zh-CN"/>
        </w:rPr>
        <w:t>染物排放标准》（GB18918-2002）中一级标准中的A标准的要求后，经拉哈生物技术与化学制药产业园区污水处理厂入河排污口排入到嫩江。（排污口坐标为E124.57451°，N48.19451°）待拉哈小镇工业园区污水处理厂投入运营后，全厂污水满足拉哈小镇工业园区污水处理厂纳管标准后排入拉哈小镇工业园区污水处理厂。</w:t>
      </w:r>
    </w:p>
    <w:p w14:paraId="616B6CBB">
      <w:pPr>
        <w:jc w:val="center"/>
        <w:rPr>
          <w:rFonts w:hint="default"/>
          <w:lang w:val="en-US" w:eastAsia="zh-CN"/>
        </w:rPr>
      </w:pPr>
      <w:r>
        <w:rPr>
          <w:rFonts w:hint="eastAsia"/>
          <w:b/>
          <w:bCs/>
        </w:rPr>
        <w:t>表</w:t>
      </w:r>
      <w:r>
        <w:rPr>
          <w:rFonts w:hint="eastAsia"/>
          <w:b/>
          <w:bCs/>
          <w:lang w:val="en-US" w:eastAsia="zh-CN"/>
        </w:rPr>
        <w:t>3.2-4 全厂水量平衡表</w:t>
      </w:r>
    </w:p>
    <w:tbl>
      <w:tblPr>
        <w:tblStyle w:val="53"/>
        <w:tblW w:w="91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1366"/>
        <w:gridCol w:w="1781"/>
        <w:gridCol w:w="1090"/>
        <w:gridCol w:w="1043"/>
        <w:gridCol w:w="1050"/>
        <w:gridCol w:w="1090"/>
        <w:gridCol w:w="1252"/>
      </w:tblGrid>
      <w:tr w14:paraId="7A5D7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449" w:type="dxa"/>
            <w:vAlign w:val="center"/>
          </w:tcPr>
          <w:p w14:paraId="50AE4E27">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366" w:type="dxa"/>
            <w:vAlign w:val="center"/>
          </w:tcPr>
          <w:p w14:paraId="7A46693F">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用水车间</w:t>
            </w:r>
          </w:p>
        </w:tc>
        <w:tc>
          <w:tcPr>
            <w:tcW w:w="1781" w:type="dxa"/>
            <w:vAlign w:val="center"/>
          </w:tcPr>
          <w:p w14:paraId="58380032">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排水点</w:t>
            </w:r>
          </w:p>
        </w:tc>
        <w:tc>
          <w:tcPr>
            <w:tcW w:w="1090" w:type="dxa"/>
            <w:vAlign w:val="center"/>
          </w:tcPr>
          <w:p w14:paraId="7F010C2C">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小时平均</w:t>
            </w:r>
          </w:p>
          <w:p w14:paraId="51EC9296">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GB"/>
              </w:rPr>
              <w:t>（</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w:t>
            </w:r>
            <w:r>
              <w:rPr>
                <w:rFonts w:hint="default" w:ascii="Times New Roman" w:hAnsi="Times New Roman" w:eastAsia="宋体" w:cs="Times New Roman"/>
                <w:sz w:val="21"/>
                <w:szCs w:val="21"/>
                <w:lang w:val="en-GB"/>
              </w:rPr>
              <w:t>）</w:t>
            </w:r>
          </w:p>
        </w:tc>
        <w:tc>
          <w:tcPr>
            <w:tcW w:w="1043" w:type="dxa"/>
            <w:vAlign w:val="center"/>
          </w:tcPr>
          <w:p w14:paraId="19301C17">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小时最大</w:t>
            </w:r>
            <w:r>
              <w:rPr>
                <w:rFonts w:hint="default" w:ascii="Times New Roman" w:hAnsi="Times New Roman" w:eastAsia="宋体" w:cs="Times New Roman"/>
                <w:sz w:val="21"/>
                <w:szCs w:val="21"/>
                <w:lang w:val="en-GB"/>
              </w:rPr>
              <w:t>（</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w:t>
            </w:r>
            <w:r>
              <w:rPr>
                <w:rFonts w:hint="default" w:ascii="Times New Roman" w:hAnsi="Times New Roman" w:eastAsia="宋体" w:cs="Times New Roman"/>
                <w:sz w:val="21"/>
                <w:szCs w:val="21"/>
                <w:lang w:val="en-GB"/>
              </w:rPr>
              <w:t>）</w:t>
            </w:r>
          </w:p>
        </w:tc>
        <w:tc>
          <w:tcPr>
            <w:tcW w:w="1050" w:type="dxa"/>
            <w:vAlign w:val="center"/>
          </w:tcPr>
          <w:p w14:paraId="55A190F7">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本次技改小时最大量</w:t>
            </w:r>
            <w:r>
              <w:rPr>
                <w:rFonts w:hint="default" w:ascii="Times New Roman" w:hAnsi="Times New Roman" w:eastAsia="宋体" w:cs="Times New Roman"/>
                <w:sz w:val="21"/>
                <w:szCs w:val="21"/>
                <w:lang w:val="en-GB"/>
              </w:rPr>
              <w:t>（</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w:t>
            </w:r>
            <w:r>
              <w:rPr>
                <w:rFonts w:hint="default" w:ascii="Times New Roman" w:hAnsi="Times New Roman" w:eastAsia="宋体" w:cs="Times New Roman"/>
                <w:sz w:val="21"/>
                <w:szCs w:val="21"/>
                <w:lang w:val="en-GB"/>
              </w:rPr>
              <w:t>）</w:t>
            </w:r>
          </w:p>
        </w:tc>
        <w:tc>
          <w:tcPr>
            <w:tcW w:w="1090" w:type="dxa"/>
            <w:vAlign w:val="center"/>
          </w:tcPr>
          <w:p w14:paraId="3C35F550">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最大日用水量</w:t>
            </w:r>
          </w:p>
          <w:p w14:paraId="751EC8A6">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/d）</w:t>
            </w:r>
          </w:p>
        </w:tc>
        <w:tc>
          <w:tcPr>
            <w:tcW w:w="1252" w:type="dxa"/>
            <w:vAlign w:val="center"/>
          </w:tcPr>
          <w:p w14:paraId="28D51A5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w:t>
            </w:r>
          </w:p>
        </w:tc>
      </w:tr>
      <w:tr w14:paraId="4F84C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449" w:type="dxa"/>
            <w:vMerge w:val="restart"/>
            <w:vAlign w:val="center"/>
          </w:tcPr>
          <w:p w14:paraId="45D616B1">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366" w:type="dxa"/>
            <w:vMerge w:val="restart"/>
            <w:vAlign w:val="center"/>
          </w:tcPr>
          <w:p w14:paraId="2DA77C73">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粉碎车间</w:t>
            </w:r>
          </w:p>
        </w:tc>
        <w:tc>
          <w:tcPr>
            <w:tcW w:w="1781" w:type="dxa"/>
            <w:vAlign w:val="center"/>
          </w:tcPr>
          <w:p w14:paraId="7D846CD6">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粉碎拌料排水</w:t>
            </w:r>
          </w:p>
        </w:tc>
        <w:tc>
          <w:tcPr>
            <w:tcW w:w="1090" w:type="dxa"/>
            <w:vAlign w:val="center"/>
          </w:tcPr>
          <w:p w14:paraId="0A2D87F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w:t>
            </w:r>
          </w:p>
        </w:tc>
        <w:tc>
          <w:tcPr>
            <w:tcW w:w="1043" w:type="dxa"/>
            <w:vAlign w:val="center"/>
          </w:tcPr>
          <w:p w14:paraId="5FFD7BC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w:t>
            </w:r>
          </w:p>
        </w:tc>
        <w:tc>
          <w:tcPr>
            <w:tcW w:w="1050" w:type="dxa"/>
            <w:vAlign w:val="center"/>
          </w:tcPr>
          <w:p w14:paraId="1B1C64BE">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p>
        </w:tc>
        <w:tc>
          <w:tcPr>
            <w:tcW w:w="1090" w:type="dxa"/>
            <w:vAlign w:val="center"/>
          </w:tcPr>
          <w:p w14:paraId="189AB00F">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0.0</w:t>
            </w:r>
          </w:p>
        </w:tc>
        <w:tc>
          <w:tcPr>
            <w:tcW w:w="1252" w:type="dxa"/>
            <w:vAlign w:val="center"/>
          </w:tcPr>
          <w:p w14:paraId="0C93AA2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进入物料</w:t>
            </w:r>
          </w:p>
        </w:tc>
      </w:tr>
      <w:tr w14:paraId="62575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49" w:type="dxa"/>
            <w:vMerge w:val="continue"/>
            <w:vAlign w:val="center"/>
          </w:tcPr>
          <w:p w14:paraId="1D59E18B">
            <w:pPr>
              <w:spacing w:line="360" w:lineRule="auto"/>
              <w:jc w:val="center"/>
              <w:rPr>
                <w:rFonts w:hint="default" w:ascii="Times New Roman" w:hAnsi="Times New Roman" w:eastAsia="宋体" w:cs="Times New Roman"/>
                <w:color w:val="auto"/>
                <w:sz w:val="21"/>
                <w:szCs w:val="21"/>
              </w:rPr>
            </w:pPr>
          </w:p>
        </w:tc>
        <w:tc>
          <w:tcPr>
            <w:tcW w:w="1366" w:type="dxa"/>
            <w:vMerge w:val="continue"/>
            <w:vAlign w:val="center"/>
          </w:tcPr>
          <w:p w14:paraId="02B636F7">
            <w:pPr>
              <w:spacing w:line="360" w:lineRule="auto"/>
              <w:jc w:val="center"/>
              <w:rPr>
                <w:rFonts w:hint="default" w:ascii="Times New Roman" w:hAnsi="Times New Roman" w:eastAsia="宋体" w:cs="Times New Roman"/>
                <w:color w:val="auto"/>
                <w:sz w:val="21"/>
                <w:szCs w:val="21"/>
              </w:rPr>
            </w:pPr>
          </w:p>
        </w:tc>
        <w:tc>
          <w:tcPr>
            <w:tcW w:w="1781" w:type="dxa"/>
            <w:tcBorders>
              <w:bottom w:val="single" w:color="auto" w:sz="4" w:space="0"/>
            </w:tcBorders>
            <w:vAlign w:val="center"/>
          </w:tcPr>
          <w:p w14:paraId="2E7C398F">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冲洗地面</w:t>
            </w:r>
          </w:p>
        </w:tc>
        <w:tc>
          <w:tcPr>
            <w:tcW w:w="1090" w:type="dxa"/>
            <w:tcBorders>
              <w:bottom w:val="single" w:color="auto" w:sz="4" w:space="0"/>
            </w:tcBorders>
            <w:vAlign w:val="center"/>
          </w:tcPr>
          <w:p w14:paraId="5810684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43" w:type="dxa"/>
            <w:tcBorders>
              <w:bottom w:val="single" w:color="auto" w:sz="4" w:space="0"/>
            </w:tcBorders>
            <w:vAlign w:val="center"/>
          </w:tcPr>
          <w:p w14:paraId="3A5232B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50" w:type="dxa"/>
            <w:tcBorders>
              <w:bottom w:val="single" w:color="auto" w:sz="4" w:space="0"/>
            </w:tcBorders>
            <w:vAlign w:val="center"/>
          </w:tcPr>
          <w:p w14:paraId="157EC98C">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p>
        </w:tc>
        <w:tc>
          <w:tcPr>
            <w:tcW w:w="1090" w:type="dxa"/>
            <w:tcBorders>
              <w:bottom w:val="single" w:color="auto" w:sz="4" w:space="0"/>
            </w:tcBorders>
            <w:vAlign w:val="center"/>
          </w:tcPr>
          <w:p w14:paraId="28ADEE0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252" w:type="dxa"/>
            <w:tcBorders>
              <w:bottom w:val="single" w:color="auto" w:sz="4" w:space="0"/>
            </w:tcBorders>
            <w:vAlign w:val="center"/>
          </w:tcPr>
          <w:p w14:paraId="4179CFF3">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0A58A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6" w:hRule="atLeast"/>
          <w:jc w:val="center"/>
        </w:trPr>
        <w:tc>
          <w:tcPr>
            <w:tcW w:w="449" w:type="dxa"/>
            <w:vMerge w:val="restart"/>
            <w:vAlign w:val="center"/>
          </w:tcPr>
          <w:p w14:paraId="4824F3A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366" w:type="dxa"/>
            <w:vMerge w:val="restart"/>
            <w:vAlign w:val="center"/>
          </w:tcPr>
          <w:p w14:paraId="7CC4810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乙醇车间</w:t>
            </w:r>
          </w:p>
        </w:tc>
        <w:tc>
          <w:tcPr>
            <w:tcW w:w="1781" w:type="dxa"/>
            <w:tcBorders>
              <w:bottom w:val="single" w:color="auto" w:sz="4" w:space="0"/>
            </w:tcBorders>
            <w:vAlign w:val="center"/>
          </w:tcPr>
          <w:p w14:paraId="49320A33">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液化糖化工段循环水补充排水</w:t>
            </w:r>
          </w:p>
        </w:tc>
        <w:tc>
          <w:tcPr>
            <w:tcW w:w="1090" w:type="dxa"/>
            <w:tcBorders>
              <w:bottom w:val="single" w:color="auto" w:sz="4" w:space="0"/>
            </w:tcBorders>
            <w:vAlign w:val="center"/>
          </w:tcPr>
          <w:p w14:paraId="28C73B6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23.5</w:t>
            </w:r>
          </w:p>
        </w:tc>
        <w:tc>
          <w:tcPr>
            <w:tcW w:w="1043" w:type="dxa"/>
            <w:tcBorders>
              <w:bottom w:val="single" w:color="auto" w:sz="4" w:space="0"/>
            </w:tcBorders>
            <w:vAlign w:val="center"/>
          </w:tcPr>
          <w:p w14:paraId="506C6BF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28.4</w:t>
            </w:r>
          </w:p>
        </w:tc>
        <w:tc>
          <w:tcPr>
            <w:tcW w:w="1050" w:type="dxa"/>
            <w:tcBorders>
              <w:bottom w:val="single" w:color="auto" w:sz="4" w:space="0"/>
            </w:tcBorders>
            <w:vAlign w:val="center"/>
          </w:tcPr>
          <w:p w14:paraId="223A9D23">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p>
        </w:tc>
        <w:tc>
          <w:tcPr>
            <w:tcW w:w="1090" w:type="dxa"/>
            <w:tcBorders>
              <w:bottom w:val="single" w:color="auto" w:sz="4" w:space="0"/>
            </w:tcBorders>
            <w:vAlign w:val="center"/>
          </w:tcPr>
          <w:p w14:paraId="43D8A863">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564</w:t>
            </w:r>
          </w:p>
        </w:tc>
        <w:tc>
          <w:tcPr>
            <w:tcW w:w="1252" w:type="dxa"/>
            <w:tcBorders>
              <w:bottom w:val="single" w:color="auto" w:sz="4" w:space="0"/>
            </w:tcBorders>
            <w:vAlign w:val="center"/>
          </w:tcPr>
          <w:p w14:paraId="7B788F2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清洁废水</w:t>
            </w:r>
          </w:p>
        </w:tc>
      </w:tr>
      <w:tr w14:paraId="6E31D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67" w:hRule="atLeast"/>
          <w:jc w:val="center"/>
        </w:trPr>
        <w:tc>
          <w:tcPr>
            <w:tcW w:w="449" w:type="dxa"/>
            <w:vMerge w:val="continue"/>
            <w:vAlign w:val="center"/>
          </w:tcPr>
          <w:p w14:paraId="62ABD07A">
            <w:pPr>
              <w:spacing w:line="360" w:lineRule="auto"/>
              <w:jc w:val="center"/>
              <w:rPr>
                <w:rFonts w:hint="default" w:ascii="Times New Roman" w:hAnsi="Times New Roman" w:eastAsia="宋体" w:cs="Times New Roman"/>
                <w:color w:val="auto"/>
                <w:sz w:val="21"/>
                <w:szCs w:val="21"/>
              </w:rPr>
            </w:pPr>
          </w:p>
        </w:tc>
        <w:tc>
          <w:tcPr>
            <w:tcW w:w="1366" w:type="dxa"/>
            <w:vMerge w:val="continue"/>
            <w:vAlign w:val="center"/>
          </w:tcPr>
          <w:p w14:paraId="12E2901A">
            <w:pPr>
              <w:spacing w:line="360" w:lineRule="auto"/>
              <w:jc w:val="center"/>
              <w:rPr>
                <w:rFonts w:hint="default" w:ascii="Times New Roman" w:hAnsi="Times New Roman" w:eastAsia="宋体" w:cs="Times New Roman"/>
                <w:color w:val="auto"/>
                <w:sz w:val="21"/>
                <w:szCs w:val="21"/>
              </w:rPr>
            </w:pPr>
          </w:p>
        </w:tc>
        <w:tc>
          <w:tcPr>
            <w:tcW w:w="1781" w:type="dxa"/>
            <w:tcBorders>
              <w:bottom w:val="single" w:color="auto" w:sz="4" w:space="0"/>
            </w:tcBorders>
            <w:vAlign w:val="center"/>
          </w:tcPr>
          <w:p w14:paraId="36209D9A">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发酵工段</w:t>
            </w:r>
          </w:p>
        </w:tc>
        <w:tc>
          <w:tcPr>
            <w:tcW w:w="1090" w:type="dxa"/>
            <w:tcBorders>
              <w:bottom w:val="single" w:color="auto" w:sz="4" w:space="0"/>
            </w:tcBorders>
            <w:vAlign w:val="center"/>
          </w:tcPr>
          <w:p w14:paraId="7A88250C">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043" w:type="dxa"/>
            <w:tcBorders>
              <w:bottom w:val="single" w:color="auto" w:sz="4" w:space="0"/>
            </w:tcBorders>
            <w:vAlign w:val="center"/>
          </w:tcPr>
          <w:p w14:paraId="75302F6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050" w:type="dxa"/>
            <w:tcBorders>
              <w:bottom w:val="single" w:color="auto" w:sz="4" w:space="0"/>
            </w:tcBorders>
            <w:vAlign w:val="center"/>
          </w:tcPr>
          <w:p w14:paraId="549DE518">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w:t>
            </w:r>
          </w:p>
        </w:tc>
        <w:tc>
          <w:tcPr>
            <w:tcW w:w="1090" w:type="dxa"/>
            <w:tcBorders>
              <w:bottom w:val="single" w:color="auto" w:sz="4" w:space="0"/>
            </w:tcBorders>
            <w:vAlign w:val="center"/>
          </w:tcPr>
          <w:p w14:paraId="0D8CC52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252" w:type="dxa"/>
            <w:tcBorders>
              <w:bottom w:val="single" w:color="auto" w:sz="4" w:space="0"/>
            </w:tcBorders>
            <w:vAlign w:val="center"/>
          </w:tcPr>
          <w:p w14:paraId="466CCC8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66349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49" w:type="dxa"/>
            <w:vMerge w:val="continue"/>
            <w:vAlign w:val="center"/>
          </w:tcPr>
          <w:p w14:paraId="005C2B27">
            <w:pPr>
              <w:spacing w:line="360" w:lineRule="auto"/>
              <w:jc w:val="center"/>
              <w:rPr>
                <w:rFonts w:hint="default" w:ascii="Times New Roman" w:hAnsi="Times New Roman" w:eastAsia="宋体" w:cs="Times New Roman"/>
                <w:color w:val="auto"/>
                <w:sz w:val="21"/>
                <w:szCs w:val="21"/>
              </w:rPr>
            </w:pPr>
          </w:p>
        </w:tc>
        <w:tc>
          <w:tcPr>
            <w:tcW w:w="1366" w:type="dxa"/>
            <w:vMerge w:val="continue"/>
            <w:vAlign w:val="center"/>
          </w:tcPr>
          <w:p w14:paraId="2C6AB966">
            <w:pPr>
              <w:spacing w:line="360" w:lineRule="auto"/>
              <w:jc w:val="center"/>
              <w:rPr>
                <w:rFonts w:hint="default" w:ascii="Times New Roman" w:hAnsi="Times New Roman" w:eastAsia="宋体" w:cs="Times New Roman"/>
                <w:color w:val="auto"/>
                <w:sz w:val="21"/>
                <w:szCs w:val="21"/>
              </w:rPr>
            </w:pPr>
          </w:p>
        </w:tc>
        <w:tc>
          <w:tcPr>
            <w:tcW w:w="1781" w:type="dxa"/>
            <w:tcBorders>
              <w:bottom w:val="single" w:color="auto" w:sz="4" w:space="0"/>
            </w:tcBorders>
            <w:vAlign w:val="center"/>
          </w:tcPr>
          <w:p w14:paraId="55BBE451">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蒸馏脱水工段</w:t>
            </w:r>
          </w:p>
        </w:tc>
        <w:tc>
          <w:tcPr>
            <w:tcW w:w="1090" w:type="dxa"/>
            <w:tcBorders>
              <w:bottom w:val="single" w:color="auto" w:sz="4" w:space="0"/>
            </w:tcBorders>
            <w:vAlign w:val="center"/>
          </w:tcPr>
          <w:p w14:paraId="4E67B1E6">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043" w:type="dxa"/>
            <w:tcBorders>
              <w:bottom w:val="single" w:color="auto" w:sz="4" w:space="0"/>
            </w:tcBorders>
            <w:vAlign w:val="center"/>
          </w:tcPr>
          <w:p w14:paraId="0ED13D0E">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050" w:type="dxa"/>
            <w:tcBorders>
              <w:bottom w:val="single" w:color="auto" w:sz="4" w:space="0"/>
            </w:tcBorders>
            <w:vAlign w:val="center"/>
          </w:tcPr>
          <w:p w14:paraId="5AFDEA85">
            <w:pPr>
              <w:spacing w:line="36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19</w:t>
            </w:r>
          </w:p>
        </w:tc>
        <w:tc>
          <w:tcPr>
            <w:tcW w:w="1090" w:type="dxa"/>
            <w:tcBorders>
              <w:bottom w:val="single" w:color="auto" w:sz="4" w:space="0"/>
            </w:tcBorders>
            <w:vAlign w:val="center"/>
          </w:tcPr>
          <w:p w14:paraId="0E3F519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p>
        </w:tc>
        <w:tc>
          <w:tcPr>
            <w:tcW w:w="1252" w:type="dxa"/>
            <w:tcBorders>
              <w:bottom w:val="single" w:color="auto" w:sz="4" w:space="0"/>
            </w:tcBorders>
            <w:vAlign w:val="center"/>
          </w:tcPr>
          <w:p w14:paraId="5126D39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70A97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3" w:hRule="atLeast"/>
          <w:jc w:val="center"/>
        </w:trPr>
        <w:tc>
          <w:tcPr>
            <w:tcW w:w="449" w:type="dxa"/>
            <w:vMerge w:val="continue"/>
            <w:vAlign w:val="center"/>
          </w:tcPr>
          <w:p w14:paraId="0251061A">
            <w:pPr>
              <w:spacing w:line="360" w:lineRule="auto"/>
              <w:jc w:val="center"/>
              <w:rPr>
                <w:rFonts w:hint="default" w:ascii="Times New Roman" w:hAnsi="Times New Roman" w:eastAsia="宋体" w:cs="Times New Roman"/>
                <w:color w:val="auto"/>
                <w:sz w:val="21"/>
                <w:szCs w:val="21"/>
              </w:rPr>
            </w:pPr>
          </w:p>
        </w:tc>
        <w:tc>
          <w:tcPr>
            <w:tcW w:w="1366" w:type="dxa"/>
            <w:vMerge w:val="continue"/>
            <w:vAlign w:val="center"/>
          </w:tcPr>
          <w:p w14:paraId="0853ED23">
            <w:pPr>
              <w:spacing w:line="360" w:lineRule="auto"/>
              <w:jc w:val="center"/>
              <w:rPr>
                <w:rFonts w:hint="default" w:ascii="Times New Roman" w:hAnsi="Times New Roman" w:eastAsia="宋体" w:cs="Times New Roman"/>
                <w:color w:val="auto"/>
                <w:sz w:val="21"/>
                <w:szCs w:val="21"/>
              </w:rPr>
            </w:pPr>
          </w:p>
        </w:tc>
        <w:tc>
          <w:tcPr>
            <w:tcW w:w="1781" w:type="dxa"/>
            <w:tcBorders>
              <w:bottom w:val="single" w:color="auto" w:sz="4" w:space="0"/>
            </w:tcBorders>
            <w:vAlign w:val="center"/>
          </w:tcPr>
          <w:p w14:paraId="2AC1C77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蒸馏脱水工段循环水补充排水</w:t>
            </w:r>
          </w:p>
        </w:tc>
        <w:tc>
          <w:tcPr>
            <w:tcW w:w="1090" w:type="dxa"/>
            <w:tcBorders>
              <w:bottom w:val="single" w:color="auto" w:sz="4" w:space="0"/>
            </w:tcBorders>
            <w:vAlign w:val="center"/>
          </w:tcPr>
          <w:p w14:paraId="2925064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64.8</w:t>
            </w:r>
          </w:p>
        </w:tc>
        <w:tc>
          <w:tcPr>
            <w:tcW w:w="1043" w:type="dxa"/>
            <w:tcBorders>
              <w:bottom w:val="single" w:color="auto" w:sz="4" w:space="0"/>
            </w:tcBorders>
            <w:vAlign w:val="center"/>
          </w:tcPr>
          <w:p w14:paraId="1EFE4D41">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77．8</w:t>
            </w:r>
          </w:p>
        </w:tc>
        <w:tc>
          <w:tcPr>
            <w:tcW w:w="1050" w:type="dxa"/>
            <w:tcBorders>
              <w:bottom w:val="single" w:color="auto" w:sz="4" w:space="0"/>
            </w:tcBorders>
            <w:vAlign w:val="center"/>
          </w:tcPr>
          <w:p w14:paraId="6839D4DC">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p>
        </w:tc>
        <w:tc>
          <w:tcPr>
            <w:tcW w:w="1090" w:type="dxa"/>
            <w:tcBorders>
              <w:bottom w:val="single" w:color="auto" w:sz="4" w:space="0"/>
            </w:tcBorders>
            <w:vAlign w:val="center"/>
          </w:tcPr>
          <w:p w14:paraId="2C7C6269">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1555.2</w:t>
            </w:r>
          </w:p>
        </w:tc>
        <w:tc>
          <w:tcPr>
            <w:tcW w:w="1252" w:type="dxa"/>
            <w:tcBorders>
              <w:bottom w:val="single" w:color="auto" w:sz="4" w:space="0"/>
            </w:tcBorders>
            <w:vAlign w:val="center"/>
          </w:tcPr>
          <w:p w14:paraId="629B92B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清洁废水</w:t>
            </w:r>
          </w:p>
        </w:tc>
      </w:tr>
      <w:tr w14:paraId="07781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1" w:hRule="atLeast"/>
          <w:jc w:val="center"/>
        </w:trPr>
        <w:tc>
          <w:tcPr>
            <w:tcW w:w="449" w:type="dxa"/>
            <w:vMerge w:val="continue"/>
            <w:vAlign w:val="center"/>
          </w:tcPr>
          <w:p w14:paraId="23894A06">
            <w:pPr>
              <w:spacing w:line="360" w:lineRule="auto"/>
              <w:jc w:val="center"/>
              <w:rPr>
                <w:rFonts w:hint="default" w:ascii="Times New Roman" w:hAnsi="Times New Roman" w:eastAsia="宋体" w:cs="Times New Roman"/>
                <w:color w:val="auto"/>
                <w:sz w:val="21"/>
                <w:szCs w:val="21"/>
              </w:rPr>
            </w:pPr>
          </w:p>
        </w:tc>
        <w:tc>
          <w:tcPr>
            <w:tcW w:w="1366" w:type="dxa"/>
            <w:vMerge w:val="continue"/>
            <w:vAlign w:val="center"/>
          </w:tcPr>
          <w:p w14:paraId="2A3DA58F">
            <w:pPr>
              <w:spacing w:line="360" w:lineRule="auto"/>
              <w:jc w:val="center"/>
              <w:rPr>
                <w:rFonts w:hint="default" w:ascii="Times New Roman" w:hAnsi="Times New Roman" w:eastAsia="宋体" w:cs="Times New Roman"/>
                <w:color w:val="auto"/>
                <w:sz w:val="21"/>
                <w:szCs w:val="21"/>
              </w:rPr>
            </w:pPr>
          </w:p>
        </w:tc>
        <w:tc>
          <w:tcPr>
            <w:tcW w:w="1781" w:type="dxa"/>
            <w:tcBorders>
              <w:bottom w:val="single" w:color="auto" w:sz="4" w:space="0"/>
            </w:tcBorders>
            <w:vAlign w:val="center"/>
          </w:tcPr>
          <w:p w14:paraId="57EDF9D5">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冲洗地面</w:t>
            </w:r>
          </w:p>
        </w:tc>
        <w:tc>
          <w:tcPr>
            <w:tcW w:w="1090" w:type="dxa"/>
            <w:tcBorders>
              <w:bottom w:val="single" w:color="auto" w:sz="4" w:space="0"/>
            </w:tcBorders>
            <w:vAlign w:val="center"/>
          </w:tcPr>
          <w:p w14:paraId="2B00CA65">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43" w:type="dxa"/>
            <w:tcBorders>
              <w:bottom w:val="single" w:color="auto" w:sz="4" w:space="0"/>
            </w:tcBorders>
            <w:vAlign w:val="center"/>
          </w:tcPr>
          <w:p w14:paraId="0537A469">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50" w:type="dxa"/>
            <w:tcBorders>
              <w:bottom w:val="single" w:color="auto" w:sz="4" w:space="0"/>
            </w:tcBorders>
            <w:vAlign w:val="center"/>
          </w:tcPr>
          <w:p w14:paraId="79321B26">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3.4</w:t>
            </w:r>
          </w:p>
        </w:tc>
        <w:tc>
          <w:tcPr>
            <w:tcW w:w="1090" w:type="dxa"/>
            <w:tcBorders>
              <w:bottom w:val="single" w:color="auto" w:sz="4" w:space="0"/>
            </w:tcBorders>
            <w:vAlign w:val="center"/>
          </w:tcPr>
          <w:p w14:paraId="626D103F">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252" w:type="dxa"/>
            <w:tcBorders>
              <w:bottom w:val="single" w:color="auto" w:sz="4" w:space="0"/>
            </w:tcBorders>
            <w:vAlign w:val="center"/>
          </w:tcPr>
          <w:p w14:paraId="2B3671E3">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0520A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0" w:hRule="atLeast"/>
          <w:jc w:val="center"/>
        </w:trPr>
        <w:tc>
          <w:tcPr>
            <w:tcW w:w="449" w:type="dxa"/>
            <w:vMerge w:val="restart"/>
            <w:vAlign w:val="center"/>
          </w:tcPr>
          <w:p w14:paraId="5C2DDAC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366" w:type="dxa"/>
            <w:vMerge w:val="restart"/>
            <w:vAlign w:val="center"/>
          </w:tcPr>
          <w:p w14:paraId="174031C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DDGS饲料车间</w:t>
            </w:r>
          </w:p>
        </w:tc>
        <w:tc>
          <w:tcPr>
            <w:tcW w:w="1781" w:type="dxa"/>
            <w:tcBorders>
              <w:bottom w:val="single" w:color="auto" w:sz="4" w:space="0"/>
            </w:tcBorders>
            <w:vAlign w:val="center"/>
          </w:tcPr>
          <w:p w14:paraId="0303BFE6">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工艺排水</w:t>
            </w:r>
          </w:p>
        </w:tc>
        <w:tc>
          <w:tcPr>
            <w:tcW w:w="1090" w:type="dxa"/>
            <w:tcBorders>
              <w:bottom w:val="single" w:color="auto" w:sz="4" w:space="0"/>
            </w:tcBorders>
            <w:vAlign w:val="center"/>
          </w:tcPr>
          <w:p w14:paraId="260B994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303</w:t>
            </w:r>
          </w:p>
        </w:tc>
        <w:tc>
          <w:tcPr>
            <w:tcW w:w="1043" w:type="dxa"/>
            <w:tcBorders>
              <w:bottom w:val="single" w:color="auto" w:sz="4" w:space="0"/>
            </w:tcBorders>
            <w:vAlign w:val="center"/>
          </w:tcPr>
          <w:p w14:paraId="57965C8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303</w:t>
            </w:r>
          </w:p>
        </w:tc>
        <w:tc>
          <w:tcPr>
            <w:tcW w:w="1050" w:type="dxa"/>
            <w:tcBorders>
              <w:bottom w:val="single" w:color="auto" w:sz="4" w:space="0"/>
            </w:tcBorders>
            <w:vAlign w:val="center"/>
          </w:tcPr>
          <w:p w14:paraId="31FAB868">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535</w:t>
            </w:r>
          </w:p>
        </w:tc>
        <w:tc>
          <w:tcPr>
            <w:tcW w:w="1090" w:type="dxa"/>
            <w:tcBorders>
              <w:bottom w:val="single" w:color="auto" w:sz="4" w:space="0"/>
            </w:tcBorders>
            <w:vAlign w:val="center"/>
          </w:tcPr>
          <w:p w14:paraId="4B1CE1A6">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7272</w:t>
            </w:r>
          </w:p>
        </w:tc>
        <w:tc>
          <w:tcPr>
            <w:tcW w:w="1252" w:type="dxa"/>
            <w:tcBorders>
              <w:bottom w:val="single" w:color="auto" w:sz="4" w:space="0"/>
            </w:tcBorders>
            <w:vAlign w:val="center"/>
          </w:tcPr>
          <w:p w14:paraId="49651729">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6EEFA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2" w:hRule="atLeast"/>
          <w:jc w:val="center"/>
        </w:trPr>
        <w:tc>
          <w:tcPr>
            <w:tcW w:w="449" w:type="dxa"/>
            <w:vMerge w:val="continue"/>
            <w:vAlign w:val="center"/>
          </w:tcPr>
          <w:p w14:paraId="15D51515">
            <w:pPr>
              <w:spacing w:line="360" w:lineRule="auto"/>
              <w:jc w:val="center"/>
              <w:rPr>
                <w:rFonts w:hint="default" w:ascii="Times New Roman" w:hAnsi="Times New Roman" w:eastAsia="宋体" w:cs="Times New Roman"/>
                <w:color w:val="auto"/>
                <w:sz w:val="21"/>
                <w:szCs w:val="21"/>
              </w:rPr>
            </w:pPr>
          </w:p>
        </w:tc>
        <w:tc>
          <w:tcPr>
            <w:tcW w:w="1366" w:type="dxa"/>
            <w:vMerge w:val="continue"/>
            <w:vAlign w:val="center"/>
          </w:tcPr>
          <w:p w14:paraId="060A33C3">
            <w:pPr>
              <w:spacing w:line="360" w:lineRule="auto"/>
              <w:jc w:val="center"/>
              <w:rPr>
                <w:rFonts w:hint="default" w:ascii="Times New Roman" w:hAnsi="Times New Roman" w:eastAsia="宋体" w:cs="Times New Roman"/>
                <w:color w:val="auto"/>
                <w:sz w:val="21"/>
                <w:szCs w:val="21"/>
              </w:rPr>
            </w:pPr>
          </w:p>
        </w:tc>
        <w:tc>
          <w:tcPr>
            <w:tcW w:w="1781" w:type="dxa"/>
            <w:tcBorders>
              <w:bottom w:val="single" w:color="auto" w:sz="4" w:space="0"/>
            </w:tcBorders>
            <w:vAlign w:val="center"/>
          </w:tcPr>
          <w:p w14:paraId="56074A50">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循环水补充排水</w:t>
            </w:r>
          </w:p>
        </w:tc>
        <w:tc>
          <w:tcPr>
            <w:tcW w:w="1090" w:type="dxa"/>
            <w:tcBorders>
              <w:bottom w:val="single" w:color="auto" w:sz="4" w:space="0"/>
            </w:tcBorders>
            <w:vAlign w:val="center"/>
          </w:tcPr>
          <w:p w14:paraId="6263302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11.3</w:t>
            </w:r>
          </w:p>
        </w:tc>
        <w:tc>
          <w:tcPr>
            <w:tcW w:w="1043" w:type="dxa"/>
            <w:tcBorders>
              <w:bottom w:val="single" w:color="auto" w:sz="4" w:space="0"/>
            </w:tcBorders>
            <w:vAlign w:val="center"/>
          </w:tcPr>
          <w:p w14:paraId="4433DC4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13.6</w:t>
            </w:r>
          </w:p>
        </w:tc>
        <w:tc>
          <w:tcPr>
            <w:tcW w:w="1050" w:type="dxa"/>
            <w:tcBorders>
              <w:bottom w:val="single" w:color="auto" w:sz="4" w:space="0"/>
            </w:tcBorders>
            <w:vAlign w:val="center"/>
          </w:tcPr>
          <w:p w14:paraId="200FE892">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p>
        </w:tc>
        <w:tc>
          <w:tcPr>
            <w:tcW w:w="1090" w:type="dxa"/>
            <w:tcBorders>
              <w:bottom w:val="single" w:color="auto" w:sz="4" w:space="0"/>
            </w:tcBorders>
            <w:vAlign w:val="center"/>
          </w:tcPr>
          <w:p w14:paraId="6A0ECFBC">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271.2</w:t>
            </w:r>
          </w:p>
        </w:tc>
        <w:tc>
          <w:tcPr>
            <w:tcW w:w="1252" w:type="dxa"/>
            <w:tcBorders>
              <w:bottom w:val="single" w:color="auto" w:sz="4" w:space="0"/>
            </w:tcBorders>
            <w:vAlign w:val="center"/>
          </w:tcPr>
          <w:p w14:paraId="67ADD005">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清洁废水</w:t>
            </w:r>
          </w:p>
        </w:tc>
      </w:tr>
      <w:tr w14:paraId="489DF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3" w:hRule="atLeast"/>
          <w:jc w:val="center"/>
        </w:trPr>
        <w:tc>
          <w:tcPr>
            <w:tcW w:w="449" w:type="dxa"/>
            <w:vMerge w:val="continue"/>
            <w:vAlign w:val="center"/>
          </w:tcPr>
          <w:p w14:paraId="21B68258">
            <w:pPr>
              <w:spacing w:line="360" w:lineRule="auto"/>
              <w:jc w:val="center"/>
              <w:rPr>
                <w:rFonts w:hint="default" w:ascii="Times New Roman" w:hAnsi="Times New Roman" w:eastAsia="宋体" w:cs="Times New Roman"/>
                <w:color w:val="auto"/>
                <w:sz w:val="21"/>
                <w:szCs w:val="21"/>
              </w:rPr>
            </w:pPr>
          </w:p>
        </w:tc>
        <w:tc>
          <w:tcPr>
            <w:tcW w:w="1366" w:type="dxa"/>
            <w:vMerge w:val="continue"/>
            <w:vAlign w:val="center"/>
          </w:tcPr>
          <w:p w14:paraId="5154F471">
            <w:pPr>
              <w:spacing w:line="360" w:lineRule="auto"/>
              <w:jc w:val="center"/>
              <w:rPr>
                <w:rFonts w:hint="default" w:ascii="Times New Roman" w:hAnsi="Times New Roman" w:eastAsia="宋体" w:cs="Times New Roman"/>
                <w:color w:val="auto"/>
                <w:sz w:val="21"/>
                <w:szCs w:val="21"/>
              </w:rPr>
            </w:pPr>
          </w:p>
        </w:tc>
        <w:tc>
          <w:tcPr>
            <w:tcW w:w="1781" w:type="dxa"/>
            <w:tcBorders>
              <w:bottom w:val="single" w:color="auto" w:sz="4" w:space="0"/>
            </w:tcBorders>
            <w:vAlign w:val="center"/>
          </w:tcPr>
          <w:p w14:paraId="793F806B">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冲洗地面</w:t>
            </w:r>
          </w:p>
        </w:tc>
        <w:tc>
          <w:tcPr>
            <w:tcW w:w="1090" w:type="dxa"/>
            <w:tcBorders>
              <w:bottom w:val="single" w:color="auto" w:sz="4" w:space="0"/>
            </w:tcBorders>
            <w:vAlign w:val="center"/>
          </w:tcPr>
          <w:p w14:paraId="63368F5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43" w:type="dxa"/>
            <w:tcBorders>
              <w:bottom w:val="single" w:color="auto" w:sz="4" w:space="0"/>
            </w:tcBorders>
            <w:vAlign w:val="center"/>
          </w:tcPr>
          <w:p w14:paraId="2D0C057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050" w:type="dxa"/>
            <w:tcBorders>
              <w:bottom w:val="single" w:color="auto" w:sz="4" w:space="0"/>
            </w:tcBorders>
            <w:vAlign w:val="center"/>
          </w:tcPr>
          <w:p w14:paraId="2F0A0F1F">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3.4</w:t>
            </w:r>
          </w:p>
        </w:tc>
        <w:tc>
          <w:tcPr>
            <w:tcW w:w="1090" w:type="dxa"/>
            <w:tcBorders>
              <w:bottom w:val="single" w:color="auto" w:sz="4" w:space="0"/>
            </w:tcBorders>
            <w:vAlign w:val="center"/>
          </w:tcPr>
          <w:p w14:paraId="4283071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252" w:type="dxa"/>
            <w:tcBorders>
              <w:bottom w:val="single" w:color="auto" w:sz="4" w:space="0"/>
            </w:tcBorders>
            <w:vAlign w:val="center"/>
          </w:tcPr>
          <w:p w14:paraId="2E6EC21F">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14F22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5" w:hRule="atLeast"/>
          <w:jc w:val="center"/>
        </w:trPr>
        <w:tc>
          <w:tcPr>
            <w:tcW w:w="449" w:type="dxa"/>
            <w:vAlign w:val="center"/>
          </w:tcPr>
          <w:p w14:paraId="5D4B98A3">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366" w:type="dxa"/>
            <w:vAlign w:val="center"/>
          </w:tcPr>
          <w:p w14:paraId="68E5D5ED">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化验室</w:t>
            </w:r>
          </w:p>
        </w:tc>
        <w:tc>
          <w:tcPr>
            <w:tcW w:w="1781" w:type="dxa"/>
            <w:tcBorders>
              <w:bottom w:val="single" w:color="auto" w:sz="4" w:space="0"/>
            </w:tcBorders>
            <w:vAlign w:val="center"/>
          </w:tcPr>
          <w:p w14:paraId="0B33526B">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化验排水</w:t>
            </w:r>
          </w:p>
        </w:tc>
        <w:tc>
          <w:tcPr>
            <w:tcW w:w="1090" w:type="dxa"/>
            <w:tcBorders>
              <w:bottom w:val="single" w:color="auto" w:sz="4" w:space="0"/>
            </w:tcBorders>
            <w:vAlign w:val="center"/>
          </w:tcPr>
          <w:p w14:paraId="6875ACE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1043" w:type="dxa"/>
            <w:tcBorders>
              <w:bottom w:val="single" w:color="auto" w:sz="4" w:space="0"/>
            </w:tcBorders>
            <w:vAlign w:val="center"/>
          </w:tcPr>
          <w:p w14:paraId="6C05CCBD">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050" w:type="dxa"/>
            <w:tcBorders>
              <w:bottom w:val="single" w:color="auto" w:sz="4" w:space="0"/>
            </w:tcBorders>
            <w:vAlign w:val="center"/>
          </w:tcPr>
          <w:p w14:paraId="39F8B92D">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1090" w:type="dxa"/>
            <w:tcBorders>
              <w:bottom w:val="single" w:color="auto" w:sz="4" w:space="0"/>
            </w:tcBorders>
            <w:vAlign w:val="center"/>
          </w:tcPr>
          <w:p w14:paraId="002C812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12.0</w:t>
            </w:r>
          </w:p>
        </w:tc>
        <w:tc>
          <w:tcPr>
            <w:tcW w:w="1252" w:type="dxa"/>
            <w:tcBorders>
              <w:bottom w:val="single" w:color="auto" w:sz="4" w:space="0"/>
            </w:tcBorders>
            <w:vAlign w:val="center"/>
          </w:tcPr>
          <w:p w14:paraId="5A92D8D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5F825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8" w:hRule="atLeast"/>
          <w:jc w:val="center"/>
        </w:trPr>
        <w:tc>
          <w:tcPr>
            <w:tcW w:w="449" w:type="dxa"/>
            <w:vAlign w:val="center"/>
          </w:tcPr>
          <w:p w14:paraId="00319F31">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366" w:type="dxa"/>
            <w:vAlign w:val="center"/>
          </w:tcPr>
          <w:p w14:paraId="770D644F">
            <w:pPr>
              <w:spacing w:line="360" w:lineRule="auto"/>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锅炉房</w:t>
            </w:r>
          </w:p>
        </w:tc>
        <w:tc>
          <w:tcPr>
            <w:tcW w:w="1781" w:type="dxa"/>
            <w:tcBorders>
              <w:bottom w:val="single" w:color="auto" w:sz="4" w:space="0"/>
            </w:tcBorders>
            <w:vAlign w:val="center"/>
          </w:tcPr>
          <w:p w14:paraId="41ADE48D">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锅炉、冲洗排水</w:t>
            </w:r>
          </w:p>
        </w:tc>
        <w:tc>
          <w:tcPr>
            <w:tcW w:w="1090" w:type="dxa"/>
            <w:tcBorders>
              <w:bottom w:val="single" w:color="auto" w:sz="4" w:space="0"/>
            </w:tcBorders>
            <w:vAlign w:val="center"/>
          </w:tcPr>
          <w:p w14:paraId="3CDDDEB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29.0</w:t>
            </w:r>
          </w:p>
        </w:tc>
        <w:tc>
          <w:tcPr>
            <w:tcW w:w="1043" w:type="dxa"/>
            <w:tcBorders>
              <w:bottom w:val="single" w:color="auto" w:sz="4" w:space="0"/>
            </w:tcBorders>
            <w:vAlign w:val="center"/>
          </w:tcPr>
          <w:p w14:paraId="674DA07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29.0</w:t>
            </w:r>
          </w:p>
        </w:tc>
        <w:tc>
          <w:tcPr>
            <w:tcW w:w="1050" w:type="dxa"/>
            <w:tcBorders>
              <w:bottom w:val="single" w:color="auto" w:sz="4" w:space="0"/>
            </w:tcBorders>
            <w:vAlign w:val="center"/>
          </w:tcPr>
          <w:p w14:paraId="13E9E937">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15</w:t>
            </w:r>
          </w:p>
        </w:tc>
        <w:tc>
          <w:tcPr>
            <w:tcW w:w="1090" w:type="dxa"/>
            <w:tcBorders>
              <w:bottom w:val="single" w:color="auto" w:sz="4" w:space="0"/>
            </w:tcBorders>
            <w:vAlign w:val="center"/>
          </w:tcPr>
          <w:p w14:paraId="487E13ED">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696.0</w:t>
            </w:r>
          </w:p>
        </w:tc>
        <w:tc>
          <w:tcPr>
            <w:tcW w:w="1252" w:type="dxa"/>
            <w:tcBorders>
              <w:bottom w:val="single" w:color="auto" w:sz="4" w:space="0"/>
            </w:tcBorders>
            <w:vAlign w:val="center"/>
          </w:tcPr>
          <w:p w14:paraId="76016A8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7A355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49" w:type="dxa"/>
            <w:vAlign w:val="center"/>
          </w:tcPr>
          <w:p w14:paraId="59D5D32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366" w:type="dxa"/>
            <w:vAlign w:val="center"/>
          </w:tcPr>
          <w:p w14:paraId="05B1045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污水处理站</w:t>
            </w:r>
          </w:p>
        </w:tc>
        <w:tc>
          <w:tcPr>
            <w:tcW w:w="1781" w:type="dxa"/>
            <w:vAlign w:val="center"/>
          </w:tcPr>
          <w:p w14:paraId="70F651A0">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带机</w:t>
            </w:r>
          </w:p>
        </w:tc>
        <w:tc>
          <w:tcPr>
            <w:tcW w:w="1090" w:type="dxa"/>
            <w:vAlign w:val="center"/>
          </w:tcPr>
          <w:p w14:paraId="08CA385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w:t>
            </w:r>
          </w:p>
        </w:tc>
        <w:tc>
          <w:tcPr>
            <w:tcW w:w="1043" w:type="dxa"/>
            <w:vAlign w:val="center"/>
          </w:tcPr>
          <w:p w14:paraId="15AFF07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15.0</w:t>
            </w:r>
          </w:p>
        </w:tc>
        <w:tc>
          <w:tcPr>
            <w:tcW w:w="1050" w:type="dxa"/>
            <w:vAlign w:val="center"/>
          </w:tcPr>
          <w:p w14:paraId="496D103D">
            <w:pPr>
              <w:spacing w:line="36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1090" w:type="dxa"/>
            <w:vAlign w:val="center"/>
          </w:tcPr>
          <w:p w14:paraId="52EB20A6">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192.0</w:t>
            </w:r>
          </w:p>
        </w:tc>
        <w:tc>
          <w:tcPr>
            <w:tcW w:w="1252" w:type="dxa"/>
            <w:vAlign w:val="center"/>
          </w:tcPr>
          <w:p w14:paraId="1FC87B19">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31D09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449" w:type="dxa"/>
            <w:vAlign w:val="center"/>
          </w:tcPr>
          <w:p w14:paraId="7180E809">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366" w:type="dxa"/>
            <w:vAlign w:val="center"/>
          </w:tcPr>
          <w:p w14:paraId="5729ACCC">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制冷站</w:t>
            </w:r>
          </w:p>
        </w:tc>
        <w:tc>
          <w:tcPr>
            <w:tcW w:w="1781" w:type="dxa"/>
            <w:vAlign w:val="center"/>
          </w:tcPr>
          <w:p w14:paraId="452CE2AD">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循环水补充排水</w:t>
            </w:r>
          </w:p>
        </w:tc>
        <w:tc>
          <w:tcPr>
            <w:tcW w:w="1090" w:type="dxa"/>
            <w:vAlign w:val="center"/>
          </w:tcPr>
          <w:p w14:paraId="1FC6F91E">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w:t>
            </w:r>
          </w:p>
        </w:tc>
        <w:tc>
          <w:tcPr>
            <w:tcW w:w="1043" w:type="dxa"/>
            <w:vAlign w:val="center"/>
          </w:tcPr>
          <w:p w14:paraId="42BDEF01">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39.5</w:t>
            </w:r>
          </w:p>
        </w:tc>
        <w:tc>
          <w:tcPr>
            <w:tcW w:w="1050" w:type="dxa"/>
            <w:vAlign w:val="center"/>
          </w:tcPr>
          <w:p w14:paraId="71FD97EC">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p>
        </w:tc>
        <w:tc>
          <w:tcPr>
            <w:tcW w:w="1090" w:type="dxa"/>
            <w:vAlign w:val="center"/>
          </w:tcPr>
          <w:p w14:paraId="4B85419F">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948.0</w:t>
            </w:r>
          </w:p>
        </w:tc>
        <w:tc>
          <w:tcPr>
            <w:tcW w:w="1252" w:type="dxa"/>
            <w:vAlign w:val="center"/>
          </w:tcPr>
          <w:p w14:paraId="0EB18835">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清洁废水</w:t>
            </w:r>
          </w:p>
        </w:tc>
      </w:tr>
      <w:tr w14:paraId="3BCC3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49" w:type="dxa"/>
            <w:vAlign w:val="center"/>
          </w:tcPr>
          <w:p w14:paraId="6882774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366" w:type="dxa"/>
            <w:vAlign w:val="center"/>
          </w:tcPr>
          <w:p w14:paraId="5A8E05A6">
            <w:pPr>
              <w:spacing w:line="36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循环水</w:t>
            </w:r>
            <w:r>
              <w:rPr>
                <w:rFonts w:hint="default" w:ascii="Times New Roman" w:hAnsi="Times New Roman" w:eastAsia="宋体" w:cs="Times New Roman"/>
                <w:color w:val="auto"/>
                <w:sz w:val="21"/>
                <w:szCs w:val="21"/>
              </w:rPr>
              <w:t>站</w:t>
            </w:r>
          </w:p>
        </w:tc>
        <w:tc>
          <w:tcPr>
            <w:tcW w:w="1781" w:type="dxa"/>
            <w:vAlign w:val="center"/>
          </w:tcPr>
          <w:p w14:paraId="0278577D">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自排水</w:t>
            </w:r>
          </w:p>
        </w:tc>
        <w:tc>
          <w:tcPr>
            <w:tcW w:w="1090" w:type="dxa"/>
            <w:vAlign w:val="center"/>
          </w:tcPr>
          <w:p w14:paraId="24C2506D">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043" w:type="dxa"/>
            <w:vAlign w:val="center"/>
          </w:tcPr>
          <w:p w14:paraId="137ABA12">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10.6</w:t>
            </w:r>
          </w:p>
        </w:tc>
        <w:tc>
          <w:tcPr>
            <w:tcW w:w="1050" w:type="dxa"/>
            <w:vAlign w:val="center"/>
          </w:tcPr>
          <w:p w14:paraId="14531A32">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w:t>
            </w:r>
          </w:p>
        </w:tc>
        <w:tc>
          <w:tcPr>
            <w:tcW w:w="1090" w:type="dxa"/>
            <w:vAlign w:val="center"/>
          </w:tcPr>
          <w:p w14:paraId="7B945C5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168.0</w:t>
            </w:r>
          </w:p>
        </w:tc>
        <w:tc>
          <w:tcPr>
            <w:tcW w:w="1252" w:type="dxa"/>
            <w:vAlign w:val="center"/>
          </w:tcPr>
          <w:p w14:paraId="116E0A61">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26C81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449" w:type="dxa"/>
            <w:vAlign w:val="center"/>
          </w:tcPr>
          <w:p w14:paraId="75BB624B">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366" w:type="dxa"/>
            <w:vAlign w:val="center"/>
          </w:tcPr>
          <w:p w14:paraId="761A75B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生活用水</w:t>
            </w:r>
          </w:p>
        </w:tc>
        <w:tc>
          <w:tcPr>
            <w:tcW w:w="1781" w:type="dxa"/>
            <w:vAlign w:val="center"/>
          </w:tcPr>
          <w:p w14:paraId="5BB9EC58">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生活用水</w:t>
            </w:r>
          </w:p>
        </w:tc>
        <w:tc>
          <w:tcPr>
            <w:tcW w:w="1090" w:type="dxa"/>
            <w:vAlign w:val="center"/>
          </w:tcPr>
          <w:p w14:paraId="48A53F9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1043" w:type="dxa"/>
            <w:vAlign w:val="center"/>
          </w:tcPr>
          <w:p w14:paraId="211FCB1A">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7.6</w:t>
            </w:r>
          </w:p>
        </w:tc>
        <w:tc>
          <w:tcPr>
            <w:tcW w:w="1050" w:type="dxa"/>
            <w:vAlign w:val="center"/>
          </w:tcPr>
          <w:p w14:paraId="261150C8">
            <w:pPr>
              <w:spacing w:line="36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w:t>
            </w:r>
          </w:p>
        </w:tc>
        <w:tc>
          <w:tcPr>
            <w:tcW w:w="1090" w:type="dxa"/>
            <w:vAlign w:val="center"/>
          </w:tcPr>
          <w:p w14:paraId="632F4D2C">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91.2</w:t>
            </w:r>
          </w:p>
        </w:tc>
        <w:tc>
          <w:tcPr>
            <w:tcW w:w="1252" w:type="dxa"/>
            <w:vAlign w:val="center"/>
          </w:tcPr>
          <w:p w14:paraId="4FCD20C6">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64AE3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49" w:type="dxa"/>
            <w:vAlign w:val="center"/>
          </w:tcPr>
          <w:p w14:paraId="62278A3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366" w:type="dxa"/>
            <w:vAlign w:val="center"/>
          </w:tcPr>
          <w:p w14:paraId="5904DAEA">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未预见水量</w:t>
            </w:r>
          </w:p>
        </w:tc>
        <w:tc>
          <w:tcPr>
            <w:tcW w:w="1781" w:type="dxa"/>
            <w:vAlign w:val="center"/>
          </w:tcPr>
          <w:p w14:paraId="025DA081">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未预见水量</w:t>
            </w:r>
          </w:p>
        </w:tc>
        <w:tc>
          <w:tcPr>
            <w:tcW w:w="1090" w:type="dxa"/>
            <w:vAlign w:val="center"/>
          </w:tcPr>
          <w:p w14:paraId="426A50D6">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35.3</w:t>
            </w:r>
          </w:p>
        </w:tc>
        <w:tc>
          <w:tcPr>
            <w:tcW w:w="1043" w:type="dxa"/>
            <w:vAlign w:val="center"/>
          </w:tcPr>
          <w:p w14:paraId="71A4121E">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36.6</w:t>
            </w:r>
          </w:p>
        </w:tc>
        <w:tc>
          <w:tcPr>
            <w:tcW w:w="1050" w:type="dxa"/>
            <w:vAlign w:val="center"/>
          </w:tcPr>
          <w:p w14:paraId="510657A3">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36.6</w:t>
            </w:r>
          </w:p>
        </w:tc>
        <w:tc>
          <w:tcPr>
            <w:tcW w:w="1090" w:type="dxa"/>
            <w:vAlign w:val="center"/>
          </w:tcPr>
          <w:p w14:paraId="586BFCC9">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829.7</w:t>
            </w:r>
          </w:p>
        </w:tc>
        <w:tc>
          <w:tcPr>
            <w:tcW w:w="1252" w:type="dxa"/>
            <w:vAlign w:val="center"/>
          </w:tcPr>
          <w:p w14:paraId="1D7F1FE3">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4B0EA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449" w:type="dxa"/>
            <w:vMerge w:val="restart"/>
            <w:vAlign w:val="center"/>
          </w:tcPr>
          <w:p w14:paraId="699B450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3147" w:type="dxa"/>
            <w:gridSpan w:val="2"/>
            <w:vMerge w:val="restart"/>
            <w:vAlign w:val="center"/>
          </w:tcPr>
          <w:p w14:paraId="1067C95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090" w:type="dxa"/>
            <w:vAlign w:val="center"/>
          </w:tcPr>
          <w:p w14:paraId="4274AC0A">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396.8</w:t>
            </w:r>
          </w:p>
        </w:tc>
        <w:tc>
          <w:tcPr>
            <w:tcW w:w="1043" w:type="dxa"/>
            <w:vAlign w:val="center"/>
          </w:tcPr>
          <w:p w14:paraId="4FEC334D">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413.3</w:t>
            </w:r>
          </w:p>
        </w:tc>
        <w:tc>
          <w:tcPr>
            <w:tcW w:w="1050" w:type="dxa"/>
            <w:vAlign w:val="center"/>
          </w:tcPr>
          <w:p w14:paraId="51059F60">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708.7</w:t>
            </w:r>
          </w:p>
        </w:tc>
        <w:tc>
          <w:tcPr>
            <w:tcW w:w="1090" w:type="dxa"/>
            <w:vAlign w:val="center"/>
          </w:tcPr>
          <w:p w14:paraId="6F7F01AC">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9523.2</w:t>
            </w:r>
          </w:p>
        </w:tc>
        <w:tc>
          <w:tcPr>
            <w:tcW w:w="1252" w:type="dxa"/>
            <w:vAlign w:val="center"/>
          </w:tcPr>
          <w:p w14:paraId="1546D388">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w:t>
            </w:r>
          </w:p>
        </w:tc>
      </w:tr>
      <w:tr w14:paraId="5248C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449" w:type="dxa"/>
            <w:vMerge w:val="continue"/>
            <w:vAlign w:val="center"/>
          </w:tcPr>
          <w:p w14:paraId="12C124F8">
            <w:pPr>
              <w:spacing w:line="360" w:lineRule="auto"/>
              <w:jc w:val="center"/>
              <w:rPr>
                <w:rFonts w:hint="default" w:ascii="Times New Roman" w:hAnsi="Times New Roman" w:eastAsia="宋体" w:cs="Times New Roman"/>
                <w:color w:val="auto"/>
                <w:sz w:val="21"/>
                <w:szCs w:val="21"/>
              </w:rPr>
            </w:pPr>
          </w:p>
        </w:tc>
        <w:tc>
          <w:tcPr>
            <w:tcW w:w="3147" w:type="dxa"/>
            <w:gridSpan w:val="2"/>
            <w:vMerge w:val="continue"/>
            <w:vAlign w:val="center"/>
          </w:tcPr>
          <w:p w14:paraId="719DC046">
            <w:pPr>
              <w:spacing w:line="360" w:lineRule="auto"/>
              <w:jc w:val="center"/>
              <w:rPr>
                <w:rFonts w:hint="default" w:ascii="Times New Roman" w:hAnsi="Times New Roman" w:eastAsia="宋体" w:cs="Times New Roman"/>
                <w:color w:val="auto"/>
                <w:sz w:val="21"/>
                <w:szCs w:val="21"/>
              </w:rPr>
            </w:pPr>
          </w:p>
        </w:tc>
        <w:tc>
          <w:tcPr>
            <w:tcW w:w="1090" w:type="dxa"/>
            <w:vAlign w:val="center"/>
          </w:tcPr>
          <w:p w14:paraId="6E3B101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139.1</w:t>
            </w:r>
          </w:p>
        </w:tc>
        <w:tc>
          <w:tcPr>
            <w:tcW w:w="1043" w:type="dxa"/>
            <w:vAlign w:val="center"/>
          </w:tcPr>
          <w:p w14:paraId="25B0C62A">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159.3</w:t>
            </w:r>
          </w:p>
        </w:tc>
        <w:tc>
          <w:tcPr>
            <w:tcW w:w="1050" w:type="dxa"/>
            <w:vAlign w:val="center"/>
          </w:tcPr>
          <w:p w14:paraId="7990AAE6">
            <w:pPr>
              <w:spacing w:line="36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p>
        </w:tc>
        <w:tc>
          <w:tcPr>
            <w:tcW w:w="1090" w:type="dxa"/>
            <w:vAlign w:val="center"/>
          </w:tcPr>
          <w:p w14:paraId="5076C714">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3338.4</w:t>
            </w:r>
          </w:p>
        </w:tc>
        <w:tc>
          <w:tcPr>
            <w:tcW w:w="1252" w:type="dxa"/>
            <w:vAlign w:val="center"/>
          </w:tcPr>
          <w:p w14:paraId="7761066C">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清洁废水</w:t>
            </w:r>
          </w:p>
        </w:tc>
      </w:tr>
      <w:tr w14:paraId="1F9BF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49" w:type="dxa"/>
            <w:vMerge w:val="continue"/>
            <w:vAlign w:val="center"/>
          </w:tcPr>
          <w:p w14:paraId="17F04884">
            <w:pPr>
              <w:spacing w:line="360" w:lineRule="auto"/>
              <w:jc w:val="center"/>
              <w:rPr>
                <w:rFonts w:hint="default" w:ascii="Times New Roman" w:hAnsi="Times New Roman" w:eastAsia="宋体" w:cs="Times New Roman"/>
                <w:color w:val="auto"/>
                <w:sz w:val="21"/>
                <w:szCs w:val="21"/>
              </w:rPr>
            </w:pPr>
          </w:p>
        </w:tc>
        <w:tc>
          <w:tcPr>
            <w:tcW w:w="3147" w:type="dxa"/>
            <w:gridSpan w:val="2"/>
            <w:vMerge w:val="continue"/>
            <w:vAlign w:val="center"/>
          </w:tcPr>
          <w:p w14:paraId="6C501194">
            <w:pPr>
              <w:spacing w:line="360" w:lineRule="auto"/>
              <w:jc w:val="center"/>
              <w:rPr>
                <w:rFonts w:hint="default" w:ascii="Times New Roman" w:hAnsi="Times New Roman" w:eastAsia="宋体" w:cs="Times New Roman"/>
                <w:color w:val="auto"/>
                <w:sz w:val="21"/>
                <w:szCs w:val="21"/>
              </w:rPr>
            </w:pPr>
          </w:p>
        </w:tc>
        <w:tc>
          <w:tcPr>
            <w:tcW w:w="1090" w:type="dxa"/>
            <w:vAlign w:val="center"/>
          </w:tcPr>
          <w:p w14:paraId="1C5F14AC">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535.9</w:t>
            </w:r>
          </w:p>
        </w:tc>
        <w:tc>
          <w:tcPr>
            <w:tcW w:w="1043" w:type="dxa"/>
            <w:vAlign w:val="center"/>
          </w:tcPr>
          <w:p w14:paraId="650C676A">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572.6</w:t>
            </w:r>
          </w:p>
        </w:tc>
        <w:tc>
          <w:tcPr>
            <w:tcW w:w="1050" w:type="dxa"/>
            <w:vAlign w:val="center"/>
          </w:tcPr>
          <w:p w14:paraId="62D3A56A">
            <w:pPr>
              <w:spacing w:line="36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708.7</w:t>
            </w:r>
          </w:p>
        </w:tc>
        <w:tc>
          <w:tcPr>
            <w:tcW w:w="1090" w:type="dxa"/>
            <w:vAlign w:val="center"/>
          </w:tcPr>
          <w:p w14:paraId="622FD86E">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12861.6</w:t>
            </w:r>
          </w:p>
        </w:tc>
        <w:tc>
          <w:tcPr>
            <w:tcW w:w="1252" w:type="dxa"/>
            <w:vAlign w:val="center"/>
          </w:tcPr>
          <w:p w14:paraId="46B2AD10">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总排水量</w:t>
            </w:r>
          </w:p>
        </w:tc>
      </w:tr>
    </w:tbl>
    <w:p w14:paraId="403542D0">
      <w:pPr>
        <w:pStyle w:val="42"/>
        <w:rPr>
          <w:rFonts w:hint="eastAsia"/>
          <w:lang w:val="en-US" w:eastAsia="zh-CN"/>
        </w:rPr>
      </w:pPr>
    </w:p>
    <w:p w14:paraId="65A0B169">
      <w:pPr>
        <w:pStyle w:val="5"/>
      </w:pPr>
      <w:r>
        <w:t>3.2.</w:t>
      </w:r>
      <w:r>
        <w:rPr>
          <w:rFonts w:hint="eastAsia" w:eastAsia="宋体"/>
          <w:lang w:val="en-US" w:eastAsia="zh-CN"/>
        </w:rPr>
        <w:t>4</w:t>
      </w:r>
      <w:r>
        <w:t>.3供电</w:t>
      </w:r>
    </w:p>
    <w:p w14:paraId="0F1906DB">
      <w:pPr>
        <w:spacing w:line="360" w:lineRule="auto"/>
        <w:ind w:firstLine="480" w:firstLineChars="200"/>
      </w:pPr>
      <w:r>
        <w:rPr>
          <w:rFonts w:hint="eastAsia"/>
          <w:lang w:eastAsia="zh-CN"/>
        </w:rPr>
        <w:t>本项目</w:t>
      </w:r>
      <w:r>
        <w:t>用电由市政电网提供，依托厂区内现有供电系统。</w:t>
      </w:r>
    </w:p>
    <w:p w14:paraId="1F519C91">
      <w:pPr>
        <w:pStyle w:val="5"/>
        <w:rPr>
          <w:color w:val="auto"/>
        </w:rPr>
      </w:pPr>
      <w:r>
        <w:rPr>
          <w:color w:val="auto"/>
        </w:rPr>
        <w:t>3.2.</w:t>
      </w:r>
      <w:r>
        <w:rPr>
          <w:rFonts w:hint="eastAsia" w:eastAsia="宋体"/>
          <w:color w:val="auto"/>
          <w:lang w:val="en-US" w:eastAsia="zh-CN"/>
        </w:rPr>
        <w:t>4</w:t>
      </w:r>
      <w:r>
        <w:rPr>
          <w:color w:val="auto"/>
        </w:rPr>
        <w:t>.4供暖</w:t>
      </w:r>
    </w:p>
    <w:p w14:paraId="716DAD41">
      <w:pPr>
        <w:spacing w:line="360" w:lineRule="auto"/>
        <w:ind w:firstLine="480" w:firstLineChars="200"/>
        <w:rPr>
          <w:color w:val="FF0000"/>
        </w:rPr>
      </w:pPr>
      <w:r>
        <w:rPr>
          <w:rFonts w:hint="eastAsia"/>
          <w:color w:val="auto"/>
          <w:lang w:eastAsia="zh-CN"/>
        </w:rPr>
        <w:t>本项目</w:t>
      </w:r>
      <w:r>
        <w:rPr>
          <w:color w:val="auto"/>
        </w:rPr>
        <w:t>供暖采用厂区内锅炉房供热。</w:t>
      </w:r>
    </w:p>
    <w:p w14:paraId="07BC35A7">
      <w:pPr>
        <w:pStyle w:val="4"/>
      </w:pPr>
      <w:bookmarkStart w:id="208" w:name="bookmark289"/>
      <w:bookmarkStart w:id="209" w:name="bookmark288"/>
      <w:bookmarkStart w:id="210" w:name="bookmark287"/>
      <w:r>
        <w:rPr>
          <w:rFonts w:hint="eastAsia"/>
        </w:rPr>
        <w:t>3.2.</w:t>
      </w:r>
      <w:r>
        <w:rPr>
          <w:rFonts w:hint="eastAsia"/>
          <w:lang w:val="en-US" w:eastAsia="zh-CN"/>
        </w:rPr>
        <w:t>5</w:t>
      </w:r>
      <w:r>
        <w:t>工程定员</w:t>
      </w:r>
      <w:bookmarkEnd w:id="208"/>
      <w:bookmarkEnd w:id="209"/>
      <w:bookmarkEnd w:id="210"/>
    </w:p>
    <w:p w14:paraId="272A126A">
      <w:pPr>
        <w:spacing w:line="360" w:lineRule="auto"/>
        <w:ind w:firstLine="480" w:firstLineChars="200"/>
      </w:pPr>
      <w:r>
        <w:rPr>
          <w:rFonts w:hint="eastAsia"/>
          <w:lang w:eastAsia="zh-CN"/>
        </w:rPr>
        <w:t>本项目</w:t>
      </w:r>
      <w:r>
        <w:rPr>
          <w:rFonts w:hint="eastAsia"/>
          <w:lang w:val="en-US" w:eastAsia="zh-CN"/>
        </w:rPr>
        <w:t>不</w:t>
      </w:r>
      <w:r>
        <w:t>新增劳动定员。</w:t>
      </w:r>
    </w:p>
    <w:p w14:paraId="68443CCD">
      <w:pPr>
        <w:pStyle w:val="3"/>
      </w:pPr>
      <w:bookmarkStart w:id="211" w:name="_Toc11367"/>
      <w:bookmarkStart w:id="212" w:name="_Toc29721"/>
      <w:bookmarkStart w:id="213" w:name="_Toc12308"/>
      <w:bookmarkStart w:id="214" w:name="_Toc23225"/>
      <w:bookmarkStart w:id="215" w:name="_Toc22015"/>
      <w:bookmarkStart w:id="216" w:name="_Toc5001"/>
      <w:bookmarkStart w:id="217" w:name="_Toc5370"/>
      <w:r>
        <w:t>3.3施工期工程分析</w:t>
      </w:r>
      <w:bookmarkEnd w:id="211"/>
      <w:bookmarkEnd w:id="212"/>
      <w:bookmarkEnd w:id="213"/>
      <w:bookmarkEnd w:id="214"/>
      <w:bookmarkEnd w:id="215"/>
      <w:bookmarkEnd w:id="216"/>
      <w:bookmarkEnd w:id="217"/>
      <w:bookmarkStart w:id="218" w:name="_Toc14286"/>
      <w:bookmarkStart w:id="219" w:name="_Toc7256"/>
      <w:bookmarkStart w:id="220" w:name="_Toc32429"/>
      <w:bookmarkStart w:id="221" w:name="_Toc3812"/>
      <w:bookmarkStart w:id="222" w:name="_Toc21879"/>
      <w:bookmarkStart w:id="223" w:name="_Toc6999"/>
    </w:p>
    <w:p w14:paraId="1CCB26C2">
      <w:pPr>
        <w:spacing w:line="360" w:lineRule="auto"/>
        <w:ind w:firstLine="480" w:firstLineChars="200"/>
      </w:pPr>
      <w:r>
        <w:rPr>
          <w:rFonts w:hint="eastAsia"/>
          <w:lang w:eastAsia="zh-CN"/>
        </w:rPr>
        <w:t>本项目</w:t>
      </w:r>
      <w:r>
        <w:t>属于</w:t>
      </w:r>
      <w:r>
        <w:rPr>
          <w:rFonts w:hint="eastAsia"/>
          <w:lang w:val="en-US" w:eastAsia="zh-CN"/>
        </w:rPr>
        <w:t>补做环评</w:t>
      </w:r>
      <w:r>
        <w:rPr>
          <w:rFonts w:hint="eastAsia"/>
        </w:rPr>
        <w:t>项目</w:t>
      </w:r>
      <w:r>
        <w:t>，施工期已经完成。</w:t>
      </w:r>
    </w:p>
    <w:p w14:paraId="7D63979C">
      <w:pPr>
        <w:pStyle w:val="3"/>
        <w:rPr>
          <w:szCs w:val="30"/>
        </w:rPr>
      </w:pPr>
      <w:bookmarkStart w:id="224" w:name="_bookmark19"/>
      <w:bookmarkEnd w:id="224"/>
      <w:bookmarkStart w:id="225" w:name="4.3.1工艺流程"/>
      <w:bookmarkEnd w:id="225"/>
      <w:bookmarkStart w:id="226" w:name="4.3营运期工程分析"/>
      <w:bookmarkEnd w:id="226"/>
      <w:bookmarkStart w:id="227" w:name="_Toc2808"/>
      <w:r>
        <w:rPr>
          <w:szCs w:val="30"/>
        </w:rPr>
        <w:t>3.4营运期工程分析</w:t>
      </w:r>
      <w:bookmarkEnd w:id="218"/>
      <w:bookmarkEnd w:id="219"/>
      <w:bookmarkEnd w:id="220"/>
      <w:bookmarkEnd w:id="221"/>
      <w:bookmarkEnd w:id="222"/>
      <w:bookmarkEnd w:id="223"/>
      <w:bookmarkEnd w:id="227"/>
    </w:p>
    <w:p w14:paraId="58DF76C7">
      <w:pPr>
        <w:pStyle w:val="4"/>
        <w:rPr>
          <w:szCs w:val="28"/>
        </w:rPr>
      </w:pPr>
      <w:r>
        <w:rPr>
          <w:szCs w:val="28"/>
        </w:rPr>
        <w:t>3.4.1营运期工艺流程</w:t>
      </w:r>
    </w:p>
    <w:p w14:paraId="6B5638AE">
      <w:pPr>
        <w:pStyle w:val="5"/>
        <w:rPr>
          <w:rFonts w:hint="default" w:ascii="Times New Roman" w:hAnsi="Times New Roman" w:eastAsia="Times New Roman" w:cs="Times New Roman"/>
          <w:lang w:val="en-US" w:eastAsia="zh-CN"/>
        </w:rPr>
      </w:pPr>
      <w:r>
        <w:rPr>
          <w:rFonts w:ascii="Times New Roman" w:hAnsi="Times New Roman" w:eastAsia="Times New Roman" w:cs="Times New Roman"/>
        </w:rPr>
        <w:t>3.</w:t>
      </w:r>
      <w:r>
        <w:rPr>
          <w:rFonts w:hint="eastAsia" w:ascii="Times New Roman" w:hAnsi="Times New Roman" w:eastAsia="宋体" w:cs="Times New Roman"/>
          <w:lang w:val="en-US" w:eastAsia="zh-CN"/>
        </w:rPr>
        <w:t>4.1</w:t>
      </w:r>
      <w:r>
        <w:rPr>
          <w:rFonts w:ascii="Times New Roman" w:hAnsi="Times New Roman" w:eastAsia="Times New Roman" w:cs="Times New Roman"/>
        </w:rPr>
        <w:t>.1</w:t>
      </w:r>
      <w:r>
        <w:rPr>
          <w:rFonts w:hint="eastAsia" w:eastAsia="宋体" w:cs="Times New Roman"/>
          <w:lang w:val="en-US" w:eastAsia="zh-CN"/>
        </w:rPr>
        <w:t>技术改造</w:t>
      </w:r>
      <w:r>
        <w:rPr>
          <w:rFonts w:hint="eastAsia" w:ascii="Times New Roman" w:hAnsi="Times New Roman" w:eastAsia="Times New Roman" w:cs="Times New Roman"/>
          <w:lang w:val="en-US" w:eastAsia="zh-CN"/>
        </w:rPr>
        <w:t>医用酒精</w:t>
      </w:r>
    </w:p>
    <w:p w14:paraId="2A00DBBA">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（1）蒸馏脱水工艺说明</w:t>
      </w:r>
    </w:p>
    <w:p w14:paraId="38A48278">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蒸馏系统由粗塔A、粗塔B、精塔A、精塔B、水洗塔及甲醇塔组成。</w:t>
      </w:r>
    </w:p>
    <w:p w14:paraId="4A1E6B69">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热量耦合方式：精塔A由来自锅炉的一次蒸汽供热，精塔B由精塔A酒汽间接供热，粗塔A由精塔B酒汽间接加热，粗塔B则由汽凝水闪蒸汽及分子筛脱水酒汽间接供热。水洗塔由精塔A酒汽间接加热，甲醇塔由水洗塔酒汽间接加热。</w:t>
      </w:r>
    </w:p>
    <w:p w14:paraId="5E89D722">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从发酵工段过来的成熟醪经预热后进入粗塔A和粗塔B，将粗塔顶酒汽冷凝得到粗酒，粗酒再经预热后进入精塔AB中部，也可以进入水洗塔进行水洗，再分别进精塔AB中部。从精馏塔A顶部取出的乙醇，送入精塔B中，精塔B塔顶酒汽分两部分， 一部分送去加热成熟醪，另一部分送去分子筛进行脱水。精塔AB采酒既可以进入甲醇 塔，普级酒精由甲醇塔底部采出。也可以进入无水原料罐。精塔AB及水洗塔采出的杂醇油乙醇送去杂醇油分离器处理，处理后的淡酒回到杂酒罐再回到系统。汽凝水经过闪蒸后送回锅炉。</w:t>
      </w:r>
    </w:p>
    <w:p w14:paraId="69DA471B">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（2）脱水工艺说明</w:t>
      </w:r>
    </w:p>
    <w:p w14:paraId="66B9C573">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分子筛脱水，系指分子筛颗粒在正压下，从含水乙醇中吸咐水分的过程；相反分子筛再生，系指分子筛从含水乙醇中吸咐水分后，在负压下再把分子筛中的水分脱除过程。是典型的交替循环连续运行的两分子筛塔脱水和再生过程。本工艺生产供料采用来自蒸馏装置的气相乙醇，通过过热器过热后，再送入分子筛吸附床进行脱水和循环再生，从而得到无水乙醇。其工艺流程说明简述如下：</w:t>
      </w:r>
    </w:p>
    <w:p w14:paraId="12529C7A">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来自蒸馏装置精塔B的酒汽通过原料酒汽过热器过热处理后，或者精塔AB酒液经过蒸发器加热，再通过原料酒汽过热器过热处理后，在适当压力下进入分子筛AC的底部，然后沿塔向上运动，边进入，边脱水，脱水后的大部分乙醇蒸汽在上部排出。其余的脱水乙醇蒸汽用于分子筛塔BD中的分子筛脱水再生。分子筛塔处于负压状态，以利脱水。四个分子筛塔如此周期性切换，通过调整压力、温度、流速、完成吸水和再生。当分子筛塔由吸水转为再生时，顶部的进口压力缓慢下降；分子筛塔切换后，作为具有脱水功能的分子筛塔“压力上升” 到分子筛吸水时的压力，另外一个分子筛塔在负压条件下压力降低至分子筛自身的脱水压力，这样分子筛塔自身不断地重复吸水和再生的   循环。通常脱除气相原料(95%乙醇蒸汽)中的水份一个循环周期所需要的时间约3～15min。</w:t>
      </w:r>
    </w:p>
    <w:p w14:paraId="665447D5">
      <w:pPr>
        <w:spacing w:line="360" w:lineRule="auto"/>
        <w:ind w:firstLine="480" w:firstLineChars="200"/>
        <w:rPr>
          <w:rFonts w:hint="eastAsia" w:ascii="Times New Roman" w:hAnsi="Times New Roman" w:eastAsia="宋体" w:cs="Times New Roman"/>
        </w:rPr>
      </w:pPr>
      <w:r>
        <w:rPr>
          <w:rFonts w:hint="eastAsia" w:ascii="Times New Roman" w:hAnsi="Times New Roman" w:eastAsia="宋体" w:cs="Times New Roman"/>
          <w:lang w:val="en-US" w:eastAsia="zh-CN"/>
        </w:rPr>
        <w:drawing>
          <wp:anchor distT="0" distB="0" distL="0" distR="0" simplePos="0" relativeHeight="251705344" behindDoc="0" locked="0" layoutInCell="1" allowOverlap="1">
            <wp:simplePos x="0" y="0"/>
            <wp:positionH relativeFrom="column">
              <wp:posOffset>0</wp:posOffset>
            </wp:positionH>
            <wp:positionV relativeFrom="paragraph">
              <wp:posOffset>11987530</wp:posOffset>
            </wp:positionV>
            <wp:extent cx="9962515" cy="9525"/>
            <wp:effectExtent l="0" t="0" r="0" b="0"/>
            <wp:wrapNone/>
            <wp:docPr id="59" name="IM 22"/>
            <wp:cNvGraphicFramePr/>
            <a:graphic xmlns:a="http://schemas.openxmlformats.org/drawingml/2006/main">
              <a:graphicData uri="http://schemas.openxmlformats.org/drawingml/2006/picture">
                <pic:pic xmlns:pic="http://schemas.openxmlformats.org/drawingml/2006/picture">
                  <pic:nvPicPr>
                    <pic:cNvPr id="59" name="IM 22"/>
                    <pic:cNvPicPr/>
                  </pic:nvPicPr>
                  <pic:blipFill>
                    <a:blip r:embed="rId57"/>
                    <a:stretch>
                      <a:fillRect/>
                    </a:stretch>
                  </pic:blipFill>
                  <pic:spPr>
                    <a:xfrm>
                      <a:off x="0" y="0"/>
                      <a:ext cx="9962804" cy="9655"/>
                    </a:xfrm>
                    <a:prstGeom prst="rect">
                      <a:avLst/>
                    </a:prstGeom>
                  </pic:spPr>
                </pic:pic>
              </a:graphicData>
            </a:graphic>
          </wp:anchor>
        </w:drawing>
      </w:r>
      <w:r>
        <w:rPr>
          <w:rFonts w:hint="eastAsia" w:ascii="Times New Roman" w:hAnsi="Times New Roman" w:eastAsia="宋体" w:cs="Times New Roman"/>
          <w:lang w:val="en-US" w:eastAsia="zh-CN"/>
        </w:rPr>
        <w:t>在无水乙醇生产中使用的分子筛规格为0.3nm级的合成沸石(内部孔径为0.3nm) 。水分子直径为0.28nm</w:t>
      </w:r>
      <w:r>
        <w:rPr>
          <w:rFonts w:hint="eastAsia" w:cs="Times New Roman"/>
          <w:lang w:val="en-US" w:eastAsia="zh-CN"/>
        </w:rPr>
        <w:t>，</w:t>
      </w:r>
      <w:r>
        <w:rPr>
          <w:rFonts w:hint="eastAsia" w:ascii="Times New Roman" w:hAnsi="Times New Roman" w:eastAsia="宋体" w:cs="Times New Roman"/>
          <w:lang w:val="en-US" w:eastAsia="zh-CN"/>
        </w:rPr>
        <w:t>能够进入分子筛空心小球的内部，并吸咐在其上；而乙醇分子直径为0.4nm不能进入孔内，就从外面流出，直接通过分子筛塔而不被吸咐。大部分脱水乙醇蒸汽通过再沸器、冷凝器进行冷凝。冷凝液被收集到成品暂贮罐中，再由泵送到成品冷却器进行冷却，冷却降温后的成品无水乙醇则送到成品计量罐和成品罐区中。另一小部分脱水乙醇蒸汽进入再生酒汽过热器进行过热处理，然后再进入分子筛吸附床解吸分子筛内的水分，并将水分带到再生酒汽冷凝器进行冷凝后，将冷凝液回到淡酒暂贮罐中。少量不凝气体由分子筛真空系统去除，而生产得到的淡酒送去蒸馏装置重新处理</w:t>
      </w:r>
      <w:r>
        <w:rPr>
          <w:rFonts w:hint="eastAsia" w:ascii="Times New Roman" w:hAnsi="Times New Roman" w:eastAsia="宋体" w:cs="Times New Roman"/>
        </w:rPr>
        <w:t>。</w:t>
      </w:r>
    </w:p>
    <w:p w14:paraId="04D68C01">
      <w:pPr>
        <w:pStyle w:val="5"/>
        <w:rPr>
          <w:rFonts w:hint="eastAsia" w:ascii="Times New Roman" w:hAnsi="Times New Roman" w:eastAsia="Times New Roman" w:cs="Times New Roman"/>
          <w:lang w:val="en-US" w:eastAsia="zh-CN"/>
        </w:rPr>
      </w:pPr>
      <w:r>
        <w:rPr>
          <w:rFonts w:hint="eastAsia" w:ascii="Times New Roman" w:hAnsi="Times New Roman" w:eastAsia="Times New Roman" w:cs="Times New Roman"/>
          <w:lang w:val="en-US" w:eastAsia="zh-CN"/>
        </w:rPr>
        <w:t>3.4.1.2污水处理站</w:t>
      </w:r>
    </w:p>
    <w:p w14:paraId="49392BE6">
      <w:pPr>
        <w:spacing w:line="360" w:lineRule="auto"/>
        <w:ind w:firstLine="480" w:firstLineChars="200"/>
        <w:rPr>
          <w:rFonts w:hint="eastAsia"/>
        </w:rPr>
      </w:pPr>
      <w:r>
        <w:rPr>
          <w:rFonts w:hint="eastAsia"/>
        </w:rPr>
        <w:t>污水处理厂整体工艺流程包括预处理、厌氧处理、好氧处理、沼气处理、污泥处理</w:t>
      </w:r>
      <w:r>
        <w:rPr>
          <w:rFonts w:hint="eastAsia"/>
          <w:lang w:eastAsia="zh-CN"/>
        </w:rPr>
        <w:t>、</w:t>
      </w:r>
      <w:r>
        <w:rPr>
          <w:rFonts w:hint="eastAsia" w:ascii="Times New Roman" w:hAnsi="Times New Roman" w:eastAsia="宋体" w:cs="Times New Roman"/>
          <w:lang w:val="en-US" w:eastAsia="zh-CN"/>
        </w:rPr>
        <w:t>化学品投加系统</w:t>
      </w:r>
      <w:r>
        <w:rPr>
          <w:rFonts w:hint="eastAsia"/>
        </w:rPr>
        <w:t>等。</w:t>
      </w:r>
    </w:p>
    <w:p w14:paraId="032B892C">
      <w:pPr>
        <w:spacing w:line="360" w:lineRule="auto"/>
        <w:ind w:firstLine="480" w:firstLineChars="200"/>
        <w:rPr>
          <w:rFonts w:hint="eastAsia"/>
        </w:rPr>
      </w:pPr>
      <w:r>
        <w:rPr>
          <w:rFonts w:hint="eastAsia"/>
          <w:lang w:eastAsia="zh-CN"/>
        </w:rPr>
        <w:t>（</w:t>
      </w:r>
      <w:r>
        <w:rPr>
          <w:rFonts w:hint="eastAsia"/>
          <w:lang w:val="en-US" w:eastAsia="zh-CN"/>
        </w:rPr>
        <w:t>1</w:t>
      </w:r>
      <w:r>
        <w:rPr>
          <w:rFonts w:hint="eastAsia"/>
          <w:lang w:eastAsia="zh-CN"/>
        </w:rPr>
        <w:t>）</w:t>
      </w:r>
      <w:r>
        <w:rPr>
          <w:rFonts w:hint="eastAsia"/>
        </w:rPr>
        <w:t>预处理</w:t>
      </w:r>
    </w:p>
    <w:p w14:paraId="5AF93D67">
      <w:pPr>
        <w:spacing w:line="360" w:lineRule="auto"/>
        <w:ind w:firstLine="480" w:firstLineChars="200"/>
        <w:rPr>
          <w:rFonts w:hint="eastAsia"/>
        </w:rPr>
      </w:pPr>
      <w:r>
        <w:rPr>
          <w:rFonts w:hint="eastAsia"/>
        </w:rPr>
        <w:t>这里的预处理指的是废水的收集，降温，均质均量等物化预处理。</w:t>
      </w:r>
    </w:p>
    <w:p w14:paraId="38ED0AF8">
      <w:pPr>
        <w:spacing w:line="360" w:lineRule="auto"/>
        <w:ind w:firstLine="480" w:firstLineChars="200"/>
        <w:rPr>
          <w:rFonts w:hint="eastAsia"/>
        </w:rPr>
      </w:pPr>
      <w:r>
        <w:rPr>
          <w:rFonts w:hint="eastAsia"/>
          <w:lang w:eastAsia="zh-CN"/>
        </w:rPr>
        <w:fldChar w:fldCharType="begin"/>
      </w:r>
      <w:r>
        <w:rPr>
          <w:rFonts w:hint="eastAsia"/>
          <w:lang w:eastAsia="zh-CN"/>
        </w:rPr>
        <w:instrText xml:space="preserve"> = 1 \* GB3 \* MERGEFORMAT </w:instrText>
      </w:r>
      <w:r>
        <w:rPr>
          <w:rFonts w:hint="eastAsia"/>
          <w:lang w:eastAsia="zh-CN"/>
        </w:rPr>
        <w:fldChar w:fldCharType="separate"/>
      </w:r>
      <w:r>
        <w:t>①</w:t>
      </w:r>
      <w:r>
        <w:rPr>
          <w:rFonts w:hint="eastAsia"/>
          <w:lang w:eastAsia="zh-CN"/>
        </w:rPr>
        <w:fldChar w:fldCharType="end"/>
      </w:r>
      <w:r>
        <w:rPr>
          <w:rFonts w:hint="eastAsia"/>
        </w:rPr>
        <w:t>集水池（利旧）</w:t>
      </w:r>
    </w:p>
    <w:p w14:paraId="7C0E1E13">
      <w:pPr>
        <w:spacing w:line="360" w:lineRule="auto"/>
        <w:ind w:firstLine="480" w:firstLineChars="200"/>
        <w:rPr>
          <w:rFonts w:hint="eastAsia"/>
        </w:rPr>
      </w:pPr>
      <w:r>
        <w:rPr>
          <w:rFonts w:hint="eastAsia"/>
        </w:rPr>
        <w:t>生产废水经清污分流后自流入集水井。当夏季水温过高时，由设置在集水池中的提升泵提升至调节池顶部的冷却塔进行降温，降温后的污水自流至调节池内。</w:t>
      </w:r>
    </w:p>
    <w:p w14:paraId="1CA63E40">
      <w:pPr>
        <w:spacing w:line="360" w:lineRule="auto"/>
        <w:ind w:firstLine="480" w:firstLineChars="200"/>
        <w:rPr>
          <w:rFonts w:hint="eastAsia"/>
        </w:rPr>
      </w:pPr>
      <w:r>
        <w:rPr>
          <w:rFonts w:hint="eastAsia"/>
        </w:rPr>
        <w:t>集水池有效容积480m</w:t>
      </w:r>
      <w:r>
        <w:rPr>
          <w:rFonts w:hint="eastAsia"/>
          <w:vertAlign w:val="superscript"/>
        </w:rPr>
        <w:t>3</w:t>
      </w:r>
      <w:r>
        <w:rPr>
          <w:rFonts w:hint="eastAsia"/>
        </w:rPr>
        <w:t>。集水池提升泵启停受液位自动控制。</w:t>
      </w:r>
    </w:p>
    <w:p w14:paraId="08D7FDDD">
      <w:pPr>
        <w:spacing w:line="360" w:lineRule="auto"/>
        <w:ind w:firstLine="480" w:firstLineChars="200"/>
        <w:rPr>
          <w:rFonts w:hint="eastAsia"/>
        </w:rPr>
      </w:pPr>
      <w:r>
        <w:rPr>
          <w:rFonts w:hint="eastAsia"/>
          <w:lang w:eastAsia="zh-CN"/>
        </w:rPr>
        <w:fldChar w:fldCharType="begin"/>
      </w:r>
      <w:r>
        <w:rPr>
          <w:rFonts w:hint="eastAsia"/>
          <w:lang w:eastAsia="zh-CN"/>
        </w:rPr>
        <w:instrText xml:space="preserve"> = 2 \* GB3 \* MERGEFORMAT </w:instrText>
      </w:r>
      <w:r>
        <w:rPr>
          <w:rFonts w:hint="eastAsia"/>
          <w:lang w:eastAsia="zh-CN"/>
        </w:rPr>
        <w:fldChar w:fldCharType="separate"/>
      </w:r>
      <w:r>
        <w:t>②</w:t>
      </w:r>
      <w:r>
        <w:rPr>
          <w:rFonts w:hint="eastAsia"/>
          <w:lang w:eastAsia="zh-CN"/>
        </w:rPr>
        <w:fldChar w:fldCharType="end"/>
      </w:r>
      <w:r>
        <w:rPr>
          <w:rFonts w:hint="eastAsia"/>
        </w:rPr>
        <w:t>沉淀池</w:t>
      </w:r>
    </w:p>
    <w:p w14:paraId="3BA88847">
      <w:pPr>
        <w:spacing w:line="360" w:lineRule="auto"/>
        <w:ind w:firstLine="480" w:firstLineChars="200"/>
        <w:rPr>
          <w:rFonts w:hint="eastAsia"/>
        </w:rPr>
      </w:pPr>
      <w:r>
        <w:rPr>
          <w:rFonts w:hint="eastAsia"/>
        </w:rPr>
        <w:t>废水经冷却塔降温后通过水泵压力流入有效容积为400 m3的初沉池。在此进行污水中的大的悬浮物的沉积，以保证污水后续污水处理正常运行。</w:t>
      </w:r>
    </w:p>
    <w:p w14:paraId="5D8272A0">
      <w:pPr>
        <w:spacing w:line="360" w:lineRule="auto"/>
        <w:ind w:firstLine="480" w:firstLineChars="200"/>
        <w:rPr>
          <w:rFonts w:hint="eastAsia"/>
        </w:rPr>
      </w:pPr>
      <w:r>
        <w:rPr>
          <w:rFonts w:hint="eastAsia"/>
          <w:lang w:eastAsia="zh-CN"/>
        </w:rPr>
        <w:fldChar w:fldCharType="begin"/>
      </w:r>
      <w:r>
        <w:rPr>
          <w:rFonts w:hint="eastAsia"/>
          <w:lang w:eastAsia="zh-CN"/>
        </w:rPr>
        <w:instrText xml:space="preserve"> = 3 \* GB3 \* MERGEFORMAT </w:instrText>
      </w:r>
      <w:r>
        <w:rPr>
          <w:rFonts w:hint="eastAsia"/>
          <w:lang w:eastAsia="zh-CN"/>
        </w:rPr>
        <w:fldChar w:fldCharType="separate"/>
      </w:r>
      <w:r>
        <w:t>③</w:t>
      </w:r>
      <w:r>
        <w:rPr>
          <w:rFonts w:hint="eastAsia"/>
          <w:lang w:eastAsia="zh-CN"/>
        </w:rPr>
        <w:fldChar w:fldCharType="end"/>
      </w:r>
      <w:r>
        <w:rPr>
          <w:rFonts w:hint="eastAsia"/>
        </w:rPr>
        <w:t>调节池</w:t>
      </w:r>
    </w:p>
    <w:p w14:paraId="0F3CA512">
      <w:pPr>
        <w:spacing w:line="360" w:lineRule="auto"/>
        <w:ind w:firstLine="480" w:firstLineChars="200"/>
        <w:rPr>
          <w:rFonts w:hint="eastAsia"/>
        </w:rPr>
      </w:pPr>
      <w:r>
        <w:rPr>
          <w:rFonts w:hint="eastAsia"/>
        </w:rPr>
        <w:t>废水经沉淀池沉淀后自流入有效容积为1500 m3的调节池。在此进行水量调节和水质的均化，同时废水中的有机污染物也会被酸化菌部分酸化为挥发性脂肪酸。平均停留时间约为5.0h。调节池内配备4台连续运转的潜水搅拌机，以防止固形物的沉淀和优化PH的控制。</w:t>
      </w:r>
    </w:p>
    <w:p w14:paraId="709A46BC">
      <w:pPr>
        <w:spacing w:line="360" w:lineRule="auto"/>
        <w:ind w:firstLine="480" w:firstLineChars="200"/>
        <w:rPr>
          <w:rFonts w:hint="eastAsia"/>
        </w:rPr>
      </w:pPr>
      <w:r>
        <w:rPr>
          <w:rFonts w:hint="eastAsia"/>
          <w:lang w:eastAsia="zh-CN"/>
        </w:rPr>
        <w:t>（</w:t>
      </w:r>
      <w:r>
        <w:rPr>
          <w:rFonts w:hint="eastAsia"/>
          <w:lang w:val="en-US" w:eastAsia="zh-CN"/>
        </w:rPr>
        <w:t>2</w:t>
      </w:r>
      <w:r>
        <w:rPr>
          <w:rFonts w:hint="eastAsia"/>
          <w:lang w:eastAsia="zh-CN"/>
        </w:rPr>
        <w:t>）</w:t>
      </w:r>
      <w:r>
        <w:rPr>
          <w:rFonts w:hint="eastAsia"/>
        </w:rPr>
        <w:t>厌氧处理</w:t>
      </w:r>
    </w:p>
    <w:p w14:paraId="7F60654C">
      <w:pPr>
        <w:spacing w:line="360" w:lineRule="auto"/>
        <w:ind w:firstLine="480" w:firstLineChars="20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配水池</w:t>
      </w:r>
    </w:p>
    <w:p w14:paraId="425DFE59">
      <w:pPr>
        <w:spacing w:line="360" w:lineRule="auto"/>
        <w:ind w:firstLine="480" w:firstLineChars="200"/>
        <w:rPr>
          <w:rFonts w:hint="eastAsia"/>
        </w:rPr>
      </w:pPr>
      <w:r>
        <w:rPr>
          <w:rFonts w:hint="eastAsia"/>
        </w:rPr>
        <w:t>废水由调节池自流进入配水池。配水池有效容积为420 m</w:t>
      </w:r>
      <w:r>
        <w:rPr>
          <w:rFonts w:hint="eastAsia"/>
          <w:vertAlign w:val="superscript"/>
        </w:rPr>
        <w:t>3</w:t>
      </w:r>
      <w:r>
        <w:rPr>
          <w:rFonts w:hint="eastAsia"/>
        </w:rPr>
        <w:t>。配水池可以给后续厌氧系统提供稳定均衡的供水。池内温度和PH值将连续监测，并在必要时投加NaOH来自动控制。池内设置蒸汽加热装置，营养盐、氧化钙及微量元素也在此添加。测量循环泵用于</w:t>
      </w:r>
      <w:r>
        <w:rPr>
          <w:rFonts w:hint="eastAsia"/>
          <w:lang w:val="en-US" w:eastAsia="zh-CN"/>
        </w:rPr>
        <w:t>p</w:t>
      </w:r>
      <w:r>
        <w:rPr>
          <w:rFonts w:hint="eastAsia"/>
        </w:rPr>
        <w:t>H值和温度的精确测量。</w:t>
      </w:r>
    </w:p>
    <w:p w14:paraId="52E91D5E">
      <w:pPr>
        <w:spacing w:line="360" w:lineRule="auto"/>
        <w:ind w:firstLine="480" w:firstLineChars="200"/>
        <w:rPr>
          <w:rFonts w:hint="eastAsia"/>
        </w:rPr>
      </w:pPr>
      <w:r>
        <w:rPr>
          <w:rFonts w:hint="eastAsia"/>
        </w:rPr>
        <w:t>配水池内废水由厌氧提升泵（2台，1用1备）提升至后续厌氧反应器。</w:t>
      </w:r>
    </w:p>
    <w:p w14:paraId="7563700F">
      <w:pPr>
        <w:spacing w:line="360" w:lineRule="auto"/>
        <w:ind w:firstLine="480" w:firstLineChars="200"/>
        <w:rPr>
          <w:rFonts w:hint="eastAsia"/>
        </w:rPr>
      </w:pPr>
      <w:r>
        <w:rPr>
          <w:rFonts w:hint="eastAsia"/>
        </w:rPr>
        <w:t>配水池内液位连续监测，并与厌氧提升泵启停连锁。</w:t>
      </w:r>
    </w:p>
    <w:p w14:paraId="05FEB887">
      <w:pPr>
        <w:spacing w:line="360" w:lineRule="auto"/>
        <w:ind w:firstLine="480" w:firstLineChars="200"/>
        <w:rPr>
          <w:rFonts w:hint="eastAsia"/>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SPIC厌氧反应器</w:t>
      </w:r>
    </w:p>
    <w:p w14:paraId="7FA0F69D">
      <w:pPr>
        <w:spacing w:line="360" w:lineRule="auto"/>
        <w:ind w:firstLine="480" w:firstLineChars="200"/>
        <w:rPr>
          <w:rFonts w:hint="eastAsia"/>
        </w:rPr>
      </w:pPr>
      <w:r>
        <w:rPr>
          <w:rFonts w:hint="eastAsia"/>
        </w:rPr>
        <w:t>废水自配水池泵入SPIC厌氧反应器。SPIC厌氧反应器内通过厌氧微生物的分解作用去除废水中大部分的有机物质。</w:t>
      </w:r>
    </w:p>
    <w:p w14:paraId="20924790">
      <w:pPr>
        <w:spacing w:line="360" w:lineRule="auto"/>
        <w:ind w:firstLine="480" w:firstLineChars="200"/>
        <w:rPr>
          <w:rFonts w:hint="eastAsia"/>
        </w:rPr>
      </w:pPr>
      <w:r>
        <w:rPr>
          <w:rFonts w:hint="eastAsia"/>
        </w:rPr>
        <w:t>反应器设1台，单座日处理6000 m</w:t>
      </w:r>
      <w:r>
        <w:rPr>
          <w:rFonts w:hint="eastAsia"/>
          <w:vertAlign w:val="superscript"/>
        </w:rPr>
        <w:t>3</w:t>
      </w:r>
      <w:r>
        <w:rPr>
          <w:rFonts w:hint="eastAsia"/>
        </w:rPr>
        <w:t>污水，容积为1852 m</w:t>
      </w:r>
      <w:r>
        <w:rPr>
          <w:rFonts w:hint="eastAsia"/>
          <w:vertAlign w:val="superscript"/>
        </w:rPr>
        <w:t>3</w:t>
      </w:r>
      <w:r>
        <w:rPr>
          <w:rFonts w:hint="eastAsia"/>
        </w:rPr>
        <w:t>（直径Φ=10m，H=24m）。</w:t>
      </w:r>
    </w:p>
    <w:p w14:paraId="02C94742">
      <w:pPr>
        <w:spacing w:line="360" w:lineRule="auto"/>
        <w:ind w:firstLine="480" w:firstLineChars="200"/>
        <w:rPr>
          <w:rFonts w:hint="eastAsia"/>
        </w:rPr>
      </w:pPr>
      <w:r>
        <w:rPr>
          <w:rFonts w:hint="eastAsia"/>
        </w:rPr>
        <w:t>厌氧颗粒污泥单罐初次接种量为550-600m</w:t>
      </w:r>
      <w:r>
        <w:rPr>
          <w:rFonts w:hint="eastAsia"/>
          <w:vertAlign w:val="superscript"/>
        </w:rPr>
        <w:t>3</w:t>
      </w:r>
      <w:r>
        <w:rPr>
          <w:rFonts w:hint="eastAsia"/>
        </w:rPr>
        <w:t>。</w:t>
      </w:r>
    </w:p>
    <w:p w14:paraId="0F292A3F">
      <w:pPr>
        <w:spacing w:line="360" w:lineRule="auto"/>
        <w:ind w:firstLine="480" w:firstLineChars="200"/>
        <w:rPr>
          <w:rFonts w:hint="eastAsia"/>
        </w:rPr>
      </w:pPr>
      <w:r>
        <w:rPr>
          <w:rFonts w:hint="eastAsia"/>
        </w:rPr>
        <w:t>SPIC厌氧反应器的进水流量由电磁流量计连续监测，手动阀门调节。</w:t>
      </w:r>
    </w:p>
    <w:p w14:paraId="258BBC1B">
      <w:pPr>
        <w:spacing w:line="360" w:lineRule="auto"/>
        <w:ind w:firstLine="480" w:firstLineChars="200"/>
        <w:rPr>
          <w:rFonts w:hint="eastAsia"/>
        </w:rPr>
      </w:pPr>
      <w:r>
        <w:rPr>
          <w:rFonts w:hint="eastAsia"/>
        </w:rPr>
        <w:t>SPIC厌氧反应器出水的温度和PH连续监测。反应器不同高度上设有取样管。</w:t>
      </w:r>
    </w:p>
    <w:p w14:paraId="3587521F">
      <w:pPr>
        <w:spacing w:line="360" w:lineRule="auto"/>
        <w:ind w:firstLine="480" w:firstLineChars="200"/>
        <w:rPr>
          <w:rFonts w:hint="eastAsia"/>
        </w:rPr>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厌氧污泥池</w:t>
      </w:r>
    </w:p>
    <w:p w14:paraId="0F29FA77">
      <w:pPr>
        <w:spacing w:line="360" w:lineRule="auto"/>
        <w:ind w:firstLine="480" w:firstLineChars="200"/>
        <w:rPr>
          <w:rFonts w:hint="eastAsia"/>
        </w:rPr>
      </w:pPr>
      <w:r>
        <w:rPr>
          <w:rFonts w:hint="eastAsia"/>
        </w:rPr>
        <w:t>厌氧反应器出水先通过泥水分离器，出水大部分至后续好氧系统进行后续处理。截留污泥进入厌氧污泥池，并通过泵回流至厌氧反应器内部。</w:t>
      </w:r>
    </w:p>
    <w:p w14:paraId="2E77B2B8">
      <w:pPr>
        <w:spacing w:line="360" w:lineRule="auto"/>
        <w:ind w:firstLine="480" w:firstLineChars="200"/>
        <w:rPr>
          <w:rFonts w:hint="eastAsia"/>
        </w:rPr>
      </w:pPr>
      <w:r>
        <w:rPr>
          <w:rFonts w:hint="eastAsia"/>
          <w:lang w:eastAsia="zh-CN"/>
        </w:rPr>
        <w:t>（</w:t>
      </w:r>
      <w:r>
        <w:rPr>
          <w:rFonts w:hint="eastAsia"/>
          <w:lang w:val="en-US" w:eastAsia="zh-CN"/>
        </w:rPr>
        <w:t>3</w:t>
      </w:r>
      <w:r>
        <w:rPr>
          <w:rFonts w:hint="eastAsia"/>
          <w:lang w:eastAsia="zh-CN"/>
        </w:rPr>
        <w:t>）</w:t>
      </w:r>
      <w:r>
        <w:rPr>
          <w:rFonts w:hint="eastAsia"/>
        </w:rPr>
        <w:t>好氧处理系统</w:t>
      </w:r>
    </w:p>
    <w:p w14:paraId="60E03867">
      <w:pPr>
        <w:spacing w:line="360" w:lineRule="auto"/>
        <w:ind w:firstLine="480" w:firstLineChars="200"/>
        <w:rPr>
          <w:rFonts w:hint="eastAsia"/>
        </w:rPr>
      </w:pPr>
      <w:r>
        <w:rPr>
          <w:rFonts w:hint="eastAsia"/>
        </w:rPr>
        <w:t>SPIC厌氧反应器的出水自流进入到好氧处理系统进一步去除可生物降解的有机物。好氧处理系统由两部分组成：厌氧池和生物接触氧化池。</w:t>
      </w:r>
    </w:p>
    <w:p w14:paraId="07842083">
      <w:pPr>
        <w:spacing w:line="360" w:lineRule="auto"/>
        <w:ind w:firstLine="480" w:firstLineChars="20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厌氧池</w:t>
      </w:r>
    </w:p>
    <w:p w14:paraId="2FBAEF20">
      <w:pPr>
        <w:spacing w:line="360" w:lineRule="auto"/>
        <w:ind w:firstLine="480" w:firstLineChars="200"/>
        <w:rPr>
          <w:rFonts w:hint="eastAsia"/>
        </w:rPr>
      </w:pPr>
      <w:r>
        <w:rPr>
          <w:rFonts w:hint="eastAsia"/>
        </w:rPr>
        <w:t>厌氧出水重力流入总容积为250m</w:t>
      </w:r>
      <w:r>
        <w:rPr>
          <w:rFonts w:hint="eastAsia"/>
          <w:vertAlign w:val="superscript"/>
        </w:rPr>
        <w:t>3</w:t>
      </w:r>
      <w:r>
        <w:rPr>
          <w:rFonts w:hint="eastAsia"/>
        </w:rPr>
        <w:t>的厌氧池。</w:t>
      </w:r>
    </w:p>
    <w:p w14:paraId="5D4A39FC">
      <w:pPr>
        <w:spacing w:line="360" w:lineRule="auto"/>
        <w:ind w:firstLine="480" w:firstLineChars="200"/>
        <w:rPr>
          <w:rFonts w:hint="eastAsia"/>
        </w:rPr>
      </w:pPr>
      <w:r>
        <w:rPr>
          <w:rFonts w:hint="eastAsia"/>
        </w:rPr>
        <w:t>设置厌氧池的目的是将活性污泥交替在厌氧以及好氧状态下运行，能使过量积聚磷酸盐的积磷菌占优势生长，使活性污泥含磷量比普通活性污泥高。污泥中积磷菌在厌氧状态下释放磷，在好氧状态下过量地摄取磷。经过排放富磷剩余污泥，其结果与普通活性污泥法相比，可去除污水中更多的磷。</w:t>
      </w:r>
    </w:p>
    <w:p w14:paraId="4F8AF6AA">
      <w:pPr>
        <w:spacing w:line="360" w:lineRule="auto"/>
        <w:ind w:firstLine="480" w:firstLineChars="200"/>
        <w:rPr>
          <w:rFonts w:hint="eastAsia"/>
        </w:rPr>
      </w:pPr>
      <w:r>
        <w:rPr>
          <w:rFonts w:hint="eastAsia"/>
        </w:rPr>
        <w:t>厌氧池内设置潜水搅拌机，增强聚磷菌与污水的传质效果。</w:t>
      </w:r>
    </w:p>
    <w:p w14:paraId="63E45BEA">
      <w:pPr>
        <w:spacing w:line="360" w:lineRule="auto"/>
        <w:ind w:firstLine="480" w:firstLineChars="200"/>
        <w:rPr>
          <w:rFonts w:hint="eastAsia"/>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好氧活性污泥池</w:t>
      </w:r>
    </w:p>
    <w:p w14:paraId="047E271C">
      <w:pPr>
        <w:spacing w:line="360" w:lineRule="auto"/>
        <w:ind w:firstLine="480" w:firstLineChars="200"/>
        <w:rPr>
          <w:rFonts w:hint="eastAsia"/>
        </w:rPr>
      </w:pPr>
      <w:r>
        <w:rPr>
          <w:rFonts w:hint="eastAsia"/>
        </w:rPr>
        <w:t>厌氧池出水进入好氧活性污泥池，进一步去除水中的悬浮物及有机物质。池底设微孔曝气管。</w:t>
      </w:r>
    </w:p>
    <w:p w14:paraId="78DF8C30">
      <w:pPr>
        <w:spacing w:line="360" w:lineRule="auto"/>
        <w:ind w:firstLine="480" w:firstLineChars="200"/>
        <w:rPr>
          <w:rFonts w:hint="eastAsia"/>
        </w:rPr>
      </w:pPr>
      <w:r>
        <w:rPr>
          <w:rFonts w:hint="eastAsia"/>
        </w:rPr>
        <w:t>生物接触氧化池容积2800m</w:t>
      </w:r>
      <w:r>
        <w:rPr>
          <w:rFonts w:hint="eastAsia"/>
          <w:vertAlign w:val="superscript"/>
        </w:rPr>
        <w:t>3</w:t>
      </w:r>
      <w:r>
        <w:rPr>
          <w:rFonts w:hint="eastAsia"/>
        </w:rPr>
        <w:t>。</w:t>
      </w:r>
    </w:p>
    <w:p w14:paraId="59D55184">
      <w:pPr>
        <w:spacing w:line="360" w:lineRule="auto"/>
        <w:ind w:firstLine="480" w:firstLineChars="200"/>
        <w:rPr>
          <w:rFonts w:hint="eastAsia"/>
        </w:rPr>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二沉池</w:t>
      </w:r>
    </w:p>
    <w:p w14:paraId="47213EE2">
      <w:pPr>
        <w:spacing w:line="360" w:lineRule="auto"/>
        <w:ind w:firstLine="480" w:firstLineChars="200"/>
        <w:rPr>
          <w:rFonts w:hint="eastAsia"/>
        </w:rPr>
      </w:pPr>
      <w:r>
        <w:rPr>
          <w:rFonts w:hint="eastAsia"/>
        </w:rPr>
        <w:t>好氧活性污泥池出水自流入二沉池。</w:t>
      </w:r>
    </w:p>
    <w:p w14:paraId="20CEB81D">
      <w:pPr>
        <w:spacing w:line="360" w:lineRule="auto"/>
        <w:ind w:firstLine="480" w:firstLineChars="200"/>
        <w:rPr>
          <w:rFonts w:hint="eastAsia"/>
        </w:rPr>
      </w:pPr>
      <w:r>
        <w:rPr>
          <w:rFonts w:hint="eastAsia"/>
        </w:rPr>
        <w:t>二沉池为幅流式沉淀池，1座，单座直径33m</w:t>
      </w:r>
      <w:r>
        <w:rPr>
          <w:rFonts w:hint="eastAsia"/>
          <w:vertAlign w:val="superscript"/>
        </w:rPr>
        <w:t xml:space="preserve"> 3</w:t>
      </w:r>
      <w:r>
        <w:rPr>
          <w:rFonts w:hint="eastAsia"/>
        </w:rPr>
        <w:t>。</w:t>
      </w:r>
    </w:p>
    <w:p w14:paraId="49A9BC05">
      <w:pPr>
        <w:spacing w:line="360" w:lineRule="auto"/>
        <w:ind w:firstLine="480" w:firstLineChars="200"/>
        <w:rPr>
          <w:rFonts w:hint="eastAsia"/>
        </w:rPr>
      </w:pPr>
      <w:r>
        <w:rPr>
          <w:rFonts w:hint="eastAsia"/>
        </w:rPr>
        <w:t>沉淀池上清液达标排放。沉淀污泥回流至厌氧池，剩余部分排放污泥浓缩池。污泥经过浓缩后进入脱水机脱水，渗滤液自流入集水池。</w:t>
      </w:r>
    </w:p>
    <w:p w14:paraId="1FD03337">
      <w:pPr>
        <w:numPr>
          <w:ilvl w:val="0"/>
          <w:numId w:val="0"/>
        </w:numPr>
        <w:spacing w:line="360" w:lineRule="auto"/>
        <w:ind w:left="480" w:leftChars="0"/>
        <w:rPr>
          <w:rFonts w:hint="eastAsia"/>
        </w:rPr>
      </w:pPr>
      <w:r>
        <w:rPr>
          <w:rFonts w:hint="eastAsia"/>
          <w:lang w:eastAsia="zh-CN"/>
        </w:rPr>
        <w:t>（</w:t>
      </w:r>
      <w:r>
        <w:rPr>
          <w:rFonts w:hint="eastAsia"/>
          <w:lang w:val="en-US" w:eastAsia="zh-CN"/>
        </w:rPr>
        <w:t>4</w:t>
      </w:r>
      <w:r>
        <w:rPr>
          <w:rFonts w:hint="eastAsia"/>
          <w:lang w:eastAsia="zh-CN"/>
        </w:rPr>
        <w:t>）</w:t>
      </w:r>
      <w:r>
        <w:rPr>
          <w:rFonts w:hint="eastAsia"/>
        </w:rPr>
        <w:t>沼气处理</w:t>
      </w:r>
    </w:p>
    <w:p w14:paraId="409BB85A">
      <w:pPr>
        <w:spacing w:line="360" w:lineRule="auto"/>
        <w:ind w:firstLine="480" w:firstLineChars="200"/>
        <w:rPr>
          <w:rFonts w:hint="eastAsia"/>
        </w:rPr>
      </w:pPr>
      <w:r>
        <w:rPr>
          <w:rFonts w:hint="eastAsia"/>
        </w:rPr>
        <w:t xml:space="preserve"> SPIC厌氧反应器在去除污染物的同时，产生清洁能源——沼气，产生的沼气可根据实际情况利用。沼气的产量取决于降解COD的量。</w:t>
      </w:r>
    </w:p>
    <w:p w14:paraId="18627EB5">
      <w:pPr>
        <w:spacing w:line="360" w:lineRule="auto"/>
        <w:ind w:firstLine="480" w:firstLineChars="20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沼气流量</w:t>
      </w:r>
    </w:p>
    <w:p w14:paraId="5A3A552B">
      <w:pPr>
        <w:spacing w:line="360" w:lineRule="auto"/>
        <w:ind w:firstLine="480" w:firstLineChars="200"/>
        <w:rPr>
          <w:rFonts w:hint="eastAsia"/>
        </w:rPr>
      </w:pPr>
      <w:r>
        <w:rPr>
          <w:rFonts w:hint="eastAsia"/>
        </w:rPr>
        <w:t>正常状况下，满负荷沼气产量约为6300m</w:t>
      </w:r>
      <w:r>
        <w:rPr>
          <w:rFonts w:hint="eastAsia"/>
          <w:vertAlign w:val="superscript"/>
        </w:rPr>
        <w:t>3</w:t>
      </w:r>
      <w:r>
        <w:rPr>
          <w:rFonts w:hint="eastAsia"/>
        </w:rPr>
        <w:t>/d。</w:t>
      </w:r>
    </w:p>
    <w:p w14:paraId="0025E8AD">
      <w:pPr>
        <w:spacing w:line="360" w:lineRule="auto"/>
        <w:ind w:firstLine="480" w:firstLineChars="200"/>
        <w:rPr>
          <w:rFonts w:hint="eastAsia"/>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沼气稳压柜</w:t>
      </w:r>
    </w:p>
    <w:p w14:paraId="23175B9E">
      <w:pPr>
        <w:spacing w:line="360" w:lineRule="auto"/>
        <w:ind w:firstLine="480" w:firstLineChars="200"/>
        <w:rPr>
          <w:rFonts w:hint="eastAsia"/>
        </w:rPr>
      </w:pPr>
      <w:r>
        <w:rPr>
          <w:rFonts w:hint="eastAsia"/>
        </w:rPr>
        <w:t>沼气稳压柜选用干式双膜球柜。容积200 m</w:t>
      </w:r>
      <w:r>
        <w:rPr>
          <w:rFonts w:hint="eastAsia"/>
          <w:vertAlign w:val="superscript"/>
        </w:rPr>
        <w:t>3</w:t>
      </w:r>
      <w:r>
        <w:rPr>
          <w:rFonts w:hint="eastAsia"/>
        </w:rPr>
        <w:t>，利旧。</w:t>
      </w:r>
    </w:p>
    <w:p w14:paraId="0F75F08D">
      <w:pPr>
        <w:spacing w:line="360" w:lineRule="auto"/>
        <w:ind w:firstLine="480" w:firstLineChars="200"/>
        <w:rPr>
          <w:rFonts w:hint="eastAsia" w:eastAsia="宋体"/>
          <w:lang w:eastAsia="zh-CN"/>
        </w:rPr>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沼气</w:t>
      </w:r>
      <w:r>
        <w:rPr>
          <w:rFonts w:hint="eastAsia"/>
          <w:lang w:val="en-US" w:eastAsia="zh-CN"/>
        </w:rPr>
        <w:t>燃烧</w:t>
      </w:r>
    </w:p>
    <w:p w14:paraId="437E89FA">
      <w:pPr>
        <w:spacing w:line="360" w:lineRule="auto"/>
        <w:ind w:firstLine="480" w:firstLineChars="200"/>
        <w:rPr>
          <w:b/>
          <w:sz w:val="24"/>
        </w:rPr>
      </w:pPr>
      <w:r>
        <w:rPr>
          <w:rFonts w:hint="eastAsia"/>
        </w:rPr>
        <w:t>沼气燃烧</w:t>
      </w:r>
      <w:r>
        <w:rPr>
          <w:rFonts w:hint="eastAsia"/>
          <w:lang w:val="en-US" w:eastAsia="zh-CN"/>
        </w:rPr>
        <w:t>方式为火炬燃烧。</w:t>
      </w:r>
      <w:r>
        <mc:AlternateContent>
          <mc:Choice Requires="wpg">
            <w:drawing>
              <wp:anchor distT="0" distB="0" distL="114300" distR="114300" simplePos="0" relativeHeight="251664384" behindDoc="0" locked="0" layoutInCell="1" allowOverlap="1">
                <wp:simplePos x="0" y="0"/>
                <wp:positionH relativeFrom="column">
                  <wp:posOffset>-228600</wp:posOffset>
                </wp:positionH>
                <wp:positionV relativeFrom="paragraph">
                  <wp:posOffset>300355</wp:posOffset>
                </wp:positionV>
                <wp:extent cx="5791835" cy="993775"/>
                <wp:effectExtent l="0" t="0" r="18415" b="15875"/>
                <wp:wrapTopAndBottom/>
                <wp:docPr id="326" name="组合 326"/>
                <wp:cNvGraphicFramePr/>
                <a:graphic xmlns:a="http://schemas.openxmlformats.org/drawingml/2006/main">
                  <a:graphicData uri="http://schemas.microsoft.com/office/word/2010/wordprocessingGroup">
                    <wpg:wgp>
                      <wpg:cNvGrpSpPr/>
                      <wpg:grpSpPr>
                        <a:xfrm>
                          <a:off x="0" y="0"/>
                          <a:ext cx="5791835" cy="993775"/>
                          <a:chOff x="0" y="0"/>
                          <a:chExt cx="7861" cy="1565"/>
                        </a:xfrm>
                      </wpg:grpSpPr>
                      <wpg:grpSp>
                        <wpg:cNvPr id="311" name="组合 311"/>
                        <wpg:cNvGrpSpPr/>
                        <wpg:grpSpPr>
                          <a:xfrm>
                            <a:off x="0" y="0"/>
                            <a:ext cx="4776" cy="494"/>
                            <a:chOff x="0" y="0"/>
                            <a:chExt cx="4829" cy="442"/>
                          </a:xfrm>
                        </wpg:grpSpPr>
                        <wps:wsp>
                          <wps:cNvPr id="304" name="矩形 304"/>
                          <wps:cNvSpPr/>
                          <wps:spPr>
                            <a:xfrm>
                              <a:off x="3077" y="38"/>
                              <a:ext cx="1753"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9051291">
                                <w:pPr>
                                  <w:jc w:val="center"/>
                                </w:pPr>
                                <w:r>
                                  <w:rPr>
                                    <w:rFonts w:hint="eastAsia"/>
                                  </w:rPr>
                                  <w:t>沼气脱硫脱水装置</w:t>
                                </w:r>
                              </w:p>
                            </w:txbxContent>
                          </wps:txbx>
                          <wps:bodyPr upright="1"/>
                        </wps:wsp>
                        <wpg:grpSp>
                          <wpg:cNvPr id="308" name="组合 308"/>
                          <wpg:cNvGrpSpPr/>
                          <wpg:grpSpPr>
                            <a:xfrm>
                              <a:off x="0" y="0"/>
                              <a:ext cx="2488" cy="422"/>
                              <a:chOff x="0" y="0"/>
                              <a:chExt cx="2488" cy="422"/>
                            </a:xfrm>
                          </wpg:grpSpPr>
                          <wps:wsp>
                            <wps:cNvPr id="305" name="矩形 305"/>
                            <wps:cNvSpPr/>
                            <wps:spPr>
                              <a:xfrm>
                                <a:off x="0" y="0"/>
                                <a:ext cx="719" cy="405"/>
                              </a:xfrm>
                              <a:prstGeom prst="rect">
                                <a:avLst/>
                              </a:prstGeom>
                              <a:solidFill>
                                <a:srgbClr val="FFFFFF"/>
                              </a:solidFill>
                              <a:ln>
                                <a:noFill/>
                              </a:ln>
                            </wps:spPr>
                            <wps:txbx>
                              <w:txbxContent>
                                <w:p w14:paraId="165C9D65">
                                  <w:r>
                                    <w:rPr>
                                      <w:rFonts w:hint="eastAsia"/>
                                    </w:rPr>
                                    <w:t>沼气</w:t>
                                  </w:r>
                                </w:p>
                              </w:txbxContent>
                            </wps:txbx>
                            <wps:bodyPr upright="1"/>
                          </wps:wsp>
                          <wps:wsp>
                            <wps:cNvPr id="306" name="矩形 306"/>
                            <wps:cNvSpPr/>
                            <wps:spPr>
                              <a:xfrm>
                                <a:off x="1246" y="18"/>
                                <a:ext cx="1242"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1759F66">
                                  <w:pPr>
                                    <w:jc w:val="center"/>
                                  </w:pPr>
                                  <w:r>
                                    <w:rPr>
                                      <w:rFonts w:hint="eastAsia"/>
                                    </w:rPr>
                                    <w:t>阻火器</w:t>
                                  </w:r>
                                </w:p>
                              </w:txbxContent>
                            </wps:txbx>
                            <wps:bodyPr upright="1"/>
                          </wps:wsp>
                          <wps:wsp>
                            <wps:cNvPr id="307" name="直接连接符 307"/>
                            <wps:cNvCnPr/>
                            <wps:spPr>
                              <a:xfrm>
                                <a:off x="703" y="208"/>
                                <a:ext cx="510" cy="1"/>
                              </a:xfrm>
                              <a:prstGeom prst="line">
                                <a:avLst/>
                              </a:prstGeom>
                              <a:ln w="9525" cap="flat" cmpd="sng">
                                <a:solidFill>
                                  <a:srgbClr val="000000"/>
                                </a:solidFill>
                                <a:prstDash val="solid"/>
                                <a:headEnd type="none" w="med" len="med"/>
                                <a:tailEnd type="triangle" w="med" len="med"/>
                              </a:ln>
                            </wps:spPr>
                            <wps:bodyPr upright="1"/>
                          </wps:wsp>
                        </wpg:grpSp>
                        <wps:wsp>
                          <wps:cNvPr id="309" name="直接连接符 309"/>
                          <wps:cNvCnPr/>
                          <wps:spPr>
                            <a:xfrm>
                              <a:off x="2525" y="229"/>
                              <a:ext cx="510" cy="1"/>
                            </a:xfrm>
                            <a:prstGeom prst="line">
                              <a:avLst/>
                            </a:prstGeom>
                            <a:ln w="9525" cap="flat" cmpd="sng">
                              <a:solidFill>
                                <a:srgbClr val="000000"/>
                              </a:solidFill>
                              <a:prstDash val="solid"/>
                              <a:headEnd type="none" w="med" len="med"/>
                              <a:tailEnd type="triangle" w="med" len="med"/>
                            </a:ln>
                          </wps:spPr>
                          <wps:bodyPr upright="1"/>
                        </wps:wsp>
                      </wpg:grpSp>
                      <wps:wsp>
                        <wps:cNvPr id="312" name="矩形 312"/>
                        <wps:cNvSpPr/>
                        <wps:spPr>
                          <a:xfrm>
                            <a:off x="3372" y="1071"/>
                            <a:ext cx="1034"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FFCCE95">
                              <w:pPr>
                                <w:jc w:val="center"/>
                              </w:pPr>
                              <w:r>
                                <w:rPr>
                                  <w:rFonts w:hint="eastAsia"/>
                                </w:rPr>
                                <w:t>贮气柜</w:t>
                              </w:r>
                            </w:p>
                          </w:txbxContent>
                        </wps:txbx>
                        <wps:bodyPr upright="1"/>
                      </wps:wsp>
                      <wpg:grpSp>
                        <wpg:cNvPr id="317" name="组合 317"/>
                        <wpg:cNvGrpSpPr/>
                        <wpg:grpSpPr>
                          <a:xfrm>
                            <a:off x="4399" y="1087"/>
                            <a:ext cx="3462" cy="478"/>
                            <a:chOff x="0" y="0"/>
                            <a:chExt cx="3501" cy="427"/>
                          </a:xfrm>
                        </wpg:grpSpPr>
                        <wps:wsp>
                          <wps:cNvPr id="313" name="直接连接符 313"/>
                          <wps:cNvCnPr/>
                          <wps:spPr>
                            <a:xfrm>
                              <a:off x="1761" y="228"/>
                              <a:ext cx="510" cy="1"/>
                            </a:xfrm>
                            <a:prstGeom prst="line">
                              <a:avLst/>
                            </a:prstGeom>
                            <a:ln w="9525" cap="flat" cmpd="sng">
                              <a:solidFill>
                                <a:srgbClr val="000000"/>
                              </a:solidFill>
                              <a:prstDash val="solid"/>
                              <a:headEnd type="none" w="med" len="med"/>
                              <a:tailEnd type="triangle" w="med" len="med"/>
                            </a:ln>
                          </wps:spPr>
                          <wps:bodyPr upright="1"/>
                        </wps:wsp>
                        <wps:wsp>
                          <wps:cNvPr id="314" name="矩形 314"/>
                          <wps:cNvSpPr/>
                          <wps:spPr>
                            <a:xfrm>
                              <a:off x="522" y="0"/>
                              <a:ext cx="1271"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98972A">
                                <w:pPr>
                                  <w:jc w:val="center"/>
                                </w:pPr>
                                <w:r>
                                  <w:rPr>
                                    <w:rFonts w:hint="eastAsia"/>
                                  </w:rPr>
                                  <w:t>阻火器</w:t>
                                </w:r>
                              </w:p>
                            </w:txbxContent>
                          </wps:txbx>
                          <wps:bodyPr upright="1"/>
                        </wps:wsp>
                        <wps:wsp>
                          <wps:cNvPr id="315" name="直接连接符 315"/>
                          <wps:cNvCnPr/>
                          <wps:spPr>
                            <a:xfrm>
                              <a:off x="0" y="214"/>
                              <a:ext cx="510" cy="1"/>
                            </a:xfrm>
                            <a:prstGeom prst="line">
                              <a:avLst/>
                            </a:prstGeom>
                            <a:ln w="9525" cap="flat" cmpd="sng">
                              <a:solidFill>
                                <a:srgbClr val="000000"/>
                              </a:solidFill>
                              <a:prstDash val="solid"/>
                              <a:headEnd type="none" w="med" len="med"/>
                              <a:tailEnd type="triangle" w="med" len="med"/>
                            </a:ln>
                          </wps:spPr>
                          <wps:bodyPr upright="1"/>
                        </wps:wsp>
                        <wps:wsp>
                          <wps:cNvPr id="316" name="矩形 316"/>
                          <wps:cNvSpPr/>
                          <wps:spPr>
                            <a:xfrm>
                              <a:off x="2265" y="23"/>
                              <a:ext cx="1236"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8B70551">
                                <w:pPr>
                                  <w:jc w:val="center"/>
                                </w:pPr>
                                <w:r>
                                  <w:rPr>
                                    <w:rFonts w:hint="eastAsia"/>
                                    <w:lang w:val="en-US" w:eastAsia="zh-CN"/>
                                  </w:rPr>
                                  <w:t>火炬</w:t>
                                </w:r>
                                <w:r>
                                  <w:rPr>
                                    <w:rFonts w:hint="eastAsia"/>
                                  </w:rPr>
                                  <w:t>燃烧</w:t>
                                </w:r>
                              </w:p>
                            </w:txbxContent>
                          </wps:txbx>
                          <wps:bodyPr upright="1"/>
                        </wps:wsp>
                      </wpg:grpSp>
                      <wps:wsp>
                        <wps:cNvPr id="318" name="直接连接符 318"/>
                        <wps:cNvCnPr/>
                        <wps:spPr>
                          <a:xfrm>
                            <a:off x="3871" y="488"/>
                            <a:ext cx="1" cy="570"/>
                          </a:xfrm>
                          <a:prstGeom prst="line">
                            <a:avLst/>
                          </a:prstGeom>
                          <a:ln w="9525" cap="flat" cmpd="sng">
                            <a:solidFill>
                              <a:srgbClr val="000000"/>
                            </a:solidFill>
                            <a:prstDash val="solid"/>
                            <a:headEnd type="none" w="med" len="med"/>
                            <a:tailEnd type="triangle" w="med" len="med"/>
                          </a:ln>
                        </wps:spPr>
                        <wps:bodyPr upright="1"/>
                      </wps:wsp>
                      <wps:wsp>
                        <wps:cNvPr id="319" name="直接连接符 319"/>
                        <wps:cNvCnPr/>
                        <wps:spPr>
                          <a:xfrm flipV="1">
                            <a:off x="6408" y="471"/>
                            <a:ext cx="1" cy="874"/>
                          </a:xfrm>
                          <a:prstGeom prst="line">
                            <a:avLst/>
                          </a:prstGeom>
                          <a:ln w="9525" cap="flat" cmpd="sng">
                            <a:solidFill>
                              <a:srgbClr val="000000"/>
                            </a:solidFill>
                            <a:prstDash val="solid"/>
                            <a:headEnd type="none" w="med" len="med"/>
                            <a:tailEnd type="triangle" w="med" len="med"/>
                          </a:ln>
                        </wps:spPr>
                        <wps:bodyPr upright="1"/>
                      </wps:wsp>
                      <wps:wsp>
                        <wps:cNvPr id="320" name="矩形 320"/>
                        <wps:cNvSpPr/>
                        <wps:spPr>
                          <a:xfrm>
                            <a:off x="5702" y="46"/>
                            <a:ext cx="1210" cy="454"/>
                          </a:xfrm>
                          <a:prstGeom prst="rect">
                            <a:avLst/>
                          </a:prstGeom>
                          <a:solidFill>
                            <a:srgbClr val="FFFFFF"/>
                          </a:solidFill>
                          <a:ln>
                            <a:noFill/>
                          </a:ln>
                        </wps:spPr>
                        <wps:txbx>
                          <w:txbxContent>
                            <w:p w14:paraId="169D3AA9">
                              <w:pPr>
                                <w:jc w:val="center"/>
                              </w:pPr>
                              <w:r>
                                <w:rPr>
                                  <w:rFonts w:hint="eastAsia"/>
                                </w:rPr>
                                <w:t>沼气火炬燃烧</w:t>
                              </w:r>
                            </w:p>
                          </w:txbxContent>
                        </wps:txbx>
                        <wps:bodyPr upright="1"/>
                      </wps:wsp>
                    </wpg:wgp>
                  </a:graphicData>
                </a:graphic>
              </wp:anchor>
            </w:drawing>
          </mc:Choice>
          <mc:Fallback>
            <w:pict>
              <v:group id="_x0000_s1026" o:spid="_x0000_s1026" o:spt="203" style="position:absolute;left:0pt;margin-left:-18pt;margin-top:23.65pt;height:78.25pt;width:456.05pt;mso-wrap-distance-bottom:0pt;mso-wrap-distance-top:0pt;z-index:251664384;mso-width-relative:page;mso-height-relative:page;" coordsize="7861,1565" o:gfxdata="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">
                <o:lock v:ext="edit" aspectratio="f"/>
                <v:group id="_x0000_s1026" o:spid="_x0000_s1026" o:spt="203" style="position:absolute;left:0;top:0;height:494;width:4776;" coordsize="4829,442" o:gfxdata="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svAdr0AAADcAAAADwAAAAAAAAABACAAAAAiAAAAZHJzL2Rvd25yZXYueG1s&#10;UEsBAhQAFAAAAAgAh07iQDMvBZ47AAAAOQAAABUAAAAAAAAAAQAgAAAADAEAAGRycy9ncm91cHNo&#10;YXBleG1sLnhtbFBLBQYAAAAABgAGAGABAADJAwAAAAA=&#10;">
                  <o:lock v:ext="edit" aspectratio="f"/>
                  <v:rect id="_x0000_s1026" o:spid="_x0000_s1026" o:spt="1" style="position:absolute;left:3077;top:38;height:405;width:1753;" fillcolor="#FFFFFF" filled="t" stroked="t" coordsize="21600,21600" o:gfxdata="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DhD9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9051291">
                          <w:pPr>
                            <w:jc w:val="center"/>
                          </w:pPr>
                          <w:r>
                            <w:rPr>
                              <w:rFonts w:hint="eastAsia"/>
                            </w:rPr>
                            <w:t>沼气脱硫脱水装置</w:t>
                          </w:r>
                        </w:p>
                      </w:txbxContent>
                    </v:textbox>
                  </v:rect>
                  <v:group id="_x0000_s1026" o:spid="_x0000_s1026" o:spt="203" style="position:absolute;left:0;top:0;height:422;width:2488;" coordsize="2488,422" o:gfxdata="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eKP82vAAAANwAAAAPAAAAAAAAAAEAIAAAACIAAABkcnMvZG93bnJldi54bWxQ&#10;SwECFAAUAAAACACHTuJAMy8FnjsAAAA5AAAAFQAAAAAAAAABACAAAAALAQAAZHJzL2dyb3Vwc2hh&#10;cGV4bWwueG1sUEsFBgAAAAAGAAYAYAEAAMgDAAAAAA==&#10;">
                    <o:lock v:ext="edit" aspectratio="f"/>
                    <v:rect id="_x0000_s1026" o:spid="_x0000_s1026" o:spt="1" style="position:absolute;left:0;top:0;height:405;width:719;" fillcolor="#FFFFFF" filled="t" stroked="f" coordsize="21600,21600" o:gfxdata="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OVqxL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14:paraId="165C9D65">
                            <w:r>
                              <w:rPr>
                                <w:rFonts w:hint="eastAsia"/>
                              </w:rPr>
                              <w:t>沼气</w:t>
                            </w:r>
                          </w:p>
                        </w:txbxContent>
                      </v:textbox>
                    </v:rect>
                    <v:rect id="_x0000_s1026" o:spid="_x0000_s1026" o:spt="1" style="position:absolute;left:1246;top:18;height:405;width:1242;" fillcolor="#FFFFFF" filled="t" stroked="t" coordsize="21600,21600" o:gfxdata="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QKx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41759F66">
                            <w:pPr>
                              <w:jc w:val="center"/>
                            </w:pPr>
                            <w:r>
                              <w:rPr>
                                <w:rFonts w:hint="eastAsia"/>
                              </w:rPr>
                              <w:t>阻火器</w:t>
                            </w:r>
                          </w:p>
                        </w:txbxContent>
                      </v:textbox>
                    </v:rect>
                    <v:line id="_x0000_s1026" o:spid="_x0000_s1026" o:spt="20" style="position:absolute;left:703;top:208;height:1;width:510;" filled="f" stroked="t" coordsize="21600,21600" o:gfxdata="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kAgj&#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v:line id="_x0000_s1026" o:spid="_x0000_s1026" o:spt="20" style="position:absolute;left:2525;top:229;height:1;width:510;" filled="f" stroked="t" coordsize="21600,21600" o:gfxdata="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QznK&#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group>
                <v:rect id="_x0000_s1026" o:spid="_x0000_s1026" o:spt="1" style="position:absolute;left:3372;top:1071;height:454;width:1034;" fillcolor="#FFFFFF" filled="t" stroked="t" coordsize="21600,21600" o:gfxdata="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crvP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4FFCCE95">
                        <w:pPr>
                          <w:jc w:val="center"/>
                        </w:pPr>
                        <w:r>
                          <w:rPr>
                            <w:rFonts w:hint="eastAsia"/>
                          </w:rPr>
                          <w:t>贮气柜</w:t>
                        </w:r>
                      </w:p>
                    </w:txbxContent>
                  </v:textbox>
                </v:rect>
                <v:group id="_x0000_s1026" o:spid="_x0000_s1026" o:spt="203" style="position:absolute;left:4399;top:1087;height:478;width:3462;" coordsize="3501,427" o:gfxdata="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bv2ZvwAAANwAAAAPAAAAAAAAAAEAIAAAACIAAABkcnMvZG93bnJldi54&#10;bWxQSwECFAAUAAAACACHTuJAMy8FnjsAAAA5AAAAFQAAAAAAAAABACAAAAAOAQAAZHJzL2dyb3Vw&#10;c2hhcGV4bWwueG1sUEsFBgAAAAAGAAYAYAEAAMsDAAAAAA==&#10;">
                  <o:lock v:ext="edit" aspectratio="f"/>
                  <v:line id="_x0000_s1026" o:spid="_x0000_s1026" o:spt="20" style="position:absolute;left:1761;top:228;height:1;width:510;" filled="f" stroked="t" coordsize="21600,21600" o:gfxdata="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ymP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522;top:0;height:405;width:1271;" fillcolor="#FFFFFF" filled="t" stroked="t" coordsize="21600,21600" o:gfxdata="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14Yg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C98972A">
                          <w:pPr>
                            <w:jc w:val="center"/>
                          </w:pPr>
                          <w:r>
                            <w:rPr>
                              <w:rFonts w:hint="eastAsia"/>
                            </w:rPr>
                            <w:t>阻火器</w:t>
                          </w:r>
                        </w:p>
                      </w:txbxContent>
                    </v:textbox>
                  </v:rect>
                  <v:line id="_x0000_s1026" o:spid="_x0000_s1026" o:spt="20" style="position:absolute;left:0;top:214;height:1;width:510;" filled="f" stroked="t" coordsize="21600,21600" o:gfxdata="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16US&#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_x0000_s1026" o:spid="_x0000_s1026" o:spt="1" style="position:absolute;left:2265;top:23;height:405;width:1236;" fillcolor="#FFFFFF" filled="t" stroked="t" coordsize="21600,21600" o:gfxdata="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Sb3M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38B70551">
                          <w:pPr>
                            <w:jc w:val="center"/>
                          </w:pPr>
                          <w:r>
                            <w:rPr>
                              <w:rFonts w:hint="eastAsia"/>
                              <w:lang w:val="en-US" w:eastAsia="zh-CN"/>
                            </w:rPr>
                            <w:t>火炬</w:t>
                          </w:r>
                          <w:r>
                            <w:rPr>
                              <w:rFonts w:hint="eastAsia"/>
                            </w:rPr>
                            <w:t>燃烧</w:t>
                          </w:r>
                        </w:p>
                      </w:txbxContent>
                    </v:textbox>
                  </v:rect>
                </v:group>
                <v:line id="_x0000_s1026" o:spid="_x0000_s1026" o:spt="20" style="position:absolute;left:3871;top:488;height:570;width:1;" filled="f" stroked="t" coordsize="21600,21600" o:gfxdata="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1gqM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6408;top:471;flip:y;height:874;width:1;" filled="f" stroked="t" coordsize="21600,21600" o:gfxdata="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JKOn&#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_x0000_s1026" o:spid="_x0000_s1026" o:spt="1" style="position:absolute;left:5702;top:46;height:454;width:1210;" fillcolor="#FFFFFF" filled="t" stroked="f" coordsize="21600,21600" o:gfxdata="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J5U8ugAAANwA&#10;AAAPAAAAAAAAAAEAIAAAACIAAABkcnMvZG93bnJldi54bWxQSwECFAAUAAAACACHTuJAMy8FnjsA&#10;AAA5AAAAEAAAAAAAAAABACAAAAAJAQAAZHJzL3NoYXBleG1sLnhtbFBLBQYAAAAABgAGAFsBAACz&#10;AwAAAAA=&#10;">
                  <v:fill on="t" focussize="0,0"/>
                  <v:stroke on="f"/>
                  <v:imagedata o:title=""/>
                  <o:lock v:ext="edit" aspectratio="f"/>
                  <v:textbox>
                    <w:txbxContent>
                      <w:p w14:paraId="169D3AA9">
                        <w:pPr>
                          <w:jc w:val="center"/>
                        </w:pPr>
                        <w:r>
                          <w:rPr>
                            <w:rFonts w:hint="eastAsia"/>
                          </w:rPr>
                          <w:t>沼气火炬燃烧</w:t>
                        </w:r>
                      </w:p>
                    </w:txbxContent>
                  </v:textbox>
                </v:rect>
                <w10:wrap type="topAndBottom"/>
              </v:group>
            </w:pict>
          </mc:Fallback>
        </mc:AlternateContent>
      </w:r>
      <w:r>
        <w:rPr>
          <w:rFonts w:hint="eastAsia" w:ascii="宋体" w:hAnsi="宋体"/>
          <w:sz w:val="24"/>
        </w:rPr>
        <w:t xml:space="preserve">                </w:t>
      </w:r>
    </w:p>
    <w:p w14:paraId="2599F696">
      <w:pPr>
        <w:spacing w:line="480" w:lineRule="exact"/>
        <w:ind w:firstLine="1904" w:firstLineChars="700"/>
        <w:rPr>
          <w:rFonts w:eastAsia="黑体"/>
          <w:spacing w:val="16"/>
          <w:sz w:val="24"/>
        </w:rPr>
      </w:pPr>
    </w:p>
    <w:p w14:paraId="5967FDBF">
      <w:pPr>
        <w:jc w:val="center"/>
        <w:rPr>
          <w:rFonts w:hint="eastAsia" w:ascii="Times New Roman" w:hAnsi="Times New Roman" w:eastAsia="宋体" w:cs="Times New Roman"/>
          <w:b/>
          <w:bCs/>
        </w:rPr>
      </w:pPr>
      <w:r>
        <w:rPr>
          <w:rFonts w:hint="eastAsia" w:ascii="Times New Roman" w:hAnsi="Times New Roman" w:eastAsia="宋体" w:cs="Times New Roman"/>
          <w:b/>
          <w:bCs/>
        </w:rPr>
        <w:t>图</w:t>
      </w:r>
      <w:r>
        <w:rPr>
          <w:rFonts w:hint="eastAsia" w:ascii="Times New Roman" w:hAnsi="Times New Roman" w:eastAsia="宋体" w:cs="Times New Roman"/>
          <w:b/>
          <w:bCs/>
          <w:lang w:val="en-US" w:eastAsia="zh-CN"/>
        </w:rPr>
        <w:t>3.4-1</w:t>
      </w:r>
      <w:r>
        <w:rPr>
          <w:rFonts w:hint="eastAsia" w:ascii="Times New Roman" w:hAnsi="Times New Roman" w:eastAsia="宋体" w:cs="Times New Roman"/>
          <w:b/>
          <w:bCs/>
        </w:rPr>
        <w:t xml:space="preserve">  沼气工艺流程图</w:t>
      </w:r>
    </w:p>
    <w:p w14:paraId="06438329">
      <w:pPr>
        <w:spacing w:line="360" w:lineRule="auto"/>
        <w:ind w:firstLine="480" w:firstLineChars="200"/>
        <w:rPr>
          <w:rFonts w:hint="eastAsia" w:ascii="Times New Roman" w:hAnsi="Times New Roman" w:eastAsia="宋体" w:cs="Times New Roman"/>
          <w:lang w:val="en-US" w:eastAsia="zh-CN"/>
        </w:rPr>
      </w:pPr>
      <w:bookmarkStart w:id="228" w:name="_Toc493805556"/>
      <w:r>
        <w:rPr>
          <w:rFonts w:hint="eastAsia" w:ascii="Times New Roman" w:hAnsi="Times New Roman" w:eastAsia="宋体" w:cs="Times New Roman"/>
          <w:lang w:val="en-US" w:eastAsia="zh-CN"/>
        </w:rPr>
        <w:t>（5）污泥处理</w:t>
      </w:r>
      <w:bookmarkEnd w:id="228"/>
    </w:p>
    <w:p w14:paraId="69DEBA3B">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污水处理站事故池沉积的污泥需要用板框压滤机脱水后外运填埋。二沉池以及连续活性砂滤产生的剩余污泥，经叠螺式压滤机脱水后外运填埋。</w:t>
      </w:r>
    </w:p>
    <w:p w14:paraId="440A6F2E">
      <w:pPr>
        <w:spacing w:line="360" w:lineRule="auto"/>
        <w:ind w:firstLine="480" w:firstLineChars="200"/>
        <w:rPr>
          <w:rFonts w:hint="eastAsia" w:ascii="Times New Roman" w:hAnsi="Times New Roman" w:eastAsia="宋体" w:cs="Times New Roman"/>
          <w:lang w:val="en-US" w:eastAsia="zh-CN"/>
        </w:rPr>
      </w:pPr>
      <w:bookmarkStart w:id="229" w:name="_Toc493805557"/>
      <w:r>
        <w:rPr>
          <w:rFonts w:hint="eastAsia" w:ascii="Times New Roman" w:hAnsi="Times New Roman" w:eastAsia="宋体" w:cs="Times New Roman"/>
          <w:lang w:val="en-US" w:eastAsia="zh-CN"/>
        </w:rPr>
        <w:t>（6）化学品投加系统</w:t>
      </w:r>
      <w:bookmarkEnd w:id="229"/>
    </w:p>
    <w:p w14:paraId="11C51A05">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污水处理站设置化学品投加系统用于投加NaOH、PAM、CaO、营养盐、微量元素及除磷药剂等。本方案上述药剂各配置一套投加装置，根据需要配有溶药搅拌装置以及投加泵。</w:t>
      </w:r>
    </w:p>
    <w:p w14:paraId="79523EB5">
      <w:pPr>
        <w:spacing w:line="360" w:lineRule="auto"/>
        <w:ind w:firstLine="480" w:firstLineChars="200"/>
        <w:rPr>
          <w:rFonts w:hint="eastAsia" w:ascii="Times New Roman" w:hAnsi="Times New Roman" w:eastAsia="宋体" w:cs="Times New Roman"/>
          <w:lang w:val="en-US" w:eastAsia="zh-CN"/>
        </w:rPr>
        <w:sectPr>
          <w:pgSz w:w="11907" w:h="16840"/>
          <w:pgMar w:top="1440" w:right="1440" w:bottom="1440" w:left="1440" w:header="851" w:footer="992"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lang w:val="en-US" w:eastAsia="zh-CN"/>
        </w:rPr>
        <w:t>设置液碱储罐1台，容积60m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w:t>
      </w:r>
    </w:p>
    <w:p w14:paraId="46A18096">
      <w:pPr>
        <w:pStyle w:val="42"/>
        <w:rPr>
          <w:sz w:val="24"/>
          <w:szCs w:val="24"/>
        </w:rPr>
      </w:pPr>
    </w:p>
    <w:p w14:paraId="528BF2E9">
      <w:pPr>
        <w:rPr>
          <w:sz w:val="24"/>
          <w:szCs w:val="24"/>
        </w:rPr>
      </w:pPr>
      <w:r>
        <w:rPr>
          <w:rFonts w:eastAsiaTheme="minorEastAsia"/>
          <w:color w:val="auto"/>
          <w:sz w:val="24"/>
        </w:rPr>
        <w:drawing>
          <wp:inline distT="0" distB="0" distL="114300" distR="114300">
            <wp:extent cx="8562975" cy="4307205"/>
            <wp:effectExtent l="0" t="0" r="0" b="0"/>
            <wp:docPr id="5"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1"/>
                    <pic:cNvPicPr>
                      <a:picLocks noChangeAspect="1"/>
                    </pic:cNvPicPr>
                  </pic:nvPicPr>
                  <pic:blipFill>
                    <a:blip r:embed="rId58"/>
                    <a:stretch>
                      <a:fillRect/>
                    </a:stretch>
                  </pic:blipFill>
                  <pic:spPr>
                    <a:xfrm>
                      <a:off x="0" y="0"/>
                      <a:ext cx="8562975" cy="4307205"/>
                    </a:xfrm>
                    <a:prstGeom prst="rect">
                      <a:avLst/>
                    </a:prstGeom>
                  </pic:spPr>
                </pic:pic>
              </a:graphicData>
            </a:graphic>
          </wp:inline>
        </w:drawing>
      </w:r>
    </w:p>
    <w:p w14:paraId="6D1FC0E0">
      <w:pPr>
        <w:rPr>
          <w:sz w:val="24"/>
          <w:szCs w:val="24"/>
        </w:rPr>
      </w:pPr>
    </w:p>
    <w:p w14:paraId="51CB28C9">
      <w:pPr>
        <w:bidi w:val="0"/>
        <w:jc w:val="center"/>
        <w:rPr>
          <w:rFonts w:hint="eastAsia" w:ascii="Times New Roman" w:hAnsi="Times New Roman" w:eastAsia="宋体" w:cs="Times New Roman"/>
          <w:b/>
          <w:bCs/>
          <w:szCs w:val="24"/>
          <w:lang w:val="en-US" w:eastAsia="zh-CN" w:bidi="ar-SA"/>
        </w:rPr>
      </w:pPr>
      <w:r>
        <w:rPr>
          <w:rFonts w:hint="eastAsia"/>
          <w:lang w:val="en-US" w:eastAsia="zh-CN"/>
        </w:rPr>
        <w:t>图3.4-2  本项目污水处理站工艺流程图</w:t>
      </w:r>
    </w:p>
    <w:p w14:paraId="2DC7D581">
      <w:pPr>
        <w:sectPr>
          <w:footerReference r:id="rId9" w:type="default"/>
          <w:pgSz w:w="16840" w:h="11910" w:orient="landscape"/>
          <w:pgMar w:top="1803" w:right="1440" w:bottom="1803" w:left="1440" w:header="882" w:footer="941" w:gutter="0"/>
          <w:pgBorders>
            <w:top w:val="none" w:sz="0" w:space="0"/>
            <w:left w:val="none" w:sz="0" w:space="0"/>
            <w:bottom w:val="none" w:sz="0" w:space="0"/>
            <w:right w:val="none" w:sz="0" w:space="0"/>
          </w:pgBorders>
          <w:cols w:space="0" w:num="1"/>
          <w:rtlGutter w:val="0"/>
          <w:docGrid w:linePitch="0" w:charSpace="0"/>
        </w:sectPr>
      </w:pPr>
    </w:p>
    <w:p w14:paraId="2569BFD3">
      <w:pPr>
        <w:pStyle w:val="4"/>
        <w:rPr>
          <w:szCs w:val="26"/>
        </w:rPr>
      </w:pPr>
      <w:r>
        <w:t>3.4.2污染源强分析</w:t>
      </w:r>
    </w:p>
    <w:p w14:paraId="5AFA4A34">
      <w:pPr>
        <w:pStyle w:val="5"/>
      </w:pPr>
      <w:r>
        <w:t>3.4.2.1</w:t>
      </w:r>
      <w:r>
        <w:rPr>
          <w:lang w:val="zh-TW" w:eastAsia="zh-TW"/>
        </w:rPr>
        <w:t>废气</w:t>
      </w:r>
    </w:p>
    <w:p w14:paraId="36620C69">
      <w:pPr>
        <w:numPr>
          <w:ilvl w:val="0"/>
          <w:numId w:val="0"/>
        </w:numPr>
        <w:spacing w:line="360" w:lineRule="auto"/>
        <w:ind w:leftChars="200"/>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（1）玉米粉碎废气</w:t>
      </w:r>
    </w:p>
    <w:p w14:paraId="15EAF8FE">
      <w:pPr>
        <w:numPr>
          <w:ilvl w:val="0"/>
          <w:numId w:val="0"/>
        </w:numPr>
        <w:spacing w:line="360" w:lineRule="auto"/>
        <w:ind w:firstLine="476" w:firstLineChars="200"/>
        <w:jc w:val="left"/>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s="Times New Roman"/>
          <w:color w:val="000000" w:themeColor="text1"/>
          <w:spacing w:val="-1"/>
          <w:sz w:val="24"/>
          <w:szCs w:val="24"/>
          <w:lang w:val="en-US" w:eastAsia="zh-CN"/>
          <w14:textFill>
            <w14:solidFill>
              <w14:schemeClr w14:val="tx1"/>
            </w14:solidFill>
          </w14:textFill>
        </w:rPr>
        <w:t>本项目新增30万吨玉米原材料，玉米粉碎过程产生的颗粒物经过布袋除尘器除尘后经过9个22.5m高排气筒</w:t>
      </w:r>
      <w:r>
        <w:rPr>
          <w:rFonts w:hint="eastAsia" w:ascii="Times New Roman" w:hAnsi="Times New Roman" w:cs="Times New Roman"/>
          <w:color w:val="000000" w:themeColor="text1"/>
          <w:lang w:val="en-US" w:eastAsia="zh-CN"/>
          <w14:textFill>
            <w14:solidFill>
              <w14:schemeClr w14:val="tx1"/>
            </w14:solidFill>
          </w14:textFill>
        </w:rPr>
        <w:t>（DA005-DA010、DA014、DA015、DA040）排放和13</w:t>
      </w:r>
      <w:r>
        <w:rPr>
          <w:rFonts w:hint="eastAsia" w:cs="Times New Roman"/>
          <w:color w:val="000000" w:themeColor="text1"/>
          <w:spacing w:val="-1"/>
          <w:sz w:val="24"/>
          <w:szCs w:val="24"/>
          <w:lang w:val="en-US" w:eastAsia="zh-CN"/>
          <w14:textFill>
            <w14:solidFill>
              <w14:schemeClr w14:val="tx1"/>
            </w14:solidFill>
          </w14:textFill>
        </w:rPr>
        <w:t>个25m高排气筒</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DA018-DA029</w:t>
      </w:r>
      <w:r>
        <w:rPr>
          <w:rFonts w:hint="eastAsia" w:ascii="Times New Roman" w:hAnsi="Times New Roman" w:cs="Times New Roman"/>
          <w:color w:val="000000" w:themeColor="text1"/>
          <w:lang w:val="en-US" w:eastAsia="zh-CN"/>
          <w14:textFill>
            <w14:solidFill>
              <w14:schemeClr w14:val="tx1"/>
            </w14:solidFill>
          </w14:textFill>
        </w:rPr>
        <w:t>、DA035）排放。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cs="Times New Roman"/>
          <w:color w:val="000000" w:themeColor="text1"/>
          <w:lang w:val="en-US" w:eastAsia="zh-CN"/>
          <w14:textFill>
            <w14:solidFill>
              <w14:schemeClr w14:val="tx1"/>
            </w14:solidFill>
          </w14:textFill>
        </w:rPr>
        <w:t>现有工程类比数据，颗粒物排放浓度在12.2-21.1mg/m</w:t>
      </w:r>
      <w:r>
        <w:rPr>
          <w:rFonts w:hint="eastAsia" w:cs="Times New Roman"/>
          <w:color w:val="000000" w:themeColor="text1"/>
          <w:vertAlign w:val="superscript"/>
          <w:lang w:val="en-US" w:eastAsia="zh-CN"/>
          <w14:textFill>
            <w14:solidFill>
              <w14:schemeClr w14:val="tx1"/>
            </w14:solidFill>
          </w14:textFill>
        </w:rPr>
        <w:t>3</w:t>
      </w:r>
      <w:r>
        <w:rPr>
          <w:rFonts w:hint="eastAsia" w:cs="Times New Roman"/>
          <w:color w:val="000000" w:themeColor="text1"/>
          <w:vertAlign w:val="baseline"/>
          <w:lang w:val="en-US" w:eastAsia="zh-CN"/>
          <w14:textFill>
            <w14:solidFill>
              <w14:schemeClr w14:val="tx1"/>
            </w14:solidFill>
          </w14:textFill>
        </w:rPr>
        <w:t>之间，排放速率在0.0545-0.238kg/h之间。</w:t>
      </w:r>
      <w:r>
        <w:rPr>
          <w:rFonts w:hint="eastAsia" w:cs="Times New Roman"/>
          <w:b w:val="0"/>
          <w:bCs w:val="0"/>
          <w:snapToGrid w:val="0"/>
          <w:kern w:val="0"/>
          <w:sz w:val="24"/>
          <w:szCs w:val="24"/>
          <w:lang w:val="en-US" w:eastAsia="zh-CN"/>
        </w:rPr>
        <w:t>因此本项目的</w:t>
      </w:r>
      <w:r>
        <w:rPr>
          <w:rFonts w:hint="eastAsia"/>
          <w:color w:val="000000" w:themeColor="text1"/>
          <w:lang w:val="en-US" w:eastAsia="zh-CN"/>
          <w14:textFill>
            <w14:solidFill>
              <w14:schemeClr w14:val="tx1"/>
            </w14:solidFill>
          </w14:textFill>
        </w:rPr>
        <w:t>玉米粉碎废气</w:t>
      </w:r>
      <w:r>
        <w:rPr>
          <w:rFonts w:hint="eastAsia" w:cs="Times New Roman"/>
          <w:b w:val="0"/>
          <w:bCs w:val="0"/>
          <w:snapToGrid w:val="0"/>
          <w:kern w:val="0"/>
          <w:sz w:val="24"/>
          <w:szCs w:val="24"/>
          <w:lang w:val="en-US" w:eastAsia="zh-CN"/>
        </w:rPr>
        <w:t>的颗粒物排放浓度以21.1mg/m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计，排放速率为0.273</w:t>
      </w:r>
      <w:r>
        <w:rPr>
          <w:rFonts w:hint="eastAsia" w:cs="Times New Roman"/>
          <w:b w:val="0"/>
          <w:bCs w:val="0"/>
          <w:snapToGrid w:val="0"/>
          <w:kern w:val="0"/>
          <w:sz w:val="24"/>
          <w:szCs w:val="24"/>
          <w:vertAlign w:val="baseline"/>
          <w:lang w:val="en-US" w:eastAsia="zh-CN"/>
        </w:rPr>
        <w:t>kg/h。</w:t>
      </w:r>
    </w:p>
    <w:p w14:paraId="47CC1DF4">
      <w:pPr>
        <w:numPr>
          <w:ilvl w:val="0"/>
          <w:numId w:val="0"/>
        </w:numPr>
        <w:spacing w:line="360" w:lineRule="auto"/>
        <w:ind w:leftChars="200"/>
        <w:jc w:val="left"/>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（2）发酵车间CO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洗涤塔废气</w:t>
      </w:r>
    </w:p>
    <w:p w14:paraId="2E35CFF6">
      <w:pPr>
        <w:numPr>
          <w:ilvl w:val="0"/>
          <w:numId w:val="0"/>
        </w:numPr>
        <w:spacing w:line="360" w:lineRule="auto"/>
        <w:ind w:firstLine="480" w:firstLineChars="200"/>
        <w:jc w:val="left"/>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发酵车间CO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工艺</w:t>
      </w:r>
      <w:r>
        <w:rPr>
          <w:rFonts w:hint="default" w:ascii="Times New Roman" w:hAnsi="Times New Roman" w:cs="Times New Roman"/>
          <w:color w:val="000000" w:themeColor="text1"/>
          <w:lang w:val="en-US" w:eastAsia="zh-CN"/>
          <w14:textFill>
            <w14:solidFill>
              <w14:schemeClr w14:val="tx1"/>
            </w14:solidFill>
          </w14:textFill>
        </w:rPr>
        <w:t>产生的</w:t>
      </w:r>
      <w:r>
        <w:rPr>
          <w:rFonts w:hint="eastAsia" w:cs="Times New Roman"/>
          <w:color w:val="000000" w:themeColor="text1"/>
          <w:lang w:val="en-US" w:eastAsia="zh-CN"/>
          <w14:textFill>
            <w14:solidFill>
              <w14:schemeClr w14:val="tx1"/>
            </w14:solidFill>
          </w14:textFill>
        </w:rPr>
        <w:t>非甲烷总烃及臭气浓度</w:t>
      </w:r>
      <w:r>
        <w:rPr>
          <w:rFonts w:hint="eastAsia" w:cs="Times New Roman"/>
          <w:color w:val="000000" w:themeColor="text1"/>
          <w:spacing w:val="-1"/>
          <w:sz w:val="24"/>
          <w:szCs w:val="24"/>
          <w:lang w:val="en-US" w:eastAsia="zh-CN"/>
          <w14:textFill>
            <w14:solidFill>
              <w14:schemeClr w14:val="tx1"/>
            </w14:solidFill>
          </w14:textFill>
        </w:rPr>
        <w:t>由</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处理后经</w:t>
      </w:r>
      <w:r>
        <w:rPr>
          <w:rFonts w:hint="eastAsia" w:cs="Times New Roman"/>
          <w:color w:val="000000" w:themeColor="text1"/>
          <w:spacing w:val="-1"/>
          <w:sz w:val="24"/>
          <w:szCs w:val="24"/>
          <w:lang w:val="en-US" w:eastAsia="zh-CN"/>
          <w14:textFill>
            <w14:solidFill>
              <w14:schemeClr w14:val="tx1"/>
            </w14:solidFill>
          </w14:textFill>
        </w:rPr>
        <w:t>4个15</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m高排气筒</w:t>
      </w:r>
      <w:r>
        <w:rPr>
          <w:rFonts w:hint="eastAsia"/>
          <w:color w:val="000000" w:themeColor="text1"/>
          <w:lang w:val="en-US" w:eastAsia="zh-CN"/>
          <w14:textFill>
            <w14:solidFill>
              <w14:schemeClr w14:val="tx1"/>
            </w14:solidFill>
          </w14:textFill>
        </w:rPr>
        <w:t>（DA002、DA032、DA041、DA042）</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cs="Times New Roman"/>
          <w:color w:val="000000" w:themeColor="text1"/>
          <w:lang w:val="en-US" w:eastAsia="zh-CN"/>
          <w14:textFill>
            <w14:solidFill>
              <w14:schemeClr w14:val="tx1"/>
            </w14:solidFill>
          </w14:textFill>
        </w:rPr>
        <w:t>现有工程类比数据</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洗涤塔废气中</w:t>
      </w:r>
      <w:r>
        <w:rPr>
          <w:rFonts w:hint="eastAsia" w:ascii="Times New Roman" w:hAnsi="Times New Roman" w:cs="Times New Roman"/>
          <w:color w:val="000000" w:themeColor="text1"/>
          <w:lang w:val="en-US" w:eastAsia="zh-CN"/>
          <w14:textFill>
            <w14:solidFill>
              <w14:schemeClr w14:val="tx1"/>
            </w14:solidFill>
          </w14:textFill>
        </w:rPr>
        <w:t>非甲烷总烃</w:t>
      </w:r>
      <w:r>
        <w:rPr>
          <w:rFonts w:hint="eastAsia" w:cs="Times New Roman"/>
          <w:color w:val="000000" w:themeColor="text1"/>
          <w:lang w:val="en-US" w:eastAsia="zh-CN"/>
          <w14:textFill>
            <w14:solidFill>
              <w14:schemeClr w14:val="tx1"/>
            </w14:solidFill>
          </w14:textFill>
        </w:rPr>
        <w:t>排放浓度在5.95-6.38mg/m</w:t>
      </w:r>
      <w:r>
        <w:rPr>
          <w:rFonts w:hint="eastAsia" w:cs="Times New Roman"/>
          <w:color w:val="000000" w:themeColor="text1"/>
          <w:vertAlign w:val="superscript"/>
          <w:lang w:val="en-US" w:eastAsia="zh-CN"/>
          <w14:textFill>
            <w14:solidFill>
              <w14:schemeClr w14:val="tx1"/>
            </w14:solidFill>
          </w14:textFill>
        </w:rPr>
        <w:t>3</w:t>
      </w:r>
      <w:r>
        <w:rPr>
          <w:rFonts w:hint="eastAsia" w:cs="Times New Roman"/>
          <w:color w:val="000000" w:themeColor="text1"/>
          <w:vertAlign w:val="baseline"/>
          <w:lang w:val="en-US" w:eastAsia="zh-CN"/>
          <w14:textFill>
            <w14:solidFill>
              <w14:schemeClr w14:val="tx1"/>
            </w14:solidFill>
          </w14:textFill>
        </w:rPr>
        <w:t>之间，排放速率在0.35-0.645kg/h之间</w:t>
      </w:r>
      <w:r>
        <w:rPr>
          <w:rFonts w:hint="eastAsia" w:ascii="Times New Roman" w:hAnsi="Times New Roman" w:cs="Times New Roman"/>
          <w:color w:val="000000" w:themeColor="text1"/>
          <w:lang w:val="en-US" w:eastAsia="zh-CN"/>
          <w14:textFill>
            <w14:solidFill>
              <w14:schemeClr w14:val="tx1"/>
            </w14:solidFill>
          </w14:textFill>
        </w:rPr>
        <w:t>，臭气浓度</w:t>
      </w:r>
      <w:r>
        <w:rPr>
          <w:rFonts w:hint="eastAsia" w:cs="Times New Roman"/>
          <w:color w:val="000000" w:themeColor="text1"/>
          <w:lang w:val="en-US" w:eastAsia="zh-CN"/>
          <w14:textFill>
            <w14:solidFill>
              <w14:schemeClr w14:val="tx1"/>
            </w14:solidFill>
          </w14:textFill>
        </w:rPr>
        <w:t>在151-549</w:t>
      </w:r>
      <w:r>
        <w:rPr>
          <w:rFonts w:hint="eastAsia" w:cs="Times New Roman"/>
          <w:color w:val="000000" w:themeColor="text1"/>
          <w:vertAlign w:val="baseline"/>
          <w:lang w:val="en-US" w:eastAsia="zh-CN"/>
          <w14:textFill>
            <w14:solidFill>
              <w14:schemeClr w14:val="tx1"/>
            </w14:solidFill>
          </w14:textFill>
        </w:rPr>
        <w:t>之间</w:t>
      </w:r>
      <w:r>
        <w:rPr>
          <w:rFonts w:hint="default" w:ascii="Times New Roman" w:hAnsi="Times New Roman" w:cs="Times New Roman"/>
          <w:color w:val="000000" w:themeColor="text1"/>
          <w:lang w:val="en-US" w:eastAsia="zh-CN"/>
          <w14:textFill>
            <w14:solidFill>
              <w14:schemeClr w14:val="tx1"/>
            </w14:solidFill>
          </w14:textFill>
        </w:rPr>
        <w:t>。</w:t>
      </w:r>
      <w:r>
        <w:rPr>
          <w:rFonts w:hint="eastAsia" w:cs="Times New Roman"/>
          <w:b w:val="0"/>
          <w:bCs w:val="0"/>
          <w:snapToGrid w:val="0"/>
          <w:kern w:val="0"/>
          <w:sz w:val="24"/>
          <w:szCs w:val="24"/>
          <w:lang w:val="en-US" w:eastAsia="zh-CN"/>
        </w:rPr>
        <w:t>因此本项目的</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洗涤塔废气中</w:t>
      </w:r>
      <w:r>
        <w:rPr>
          <w:rFonts w:hint="eastAsia" w:ascii="Times New Roman" w:hAnsi="Times New Roman" w:cs="Times New Roman"/>
          <w:color w:val="000000" w:themeColor="text1"/>
          <w:lang w:val="en-US" w:eastAsia="zh-CN"/>
          <w14:textFill>
            <w14:solidFill>
              <w14:schemeClr w14:val="tx1"/>
            </w14:solidFill>
          </w14:textFill>
        </w:rPr>
        <w:t>非甲烷总烃</w:t>
      </w:r>
      <w:r>
        <w:rPr>
          <w:rFonts w:hint="eastAsia" w:cs="Times New Roman"/>
          <w:color w:val="000000" w:themeColor="text1"/>
          <w:lang w:val="en-US" w:eastAsia="zh-CN"/>
          <w14:textFill>
            <w14:solidFill>
              <w14:schemeClr w14:val="tx1"/>
            </w14:solidFill>
          </w14:textFill>
        </w:rPr>
        <w:t>排放浓度</w:t>
      </w:r>
      <w:r>
        <w:rPr>
          <w:rFonts w:hint="eastAsia" w:cs="Times New Roman"/>
          <w:b w:val="0"/>
          <w:bCs w:val="0"/>
          <w:snapToGrid w:val="0"/>
          <w:kern w:val="0"/>
          <w:sz w:val="24"/>
          <w:szCs w:val="24"/>
          <w:lang w:val="en-US" w:eastAsia="zh-CN"/>
        </w:rPr>
        <w:t>以6.38mg/m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计，排放速率为0.741</w:t>
      </w:r>
      <w:r>
        <w:rPr>
          <w:rFonts w:hint="eastAsia" w:cs="Times New Roman"/>
          <w:b w:val="0"/>
          <w:bCs w:val="0"/>
          <w:snapToGrid w:val="0"/>
          <w:kern w:val="0"/>
          <w:sz w:val="24"/>
          <w:szCs w:val="24"/>
          <w:vertAlign w:val="baseline"/>
          <w:lang w:val="en-US" w:eastAsia="zh-CN"/>
        </w:rPr>
        <w:t>kg/h。臭气浓度为549。</w:t>
      </w:r>
    </w:p>
    <w:p w14:paraId="051C4515">
      <w:pPr>
        <w:numPr>
          <w:ilvl w:val="0"/>
          <w:numId w:val="0"/>
        </w:numPr>
        <w:tabs>
          <w:tab w:val="left" w:pos="525"/>
        </w:tabs>
        <w:adjustRightInd w:val="0"/>
        <w:snapToGrid w:val="0"/>
        <w:spacing w:line="360" w:lineRule="auto"/>
        <w:ind w:left="480" w:leftChars="0"/>
        <w:rPr>
          <w:rFonts w:hint="eastAsia" w:ascii="Times New Roman" w:hAnsi="Times New Roman" w:eastAsia="宋体" w:cs="Times New Roman"/>
          <w:b w:val="0"/>
          <w:bCs w:val="0"/>
          <w:snapToGrid w:val="0"/>
          <w:kern w:val="0"/>
          <w:sz w:val="24"/>
          <w:szCs w:val="24"/>
          <w:lang w:val="en-US" w:eastAsia="zh-CN"/>
        </w:rPr>
      </w:pPr>
      <w:r>
        <w:rPr>
          <w:rFonts w:hint="eastAsia" w:cs="Times New Roman"/>
          <w:b w:val="0"/>
          <w:bCs w:val="0"/>
          <w:snapToGrid w:val="0"/>
          <w:kern w:val="0"/>
          <w:sz w:val="24"/>
          <w:szCs w:val="24"/>
          <w:lang w:val="en-US" w:eastAsia="zh-CN"/>
        </w:rPr>
        <w:t>（3）</w:t>
      </w:r>
      <w:r>
        <w:rPr>
          <w:rFonts w:hint="eastAsia" w:ascii="Times New Roman" w:hAnsi="Times New Roman" w:eastAsia="宋体" w:cs="Times New Roman"/>
          <w:b w:val="0"/>
          <w:bCs w:val="0"/>
          <w:snapToGrid w:val="0"/>
          <w:kern w:val="0"/>
          <w:sz w:val="24"/>
          <w:szCs w:val="24"/>
          <w:lang w:val="en-US" w:eastAsia="zh-CN"/>
        </w:rPr>
        <w:t>污水处理站</w:t>
      </w:r>
      <w:r>
        <w:rPr>
          <w:rFonts w:hint="eastAsia" w:cs="Times New Roman"/>
          <w:b w:val="0"/>
          <w:bCs w:val="0"/>
          <w:snapToGrid w:val="0"/>
          <w:kern w:val="0"/>
          <w:sz w:val="24"/>
          <w:szCs w:val="24"/>
          <w:lang w:val="en-US" w:eastAsia="zh-CN"/>
        </w:rPr>
        <w:t>污泥脱水间及污泥存放间</w:t>
      </w:r>
      <w:r>
        <w:rPr>
          <w:rFonts w:hint="eastAsia" w:ascii="Times New Roman" w:hAnsi="Times New Roman" w:eastAsia="宋体" w:cs="Times New Roman"/>
          <w:b w:val="0"/>
          <w:bCs w:val="0"/>
          <w:snapToGrid w:val="0"/>
          <w:kern w:val="0"/>
          <w:sz w:val="24"/>
          <w:szCs w:val="24"/>
          <w:lang w:val="en-US" w:eastAsia="zh-CN"/>
        </w:rPr>
        <w:t>恶臭</w:t>
      </w:r>
    </w:p>
    <w:p w14:paraId="797377C3">
      <w:pPr>
        <w:tabs>
          <w:tab w:val="left" w:pos="525"/>
        </w:tabs>
        <w:adjustRightInd w:val="0"/>
        <w:snapToGrid w:val="0"/>
        <w:spacing w:line="360" w:lineRule="auto"/>
        <w:ind w:firstLine="480" w:firstLineChars="200"/>
        <w:rPr>
          <w:rFonts w:hint="default" w:cs="Times New Roman"/>
          <w:b w:val="0"/>
          <w:bCs w:val="0"/>
          <w:snapToGrid w:val="0"/>
          <w:kern w:val="0"/>
          <w:sz w:val="24"/>
          <w:szCs w:val="24"/>
          <w:vertAlign w:val="baseline"/>
          <w:lang w:val="en-US" w:eastAsia="zh-CN"/>
        </w:rPr>
      </w:pPr>
      <w:r>
        <w:rPr>
          <w:rFonts w:hint="eastAsia" w:cs="Times New Roman"/>
          <w:b w:val="0"/>
          <w:bCs w:val="0"/>
          <w:snapToGrid w:val="0"/>
          <w:kern w:val="0"/>
          <w:sz w:val="24"/>
          <w:szCs w:val="24"/>
          <w:lang w:val="en-US" w:eastAsia="zh-CN" w:bidi="ar-SA"/>
        </w:rPr>
        <w:t>扩建原有项目的污泥脱水间，</w:t>
      </w:r>
      <w:r>
        <w:rPr>
          <w:rFonts w:ascii="Times New Roman" w:hAnsi="Times New Roman" w:cs="Times New Roman"/>
          <w:sz w:val="24"/>
        </w:rPr>
        <w:t>污泥脱水间全封闭</w:t>
      </w:r>
      <w:r>
        <w:rPr>
          <w:rFonts w:ascii="Times New Roman" w:hAnsi="Times New Roman" w:cs="Times New Roman"/>
          <w:snapToGrid w:val="0"/>
          <w:sz w:val="24"/>
        </w:rPr>
        <w:t>，并设置集排风装置（捕集效率80%），收集的恶臭气体通过活性炭吸附净化处理后排放，净化效率不低于90%</w:t>
      </w:r>
      <w:r>
        <w:rPr>
          <w:rFonts w:hint="eastAsia" w:ascii="Times New Roman" w:hAnsi="Times New Roman" w:cs="Times New Roman"/>
          <w:snapToGrid w:val="0"/>
          <w:sz w:val="24"/>
          <w:lang w:eastAsia="zh-CN"/>
        </w:rPr>
        <w:t>。</w:t>
      </w:r>
      <w:r>
        <w:rPr>
          <w:rFonts w:hint="eastAsia" w:ascii="Times New Roman" w:hAnsi="Times New Roman" w:cs="Times New Roman"/>
          <w:snapToGrid w:val="0"/>
          <w:sz w:val="24"/>
          <w:lang w:val="en-US" w:eastAsia="zh-CN"/>
        </w:rPr>
        <w:t>扩建后的污水处理站与原有项目共用一个污泥脱水间及污泥存放间，共用一个15m高排气筒（DA011） 。原有污水处理站规模为12000m</w:t>
      </w:r>
      <w:r>
        <w:rPr>
          <w:rFonts w:hint="eastAsia" w:ascii="Times New Roman" w:hAnsi="Times New Roman" w:cs="Times New Roman"/>
          <w:snapToGrid w:val="0"/>
          <w:sz w:val="24"/>
          <w:vertAlign w:val="superscript"/>
          <w:lang w:val="en-US" w:eastAsia="zh-CN"/>
        </w:rPr>
        <w:t>3</w:t>
      </w:r>
      <w:r>
        <w:rPr>
          <w:rFonts w:hint="eastAsia" w:ascii="Times New Roman" w:hAnsi="Times New Roman" w:cs="Times New Roman"/>
          <w:snapToGrid w:val="0"/>
          <w:sz w:val="24"/>
          <w:lang w:val="en-US" w:eastAsia="zh-CN"/>
        </w:rPr>
        <w:t>/d，</w:t>
      </w:r>
      <w:r>
        <w:rPr>
          <w:rFonts w:hint="eastAsia" w:cs="Times New Roman"/>
          <w:snapToGrid w:val="0"/>
          <w:sz w:val="24"/>
          <w:lang w:val="en-US" w:eastAsia="zh-CN"/>
        </w:rPr>
        <w:t>扩建后</w:t>
      </w:r>
      <w:r>
        <w:rPr>
          <w:rFonts w:hint="eastAsia" w:ascii="Times New Roman" w:hAnsi="Times New Roman" w:cs="Times New Roman"/>
          <w:snapToGrid w:val="0"/>
          <w:sz w:val="24"/>
          <w:lang w:val="en-US" w:eastAsia="zh-CN"/>
        </w:rPr>
        <w:t>规模为</w:t>
      </w:r>
      <w:r>
        <w:rPr>
          <w:rFonts w:hint="eastAsia" w:cs="Times New Roman"/>
          <w:snapToGrid w:val="0"/>
          <w:sz w:val="24"/>
          <w:lang w:val="en-US" w:eastAsia="zh-CN"/>
        </w:rPr>
        <w:t>18</w:t>
      </w:r>
      <w:r>
        <w:rPr>
          <w:rFonts w:hint="eastAsia" w:ascii="Times New Roman" w:hAnsi="Times New Roman" w:cs="Times New Roman"/>
          <w:snapToGrid w:val="0"/>
          <w:sz w:val="24"/>
          <w:lang w:val="en-US" w:eastAsia="zh-CN"/>
        </w:rPr>
        <w:t>000m</w:t>
      </w:r>
      <w:r>
        <w:rPr>
          <w:rFonts w:hint="eastAsia" w:ascii="Times New Roman" w:hAnsi="Times New Roman" w:cs="Times New Roman"/>
          <w:snapToGrid w:val="0"/>
          <w:sz w:val="24"/>
          <w:vertAlign w:val="superscript"/>
          <w:lang w:val="en-US" w:eastAsia="zh-CN"/>
        </w:rPr>
        <w:t>3</w:t>
      </w:r>
      <w:r>
        <w:rPr>
          <w:rFonts w:hint="eastAsia" w:ascii="Times New Roman" w:hAnsi="Times New Roman" w:cs="Times New Roman"/>
          <w:snapToGrid w:val="0"/>
          <w:sz w:val="24"/>
          <w:lang w:val="en-US" w:eastAsia="zh-CN"/>
        </w:rPr>
        <w:t>/d</w:t>
      </w:r>
      <w:r>
        <w:rPr>
          <w:rFonts w:hint="eastAsia" w:cs="Times New Roman"/>
          <w:snapToGrid w:val="0"/>
          <w:sz w:val="24"/>
          <w:lang w:val="en-US" w:eastAsia="zh-CN"/>
        </w:rPr>
        <w:t>。</w:t>
      </w:r>
      <w:r>
        <w:rPr>
          <w:rFonts w:hint="eastAsia" w:ascii="Times New Roman" w:hAnsi="Times New Roman" w:eastAsia="宋体" w:cs="Times New Roman"/>
          <w:b w:val="0"/>
          <w:bCs w:val="0"/>
          <w:snapToGrid w:val="0"/>
          <w:kern w:val="0"/>
          <w:sz w:val="24"/>
          <w:szCs w:val="24"/>
          <w:lang w:val="en-US" w:eastAsia="zh-CN" w:bidi="ar-SA"/>
        </w:rPr>
        <w:t>类比现有工程污水</w:t>
      </w:r>
      <w:r>
        <w:rPr>
          <w:rFonts w:hint="eastAsia" w:cs="Times New Roman"/>
          <w:b w:val="0"/>
          <w:bCs w:val="0"/>
          <w:snapToGrid w:val="0"/>
          <w:kern w:val="0"/>
          <w:sz w:val="24"/>
          <w:szCs w:val="24"/>
          <w:lang w:val="en-US" w:eastAsia="zh-CN"/>
        </w:rPr>
        <w:t>处理站产生的恶臭气体的验收报告和例行监测报告中的数据，氨的排放浓度在44.6-47.8mg/m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vertAlign w:val="baseline"/>
          <w:lang w:val="en-US" w:eastAsia="zh-CN"/>
        </w:rPr>
        <w:t>之间，排放速率在0.0182-0.0227kg/h之间；</w:t>
      </w:r>
      <w:r>
        <w:rPr>
          <w:rFonts w:hint="eastAsia" w:cs="Times New Roman"/>
          <w:b w:val="0"/>
          <w:bCs w:val="0"/>
          <w:snapToGrid w:val="0"/>
          <w:kern w:val="0"/>
          <w:sz w:val="24"/>
          <w:szCs w:val="24"/>
          <w:lang w:val="en-US" w:eastAsia="zh-CN"/>
        </w:rPr>
        <w:t>硫化氢的排放浓度在4.27-4.38mg/m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vertAlign w:val="baseline"/>
          <w:lang w:val="en-US" w:eastAsia="zh-CN"/>
        </w:rPr>
        <w:t>之间，排放速率在0.00175-0.0021kg/h之间；</w:t>
      </w:r>
      <w:r>
        <w:rPr>
          <w:rFonts w:hint="eastAsia" w:cs="Times New Roman"/>
          <w:b w:val="0"/>
          <w:bCs w:val="0"/>
          <w:snapToGrid w:val="0"/>
          <w:kern w:val="0"/>
          <w:sz w:val="24"/>
          <w:szCs w:val="24"/>
          <w:lang w:val="en-US" w:eastAsia="zh-CN"/>
        </w:rPr>
        <w:t>臭气浓度在173-416之间。因此本项目的氨的排放浓度以47.8mg/m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计，排放速率为0.034</w:t>
      </w:r>
      <w:r>
        <w:rPr>
          <w:rFonts w:hint="eastAsia" w:cs="Times New Roman"/>
          <w:b w:val="0"/>
          <w:bCs w:val="0"/>
          <w:snapToGrid w:val="0"/>
          <w:kern w:val="0"/>
          <w:sz w:val="24"/>
          <w:szCs w:val="24"/>
          <w:vertAlign w:val="baseline"/>
          <w:lang w:val="en-US" w:eastAsia="zh-CN"/>
        </w:rPr>
        <w:t>kg/h；</w:t>
      </w:r>
      <w:r>
        <w:rPr>
          <w:rFonts w:hint="eastAsia" w:cs="Times New Roman"/>
          <w:b w:val="0"/>
          <w:bCs w:val="0"/>
          <w:snapToGrid w:val="0"/>
          <w:kern w:val="0"/>
          <w:sz w:val="24"/>
          <w:szCs w:val="24"/>
          <w:lang w:val="en-US" w:eastAsia="zh-CN"/>
        </w:rPr>
        <w:t>硫化氢的排放浓度以4.38mg/m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vertAlign w:val="baseline"/>
          <w:lang w:val="en-US" w:eastAsia="zh-CN"/>
        </w:rPr>
        <w:t>计，</w:t>
      </w:r>
      <w:r>
        <w:rPr>
          <w:rFonts w:hint="eastAsia" w:cs="Times New Roman"/>
          <w:b w:val="0"/>
          <w:bCs w:val="0"/>
          <w:snapToGrid w:val="0"/>
          <w:kern w:val="0"/>
          <w:sz w:val="24"/>
          <w:szCs w:val="24"/>
          <w:lang w:val="en-US" w:eastAsia="zh-CN"/>
        </w:rPr>
        <w:t>排放速率为0.003</w:t>
      </w:r>
      <w:r>
        <w:rPr>
          <w:rFonts w:hint="eastAsia" w:cs="Times New Roman"/>
          <w:b w:val="0"/>
          <w:bCs w:val="0"/>
          <w:snapToGrid w:val="0"/>
          <w:kern w:val="0"/>
          <w:sz w:val="24"/>
          <w:szCs w:val="24"/>
          <w:vertAlign w:val="baseline"/>
          <w:lang w:val="en-US" w:eastAsia="zh-CN"/>
        </w:rPr>
        <w:t>kg/h。</w:t>
      </w:r>
    </w:p>
    <w:p w14:paraId="0236F713">
      <w:pPr>
        <w:pStyle w:val="15"/>
        <w:spacing w:after="62" w:afterLines="20" w:line="360" w:lineRule="auto"/>
        <w:jc w:val="center"/>
        <w:rPr>
          <w:rFonts w:ascii="Times New Roman" w:hAnsi="Times New Roman" w:eastAsia="宋体" w:cs="Times New Roman"/>
          <w:b/>
          <w:color w:val="auto"/>
          <w:sz w:val="24"/>
          <w:szCs w:val="24"/>
          <w:lang w:val="en-US" w:eastAsia="zh-CN" w:bidi="ar"/>
        </w:rPr>
      </w:pPr>
    </w:p>
    <w:p w14:paraId="79C2CE5D">
      <w:pPr>
        <w:pStyle w:val="15"/>
        <w:spacing w:after="62" w:afterLines="20" w:line="360" w:lineRule="auto"/>
        <w:jc w:val="center"/>
        <w:rPr>
          <w:rFonts w:ascii="Times New Roman" w:hAnsi="Times New Roman" w:eastAsia="宋体" w:cs="Times New Roman"/>
          <w:b/>
          <w:color w:val="auto"/>
          <w:sz w:val="24"/>
          <w:szCs w:val="24"/>
          <w:lang w:val="en-US" w:eastAsia="zh-CN" w:bidi="ar"/>
        </w:rPr>
      </w:pPr>
    </w:p>
    <w:p w14:paraId="1C825DC4">
      <w:pPr>
        <w:pStyle w:val="15"/>
        <w:spacing w:after="62" w:afterLines="20" w:line="360" w:lineRule="auto"/>
        <w:jc w:val="center"/>
        <w:rPr>
          <w:rFonts w:ascii="Times New Roman" w:hAnsi="Times New Roman" w:eastAsia="宋体" w:cs="Times New Roman"/>
          <w:b/>
          <w:color w:val="auto"/>
          <w:sz w:val="24"/>
          <w:szCs w:val="24"/>
          <w:lang w:val="en-US" w:eastAsia="zh-CN" w:bidi="ar"/>
        </w:rPr>
      </w:pPr>
    </w:p>
    <w:p w14:paraId="09C943D7">
      <w:pPr>
        <w:pStyle w:val="15"/>
        <w:spacing w:after="62" w:afterLines="20" w:line="360" w:lineRule="auto"/>
        <w:jc w:val="center"/>
        <w:rPr>
          <w:rFonts w:ascii="Times New Roman" w:hAnsi="Times New Roman" w:eastAsia="宋体" w:cs="Times New Roman"/>
          <w:b/>
          <w:color w:val="auto"/>
          <w:sz w:val="24"/>
          <w:szCs w:val="24"/>
          <w:lang w:val="en-US" w:eastAsia="zh-CN" w:bidi="ar"/>
        </w:rPr>
      </w:pPr>
    </w:p>
    <w:p w14:paraId="3A1728C1">
      <w:pPr>
        <w:pStyle w:val="15"/>
        <w:spacing w:after="62" w:afterLines="20" w:line="360" w:lineRule="auto"/>
        <w:jc w:val="center"/>
        <w:rPr>
          <w:rFonts w:ascii="Times New Roman" w:hAnsi="Times New Roman" w:eastAsia="宋体" w:cs="Times New Roman"/>
          <w:b/>
          <w:color w:val="auto"/>
          <w:sz w:val="24"/>
          <w:szCs w:val="24"/>
          <w:lang w:val="en-US" w:eastAsia="zh-CN" w:bidi="ar"/>
        </w:rPr>
      </w:pPr>
    </w:p>
    <w:p w14:paraId="0727F545">
      <w:pPr>
        <w:pStyle w:val="15"/>
        <w:spacing w:after="62" w:afterLines="20" w:line="360" w:lineRule="auto"/>
        <w:jc w:val="center"/>
        <w:rPr>
          <w:rFonts w:ascii="Times New Roman" w:hAnsi="Times New Roman" w:eastAsia="宋体" w:cs="Times New Roman"/>
          <w:b/>
          <w:color w:val="auto"/>
          <w:sz w:val="24"/>
          <w:szCs w:val="24"/>
          <w:lang w:val="en-US" w:eastAsia="zh-CN" w:bidi="ar"/>
        </w:rPr>
      </w:pPr>
    </w:p>
    <w:p w14:paraId="245FBEE3">
      <w:pPr>
        <w:pStyle w:val="15"/>
        <w:spacing w:after="62" w:afterLines="20" w:line="240" w:lineRule="auto"/>
        <w:jc w:val="center"/>
        <w:rPr>
          <w:rFonts w:hint="eastAsia" w:ascii="Times New Roman" w:hAnsi="Times New Roman" w:eastAsia="宋体" w:cs="Times New Roman"/>
          <w:b/>
          <w:color w:val="auto"/>
          <w:sz w:val="24"/>
          <w:szCs w:val="24"/>
          <w:lang w:val="en-US" w:eastAsia="zh-CN" w:bidi="ar"/>
        </w:rPr>
      </w:pPr>
      <w:r>
        <w:rPr>
          <w:rFonts w:ascii="Times New Roman" w:hAnsi="Times New Roman" w:eastAsia="宋体" w:cs="Times New Roman"/>
          <w:b/>
          <w:color w:val="auto"/>
          <w:sz w:val="24"/>
          <w:szCs w:val="24"/>
          <w:lang w:val="en-US" w:eastAsia="zh-CN" w:bidi="ar"/>
        </w:rPr>
        <w:t>表3.</w:t>
      </w:r>
      <w:r>
        <w:rPr>
          <w:rFonts w:hint="eastAsia" w:ascii="Times New Roman" w:hAnsi="Times New Roman" w:eastAsia="宋体" w:cs="Times New Roman"/>
          <w:b/>
          <w:color w:val="auto"/>
          <w:sz w:val="24"/>
          <w:szCs w:val="24"/>
          <w:lang w:val="en-US" w:eastAsia="zh-CN" w:bidi="ar"/>
        </w:rPr>
        <w:t>4-1</w:t>
      </w:r>
      <w:r>
        <w:rPr>
          <w:rFonts w:ascii="Times New Roman" w:hAnsi="Times New Roman" w:eastAsia="宋体" w:cs="Times New Roman"/>
          <w:b/>
          <w:color w:val="auto"/>
          <w:sz w:val="24"/>
          <w:szCs w:val="24"/>
          <w:lang w:val="en-US" w:eastAsia="zh-CN" w:bidi="ar"/>
        </w:rPr>
        <w:t xml:space="preserve">    </w:t>
      </w:r>
      <w:r>
        <w:rPr>
          <w:rFonts w:hint="eastAsia" w:ascii="Times New Roman" w:hAnsi="Times New Roman" w:eastAsia="宋体" w:cs="Times New Roman"/>
          <w:b/>
          <w:color w:val="auto"/>
          <w:sz w:val="24"/>
          <w:szCs w:val="24"/>
          <w:lang w:val="en-US" w:eastAsia="zh-CN" w:bidi="ar"/>
        </w:rPr>
        <w:t>废气排放</w:t>
      </w:r>
      <w:r>
        <w:rPr>
          <w:rFonts w:ascii="Times New Roman" w:hAnsi="Times New Roman" w:eastAsia="宋体" w:cs="Times New Roman"/>
          <w:b/>
          <w:color w:val="auto"/>
          <w:sz w:val="24"/>
          <w:szCs w:val="24"/>
          <w:lang w:val="en-US" w:eastAsia="zh-CN" w:bidi="ar"/>
        </w:rPr>
        <w:t>情况一览表</w:t>
      </w:r>
    </w:p>
    <w:tbl>
      <w:tblPr>
        <w:tblStyle w:val="53"/>
        <w:tblW w:w="893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81"/>
        <w:gridCol w:w="1358"/>
        <w:gridCol w:w="3302"/>
        <w:gridCol w:w="1088"/>
        <w:gridCol w:w="892"/>
        <w:gridCol w:w="917"/>
      </w:tblGrid>
      <w:tr w14:paraId="7803F3D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1381" w:type="dxa"/>
            <w:vMerge w:val="restart"/>
            <w:noWrap w:val="0"/>
            <w:vAlign w:val="center"/>
          </w:tcPr>
          <w:p w14:paraId="024AEC6D">
            <w:pPr>
              <w:spacing w:line="240" w:lineRule="auto"/>
              <w:jc w:val="center"/>
              <w:rPr>
                <w:rFonts w:hint="eastAsia" w:ascii="Times New Roman" w:hAnsi="Times New Roman"/>
                <w:color w:val="auto"/>
                <w:sz w:val="21"/>
              </w:rPr>
            </w:pPr>
            <w:r>
              <w:rPr>
                <w:rFonts w:hint="eastAsia" w:ascii="Times New Roman" w:hAnsi="Times New Roman"/>
                <w:color w:val="auto"/>
                <w:sz w:val="21"/>
              </w:rPr>
              <w:t>产污点</w:t>
            </w:r>
          </w:p>
        </w:tc>
        <w:tc>
          <w:tcPr>
            <w:tcW w:w="1358" w:type="dxa"/>
            <w:vMerge w:val="restart"/>
            <w:noWrap w:val="0"/>
            <w:vAlign w:val="center"/>
          </w:tcPr>
          <w:p w14:paraId="34470B45">
            <w:pPr>
              <w:spacing w:line="240" w:lineRule="auto"/>
              <w:jc w:val="center"/>
              <w:rPr>
                <w:rFonts w:ascii="Times New Roman" w:hAnsi="Times New Roman"/>
                <w:color w:val="auto"/>
                <w:sz w:val="21"/>
              </w:rPr>
            </w:pPr>
            <w:r>
              <w:rPr>
                <w:rFonts w:ascii="Times New Roman" w:hAnsi="Times New Roman"/>
                <w:color w:val="auto"/>
                <w:sz w:val="21"/>
              </w:rPr>
              <w:t>污染物</w:t>
            </w:r>
          </w:p>
        </w:tc>
        <w:tc>
          <w:tcPr>
            <w:tcW w:w="3302" w:type="dxa"/>
            <w:vMerge w:val="restart"/>
            <w:noWrap w:val="0"/>
            <w:vAlign w:val="center"/>
          </w:tcPr>
          <w:p w14:paraId="57738017">
            <w:pPr>
              <w:spacing w:line="240" w:lineRule="auto"/>
              <w:jc w:val="center"/>
              <w:rPr>
                <w:rFonts w:ascii="Times New Roman" w:hAnsi="Times New Roman"/>
                <w:color w:val="auto"/>
                <w:sz w:val="21"/>
              </w:rPr>
            </w:pPr>
            <w:r>
              <w:rPr>
                <w:rFonts w:ascii="Times New Roman" w:hAnsi="Times New Roman"/>
                <w:color w:val="auto"/>
                <w:sz w:val="21"/>
              </w:rPr>
              <w:t>措施</w:t>
            </w:r>
          </w:p>
        </w:tc>
        <w:tc>
          <w:tcPr>
            <w:tcW w:w="2897" w:type="dxa"/>
            <w:gridSpan w:val="3"/>
            <w:noWrap w:val="0"/>
            <w:vAlign w:val="center"/>
          </w:tcPr>
          <w:p w14:paraId="53A2BECA">
            <w:pPr>
              <w:spacing w:line="240" w:lineRule="auto"/>
              <w:jc w:val="center"/>
              <w:rPr>
                <w:rFonts w:ascii="Times New Roman" w:hAnsi="Times New Roman"/>
                <w:color w:val="auto"/>
                <w:sz w:val="21"/>
              </w:rPr>
            </w:pPr>
            <w:r>
              <w:rPr>
                <w:rFonts w:ascii="Times New Roman" w:hAnsi="Times New Roman"/>
                <w:color w:val="auto"/>
                <w:sz w:val="21"/>
              </w:rPr>
              <w:t>排放情况</w:t>
            </w:r>
          </w:p>
        </w:tc>
      </w:tr>
      <w:tr w14:paraId="04B531A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vMerge w:val="continue"/>
            <w:noWrap w:val="0"/>
            <w:vAlign w:val="center"/>
          </w:tcPr>
          <w:p w14:paraId="65A62413">
            <w:pPr>
              <w:spacing w:line="240" w:lineRule="auto"/>
              <w:jc w:val="center"/>
              <w:rPr>
                <w:rFonts w:ascii="Times New Roman" w:hAnsi="Times New Roman"/>
                <w:color w:val="auto"/>
                <w:sz w:val="21"/>
              </w:rPr>
            </w:pPr>
          </w:p>
        </w:tc>
        <w:tc>
          <w:tcPr>
            <w:tcW w:w="1358" w:type="dxa"/>
            <w:vMerge w:val="continue"/>
            <w:noWrap w:val="0"/>
            <w:vAlign w:val="center"/>
          </w:tcPr>
          <w:p w14:paraId="37528353">
            <w:pPr>
              <w:spacing w:line="240" w:lineRule="auto"/>
              <w:jc w:val="center"/>
              <w:rPr>
                <w:rFonts w:ascii="Times New Roman" w:hAnsi="Times New Roman"/>
                <w:color w:val="auto"/>
                <w:sz w:val="21"/>
              </w:rPr>
            </w:pPr>
          </w:p>
        </w:tc>
        <w:tc>
          <w:tcPr>
            <w:tcW w:w="3302" w:type="dxa"/>
            <w:vMerge w:val="continue"/>
            <w:noWrap w:val="0"/>
            <w:vAlign w:val="center"/>
          </w:tcPr>
          <w:p w14:paraId="53B1B88C">
            <w:pPr>
              <w:spacing w:line="240" w:lineRule="auto"/>
              <w:jc w:val="center"/>
              <w:rPr>
                <w:rFonts w:ascii="Times New Roman" w:hAnsi="Times New Roman"/>
                <w:color w:val="auto"/>
                <w:sz w:val="21"/>
              </w:rPr>
            </w:pPr>
          </w:p>
        </w:tc>
        <w:tc>
          <w:tcPr>
            <w:tcW w:w="1088" w:type="dxa"/>
            <w:noWrap w:val="0"/>
            <w:vAlign w:val="center"/>
          </w:tcPr>
          <w:p w14:paraId="61628565">
            <w:pPr>
              <w:spacing w:line="240" w:lineRule="auto"/>
              <w:jc w:val="center"/>
              <w:rPr>
                <w:rFonts w:ascii="Times New Roman" w:hAnsi="Times New Roman"/>
                <w:color w:val="auto"/>
                <w:sz w:val="21"/>
              </w:rPr>
            </w:pPr>
            <w:r>
              <w:rPr>
                <w:rFonts w:ascii="Times New Roman" w:hAnsi="Times New Roman"/>
                <w:color w:val="auto"/>
                <w:sz w:val="21"/>
              </w:rPr>
              <w:t>Kg/h</w:t>
            </w:r>
          </w:p>
        </w:tc>
        <w:tc>
          <w:tcPr>
            <w:tcW w:w="892" w:type="dxa"/>
            <w:tcBorders>
              <w:right w:val="single" w:color="auto" w:sz="4" w:space="0"/>
            </w:tcBorders>
            <w:noWrap w:val="0"/>
            <w:vAlign w:val="center"/>
          </w:tcPr>
          <w:p w14:paraId="47B01D16">
            <w:pPr>
              <w:spacing w:line="240" w:lineRule="auto"/>
              <w:jc w:val="center"/>
              <w:rPr>
                <w:rFonts w:ascii="Times New Roman" w:hAnsi="Times New Roman"/>
                <w:color w:val="auto"/>
                <w:sz w:val="21"/>
              </w:rPr>
            </w:pPr>
            <w:r>
              <w:rPr>
                <w:rFonts w:ascii="Times New Roman" w:hAnsi="Times New Roman"/>
                <w:color w:val="auto"/>
                <w:sz w:val="21"/>
              </w:rPr>
              <w:t>t/a</w:t>
            </w:r>
          </w:p>
        </w:tc>
        <w:tc>
          <w:tcPr>
            <w:tcW w:w="917" w:type="dxa"/>
            <w:tcBorders>
              <w:left w:val="single" w:color="auto" w:sz="4" w:space="0"/>
            </w:tcBorders>
            <w:noWrap w:val="0"/>
            <w:vAlign w:val="center"/>
          </w:tcPr>
          <w:p w14:paraId="00A5D1F1">
            <w:pPr>
              <w:spacing w:line="240" w:lineRule="auto"/>
              <w:jc w:val="center"/>
              <w:rPr>
                <w:rFonts w:ascii="Times New Roman" w:hAnsi="Times New Roman"/>
                <w:color w:val="auto"/>
                <w:sz w:val="21"/>
              </w:rPr>
            </w:pPr>
            <w:r>
              <w:rPr>
                <w:rFonts w:ascii="Times New Roman" w:hAnsi="Times New Roman"/>
                <w:color w:val="auto"/>
                <w:sz w:val="21"/>
              </w:rPr>
              <w:t>mg/m</w:t>
            </w:r>
            <w:r>
              <w:rPr>
                <w:rFonts w:ascii="Times New Roman" w:hAnsi="Times New Roman"/>
                <w:color w:val="auto"/>
                <w:sz w:val="21"/>
                <w:vertAlign w:val="superscript"/>
              </w:rPr>
              <w:t>3</w:t>
            </w:r>
          </w:p>
        </w:tc>
      </w:tr>
      <w:tr w14:paraId="3C4B5AB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noWrap w:val="0"/>
            <w:vAlign w:val="center"/>
          </w:tcPr>
          <w:p w14:paraId="07E7D293">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玉米粉碎</w:t>
            </w:r>
          </w:p>
        </w:tc>
        <w:tc>
          <w:tcPr>
            <w:tcW w:w="1358" w:type="dxa"/>
            <w:noWrap w:val="0"/>
            <w:vAlign w:val="center"/>
          </w:tcPr>
          <w:p w14:paraId="131E79D2">
            <w:pPr>
              <w:spacing w:line="240" w:lineRule="auto"/>
              <w:jc w:val="center"/>
              <w:rPr>
                <w:rFonts w:hint="eastAsia" w:ascii="Times New Roman" w:hAnsi="Times New Roman" w:eastAsia="宋体"/>
                <w:color w:val="auto"/>
                <w:sz w:val="21"/>
                <w:lang w:val="en-US" w:eastAsia="zh-CN"/>
              </w:rPr>
            </w:pPr>
            <w:r>
              <w:rPr>
                <w:rFonts w:hint="eastAsia"/>
                <w:color w:val="auto"/>
                <w:sz w:val="21"/>
                <w:lang w:val="en-US" w:eastAsia="zh-CN"/>
              </w:rPr>
              <w:t>颗粒物</w:t>
            </w:r>
          </w:p>
        </w:tc>
        <w:tc>
          <w:tcPr>
            <w:tcW w:w="3302" w:type="dxa"/>
            <w:noWrap w:val="0"/>
            <w:vAlign w:val="center"/>
          </w:tcPr>
          <w:p w14:paraId="2508EE88">
            <w:pPr>
              <w:spacing w:line="240" w:lineRule="auto"/>
              <w:jc w:val="center"/>
              <w:rPr>
                <w:rFonts w:hint="default"/>
                <w:color w:val="auto"/>
                <w:sz w:val="21"/>
                <w:lang w:val="en-US" w:eastAsia="zh-CN"/>
              </w:rPr>
            </w:pPr>
            <w:r>
              <w:rPr>
                <w:rFonts w:hint="eastAsia"/>
                <w:color w:val="auto"/>
                <w:sz w:val="21"/>
                <w:lang w:val="en-US" w:eastAsia="zh-CN"/>
              </w:rPr>
              <w:t>布袋除尘器除尘，9个22.5m高排气筒（DA005-DA010、DA014、DA015、DA040）排放和13个25m高排气筒（DA018-DA029、DA035）排放</w:t>
            </w:r>
          </w:p>
        </w:tc>
        <w:tc>
          <w:tcPr>
            <w:tcW w:w="1088" w:type="dxa"/>
            <w:noWrap w:val="0"/>
            <w:vAlign w:val="center"/>
          </w:tcPr>
          <w:p w14:paraId="6228FBE5">
            <w:pPr>
              <w:spacing w:line="240" w:lineRule="auto"/>
              <w:jc w:val="center"/>
              <w:rPr>
                <w:rFonts w:hint="default"/>
                <w:color w:val="auto"/>
                <w:sz w:val="21"/>
                <w:lang w:val="en-US" w:eastAsia="zh-CN"/>
              </w:rPr>
            </w:pPr>
            <w:r>
              <w:rPr>
                <w:rFonts w:hint="eastAsia"/>
                <w:color w:val="auto"/>
                <w:sz w:val="21"/>
                <w:lang w:val="en-US" w:eastAsia="zh-CN"/>
              </w:rPr>
              <w:t>0.273</w:t>
            </w:r>
          </w:p>
        </w:tc>
        <w:tc>
          <w:tcPr>
            <w:tcW w:w="892" w:type="dxa"/>
            <w:tcBorders>
              <w:right w:val="single" w:color="auto" w:sz="4" w:space="0"/>
            </w:tcBorders>
            <w:noWrap w:val="0"/>
            <w:vAlign w:val="center"/>
          </w:tcPr>
          <w:p w14:paraId="3ACB9427">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48.05</w:t>
            </w:r>
          </w:p>
        </w:tc>
        <w:tc>
          <w:tcPr>
            <w:tcW w:w="917" w:type="dxa"/>
            <w:tcBorders>
              <w:left w:val="single" w:color="auto" w:sz="4" w:space="0"/>
            </w:tcBorders>
            <w:noWrap w:val="0"/>
            <w:vAlign w:val="center"/>
          </w:tcPr>
          <w:p w14:paraId="3693D651">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21.1</w:t>
            </w:r>
          </w:p>
        </w:tc>
      </w:tr>
      <w:tr w14:paraId="227FA33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vMerge w:val="restart"/>
            <w:noWrap w:val="0"/>
            <w:vAlign w:val="center"/>
          </w:tcPr>
          <w:p w14:paraId="1EB64A45">
            <w:pPr>
              <w:spacing w:line="240" w:lineRule="auto"/>
              <w:jc w:val="center"/>
              <w:rPr>
                <w:rFonts w:hint="eastAsia"/>
                <w:color w:val="auto"/>
                <w:sz w:val="21"/>
                <w:lang w:val="en-US" w:eastAsia="zh-CN"/>
              </w:rPr>
            </w:pPr>
            <w:r>
              <w:rPr>
                <w:rFonts w:hint="eastAsia"/>
                <w:color w:val="auto"/>
                <w:sz w:val="21"/>
                <w:lang w:val="en-US" w:eastAsia="zh-CN"/>
              </w:rPr>
              <w:t>发酵车间CO</w:t>
            </w:r>
            <w:r>
              <w:rPr>
                <w:rFonts w:hint="eastAsia"/>
                <w:color w:val="auto"/>
                <w:sz w:val="21"/>
                <w:vertAlign w:val="subscript"/>
                <w:lang w:val="en-US" w:eastAsia="zh-CN"/>
              </w:rPr>
              <w:t>2</w:t>
            </w:r>
            <w:r>
              <w:rPr>
                <w:rFonts w:hint="eastAsia"/>
                <w:color w:val="auto"/>
                <w:sz w:val="21"/>
                <w:lang w:val="en-US" w:eastAsia="zh-CN"/>
              </w:rPr>
              <w:t>洗涤塔</w:t>
            </w:r>
          </w:p>
        </w:tc>
        <w:tc>
          <w:tcPr>
            <w:tcW w:w="1358" w:type="dxa"/>
            <w:noWrap w:val="0"/>
            <w:vAlign w:val="center"/>
          </w:tcPr>
          <w:p w14:paraId="61868581">
            <w:pPr>
              <w:spacing w:line="240" w:lineRule="auto"/>
              <w:jc w:val="center"/>
              <w:rPr>
                <w:rFonts w:hint="default"/>
                <w:color w:val="auto"/>
                <w:sz w:val="21"/>
                <w:lang w:val="en-US" w:eastAsia="zh-CN"/>
              </w:rPr>
            </w:pPr>
            <w:r>
              <w:rPr>
                <w:rFonts w:hint="eastAsia"/>
                <w:color w:val="auto"/>
                <w:sz w:val="21"/>
                <w:lang w:val="en-US" w:eastAsia="zh-CN"/>
              </w:rPr>
              <w:t>非甲烷总烃</w:t>
            </w:r>
          </w:p>
        </w:tc>
        <w:tc>
          <w:tcPr>
            <w:tcW w:w="3302" w:type="dxa"/>
            <w:vMerge w:val="restart"/>
            <w:noWrap w:val="0"/>
            <w:vAlign w:val="center"/>
          </w:tcPr>
          <w:p w14:paraId="0CE5C4BD">
            <w:pPr>
              <w:spacing w:line="240" w:lineRule="auto"/>
              <w:jc w:val="center"/>
              <w:rPr>
                <w:rFonts w:hint="eastAsia"/>
                <w:color w:val="auto"/>
                <w:sz w:val="21"/>
                <w:lang w:val="en-US" w:eastAsia="zh-CN"/>
              </w:rPr>
            </w:pPr>
            <w:r>
              <w:rPr>
                <w:rFonts w:hint="eastAsia"/>
                <w:color w:val="auto"/>
                <w:sz w:val="21"/>
                <w:lang w:val="en-US" w:eastAsia="zh-CN"/>
              </w:rPr>
              <w:t>4个15</w:t>
            </w:r>
            <w:r>
              <w:rPr>
                <w:rFonts w:hint="default"/>
                <w:color w:val="auto"/>
                <w:sz w:val="21"/>
                <w:lang w:val="en-US" w:eastAsia="zh-CN"/>
              </w:rPr>
              <w:t>m高排气筒</w:t>
            </w:r>
            <w:r>
              <w:rPr>
                <w:rFonts w:hint="eastAsia"/>
                <w:color w:val="auto"/>
                <w:sz w:val="21"/>
                <w:lang w:val="en-US" w:eastAsia="zh-CN"/>
              </w:rPr>
              <w:t>（DA002、DA032、DA041、DA042）</w:t>
            </w:r>
            <w:r>
              <w:rPr>
                <w:rFonts w:hint="default"/>
                <w:color w:val="auto"/>
                <w:sz w:val="21"/>
                <w:lang w:val="en-US" w:eastAsia="zh-CN"/>
              </w:rPr>
              <w:t>排放</w:t>
            </w:r>
          </w:p>
        </w:tc>
        <w:tc>
          <w:tcPr>
            <w:tcW w:w="1088" w:type="dxa"/>
            <w:noWrap w:val="0"/>
            <w:vAlign w:val="center"/>
          </w:tcPr>
          <w:p w14:paraId="5C202C36">
            <w:pPr>
              <w:spacing w:line="240" w:lineRule="auto"/>
              <w:jc w:val="center"/>
              <w:rPr>
                <w:rFonts w:hint="default"/>
                <w:color w:val="auto"/>
                <w:sz w:val="21"/>
                <w:lang w:val="en-US" w:eastAsia="zh-CN"/>
              </w:rPr>
            </w:pPr>
            <w:r>
              <w:rPr>
                <w:rFonts w:hint="eastAsia"/>
                <w:color w:val="auto"/>
                <w:sz w:val="21"/>
                <w:lang w:val="en-US" w:eastAsia="zh-CN"/>
              </w:rPr>
              <w:t>0.746</w:t>
            </w:r>
          </w:p>
        </w:tc>
        <w:tc>
          <w:tcPr>
            <w:tcW w:w="892" w:type="dxa"/>
            <w:tcBorders>
              <w:right w:val="single" w:color="auto" w:sz="4" w:space="0"/>
            </w:tcBorders>
            <w:noWrap w:val="0"/>
            <w:vAlign w:val="center"/>
          </w:tcPr>
          <w:p w14:paraId="2FA4BEA8">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23.71</w:t>
            </w:r>
          </w:p>
        </w:tc>
        <w:tc>
          <w:tcPr>
            <w:tcW w:w="917" w:type="dxa"/>
            <w:tcBorders>
              <w:left w:val="single" w:color="auto" w:sz="4" w:space="0"/>
            </w:tcBorders>
            <w:noWrap w:val="0"/>
            <w:vAlign w:val="center"/>
          </w:tcPr>
          <w:p w14:paraId="6F30402D">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6.38</w:t>
            </w:r>
          </w:p>
        </w:tc>
      </w:tr>
      <w:tr w14:paraId="0932840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vMerge w:val="continue"/>
            <w:noWrap w:val="0"/>
            <w:vAlign w:val="center"/>
          </w:tcPr>
          <w:p w14:paraId="0890763C">
            <w:pPr>
              <w:spacing w:line="240" w:lineRule="auto"/>
              <w:jc w:val="center"/>
              <w:rPr>
                <w:rFonts w:ascii="Times New Roman" w:hAnsi="Times New Roman"/>
                <w:color w:val="auto"/>
                <w:sz w:val="21"/>
              </w:rPr>
            </w:pPr>
          </w:p>
        </w:tc>
        <w:tc>
          <w:tcPr>
            <w:tcW w:w="1358" w:type="dxa"/>
            <w:noWrap w:val="0"/>
            <w:vAlign w:val="center"/>
          </w:tcPr>
          <w:p w14:paraId="181579A4">
            <w:pPr>
              <w:spacing w:line="240" w:lineRule="auto"/>
              <w:jc w:val="center"/>
              <w:rPr>
                <w:rFonts w:ascii="Times New Roman" w:hAnsi="Times New Roman"/>
                <w:color w:val="auto"/>
                <w:sz w:val="21"/>
              </w:rPr>
            </w:pPr>
            <w:r>
              <w:rPr>
                <w:rFonts w:hint="eastAsia"/>
                <w:color w:val="auto"/>
                <w:sz w:val="21"/>
                <w:lang w:val="en-US" w:eastAsia="zh-CN"/>
              </w:rPr>
              <w:t>臭气浓度</w:t>
            </w:r>
          </w:p>
        </w:tc>
        <w:tc>
          <w:tcPr>
            <w:tcW w:w="3302" w:type="dxa"/>
            <w:vMerge w:val="continue"/>
            <w:noWrap w:val="0"/>
            <w:vAlign w:val="center"/>
          </w:tcPr>
          <w:p w14:paraId="312C5299">
            <w:pPr>
              <w:spacing w:line="240" w:lineRule="auto"/>
              <w:jc w:val="center"/>
              <w:rPr>
                <w:rFonts w:ascii="Times New Roman" w:hAnsi="Times New Roman"/>
                <w:color w:val="auto"/>
                <w:sz w:val="21"/>
              </w:rPr>
            </w:pPr>
          </w:p>
        </w:tc>
        <w:tc>
          <w:tcPr>
            <w:tcW w:w="2897" w:type="dxa"/>
            <w:gridSpan w:val="3"/>
            <w:noWrap w:val="0"/>
            <w:vAlign w:val="center"/>
          </w:tcPr>
          <w:p w14:paraId="02DE366E">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549（无量纲）</w:t>
            </w:r>
          </w:p>
        </w:tc>
      </w:tr>
      <w:tr w14:paraId="675830B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1381" w:type="dxa"/>
            <w:vMerge w:val="restart"/>
            <w:noWrap w:val="0"/>
            <w:vAlign w:val="center"/>
          </w:tcPr>
          <w:p w14:paraId="1E008B8F">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全厂污水处理站站</w:t>
            </w:r>
          </w:p>
        </w:tc>
        <w:tc>
          <w:tcPr>
            <w:tcW w:w="1358" w:type="dxa"/>
            <w:noWrap w:val="0"/>
            <w:vAlign w:val="center"/>
          </w:tcPr>
          <w:p w14:paraId="25A3CF4B">
            <w:pPr>
              <w:spacing w:line="240" w:lineRule="auto"/>
              <w:jc w:val="center"/>
              <w:rPr>
                <w:rFonts w:ascii="Times New Roman" w:hAnsi="Times New Roman"/>
                <w:color w:val="auto"/>
                <w:sz w:val="21"/>
              </w:rPr>
            </w:pPr>
            <w:r>
              <w:rPr>
                <w:rFonts w:ascii="Times New Roman" w:hAnsi="Times New Roman"/>
                <w:color w:val="auto"/>
                <w:sz w:val="21"/>
              </w:rPr>
              <w:t>NH</w:t>
            </w:r>
            <w:r>
              <w:rPr>
                <w:rFonts w:ascii="Times New Roman" w:hAnsi="Times New Roman"/>
                <w:color w:val="auto"/>
                <w:sz w:val="21"/>
                <w:vertAlign w:val="subscript"/>
              </w:rPr>
              <w:t>3</w:t>
            </w:r>
          </w:p>
        </w:tc>
        <w:tc>
          <w:tcPr>
            <w:tcW w:w="3302" w:type="dxa"/>
            <w:vMerge w:val="restart"/>
            <w:noWrap w:val="0"/>
            <w:vAlign w:val="center"/>
          </w:tcPr>
          <w:p w14:paraId="5D8345B3">
            <w:pPr>
              <w:spacing w:line="240" w:lineRule="auto"/>
              <w:jc w:val="center"/>
              <w:rPr>
                <w:rFonts w:ascii="Times New Roman" w:hAnsi="Times New Roman"/>
                <w:color w:val="auto"/>
                <w:sz w:val="21"/>
              </w:rPr>
            </w:pPr>
            <w:r>
              <w:rPr>
                <w:rFonts w:hint="eastAsia" w:ascii="Times New Roman" w:hAnsi="Times New Roman"/>
                <w:color w:val="auto"/>
                <w:sz w:val="21"/>
              </w:rPr>
              <w:t>活性炭吸附净化处理后由1个</w:t>
            </w:r>
            <w:r>
              <w:rPr>
                <w:rFonts w:hint="eastAsia" w:ascii="Times New Roman" w:hAnsi="Times New Roman"/>
                <w:color w:val="auto"/>
                <w:sz w:val="21"/>
                <w:lang w:val="en-US" w:eastAsia="zh-CN"/>
              </w:rPr>
              <w:t>15</w:t>
            </w:r>
            <w:r>
              <w:rPr>
                <w:rFonts w:hint="eastAsia" w:ascii="Times New Roman" w:hAnsi="Times New Roman"/>
                <w:color w:val="auto"/>
                <w:sz w:val="21"/>
              </w:rPr>
              <w:t>m高排气筒</w:t>
            </w:r>
            <w:r>
              <w:rPr>
                <w:rFonts w:hint="eastAsia"/>
                <w:color w:val="auto"/>
                <w:sz w:val="21"/>
                <w:lang w:eastAsia="zh-CN"/>
              </w:rPr>
              <w:t>（</w:t>
            </w:r>
            <w:r>
              <w:rPr>
                <w:rFonts w:hint="eastAsia"/>
                <w:color w:val="auto"/>
                <w:sz w:val="21"/>
                <w:lang w:val="en-US" w:eastAsia="zh-CN"/>
              </w:rPr>
              <w:t>DA011</w:t>
            </w:r>
            <w:r>
              <w:rPr>
                <w:rFonts w:hint="eastAsia"/>
                <w:color w:val="auto"/>
                <w:sz w:val="21"/>
                <w:lang w:eastAsia="zh-CN"/>
              </w:rPr>
              <w:t>）</w:t>
            </w:r>
            <w:r>
              <w:rPr>
                <w:rFonts w:hint="eastAsia" w:ascii="Times New Roman" w:hAnsi="Times New Roman"/>
                <w:color w:val="auto"/>
                <w:sz w:val="21"/>
              </w:rPr>
              <w:t>排放</w:t>
            </w:r>
          </w:p>
        </w:tc>
        <w:tc>
          <w:tcPr>
            <w:tcW w:w="1088" w:type="dxa"/>
            <w:noWrap w:val="0"/>
            <w:vAlign w:val="center"/>
          </w:tcPr>
          <w:p w14:paraId="4A74E1C1">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0.034</w:t>
            </w:r>
          </w:p>
        </w:tc>
        <w:tc>
          <w:tcPr>
            <w:tcW w:w="892" w:type="dxa"/>
            <w:tcBorders>
              <w:right w:val="single" w:color="auto" w:sz="4" w:space="0"/>
            </w:tcBorders>
            <w:noWrap w:val="0"/>
            <w:vAlign w:val="center"/>
          </w:tcPr>
          <w:p w14:paraId="48DDBA0D">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0.27</w:t>
            </w:r>
          </w:p>
        </w:tc>
        <w:tc>
          <w:tcPr>
            <w:tcW w:w="917" w:type="dxa"/>
            <w:tcBorders>
              <w:left w:val="single" w:color="auto" w:sz="4" w:space="0"/>
            </w:tcBorders>
            <w:noWrap w:val="0"/>
            <w:vAlign w:val="center"/>
          </w:tcPr>
          <w:p w14:paraId="6D994B60">
            <w:pPr>
              <w:spacing w:line="240" w:lineRule="auto"/>
              <w:jc w:val="center"/>
              <w:rPr>
                <w:rFonts w:hint="default"/>
                <w:color w:val="auto"/>
                <w:sz w:val="21"/>
                <w:lang w:val="en-US" w:eastAsia="zh-CN"/>
              </w:rPr>
            </w:pPr>
            <w:r>
              <w:rPr>
                <w:rFonts w:hint="eastAsia"/>
                <w:color w:val="auto"/>
                <w:sz w:val="21"/>
                <w:lang w:val="en-US" w:eastAsia="zh-CN"/>
              </w:rPr>
              <w:t>47.8</w:t>
            </w:r>
          </w:p>
        </w:tc>
      </w:tr>
      <w:tr w14:paraId="5B8A09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1381" w:type="dxa"/>
            <w:vMerge w:val="continue"/>
            <w:noWrap w:val="0"/>
            <w:vAlign w:val="center"/>
          </w:tcPr>
          <w:p w14:paraId="39F67F66">
            <w:pPr>
              <w:spacing w:line="240" w:lineRule="auto"/>
              <w:jc w:val="center"/>
              <w:rPr>
                <w:rFonts w:ascii="Times New Roman" w:hAnsi="Times New Roman"/>
                <w:color w:val="auto"/>
                <w:sz w:val="21"/>
              </w:rPr>
            </w:pPr>
          </w:p>
        </w:tc>
        <w:tc>
          <w:tcPr>
            <w:tcW w:w="1358" w:type="dxa"/>
            <w:noWrap w:val="0"/>
            <w:vAlign w:val="center"/>
          </w:tcPr>
          <w:p w14:paraId="3039C32C">
            <w:pPr>
              <w:spacing w:line="240" w:lineRule="auto"/>
              <w:jc w:val="center"/>
              <w:rPr>
                <w:rFonts w:ascii="Times New Roman" w:hAnsi="Times New Roman"/>
                <w:color w:val="auto"/>
                <w:sz w:val="21"/>
              </w:rPr>
            </w:pPr>
            <w:r>
              <w:rPr>
                <w:rFonts w:ascii="Times New Roman" w:hAnsi="Times New Roman"/>
                <w:color w:val="auto"/>
                <w:sz w:val="21"/>
              </w:rPr>
              <w:t>H</w:t>
            </w:r>
            <w:r>
              <w:rPr>
                <w:rFonts w:ascii="Times New Roman" w:hAnsi="Times New Roman"/>
                <w:color w:val="auto"/>
                <w:sz w:val="21"/>
                <w:vertAlign w:val="subscript"/>
              </w:rPr>
              <w:t>2</w:t>
            </w:r>
            <w:r>
              <w:rPr>
                <w:rFonts w:ascii="Times New Roman" w:hAnsi="Times New Roman"/>
                <w:color w:val="auto"/>
                <w:sz w:val="21"/>
              </w:rPr>
              <w:t>S</w:t>
            </w:r>
          </w:p>
        </w:tc>
        <w:tc>
          <w:tcPr>
            <w:tcW w:w="3302" w:type="dxa"/>
            <w:vMerge w:val="continue"/>
            <w:noWrap w:val="0"/>
            <w:vAlign w:val="center"/>
          </w:tcPr>
          <w:p w14:paraId="5547702C">
            <w:pPr>
              <w:spacing w:line="240" w:lineRule="auto"/>
              <w:jc w:val="center"/>
              <w:rPr>
                <w:rFonts w:ascii="Times New Roman" w:hAnsi="Times New Roman"/>
                <w:color w:val="auto"/>
                <w:sz w:val="21"/>
              </w:rPr>
            </w:pPr>
          </w:p>
        </w:tc>
        <w:tc>
          <w:tcPr>
            <w:tcW w:w="1088" w:type="dxa"/>
            <w:noWrap w:val="0"/>
            <w:vAlign w:val="center"/>
          </w:tcPr>
          <w:p w14:paraId="58E35F94">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0.003</w:t>
            </w:r>
          </w:p>
        </w:tc>
        <w:tc>
          <w:tcPr>
            <w:tcW w:w="892" w:type="dxa"/>
            <w:tcBorders>
              <w:right w:val="single" w:color="auto" w:sz="4" w:space="0"/>
            </w:tcBorders>
            <w:noWrap w:val="0"/>
            <w:vAlign w:val="center"/>
          </w:tcPr>
          <w:p w14:paraId="6B9179F3">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0.024</w:t>
            </w:r>
          </w:p>
        </w:tc>
        <w:tc>
          <w:tcPr>
            <w:tcW w:w="917" w:type="dxa"/>
            <w:tcBorders>
              <w:left w:val="single" w:color="auto" w:sz="4" w:space="0"/>
            </w:tcBorders>
            <w:noWrap w:val="0"/>
            <w:vAlign w:val="center"/>
          </w:tcPr>
          <w:p w14:paraId="62DFDD2E">
            <w:pPr>
              <w:spacing w:line="240" w:lineRule="auto"/>
              <w:jc w:val="center"/>
              <w:rPr>
                <w:rFonts w:hint="default"/>
                <w:color w:val="auto"/>
                <w:sz w:val="21"/>
                <w:lang w:val="en-US" w:eastAsia="zh-CN"/>
              </w:rPr>
            </w:pPr>
            <w:r>
              <w:rPr>
                <w:rFonts w:hint="eastAsia"/>
                <w:color w:val="auto"/>
                <w:sz w:val="21"/>
                <w:lang w:val="en-US" w:eastAsia="zh-CN"/>
              </w:rPr>
              <w:t>4.38</w:t>
            </w:r>
          </w:p>
        </w:tc>
      </w:tr>
      <w:tr w14:paraId="7B7B99A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1381" w:type="dxa"/>
            <w:vMerge w:val="continue"/>
            <w:noWrap w:val="0"/>
            <w:vAlign w:val="center"/>
          </w:tcPr>
          <w:p w14:paraId="6BEB3965">
            <w:pPr>
              <w:spacing w:line="240" w:lineRule="auto"/>
              <w:jc w:val="center"/>
              <w:rPr>
                <w:rFonts w:ascii="Times New Roman" w:hAnsi="Times New Roman"/>
                <w:color w:val="auto"/>
                <w:sz w:val="21"/>
              </w:rPr>
            </w:pPr>
          </w:p>
        </w:tc>
        <w:tc>
          <w:tcPr>
            <w:tcW w:w="1358" w:type="dxa"/>
            <w:noWrap w:val="0"/>
            <w:vAlign w:val="center"/>
          </w:tcPr>
          <w:p w14:paraId="3D25CDBB">
            <w:pPr>
              <w:spacing w:line="240" w:lineRule="auto"/>
              <w:jc w:val="center"/>
              <w:rPr>
                <w:rFonts w:ascii="Times New Roman" w:hAnsi="Times New Roman"/>
                <w:color w:val="auto"/>
                <w:sz w:val="21"/>
              </w:rPr>
            </w:pPr>
            <w:r>
              <w:rPr>
                <w:rFonts w:hint="eastAsia"/>
                <w:color w:val="auto"/>
                <w:sz w:val="21"/>
                <w:lang w:val="en-US" w:eastAsia="zh-CN"/>
              </w:rPr>
              <w:t>臭气浓度</w:t>
            </w:r>
          </w:p>
        </w:tc>
        <w:tc>
          <w:tcPr>
            <w:tcW w:w="3302" w:type="dxa"/>
            <w:vMerge w:val="continue"/>
            <w:noWrap w:val="0"/>
            <w:vAlign w:val="center"/>
          </w:tcPr>
          <w:p w14:paraId="1DB822F2">
            <w:pPr>
              <w:spacing w:line="240" w:lineRule="auto"/>
              <w:jc w:val="center"/>
              <w:rPr>
                <w:rFonts w:ascii="Times New Roman" w:hAnsi="Times New Roman"/>
                <w:color w:val="auto"/>
                <w:sz w:val="21"/>
              </w:rPr>
            </w:pPr>
          </w:p>
        </w:tc>
        <w:tc>
          <w:tcPr>
            <w:tcW w:w="2897" w:type="dxa"/>
            <w:gridSpan w:val="3"/>
            <w:noWrap w:val="0"/>
            <w:vAlign w:val="center"/>
          </w:tcPr>
          <w:p w14:paraId="6328E433">
            <w:pPr>
              <w:spacing w:line="240" w:lineRule="auto"/>
              <w:jc w:val="center"/>
              <w:rPr>
                <w:rFonts w:hint="default"/>
                <w:color w:val="auto"/>
                <w:sz w:val="21"/>
                <w:lang w:val="en-US" w:eastAsia="zh-CN"/>
              </w:rPr>
            </w:pPr>
            <w:r>
              <w:rPr>
                <w:rFonts w:hint="eastAsia"/>
                <w:color w:val="auto"/>
                <w:sz w:val="21"/>
                <w:lang w:val="en-US" w:eastAsia="zh-CN"/>
              </w:rPr>
              <w:t>416（无量纲）</w:t>
            </w:r>
          </w:p>
        </w:tc>
      </w:tr>
    </w:tbl>
    <w:p w14:paraId="799E2F18">
      <w:pPr>
        <w:numPr>
          <w:ilvl w:val="0"/>
          <w:numId w:val="0"/>
        </w:numPr>
        <w:tabs>
          <w:tab w:val="left" w:pos="525"/>
        </w:tabs>
        <w:adjustRightInd w:val="0"/>
        <w:snapToGrid w:val="0"/>
        <w:spacing w:line="360" w:lineRule="auto"/>
        <w:ind w:left="480" w:leftChars="0"/>
        <w:rPr>
          <w:rFonts w:hint="default" w:cs="Times New Roman"/>
          <w:b w:val="0"/>
          <w:bCs w:val="0"/>
          <w:snapToGrid w:val="0"/>
          <w:kern w:val="0"/>
          <w:sz w:val="24"/>
          <w:szCs w:val="24"/>
          <w:lang w:val="en-US" w:eastAsia="zh-CN"/>
        </w:rPr>
      </w:pPr>
      <w:r>
        <w:rPr>
          <w:rFonts w:hint="eastAsia" w:cs="Times New Roman"/>
          <w:b w:val="0"/>
          <w:bCs w:val="0"/>
          <w:snapToGrid w:val="0"/>
          <w:kern w:val="0"/>
          <w:sz w:val="24"/>
          <w:szCs w:val="24"/>
          <w:lang w:val="en-US" w:eastAsia="zh-CN"/>
        </w:rPr>
        <w:t>（4）无组织排放恶臭</w:t>
      </w:r>
    </w:p>
    <w:p w14:paraId="68F5993D">
      <w:pPr>
        <w:tabs>
          <w:tab w:val="left" w:pos="525"/>
        </w:tabs>
        <w:adjustRightInd w:val="0"/>
        <w:snapToGrid w:val="0"/>
        <w:spacing w:line="360" w:lineRule="auto"/>
        <w:ind w:firstLine="480" w:firstLineChars="200"/>
        <w:rPr>
          <w:rFonts w:hint="eastAsia" w:ascii="Times New Roman" w:hAnsi="Times New Roman" w:cs="Times New Roman"/>
          <w:snapToGrid w:val="0"/>
          <w:sz w:val="24"/>
          <w:lang w:val="en-US" w:eastAsia="zh-CN"/>
        </w:rPr>
      </w:pPr>
      <w:r>
        <w:rPr>
          <w:rFonts w:hint="eastAsia" w:ascii="Times New Roman" w:hAnsi="Times New Roman" w:cs="Times New Roman"/>
          <w:snapToGrid w:val="0"/>
          <w:sz w:val="24"/>
          <w:lang w:val="en-US" w:eastAsia="zh-CN"/>
        </w:rPr>
        <w:t>本项目恶臭无组织排放排放为厂区内未被收集的恶臭气体，无组织恶臭气体产生情况为NH</w:t>
      </w:r>
      <w:r>
        <w:rPr>
          <w:rFonts w:hint="eastAsia" w:ascii="Times New Roman" w:hAnsi="Times New Roman" w:cs="Times New Roman"/>
          <w:snapToGrid w:val="0"/>
          <w:sz w:val="24"/>
          <w:vertAlign w:val="subscript"/>
          <w:lang w:val="en-US" w:eastAsia="zh-CN"/>
        </w:rPr>
        <w:t>3</w:t>
      </w:r>
      <w:r>
        <w:rPr>
          <w:rFonts w:hint="eastAsia" w:ascii="Times New Roman" w:hAnsi="Times New Roman" w:cs="Times New Roman"/>
          <w:snapToGrid w:val="0"/>
          <w:sz w:val="24"/>
          <w:lang w:val="en-US" w:eastAsia="zh-CN"/>
        </w:rPr>
        <w:t>0.0</w:t>
      </w:r>
      <w:r>
        <w:rPr>
          <w:rFonts w:hint="eastAsia" w:cs="Times New Roman"/>
          <w:snapToGrid w:val="0"/>
          <w:sz w:val="24"/>
          <w:lang w:val="en-US" w:eastAsia="zh-CN"/>
        </w:rPr>
        <w:t>38</w:t>
      </w:r>
      <w:r>
        <w:rPr>
          <w:rFonts w:hint="eastAsia" w:ascii="Times New Roman" w:hAnsi="Times New Roman" w:cs="Times New Roman"/>
          <w:snapToGrid w:val="0"/>
          <w:sz w:val="24"/>
          <w:lang w:val="en-US" w:eastAsia="zh-CN"/>
        </w:rPr>
        <w:t>kg/h</w:t>
      </w:r>
      <w:r>
        <w:rPr>
          <w:rFonts w:hint="eastAsia" w:cs="Times New Roman"/>
          <w:snapToGrid w:val="0"/>
          <w:sz w:val="24"/>
          <w:lang w:val="en-US" w:eastAsia="zh-CN"/>
        </w:rPr>
        <w:t>（0.33t/a）</w:t>
      </w:r>
      <w:r>
        <w:rPr>
          <w:rFonts w:hint="eastAsia" w:ascii="Times New Roman" w:hAnsi="Times New Roman" w:cs="Times New Roman"/>
          <w:snapToGrid w:val="0"/>
          <w:sz w:val="24"/>
          <w:lang w:val="en-US" w:eastAsia="zh-CN"/>
        </w:rPr>
        <w:t>，H</w:t>
      </w:r>
      <w:r>
        <w:rPr>
          <w:rFonts w:hint="eastAsia" w:ascii="Times New Roman" w:hAnsi="Times New Roman" w:cs="Times New Roman"/>
          <w:snapToGrid w:val="0"/>
          <w:sz w:val="24"/>
          <w:vertAlign w:val="subscript"/>
          <w:lang w:val="en-US" w:eastAsia="zh-CN"/>
        </w:rPr>
        <w:t>2</w:t>
      </w:r>
      <w:r>
        <w:rPr>
          <w:rFonts w:hint="eastAsia" w:ascii="Times New Roman" w:hAnsi="Times New Roman" w:cs="Times New Roman"/>
          <w:snapToGrid w:val="0"/>
          <w:sz w:val="24"/>
          <w:lang w:val="en-US" w:eastAsia="zh-CN"/>
        </w:rPr>
        <w:t>S0.00</w:t>
      </w:r>
      <w:r>
        <w:rPr>
          <w:rFonts w:hint="eastAsia" w:cs="Times New Roman"/>
          <w:snapToGrid w:val="0"/>
          <w:sz w:val="24"/>
          <w:lang w:val="en-US" w:eastAsia="zh-CN"/>
        </w:rPr>
        <w:t>3</w:t>
      </w:r>
      <w:r>
        <w:rPr>
          <w:rFonts w:hint="eastAsia" w:ascii="Times New Roman" w:hAnsi="Times New Roman" w:cs="Times New Roman"/>
          <w:snapToGrid w:val="0"/>
          <w:sz w:val="24"/>
          <w:lang w:val="en-US" w:eastAsia="zh-CN"/>
        </w:rPr>
        <w:t>kg/h</w:t>
      </w:r>
      <w:r>
        <w:rPr>
          <w:rFonts w:hint="eastAsia" w:cs="Times New Roman"/>
          <w:snapToGrid w:val="0"/>
          <w:sz w:val="24"/>
          <w:lang w:val="en-US" w:eastAsia="zh-CN"/>
        </w:rPr>
        <w:t>（0.026t/a）</w:t>
      </w:r>
      <w:r>
        <w:rPr>
          <w:rFonts w:hint="eastAsia" w:ascii="Times New Roman" w:hAnsi="Times New Roman" w:cs="Times New Roman"/>
          <w:snapToGrid w:val="0"/>
          <w:sz w:val="24"/>
          <w:lang w:val="en-US" w:eastAsia="zh-CN"/>
        </w:rPr>
        <w:t>。</w:t>
      </w:r>
    </w:p>
    <w:p w14:paraId="05DEF2BB">
      <w:pPr>
        <w:pStyle w:val="5"/>
      </w:pPr>
      <w:r>
        <w:t>3.4.2.2废水</w:t>
      </w:r>
    </w:p>
    <w:p w14:paraId="4B45BBF8">
      <w:pPr>
        <w:pStyle w:val="14"/>
        <w:spacing w:line="360" w:lineRule="auto"/>
        <w:ind w:firstLine="480"/>
        <w:rPr>
          <w:rFonts w:ascii="Times New Roman" w:hAnsi="Times New Roman"/>
          <w:snapToGrid w:val="0"/>
          <w:color w:val="auto"/>
          <w:kern w:val="0"/>
          <w:sz w:val="24"/>
          <w:szCs w:val="24"/>
        </w:rPr>
      </w:pPr>
      <w:r>
        <w:rPr>
          <w:rFonts w:ascii="Times New Roman" w:hAnsi="Times New Roman"/>
          <w:snapToGrid w:val="0"/>
          <w:color w:val="auto"/>
          <w:kern w:val="0"/>
          <w:sz w:val="24"/>
          <w:szCs w:val="24"/>
        </w:rPr>
        <w:t>本次评价废水污染源强按</w:t>
      </w:r>
      <w:r>
        <w:rPr>
          <w:rFonts w:hint="eastAsia"/>
          <w:snapToGrid w:val="0"/>
          <w:color w:val="auto"/>
          <w:kern w:val="0"/>
          <w:sz w:val="24"/>
          <w:szCs w:val="24"/>
          <w:lang w:val="en-US" w:eastAsia="zh-CN"/>
        </w:rPr>
        <w:t>18</w:t>
      </w:r>
      <w:r>
        <w:rPr>
          <w:rFonts w:hint="eastAsia" w:ascii="Times New Roman" w:hAnsi="Times New Roman"/>
          <w:snapToGrid w:val="0"/>
          <w:color w:val="auto"/>
          <w:kern w:val="0"/>
          <w:sz w:val="24"/>
          <w:szCs w:val="24"/>
          <w:lang w:val="en-US" w:eastAsia="zh-CN"/>
        </w:rPr>
        <w:t>000</w:t>
      </w:r>
      <w:r>
        <w:rPr>
          <w:rFonts w:ascii="Times New Roman" w:hAnsi="Times New Roman"/>
          <w:snapToGrid w:val="0"/>
          <w:color w:val="auto"/>
          <w:kern w:val="0"/>
          <w:sz w:val="24"/>
          <w:szCs w:val="24"/>
        </w:rPr>
        <w:t>m</w:t>
      </w:r>
      <w:r>
        <w:rPr>
          <w:rFonts w:ascii="Times New Roman" w:hAnsi="Times New Roman"/>
          <w:snapToGrid w:val="0"/>
          <w:color w:val="auto"/>
          <w:kern w:val="0"/>
          <w:sz w:val="24"/>
          <w:szCs w:val="24"/>
          <w:vertAlign w:val="superscript"/>
        </w:rPr>
        <w:t>3</w:t>
      </w:r>
      <w:r>
        <w:rPr>
          <w:rFonts w:ascii="Times New Roman" w:hAnsi="Times New Roman"/>
          <w:snapToGrid w:val="0"/>
          <w:color w:val="auto"/>
          <w:kern w:val="0"/>
          <w:sz w:val="24"/>
          <w:szCs w:val="24"/>
        </w:rPr>
        <w:t>/d（</w:t>
      </w:r>
      <w:r>
        <w:rPr>
          <w:rFonts w:hint="eastAsia"/>
          <w:snapToGrid w:val="0"/>
          <w:color w:val="auto"/>
          <w:kern w:val="0"/>
          <w:sz w:val="24"/>
          <w:szCs w:val="24"/>
          <w:lang w:val="en-US" w:eastAsia="zh-CN"/>
        </w:rPr>
        <w:t>657</w:t>
      </w:r>
      <w:r>
        <w:rPr>
          <w:rFonts w:hint="eastAsia" w:ascii="Times New Roman" w:hAnsi="Times New Roman"/>
          <w:snapToGrid w:val="0"/>
          <w:color w:val="auto"/>
          <w:kern w:val="0"/>
          <w:sz w:val="24"/>
          <w:szCs w:val="24"/>
        </w:rPr>
        <w:t>万</w:t>
      </w:r>
      <w:r>
        <w:rPr>
          <w:rFonts w:ascii="Times New Roman" w:hAnsi="Times New Roman"/>
          <w:snapToGrid w:val="0"/>
          <w:color w:val="auto"/>
          <w:kern w:val="0"/>
          <w:sz w:val="24"/>
          <w:szCs w:val="24"/>
        </w:rPr>
        <w:t>m</w:t>
      </w:r>
      <w:r>
        <w:rPr>
          <w:rFonts w:ascii="Times New Roman" w:hAnsi="Times New Roman"/>
          <w:snapToGrid w:val="0"/>
          <w:color w:val="auto"/>
          <w:kern w:val="0"/>
          <w:sz w:val="24"/>
          <w:szCs w:val="24"/>
          <w:vertAlign w:val="superscript"/>
        </w:rPr>
        <w:t>3</w:t>
      </w:r>
      <w:r>
        <w:rPr>
          <w:rFonts w:ascii="Times New Roman" w:hAnsi="Times New Roman"/>
          <w:snapToGrid w:val="0"/>
          <w:color w:val="auto"/>
          <w:kern w:val="0"/>
          <w:sz w:val="24"/>
          <w:szCs w:val="24"/>
        </w:rPr>
        <w:t>/a）计，</w:t>
      </w:r>
      <w:r>
        <w:rPr>
          <w:rFonts w:hint="eastAsia"/>
          <w:snapToGrid w:val="0"/>
          <w:color w:val="auto"/>
          <w:kern w:val="0"/>
          <w:sz w:val="24"/>
          <w:szCs w:val="24"/>
          <w:lang w:val="en-US" w:eastAsia="zh-CN"/>
        </w:rPr>
        <w:t>类比现有项目</w:t>
      </w:r>
      <w:r>
        <w:rPr>
          <w:rFonts w:ascii="Times New Roman" w:hAnsi="Times New Roman"/>
          <w:snapToGrid w:val="0"/>
          <w:color w:val="auto"/>
          <w:kern w:val="0"/>
          <w:sz w:val="24"/>
          <w:szCs w:val="24"/>
        </w:rPr>
        <w:t>废水中各污染因子产排浓度见</w:t>
      </w:r>
      <w:r>
        <w:rPr>
          <w:rFonts w:ascii="Times New Roman" w:hAnsi="Times New Roman"/>
          <w:snapToGrid w:val="0"/>
          <w:color w:val="auto"/>
          <w:sz w:val="24"/>
          <w:szCs w:val="24"/>
        </w:rPr>
        <w:t>表3.</w:t>
      </w:r>
      <w:r>
        <w:rPr>
          <w:rFonts w:hint="eastAsia"/>
          <w:snapToGrid w:val="0"/>
          <w:color w:val="auto"/>
          <w:sz w:val="24"/>
          <w:szCs w:val="24"/>
          <w:lang w:val="en-US" w:eastAsia="zh-CN"/>
        </w:rPr>
        <w:t>4-2</w:t>
      </w:r>
      <w:r>
        <w:rPr>
          <w:rFonts w:ascii="Times New Roman" w:hAnsi="Times New Roman"/>
          <w:snapToGrid w:val="0"/>
          <w:color w:val="auto"/>
          <w:kern w:val="0"/>
          <w:sz w:val="24"/>
          <w:szCs w:val="24"/>
        </w:rPr>
        <w:t>。</w:t>
      </w:r>
    </w:p>
    <w:p w14:paraId="1872E29F">
      <w:pPr>
        <w:pStyle w:val="15"/>
        <w:spacing w:after="62" w:afterLines="20" w:line="240" w:lineRule="auto"/>
        <w:jc w:val="center"/>
        <w:rPr>
          <w:rFonts w:ascii="Times New Roman" w:hAnsi="Times New Roman" w:eastAsia="宋体" w:cs="Times New Roman"/>
          <w:b/>
          <w:color w:val="auto"/>
          <w:sz w:val="24"/>
          <w:szCs w:val="24"/>
          <w:lang w:val="en-US" w:eastAsia="zh-CN" w:bidi="ar"/>
        </w:rPr>
      </w:pPr>
      <w:r>
        <w:rPr>
          <w:rFonts w:ascii="Times New Roman" w:hAnsi="Times New Roman" w:eastAsia="宋体" w:cs="Times New Roman"/>
          <w:b/>
          <w:color w:val="auto"/>
          <w:sz w:val="24"/>
          <w:szCs w:val="24"/>
          <w:lang w:val="en-US" w:eastAsia="zh-CN" w:bidi="ar"/>
        </w:rPr>
        <w:t>表3.</w:t>
      </w:r>
      <w:r>
        <w:rPr>
          <w:rFonts w:hint="eastAsia" w:ascii="Times New Roman" w:hAnsi="Times New Roman" w:eastAsia="宋体" w:cs="Times New Roman"/>
          <w:b/>
          <w:color w:val="auto"/>
          <w:sz w:val="24"/>
          <w:szCs w:val="24"/>
          <w:lang w:val="en-US" w:eastAsia="zh-CN" w:bidi="ar"/>
        </w:rPr>
        <w:t>4-2</w:t>
      </w:r>
      <w:r>
        <w:rPr>
          <w:rFonts w:ascii="Times New Roman" w:hAnsi="Times New Roman" w:eastAsia="宋体" w:cs="Times New Roman"/>
          <w:b/>
          <w:color w:val="auto"/>
          <w:sz w:val="24"/>
          <w:szCs w:val="24"/>
          <w:lang w:val="en-US" w:eastAsia="zh-CN" w:bidi="ar"/>
        </w:rPr>
        <w:t xml:space="preserve">    污废水产排情况一览表</w:t>
      </w:r>
    </w:p>
    <w:tbl>
      <w:tblPr>
        <w:tblStyle w:val="53"/>
        <w:tblW w:w="8986"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42"/>
        <w:gridCol w:w="1109"/>
        <w:gridCol w:w="1200"/>
        <w:gridCol w:w="1323"/>
        <w:gridCol w:w="1073"/>
        <w:gridCol w:w="1274"/>
        <w:gridCol w:w="2065"/>
      </w:tblGrid>
      <w:tr w14:paraId="6E0B020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vMerge w:val="restart"/>
            <w:noWrap w:val="0"/>
            <w:vAlign w:val="center"/>
          </w:tcPr>
          <w:p w14:paraId="7B4B19D8">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污染</w:t>
            </w:r>
          </w:p>
          <w:p w14:paraId="2FE7B281">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因子</w:t>
            </w:r>
          </w:p>
        </w:tc>
        <w:tc>
          <w:tcPr>
            <w:tcW w:w="2309" w:type="dxa"/>
            <w:gridSpan w:val="2"/>
            <w:noWrap w:val="0"/>
            <w:vAlign w:val="center"/>
          </w:tcPr>
          <w:p w14:paraId="50DB7845">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产生情况</w:t>
            </w:r>
          </w:p>
        </w:tc>
        <w:tc>
          <w:tcPr>
            <w:tcW w:w="1323" w:type="dxa"/>
            <w:vMerge w:val="restart"/>
            <w:noWrap w:val="0"/>
            <w:vAlign w:val="center"/>
          </w:tcPr>
          <w:p w14:paraId="6257B4D9">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污水处理站工艺</w:t>
            </w:r>
          </w:p>
        </w:tc>
        <w:tc>
          <w:tcPr>
            <w:tcW w:w="2347" w:type="dxa"/>
            <w:gridSpan w:val="2"/>
            <w:noWrap w:val="0"/>
            <w:vAlign w:val="center"/>
          </w:tcPr>
          <w:p w14:paraId="7FC043E8">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排放情况</w:t>
            </w:r>
          </w:p>
        </w:tc>
        <w:tc>
          <w:tcPr>
            <w:tcW w:w="2065" w:type="dxa"/>
            <w:vMerge w:val="restart"/>
            <w:noWrap w:val="0"/>
            <w:vAlign w:val="center"/>
          </w:tcPr>
          <w:p w14:paraId="2E14F494">
            <w:pPr>
              <w:adjustRightInd w:val="0"/>
              <w:snapToGrid w:val="0"/>
              <w:spacing w:line="240" w:lineRule="auto"/>
              <w:jc w:val="center"/>
              <w:rPr>
                <w:rFonts w:hint="default" w:ascii="Times New Roman" w:hAnsi="Times New Roman" w:eastAsia="宋体"/>
                <w:b/>
                <w:color w:val="auto"/>
                <w:sz w:val="21"/>
                <w:lang w:val="en-US" w:eastAsia="zh-CN"/>
              </w:rPr>
            </w:pPr>
            <w:r>
              <w:rPr>
                <w:rFonts w:hint="eastAsia" w:ascii="Times New Roman" w:hAnsi="Times New Roman"/>
                <w:b/>
                <w:color w:val="auto"/>
                <w:sz w:val="21"/>
                <w:lang w:val="en-US" w:eastAsia="zh-CN"/>
              </w:rPr>
              <w:t>排放去向</w:t>
            </w:r>
          </w:p>
        </w:tc>
      </w:tr>
      <w:tr w14:paraId="68A5C8A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vMerge w:val="continue"/>
            <w:noWrap w:val="0"/>
            <w:vAlign w:val="center"/>
          </w:tcPr>
          <w:p w14:paraId="23D375C0">
            <w:pPr>
              <w:adjustRightInd w:val="0"/>
              <w:snapToGrid w:val="0"/>
              <w:spacing w:line="240" w:lineRule="auto"/>
              <w:jc w:val="center"/>
              <w:rPr>
                <w:rFonts w:ascii="Times New Roman" w:hAnsi="Times New Roman"/>
                <w:b/>
                <w:color w:val="auto"/>
                <w:sz w:val="21"/>
              </w:rPr>
            </w:pPr>
          </w:p>
        </w:tc>
        <w:tc>
          <w:tcPr>
            <w:tcW w:w="1109" w:type="dxa"/>
            <w:noWrap w:val="0"/>
            <w:vAlign w:val="center"/>
          </w:tcPr>
          <w:p w14:paraId="5AEA4128">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浓度（mg/L）</w:t>
            </w:r>
          </w:p>
        </w:tc>
        <w:tc>
          <w:tcPr>
            <w:tcW w:w="1200" w:type="dxa"/>
            <w:noWrap w:val="0"/>
            <w:vAlign w:val="center"/>
          </w:tcPr>
          <w:p w14:paraId="69E487F5">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产生量（t/a）</w:t>
            </w:r>
          </w:p>
        </w:tc>
        <w:tc>
          <w:tcPr>
            <w:tcW w:w="1323" w:type="dxa"/>
            <w:vMerge w:val="continue"/>
            <w:noWrap w:val="0"/>
            <w:vAlign w:val="center"/>
          </w:tcPr>
          <w:p w14:paraId="215BDFD4">
            <w:pPr>
              <w:adjustRightInd w:val="0"/>
              <w:snapToGrid w:val="0"/>
              <w:spacing w:line="240" w:lineRule="auto"/>
              <w:jc w:val="center"/>
              <w:rPr>
                <w:rFonts w:ascii="Times New Roman" w:hAnsi="Times New Roman"/>
                <w:b/>
                <w:color w:val="auto"/>
                <w:sz w:val="21"/>
              </w:rPr>
            </w:pPr>
          </w:p>
        </w:tc>
        <w:tc>
          <w:tcPr>
            <w:tcW w:w="1073" w:type="dxa"/>
            <w:noWrap w:val="0"/>
            <w:vAlign w:val="center"/>
          </w:tcPr>
          <w:p w14:paraId="215B55F8">
            <w:pPr>
              <w:adjustRightInd w:val="0"/>
              <w:snapToGrid w:val="0"/>
              <w:spacing w:line="240" w:lineRule="auto"/>
              <w:jc w:val="center"/>
              <w:rPr>
                <w:rFonts w:ascii="Times New Roman" w:hAnsi="Times New Roman"/>
                <w:b/>
                <w:color w:val="auto"/>
                <w:sz w:val="21"/>
              </w:rPr>
            </w:pPr>
            <w:r>
              <w:rPr>
                <w:rFonts w:ascii="Times New Roman" w:hAnsi="Times New Roman"/>
                <w:b/>
                <w:color w:val="auto"/>
                <w:sz w:val="21"/>
              </w:rPr>
              <w:t>浓度（mg/L）</w:t>
            </w:r>
          </w:p>
        </w:tc>
        <w:tc>
          <w:tcPr>
            <w:tcW w:w="1274" w:type="dxa"/>
            <w:noWrap w:val="0"/>
            <w:vAlign w:val="center"/>
          </w:tcPr>
          <w:p w14:paraId="4A69E53E">
            <w:pPr>
              <w:adjustRightInd w:val="0"/>
              <w:snapToGrid w:val="0"/>
              <w:spacing w:line="240" w:lineRule="auto"/>
              <w:jc w:val="center"/>
              <w:rPr>
                <w:rFonts w:ascii="Times New Roman" w:hAnsi="Times New Roman"/>
                <w:b/>
                <w:color w:val="auto"/>
                <w:sz w:val="21"/>
              </w:rPr>
            </w:pPr>
            <w:r>
              <w:rPr>
                <w:rFonts w:hint="eastAsia"/>
                <w:b/>
                <w:color w:val="auto"/>
                <w:sz w:val="21"/>
                <w:lang w:val="en-US" w:eastAsia="zh-CN"/>
              </w:rPr>
              <w:t>排放</w:t>
            </w:r>
            <w:r>
              <w:rPr>
                <w:rFonts w:hint="eastAsia" w:ascii="Times New Roman" w:hAnsi="Times New Roman"/>
                <w:b/>
                <w:color w:val="auto"/>
                <w:sz w:val="21"/>
              </w:rPr>
              <w:t>量</w:t>
            </w:r>
            <w:r>
              <w:rPr>
                <w:rFonts w:ascii="Times New Roman" w:hAnsi="Times New Roman"/>
                <w:b/>
                <w:color w:val="auto"/>
                <w:sz w:val="21"/>
              </w:rPr>
              <w:t>（t/a）</w:t>
            </w:r>
          </w:p>
        </w:tc>
        <w:tc>
          <w:tcPr>
            <w:tcW w:w="2065" w:type="dxa"/>
            <w:vMerge w:val="continue"/>
            <w:noWrap w:val="0"/>
            <w:vAlign w:val="center"/>
          </w:tcPr>
          <w:p w14:paraId="6F711BA4">
            <w:pPr>
              <w:adjustRightInd w:val="0"/>
              <w:snapToGrid w:val="0"/>
              <w:spacing w:line="240" w:lineRule="auto"/>
              <w:jc w:val="center"/>
              <w:rPr>
                <w:rFonts w:hint="eastAsia" w:ascii="Times New Roman" w:hAnsi="Times New Roman"/>
                <w:b/>
                <w:color w:val="auto"/>
                <w:sz w:val="21"/>
              </w:rPr>
            </w:pPr>
          </w:p>
        </w:tc>
      </w:tr>
      <w:tr w14:paraId="27AA13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noWrap w:val="0"/>
            <w:vAlign w:val="center"/>
          </w:tcPr>
          <w:p w14:paraId="78B36BB3">
            <w:pPr>
              <w:adjustRightInd w:val="0"/>
              <w:snapToGrid w:val="0"/>
              <w:spacing w:line="240" w:lineRule="auto"/>
              <w:jc w:val="center"/>
              <w:rPr>
                <w:rFonts w:ascii="Times New Roman" w:hAnsi="Times New Roman"/>
                <w:color w:val="auto"/>
                <w:sz w:val="21"/>
              </w:rPr>
            </w:pPr>
            <w:r>
              <w:rPr>
                <w:rFonts w:ascii="Times New Roman" w:hAnsi="Times New Roman"/>
                <w:color w:val="auto"/>
                <w:sz w:val="21"/>
              </w:rPr>
              <w:t>废水量</w:t>
            </w:r>
          </w:p>
        </w:tc>
        <w:tc>
          <w:tcPr>
            <w:tcW w:w="2309" w:type="dxa"/>
            <w:gridSpan w:val="2"/>
            <w:noWrap w:val="0"/>
            <w:vAlign w:val="center"/>
          </w:tcPr>
          <w:p w14:paraId="687A933D">
            <w:pPr>
              <w:adjustRightInd w:val="0"/>
              <w:snapToGrid w:val="0"/>
              <w:spacing w:line="240" w:lineRule="auto"/>
              <w:jc w:val="center"/>
              <w:rPr>
                <w:rFonts w:hint="default" w:ascii="Times New Roman" w:hAnsi="Times New Roman"/>
                <w:color w:val="auto"/>
                <w:sz w:val="21"/>
                <w:lang w:val="en-US"/>
              </w:rPr>
            </w:pPr>
            <w:r>
              <w:rPr>
                <w:rFonts w:hint="eastAsia"/>
                <w:color w:val="auto"/>
                <w:sz w:val="21"/>
                <w:lang w:val="en-US" w:eastAsia="zh-CN"/>
              </w:rPr>
              <w:t>657万</w:t>
            </w:r>
            <w:r>
              <w:rPr>
                <w:rFonts w:ascii="Times New Roman" w:hAnsi="Times New Roman"/>
                <w:color w:val="auto"/>
                <w:sz w:val="21"/>
              </w:rPr>
              <w:t>m</w:t>
            </w:r>
            <w:r>
              <w:rPr>
                <w:rFonts w:ascii="Times New Roman" w:hAnsi="Times New Roman"/>
                <w:color w:val="auto"/>
                <w:sz w:val="21"/>
                <w:vertAlign w:val="superscript"/>
              </w:rPr>
              <w:t>3</w:t>
            </w:r>
            <w:r>
              <w:rPr>
                <w:rFonts w:ascii="Times New Roman" w:hAnsi="Times New Roman"/>
                <w:color w:val="auto"/>
                <w:sz w:val="21"/>
              </w:rPr>
              <w:t>/a</w:t>
            </w:r>
          </w:p>
        </w:tc>
        <w:tc>
          <w:tcPr>
            <w:tcW w:w="1323" w:type="dxa"/>
            <w:vMerge w:val="restart"/>
            <w:noWrap w:val="0"/>
            <w:vAlign w:val="center"/>
          </w:tcPr>
          <w:p w14:paraId="49E13EFD">
            <w:pPr>
              <w:pStyle w:val="42"/>
              <w:tabs>
                <w:tab w:val="right" w:leader="dot" w:pos="8494"/>
              </w:tabs>
              <w:ind w:left="0" w:leftChars="0" w:firstLine="0" w:firstLineChars="0"/>
              <w:rPr>
                <w:rFonts w:hint="default"/>
                <w:color w:val="auto"/>
                <w:lang w:val="en-US"/>
              </w:rPr>
            </w:pPr>
            <w:r>
              <w:rPr>
                <w:rFonts w:hint="eastAsia" w:ascii="Times New Roman" w:hAnsi="Times New Roman" w:eastAsia="宋体" w:cs="Times New Roman"/>
                <w:color w:val="auto"/>
                <w:sz w:val="21"/>
                <w:szCs w:val="24"/>
                <w:lang w:val="en-US" w:eastAsia="zh-CN" w:bidi="ar-SA"/>
              </w:rPr>
              <w:t>SPIC厌氧+生物接触氧化+连续活性砂滤</w:t>
            </w:r>
          </w:p>
        </w:tc>
        <w:tc>
          <w:tcPr>
            <w:tcW w:w="2347" w:type="dxa"/>
            <w:gridSpan w:val="2"/>
            <w:noWrap w:val="0"/>
            <w:vAlign w:val="center"/>
          </w:tcPr>
          <w:p w14:paraId="29AA8826">
            <w:pPr>
              <w:adjustRightInd w:val="0"/>
              <w:snapToGrid w:val="0"/>
              <w:spacing w:line="240" w:lineRule="auto"/>
              <w:jc w:val="center"/>
              <w:rPr>
                <w:rFonts w:ascii="Times New Roman" w:hAnsi="Times New Roman"/>
                <w:color w:val="auto"/>
                <w:sz w:val="21"/>
              </w:rPr>
            </w:pPr>
            <w:r>
              <w:rPr>
                <w:rFonts w:hint="eastAsia"/>
                <w:color w:val="auto"/>
                <w:sz w:val="21"/>
                <w:lang w:val="en-US" w:eastAsia="zh-CN"/>
              </w:rPr>
              <w:t>657万</w:t>
            </w:r>
            <w:r>
              <w:rPr>
                <w:rFonts w:ascii="Times New Roman" w:hAnsi="Times New Roman"/>
                <w:color w:val="auto"/>
                <w:sz w:val="21"/>
              </w:rPr>
              <w:t>m</w:t>
            </w:r>
            <w:r>
              <w:rPr>
                <w:rFonts w:ascii="Times New Roman" w:hAnsi="Times New Roman"/>
                <w:color w:val="auto"/>
                <w:sz w:val="21"/>
                <w:vertAlign w:val="superscript"/>
              </w:rPr>
              <w:t>3</w:t>
            </w:r>
            <w:r>
              <w:rPr>
                <w:rFonts w:ascii="Times New Roman" w:hAnsi="Times New Roman"/>
                <w:color w:val="auto"/>
                <w:sz w:val="21"/>
              </w:rPr>
              <w:t>/a</w:t>
            </w:r>
          </w:p>
        </w:tc>
        <w:tc>
          <w:tcPr>
            <w:tcW w:w="2065" w:type="dxa"/>
            <w:vMerge w:val="restart"/>
            <w:noWrap w:val="0"/>
            <w:vAlign w:val="center"/>
          </w:tcPr>
          <w:p w14:paraId="044853B7">
            <w:pPr>
              <w:adjustRightInd w:val="0"/>
              <w:snapToGrid w:val="0"/>
              <w:spacing w:line="240" w:lineRule="auto"/>
              <w:jc w:val="center"/>
              <w:rPr>
                <w:rFonts w:hint="eastAsia" w:ascii="Times New Roman" w:hAnsi="Times New Roman"/>
                <w:color w:val="auto"/>
                <w:sz w:val="21"/>
              </w:rPr>
            </w:pPr>
            <w:r>
              <w:rPr>
                <w:rFonts w:hint="eastAsia" w:ascii="Times New Roman" w:hAnsi="Times New Roman" w:eastAsia="宋体" w:cs="Times New Roman"/>
                <w:color w:val="auto"/>
                <w:sz w:val="21"/>
                <w:szCs w:val="24"/>
                <w:lang w:val="en-US" w:eastAsia="zh-CN" w:bidi="ar-SA"/>
              </w:rPr>
              <w:t>达到《城镇污水处理厂污染物排放标准》（GB18918-2002）一级A标准，</w:t>
            </w:r>
            <w:r>
              <w:rPr>
                <w:rFonts w:hint="eastAsia" w:cs="Times New Roman"/>
                <w:color w:val="auto"/>
                <w:sz w:val="21"/>
                <w:szCs w:val="24"/>
                <w:lang w:val="en-US" w:eastAsia="zh-CN" w:bidi="ar-SA"/>
              </w:rPr>
              <w:t>经拉哈生物技术与化学制药产业园区污水处理厂入河排污口排入到嫩江</w:t>
            </w:r>
            <w:r>
              <w:rPr>
                <w:rFonts w:hint="eastAsia" w:ascii="Times New Roman" w:hAnsi="Times New Roman" w:eastAsia="宋体" w:cs="Times New Roman"/>
                <w:color w:val="auto"/>
                <w:sz w:val="21"/>
                <w:szCs w:val="24"/>
                <w:lang w:val="en-US" w:eastAsia="zh-CN" w:bidi="ar-SA"/>
              </w:rPr>
              <w:t>。</w:t>
            </w:r>
          </w:p>
        </w:tc>
      </w:tr>
      <w:tr w14:paraId="3929F5F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42" w:type="dxa"/>
            <w:noWrap w:val="0"/>
            <w:vAlign w:val="center"/>
          </w:tcPr>
          <w:p w14:paraId="099B5CCA">
            <w:pPr>
              <w:adjustRightInd w:val="0"/>
              <w:snapToGrid w:val="0"/>
              <w:spacing w:line="240" w:lineRule="auto"/>
              <w:jc w:val="center"/>
              <w:rPr>
                <w:rFonts w:ascii="Times New Roman" w:hAnsi="Times New Roman"/>
                <w:color w:val="auto"/>
                <w:sz w:val="21"/>
              </w:rPr>
            </w:pPr>
            <w:r>
              <w:rPr>
                <w:rFonts w:ascii="Times New Roman" w:hAnsi="Times New Roman"/>
                <w:color w:val="auto"/>
                <w:sz w:val="21"/>
              </w:rPr>
              <w:t>COD</w:t>
            </w:r>
          </w:p>
        </w:tc>
        <w:tc>
          <w:tcPr>
            <w:tcW w:w="1109" w:type="dxa"/>
            <w:noWrap w:val="0"/>
            <w:vAlign w:val="center"/>
          </w:tcPr>
          <w:p w14:paraId="1F0A7DB1">
            <w:pPr>
              <w:adjustRightInd w:val="0"/>
              <w:snapToGrid w:val="0"/>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1885</w:t>
            </w:r>
          </w:p>
        </w:tc>
        <w:tc>
          <w:tcPr>
            <w:tcW w:w="1200" w:type="dxa"/>
            <w:noWrap w:val="0"/>
            <w:vAlign w:val="center"/>
          </w:tcPr>
          <w:p w14:paraId="147FE4E0">
            <w:pPr>
              <w:adjustRightInd w:val="0"/>
              <w:snapToGrid w:val="0"/>
              <w:spacing w:line="240" w:lineRule="auto"/>
              <w:jc w:val="center"/>
              <w:rPr>
                <w:rFonts w:hint="default"/>
                <w:color w:val="auto"/>
                <w:sz w:val="21"/>
                <w:lang w:val="en-US" w:eastAsia="zh-CN"/>
              </w:rPr>
            </w:pPr>
            <w:r>
              <w:rPr>
                <w:rFonts w:hint="eastAsia"/>
                <w:color w:val="auto"/>
                <w:sz w:val="21"/>
                <w:lang w:val="en-US" w:eastAsia="zh-CN"/>
              </w:rPr>
              <w:t>12384.45</w:t>
            </w:r>
          </w:p>
        </w:tc>
        <w:tc>
          <w:tcPr>
            <w:tcW w:w="1323" w:type="dxa"/>
            <w:vMerge w:val="continue"/>
            <w:noWrap w:val="0"/>
            <w:vAlign w:val="center"/>
          </w:tcPr>
          <w:p w14:paraId="3D0D5C71">
            <w:pPr>
              <w:adjustRightInd w:val="0"/>
              <w:snapToGrid w:val="0"/>
              <w:spacing w:line="240" w:lineRule="auto"/>
              <w:jc w:val="center"/>
              <w:rPr>
                <w:rFonts w:hint="eastAsia"/>
                <w:color w:val="auto"/>
                <w:sz w:val="21"/>
                <w:lang w:val="en-US" w:eastAsia="zh-CN"/>
              </w:rPr>
            </w:pPr>
          </w:p>
        </w:tc>
        <w:tc>
          <w:tcPr>
            <w:tcW w:w="1073" w:type="dxa"/>
            <w:noWrap w:val="0"/>
            <w:vAlign w:val="center"/>
          </w:tcPr>
          <w:p w14:paraId="5A28CE2E">
            <w:pPr>
              <w:adjustRightInd w:val="0"/>
              <w:snapToGrid w:val="0"/>
              <w:spacing w:line="240" w:lineRule="auto"/>
              <w:jc w:val="center"/>
              <w:rPr>
                <w:rFonts w:hint="default"/>
                <w:color w:val="auto"/>
                <w:sz w:val="21"/>
                <w:lang w:val="en-US" w:eastAsia="zh-CN"/>
              </w:rPr>
            </w:pPr>
            <w:r>
              <w:rPr>
                <w:rFonts w:hint="eastAsia"/>
                <w:color w:val="auto"/>
                <w:sz w:val="21"/>
                <w:lang w:val="en-US" w:eastAsia="zh-CN"/>
              </w:rPr>
              <w:t>50</w:t>
            </w:r>
          </w:p>
        </w:tc>
        <w:tc>
          <w:tcPr>
            <w:tcW w:w="1274" w:type="dxa"/>
            <w:noWrap w:val="0"/>
            <w:vAlign w:val="center"/>
          </w:tcPr>
          <w:p w14:paraId="561BDB74">
            <w:pPr>
              <w:adjustRightInd w:val="0"/>
              <w:snapToGrid w:val="0"/>
              <w:spacing w:line="240" w:lineRule="auto"/>
              <w:jc w:val="center"/>
              <w:rPr>
                <w:rFonts w:hint="default"/>
                <w:color w:val="auto"/>
                <w:sz w:val="21"/>
                <w:lang w:val="en-US" w:eastAsia="zh-CN"/>
              </w:rPr>
            </w:pPr>
            <w:r>
              <w:rPr>
                <w:rFonts w:hint="eastAsia"/>
                <w:color w:val="auto"/>
                <w:sz w:val="21"/>
                <w:lang w:val="en-US" w:eastAsia="zh-CN"/>
              </w:rPr>
              <w:t>328.5</w:t>
            </w:r>
          </w:p>
        </w:tc>
        <w:tc>
          <w:tcPr>
            <w:tcW w:w="2065" w:type="dxa"/>
            <w:vMerge w:val="continue"/>
            <w:noWrap w:val="0"/>
            <w:vAlign w:val="center"/>
          </w:tcPr>
          <w:p w14:paraId="65ECECBF">
            <w:pPr>
              <w:adjustRightInd w:val="0"/>
              <w:snapToGrid w:val="0"/>
              <w:spacing w:line="240" w:lineRule="auto"/>
              <w:jc w:val="center"/>
              <w:rPr>
                <w:rFonts w:hint="eastAsia" w:ascii="Times New Roman" w:hAnsi="Times New Roman"/>
                <w:color w:val="auto"/>
                <w:sz w:val="21"/>
              </w:rPr>
            </w:pPr>
          </w:p>
        </w:tc>
      </w:tr>
      <w:tr w14:paraId="59BAA2B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noWrap w:val="0"/>
            <w:vAlign w:val="center"/>
          </w:tcPr>
          <w:p w14:paraId="4F25829F">
            <w:pPr>
              <w:adjustRightInd w:val="0"/>
              <w:snapToGrid w:val="0"/>
              <w:spacing w:line="240" w:lineRule="auto"/>
              <w:jc w:val="center"/>
              <w:rPr>
                <w:rFonts w:ascii="Times New Roman" w:hAnsi="Times New Roman"/>
                <w:color w:val="auto"/>
                <w:sz w:val="21"/>
              </w:rPr>
            </w:pPr>
            <w:r>
              <w:rPr>
                <w:rFonts w:ascii="Times New Roman" w:hAnsi="Times New Roman"/>
                <w:color w:val="auto"/>
                <w:sz w:val="21"/>
              </w:rPr>
              <w:t>BOD</w:t>
            </w:r>
            <w:r>
              <w:rPr>
                <w:rFonts w:ascii="Times New Roman" w:hAnsi="Times New Roman"/>
                <w:color w:val="auto"/>
                <w:sz w:val="21"/>
                <w:vertAlign w:val="subscript"/>
              </w:rPr>
              <w:t>5</w:t>
            </w:r>
          </w:p>
        </w:tc>
        <w:tc>
          <w:tcPr>
            <w:tcW w:w="1109" w:type="dxa"/>
            <w:noWrap w:val="0"/>
            <w:vAlign w:val="center"/>
          </w:tcPr>
          <w:p w14:paraId="00E60080">
            <w:pPr>
              <w:adjustRightInd w:val="0"/>
              <w:snapToGrid w:val="0"/>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460.2</w:t>
            </w:r>
          </w:p>
        </w:tc>
        <w:tc>
          <w:tcPr>
            <w:tcW w:w="1200" w:type="dxa"/>
            <w:noWrap w:val="0"/>
            <w:vAlign w:val="center"/>
          </w:tcPr>
          <w:p w14:paraId="08AD2A1F">
            <w:pPr>
              <w:adjustRightInd w:val="0"/>
              <w:snapToGrid w:val="0"/>
              <w:spacing w:line="240" w:lineRule="auto"/>
              <w:jc w:val="center"/>
              <w:rPr>
                <w:rFonts w:hint="default"/>
                <w:color w:val="auto"/>
                <w:sz w:val="21"/>
                <w:lang w:val="en-US" w:eastAsia="zh-CN"/>
              </w:rPr>
            </w:pPr>
            <w:r>
              <w:rPr>
                <w:rFonts w:hint="eastAsia"/>
                <w:color w:val="auto"/>
                <w:sz w:val="21"/>
                <w:lang w:val="en-US" w:eastAsia="zh-CN"/>
              </w:rPr>
              <w:t>3023.4</w:t>
            </w:r>
          </w:p>
        </w:tc>
        <w:tc>
          <w:tcPr>
            <w:tcW w:w="1323" w:type="dxa"/>
            <w:vMerge w:val="continue"/>
            <w:noWrap w:val="0"/>
            <w:vAlign w:val="center"/>
          </w:tcPr>
          <w:p w14:paraId="0B0DB364">
            <w:pPr>
              <w:adjustRightInd w:val="0"/>
              <w:snapToGrid w:val="0"/>
              <w:spacing w:line="240" w:lineRule="auto"/>
              <w:jc w:val="center"/>
              <w:rPr>
                <w:rFonts w:hint="eastAsia"/>
                <w:color w:val="auto"/>
                <w:sz w:val="21"/>
                <w:lang w:val="en-US" w:eastAsia="zh-CN"/>
              </w:rPr>
            </w:pPr>
          </w:p>
        </w:tc>
        <w:tc>
          <w:tcPr>
            <w:tcW w:w="1073" w:type="dxa"/>
            <w:noWrap w:val="0"/>
            <w:vAlign w:val="center"/>
          </w:tcPr>
          <w:p w14:paraId="3CD5C789">
            <w:pPr>
              <w:adjustRightInd w:val="0"/>
              <w:snapToGrid w:val="0"/>
              <w:spacing w:line="240" w:lineRule="auto"/>
              <w:jc w:val="center"/>
              <w:rPr>
                <w:rFonts w:hint="default"/>
                <w:color w:val="auto"/>
                <w:sz w:val="21"/>
                <w:lang w:val="en-US" w:eastAsia="zh-CN"/>
              </w:rPr>
            </w:pPr>
            <w:r>
              <w:rPr>
                <w:rFonts w:hint="eastAsia"/>
                <w:color w:val="auto"/>
                <w:sz w:val="21"/>
                <w:lang w:val="en-US" w:eastAsia="zh-CN"/>
              </w:rPr>
              <w:t>10</w:t>
            </w:r>
          </w:p>
        </w:tc>
        <w:tc>
          <w:tcPr>
            <w:tcW w:w="1274" w:type="dxa"/>
            <w:noWrap w:val="0"/>
            <w:vAlign w:val="center"/>
          </w:tcPr>
          <w:p w14:paraId="1C4110B9">
            <w:pPr>
              <w:adjustRightInd w:val="0"/>
              <w:snapToGrid w:val="0"/>
              <w:spacing w:line="240" w:lineRule="auto"/>
              <w:jc w:val="center"/>
              <w:rPr>
                <w:rFonts w:hint="default"/>
                <w:color w:val="auto"/>
                <w:sz w:val="21"/>
                <w:lang w:val="en-US" w:eastAsia="zh-CN"/>
              </w:rPr>
            </w:pPr>
            <w:r>
              <w:rPr>
                <w:rFonts w:hint="eastAsia"/>
                <w:color w:val="auto"/>
                <w:sz w:val="21"/>
                <w:lang w:val="en-US" w:eastAsia="zh-CN"/>
              </w:rPr>
              <w:t>65.7</w:t>
            </w:r>
          </w:p>
        </w:tc>
        <w:tc>
          <w:tcPr>
            <w:tcW w:w="2065" w:type="dxa"/>
            <w:vMerge w:val="continue"/>
            <w:noWrap w:val="0"/>
            <w:vAlign w:val="center"/>
          </w:tcPr>
          <w:p w14:paraId="47638F1A">
            <w:pPr>
              <w:adjustRightInd w:val="0"/>
              <w:snapToGrid w:val="0"/>
              <w:spacing w:line="240" w:lineRule="auto"/>
              <w:jc w:val="center"/>
              <w:rPr>
                <w:rFonts w:hint="eastAsia" w:ascii="Times New Roman" w:hAnsi="Times New Roman"/>
                <w:color w:val="auto"/>
                <w:sz w:val="21"/>
              </w:rPr>
            </w:pPr>
          </w:p>
        </w:tc>
      </w:tr>
      <w:tr w14:paraId="189B8B7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noWrap w:val="0"/>
            <w:vAlign w:val="center"/>
          </w:tcPr>
          <w:p w14:paraId="0152DE41">
            <w:pPr>
              <w:adjustRightInd w:val="0"/>
              <w:snapToGrid w:val="0"/>
              <w:spacing w:line="240" w:lineRule="auto"/>
              <w:jc w:val="center"/>
              <w:rPr>
                <w:rFonts w:ascii="Times New Roman" w:hAnsi="Times New Roman"/>
                <w:color w:val="auto"/>
                <w:sz w:val="21"/>
              </w:rPr>
            </w:pPr>
            <w:r>
              <w:rPr>
                <w:rFonts w:ascii="Times New Roman" w:hAnsi="Times New Roman"/>
                <w:color w:val="auto"/>
                <w:sz w:val="21"/>
              </w:rPr>
              <w:t>SS</w:t>
            </w:r>
          </w:p>
        </w:tc>
        <w:tc>
          <w:tcPr>
            <w:tcW w:w="1109" w:type="dxa"/>
            <w:noWrap w:val="0"/>
            <w:vAlign w:val="center"/>
          </w:tcPr>
          <w:p w14:paraId="26F6E8C0">
            <w:pPr>
              <w:adjustRightInd w:val="0"/>
              <w:snapToGrid w:val="0"/>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884</w:t>
            </w:r>
          </w:p>
        </w:tc>
        <w:tc>
          <w:tcPr>
            <w:tcW w:w="1200" w:type="dxa"/>
            <w:noWrap w:val="0"/>
            <w:vAlign w:val="center"/>
          </w:tcPr>
          <w:p w14:paraId="724D03B8">
            <w:pPr>
              <w:adjustRightInd w:val="0"/>
              <w:snapToGrid w:val="0"/>
              <w:spacing w:line="240" w:lineRule="auto"/>
              <w:jc w:val="center"/>
              <w:rPr>
                <w:rFonts w:hint="default"/>
                <w:color w:val="auto"/>
                <w:sz w:val="21"/>
                <w:lang w:val="en-US" w:eastAsia="zh-CN"/>
              </w:rPr>
            </w:pPr>
            <w:r>
              <w:rPr>
                <w:rFonts w:hint="eastAsia"/>
                <w:color w:val="auto"/>
                <w:sz w:val="21"/>
                <w:lang w:val="en-US" w:eastAsia="zh-CN"/>
              </w:rPr>
              <w:t>5808</w:t>
            </w:r>
          </w:p>
        </w:tc>
        <w:tc>
          <w:tcPr>
            <w:tcW w:w="1323" w:type="dxa"/>
            <w:vMerge w:val="continue"/>
            <w:noWrap w:val="0"/>
            <w:vAlign w:val="center"/>
          </w:tcPr>
          <w:p w14:paraId="4F8101F1">
            <w:pPr>
              <w:adjustRightInd w:val="0"/>
              <w:snapToGrid w:val="0"/>
              <w:spacing w:line="240" w:lineRule="auto"/>
              <w:jc w:val="center"/>
              <w:rPr>
                <w:rFonts w:hint="eastAsia"/>
                <w:color w:val="auto"/>
                <w:sz w:val="21"/>
                <w:lang w:val="en-US" w:eastAsia="zh-CN"/>
              </w:rPr>
            </w:pPr>
          </w:p>
        </w:tc>
        <w:tc>
          <w:tcPr>
            <w:tcW w:w="1073" w:type="dxa"/>
            <w:noWrap w:val="0"/>
            <w:vAlign w:val="center"/>
          </w:tcPr>
          <w:p w14:paraId="05E1D645">
            <w:pPr>
              <w:adjustRightInd w:val="0"/>
              <w:snapToGrid w:val="0"/>
              <w:spacing w:line="240" w:lineRule="auto"/>
              <w:jc w:val="center"/>
              <w:rPr>
                <w:rFonts w:hint="default"/>
                <w:color w:val="auto"/>
                <w:sz w:val="21"/>
                <w:lang w:val="en-US" w:eastAsia="zh-CN"/>
              </w:rPr>
            </w:pPr>
            <w:r>
              <w:rPr>
                <w:rFonts w:hint="eastAsia"/>
                <w:color w:val="auto"/>
                <w:sz w:val="21"/>
                <w:lang w:val="en-US" w:eastAsia="zh-CN"/>
              </w:rPr>
              <w:t>10</w:t>
            </w:r>
          </w:p>
        </w:tc>
        <w:tc>
          <w:tcPr>
            <w:tcW w:w="1274" w:type="dxa"/>
            <w:noWrap w:val="0"/>
            <w:vAlign w:val="center"/>
          </w:tcPr>
          <w:p w14:paraId="1351ABBF">
            <w:pPr>
              <w:adjustRightInd w:val="0"/>
              <w:snapToGrid w:val="0"/>
              <w:spacing w:line="240" w:lineRule="auto"/>
              <w:jc w:val="center"/>
              <w:rPr>
                <w:rFonts w:hint="default"/>
                <w:color w:val="auto"/>
                <w:sz w:val="21"/>
                <w:lang w:val="en-US" w:eastAsia="zh-CN"/>
              </w:rPr>
            </w:pPr>
            <w:r>
              <w:rPr>
                <w:rFonts w:hint="eastAsia"/>
                <w:color w:val="auto"/>
                <w:sz w:val="21"/>
                <w:lang w:val="en-US" w:eastAsia="zh-CN"/>
              </w:rPr>
              <w:t>65.7</w:t>
            </w:r>
          </w:p>
        </w:tc>
        <w:tc>
          <w:tcPr>
            <w:tcW w:w="2065" w:type="dxa"/>
            <w:vMerge w:val="continue"/>
            <w:noWrap w:val="0"/>
            <w:vAlign w:val="center"/>
          </w:tcPr>
          <w:p w14:paraId="19F54030">
            <w:pPr>
              <w:adjustRightInd w:val="0"/>
              <w:snapToGrid w:val="0"/>
              <w:spacing w:line="240" w:lineRule="auto"/>
              <w:jc w:val="center"/>
              <w:rPr>
                <w:rFonts w:hint="eastAsia" w:ascii="Times New Roman" w:hAnsi="Times New Roman"/>
                <w:color w:val="auto"/>
                <w:sz w:val="21"/>
              </w:rPr>
            </w:pPr>
          </w:p>
        </w:tc>
      </w:tr>
      <w:tr w14:paraId="5E454B2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noWrap w:val="0"/>
            <w:vAlign w:val="center"/>
          </w:tcPr>
          <w:p w14:paraId="0F07BF7A">
            <w:pPr>
              <w:adjustRightInd w:val="0"/>
              <w:snapToGrid w:val="0"/>
              <w:spacing w:line="240" w:lineRule="auto"/>
              <w:jc w:val="center"/>
              <w:rPr>
                <w:rFonts w:ascii="Times New Roman" w:hAnsi="Times New Roman"/>
                <w:color w:val="auto"/>
                <w:sz w:val="21"/>
              </w:rPr>
            </w:pPr>
            <w:r>
              <w:rPr>
                <w:rFonts w:ascii="Times New Roman" w:hAnsi="Times New Roman"/>
                <w:color w:val="auto"/>
                <w:sz w:val="21"/>
              </w:rPr>
              <w:t>NH</w:t>
            </w:r>
            <w:r>
              <w:rPr>
                <w:rFonts w:ascii="Times New Roman" w:hAnsi="Times New Roman"/>
                <w:color w:val="auto"/>
                <w:sz w:val="21"/>
                <w:vertAlign w:val="subscript"/>
              </w:rPr>
              <w:t>3</w:t>
            </w:r>
            <w:r>
              <w:rPr>
                <w:rFonts w:ascii="Times New Roman" w:hAnsi="Times New Roman"/>
                <w:color w:val="auto"/>
                <w:sz w:val="21"/>
              </w:rPr>
              <w:t>-N</w:t>
            </w:r>
          </w:p>
        </w:tc>
        <w:tc>
          <w:tcPr>
            <w:tcW w:w="1109" w:type="dxa"/>
            <w:noWrap w:val="0"/>
            <w:vAlign w:val="center"/>
          </w:tcPr>
          <w:p w14:paraId="68E4791F">
            <w:pPr>
              <w:adjustRightInd w:val="0"/>
              <w:snapToGrid w:val="0"/>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15.3</w:t>
            </w:r>
          </w:p>
        </w:tc>
        <w:tc>
          <w:tcPr>
            <w:tcW w:w="1200" w:type="dxa"/>
            <w:noWrap w:val="0"/>
            <w:vAlign w:val="center"/>
          </w:tcPr>
          <w:p w14:paraId="25FFABBD">
            <w:pPr>
              <w:adjustRightInd w:val="0"/>
              <w:snapToGrid w:val="0"/>
              <w:spacing w:line="240" w:lineRule="auto"/>
              <w:jc w:val="center"/>
              <w:rPr>
                <w:rFonts w:hint="default"/>
                <w:color w:val="auto"/>
                <w:sz w:val="21"/>
                <w:lang w:val="en-US" w:eastAsia="zh-CN"/>
              </w:rPr>
            </w:pPr>
            <w:r>
              <w:rPr>
                <w:rFonts w:hint="eastAsia"/>
                <w:color w:val="auto"/>
                <w:sz w:val="21"/>
                <w:lang w:val="en-US" w:eastAsia="zh-CN"/>
              </w:rPr>
              <w:t>100.5</w:t>
            </w:r>
          </w:p>
        </w:tc>
        <w:tc>
          <w:tcPr>
            <w:tcW w:w="1323" w:type="dxa"/>
            <w:vMerge w:val="continue"/>
            <w:noWrap w:val="0"/>
            <w:vAlign w:val="center"/>
          </w:tcPr>
          <w:p w14:paraId="0CF09686">
            <w:pPr>
              <w:adjustRightInd w:val="0"/>
              <w:snapToGrid w:val="0"/>
              <w:spacing w:line="240" w:lineRule="auto"/>
              <w:jc w:val="center"/>
              <w:rPr>
                <w:rFonts w:hint="eastAsia"/>
                <w:color w:val="auto"/>
                <w:sz w:val="21"/>
                <w:lang w:val="en-US" w:eastAsia="zh-CN"/>
              </w:rPr>
            </w:pPr>
          </w:p>
        </w:tc>
        <w:tc>
          <w:tcPr>
            <w:tcW w:w="1073" w:type="dxa"/>
            <w:noWrap w:val="0"/>
            <w:vAlign w:val="center"/>
          </w:tcPr>
          <w:p w14:paraId="57DDA358">
            <w:pPr>
              <w:adjustRightInd w:val="0"/>
              <w:snapToGrid w:val="0"/>
              <w:spacing w:line="240" w:lineRule="auto"/>
              <w:jc w:val="center"/>
              <w:rPr>
                <w:rFonts w:hint="default"/>
                <w:color w:val="auto"/>
                <w:sz w:val="21"/>
                <w:lang w:val="en-US" w:eastAsia="zh-CN"/>
              </w:rPr>
            </w:pPr>
            <w:r>
              <w:rPr>
                <w:rFonts w:hint="eastAsia"/>
                <w:color w:val="auto"/>
                <w:sz w:val="21"/>
                <w:lang w:val="en-US" w:eastAsia="zh-CN"/>
              </w:rPr>
              <w:t>5</w:t>
            </w:r>
          </w:p>
        </w:tc>
        <w:tc>
          <w:tcPr>
            <w:tcW w:w="1274" w:type="dxa"/>
            <w:noWrap w:val="0"/>
            <w:vAlign w:val="center"/>
          </w:tcPr>
          <w:p w14:paraId="2ECFE8CE">
            <w:pPr>
              <w:adjustRightInd w:val="0"/>
              <w:snapToGrid w:val="0"/>
              <w:spacing w:line="240" w:lineRule="auto"/>
              <w:jc w:val="center"/>
              <w:rPr>
                <w:rFonts w:hint="default"/>
                <w:color w:val="auto"/>
                <w:sz w:val="21"/>
                <w:lang w:val="en-US" w:eastAsia="zh-CN"/>
              </w:rPr>
            </w:pPr>
            <w:r>
              <w:rPr>
                <w:rFonts w:hint="eastAsia"/>
                <w:color w:val="auto"/>
                <w:sz w:val="21"/>
                <w:lang w:val="en-US" w:eastAsia="zh-CN"/>
              </w:rPr>
              <w:t>32.85</w:t>
            </w:r>
          </w:p>
        </w:tc>
        <w:tc>
          <w:tcPr>
            <w:tcW w:w="2065" w:type="dxa"/>
            <w:vMerge w:val="continue"/>
            <w:noWrap w:val="0"/>
            <w:vAlign w:val="center"/>
          </w:tcPr>
          <w:p w14:paraId="5FC68F46">
            <w:pPr>
              <w:adjustRightInd w:val="0"/>
              <w:snapToGrid w:val="0"/>
              <w:spacing w:line="240" w:lineRule="auto"/>
              <w:jc w:val="center"/>
              <w:rPr>
                <w:rFonts w:hint="eastAsia" w:ascii="Times New Roman" w:hAnsi="Times New Roman"/>
                <w:color w:val="auto"/>
                <w:sz w:val="21"/>
              </w:rPr>
            </w:pPr>
          </w:p>
        </w:tc>
      </w:tr>
      <w:tr w14:paraId="46AC9C6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noWrap w:val="0"/>
            <w:vAlign w:val="center"/>
          </w:tcPr>
          <w:p w14:paraId="785387D5">
            <w:pPr>
              <w:adjustRightInd w:val="0"/>
              <w:snapToGrid w:val="0"/>
              <w:spacing w:line="240" w:lineRule="auto"/>
              <w:jc w:val="center"/>
              <w:rPr>
                <w:rFonts w:ascii="Times New Roman" w:hAnsi="Times New Roman"/>
                <w:color w:val="auto"/>
                <w:sz w:val="21"/>
              </w:rPr>
            </w:pPr>
            <w:r>
              <w:rPr>
                <w:rFonts w:ascii="Times New Roman" w:hAnsi="Times New Roman"/>
                <w:color w:val="auto"/>
                <w:sz w:val="21"/>
              </w:rPr>
              <w:t>TN</w:t>
            </w:r>
          </w:p>
        </w:tc>
        <w:tc>
          <w:tcPr>
            <w:tcW w:w="1109" w:type="dxa"/>
            <w:noWrap w:val="0"/>
            <w:vAlign w:val="center"/>
          </w:tcPr>
          <w:p w14:paraId="1BE7B7C0">
            <w:pPr>
              <w:adjustRightInd w:val="0"/>
              <w:snapToGrid w:val="0"/>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28.6</w:t>
            </w:r>
          </w:p>
        </w:tc>
        <w:tc>
          <w:tcPr>
            <w:tcW w:w="1200" w:type="dxa"/>
            <w:noWrap w:val="0"/>
            <w:vAlign w:val="center"/>
          </w:tcPr>
          <w:p w14:paraId="31C6C0F9">
            <w:pPr>
              <w:adjustRightInd w:val="0"/>
              <w:snapToGrid w:val="0"/>
              <w:spacing w:line="240" w:lineRule="auto"/>
              <w:jc w:val="center"/>
              <w:rPr>
                <w:rFonts w:hint="default"/>
                <w:color w:val="auto"/>
                <w:sz w:val="21"/>
                <w:lang w:val="en-US" w:eastAsia="zh-CN"/>
              </w:rPr>
            </w:pPr>
            <w:r>
              <w:rPr>
                <w:rFonts w:hint="eastAsia"/>
                <w:color w:val="auto"/>
                <w:sz w:val="21"/>
                <w:lang w:val="en-US" w:eastAsia="zh-CN"/>
              </w:rPr>
              <w:t>187.8</w:t>
            </w:r>
          </w:p>
        </w:tc>
        <w:tc>
          <w:tcPr>
            <w:tcW w:w="1323" w:type="dxa"/>
            <w:vMerge w:val="continue"/>
            <w:noWrap w:val="0"/>
            <w:vAlign w:val="center"/>
          </w:tcPr>
          <w:p w14:paraId="2F2BE2EF">
            <w:pPr>
              <w:adjustRightInd w:val="0"/>
              <w:snapToGrid w:val="0"/>
              <w:spacing w:line="240" w:lineRule="auto"/>
              <w:jc w:val="center"/>
              <w:rPr>
                <w:rFonts w:hint="eastAsia"/>
                <w:color w:val="auto"/>
                <w:sz w:val="21"/>
                <w:lang w:val="en-US" w:eastAsia="zh-CN"/>
              </w:rPr>
            </w:pPr>
          </w:p>
        </w:tc>
        <w:tc>
          <w:tcPr>
            <w:tcW w:w="1073" w:type="dxa"/>
            <w:noWrap w:val="0"/>
            <w:vAlign w:val="center"/>
          </w:tcPr>
          <w:p w14:paraId="3BD55298">
            <w:pPr>
              <w:adjustRightInd w:val="0"/>
              <w:snapToGrid w:val="0"/>
              <w:spacing w:line="240" w:lineRule="auto"/>
              <w:jc w:val="center"/>
              <w:rPr>
                <w:rFonts w:hint="default"/>
                <w:color w:val="auto"/>
                <w:sz w:val="21"/>
                <w:lang w:val="en-US" w:eastAsia="zh-CN"/>
              </w:rPr>
            </w:pPr>
            <w:r>
              <w:rPr>
                <w:rFonts w:hint="eastAsia"/>
                <w:color w:val="auto"/>
                <w:sz w:val="21"/>
                <w:lang w:val="en-US" w:eastAsia="zh-CN"/>
              </w:rPr>
              <w:t>15</w:t>
            </w:r>
          </w:p>
        </w:tc>
        <w:tc>
          <w:tcPr>
            <w:tcW w:w="1274" w:type="dxa"/>
            <w:noWrap w:val="0"/>
            <w:vAlign w:val="center"/>
          </w:tcPr>
          <w:p w14:paraId="5CA8ABBE">
            <w:pPr>
              <w:adjustRightInd w:val="0"/>
              <w:snapToGrid w:val="0"/>
              <w:spacing w:line="240" w:lineRule="auto"/>
              <w:jc w:val="center"/>
              <w:rPr>
                <w:rFonts w:hint="default"/>
                <w:color w:val="auto"/>
                <w:sz w:val="21"/>
                <w:lang w:val="en-US" w:eastAsia="zh-CN"/>
              </w:rPr>
            </w:pPr>
            <w:r>
              <w:rPr>
                <w:rFonts w:hint="eastAsia"/>
                <w:color w:val="auto"/>
                <w:sz w:val="21"/>
                <w:lang w:val="en-US" w:eastAsia="zh-CN"/>
              </w:rPr>
              <w:t>98.55</w:t>
            </w:r>
          </w:p>
        </w:tc>
        <w:tc>
          <w:tcPr>
            <w:tcW w:w="2065" w:type="dxa"/>
            <w:vMerge w:val="continue"/>
            <w:noWrap w:val="0"/>
            <w:vAlign w:val="center"/>
          </w:tcPr>
          <w:p w14:paraId="79F9F32F">
            <w:pPr>
              <w:adjustRightInd w:val="0"/>
              <w:snapToGrid w:val="0"/>
              <w:spacing w:line="240" w:lineRule="auto"/>
              <w:jc w:val="center"/>
              <w:rPr>
                <w:rFonts w:hint="eastAsia" w:ascii="Times New Roman" w:hAnsi="Times New Roman"/>
                <w:color w:val="auto"/>
                <w:sz w:val="21"/>
              </w:rPr>
            </w:pPr>
          </w:p>
        </w:tc>
      </w:tr>
      <w:tr w14:paraId="26672DA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942" w:type="dxa"/>
            <w:noWrap w:val="0"/>
            <w:vAlign w:val="center"/>
          </w:tcPr>
          <w:p w14:paraId="7177B33A">
            <w:pPr>
              <w:adjustRightInd w:val="0"/>
              <w:snapToGrid w:val="0"/>
              <w:spacing w:line="240" w:lineRule="auto"/>
              <w:jc w:val="center"/>
              <w:rPr>
                <w:rFonts w:ascii="Times New Roman" w:hAnsi="Times New Roman"/>
                <w:color w:val="auto"/>
                <w:sz w:val="21"/>
              </w:rPr>
            </w:pPr>
            <w:r>
              <w:rPr>
                <w:rFonts w:ascii="Times New Roman" w:hAnsi="Times New Roman"/>
                <w:color w:val="auto"/>
                <w:sz w:val="21"/>
              </w:rPr>
              <w:t>TP</w:t>
            </w:r>
          </w:p>
        </w:tc>
        <w:tc>
          <w:tcPr>
            <w:tcW w:w="1109" w:type="dxa"/>
            <w:noWrap w:val="0"/>
            <w:vAlign w:val="center"/>
          </w:tcPr>
          <w:p w14:paraId="00F221AA">
            <w:pPr>
              <w:adjustRightInd w:val="0"/>
              <w:snapToGrid w:val="0"/>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4.74</w:t>
            </w:r>
          </w:p>
        </w:tc>
        <w:tc>
          <w:tcPr>
            <w:tcW w:w="1200" w:type="dxa"/>
            <w:noWrap w:val="0"/>
            <w:vAlign w:val="center"/>
          </w:tcPr>
          <w:p w14:paraId="45F34AF6">
            <w:pPr>
              <w:adjustRightInd w:val="0"/>
              <w:snapToGrid w:val="0"/>
              <w:spacing w:line="240" w:lineRule="auto"/>
              <w:jc w:val="center"/>
              <w:rPr>
                <w:rFonts w:hint="default"/>
                <w:color w:val="auto"/>
                <w:sz w:val="21"/>
                <w:lang w:val="en-US" w:eastAsia="zh-CN"/>
              </w:rPr>
            </w:pPr>
            <w:r>
              <w:rPr>
                <w:rFonts w:hint="eastAsia"/>
                <w:color w:val="auto"/>
                <w:sz w:val="21"/>
                <w:lang w:val="en-US" w:eastAsia="zh-CN"/>
              </w:rPr>
              <w:t>31.2</w:t>
            </w:r>
          </w:p>
        </w:tc>
        <w:tc>
          <w:tcPr>
            <w:tcW w:w="1323" w:type="dxa"/>
            <w:vMerge w:val="continue"/>
            <w:noWrap w:val="0"/>
            <w:vAlign w:val="center"/>
          </w:tcPr>
          <w:p w14:paraId="1721A99E">
            <w:pPr>
              <w:adjustRightInd w:val="0"/>
              <w:snapToGrid w:val="0"/>
              <w:spacing w:line="240" w:lineRule="auto"/>
              <w:jc w:val="center"/>
              <w:rPr>
                <w:rFonts w:hint="eastAsia"/>
                <w:color w:val="auto"/>
                <w:sz w:val="21"/>
                <w:lang w:val="en-US" w:eastAsia="zh-CN"/>
              </w:rPr>
            </w:pPr>
          </w:p>
        </w:tc>
        <w:tc>
          <w:tcPr>
            <w:tcW w:w="1073" w:type="dxa"/>
            <w:noWrap w:val="0"/>
            <w:vAlign w:val="center"/>
          </w:tcPr>
          <w:p w14:paraId="6CAAF700">
            <w:pPr>
              <w:adjustRightInd w:val="0"/>
              <w:snapToGrid w:val="0"/>
              <w:spacing w:line="240" w:lineRule="auto"/>
              <w:jc w:val="center"/>
              <w:rPr>
                <w:rFonts w:hint="default"/>
                <w:color w:val="auto"/>
                <w:sz w:val="21"/>
                <w:lang w:val="en-US" w:eastAsia="zh-CN"/>
              </w:rPr>
            </w:pPr>
            <w:r>
              <w:rPr>
                <w:rFonts w:hint="eastAsia"/>
                <w:color w:val="auto"/>
                <w:sz w:val="21"/>
                <w:lang w:val="en-US" w:eastAsia="zh-CN"/>
              </w:rPr>
              <w:t>0.5</w:t>
            </w:r>
          </w:p>
        </w:tc>
        <w:tc>
          <w:tcPr>
            <w:tcW w:w="1274" w:type="dxa"/>
            <w:noWrap w:val="0"/>
            <w:vAlign w:val="center"/>
          </w:tcPr>
          <w:p w14:paraId="368EE1FF">
            <w:pPr>
              <w:adjustRightInd w:val="0"/>
              <w:snapToGrid w:val="0"/>
              <w:spacing w:line="240" w:lineRule="auto"/>
              <w:jc w:val="center"/>
              <w:rPr>
                <w:rFonts w:hint="default"/>
                <w:color w:val="auto"/>
                <w:sz w:val="21"/>
                <w:lang w:val="en-US" w:eastAsia="zh-CN"/>
              </w:rPr>
            </w:pPr>
            <w:r>
              <w:rPr>
                <w:rFonts w:hint="eastAsia"/>
                <w:color w:val="auto"/>
                <w:sz w:val="21"/>
                <w:lang w:val="en-US" w:eastAsia="zh-CN"/>
              </w:rPr>
              <w:t>3.285</w:t>
            </w:r>
          </w:p>
        </w:tc>
        <w:tc>
          <w:tcPr>
            <w:tcW w:w="2065" w:type="dxa"/>
            <w:vMerge w:val="continue"/>
            <w:noWrap w:val="0"/>
            <w:vAlign w:val="center"/>
          </w:tcPr>
          <w:p w14:paraId="75B4C3AE">
            <w:pPr>
              <w:adjustRightInd w:val="0"/>
              <w:snapToGrid w:val="0"/>
              <w:spacing w:line="240" w:lineRule="auto"/>
              <w:jc w:val="center"/>
              <w:rPr>
                <w:rFonts w:hint="eastAsia" w:ascii="Times New Roman" w:hAnsi="Times New Roman"/>
                <w:color w:val="auto"/>
                <w:sz w:val="21"/>
              </w:rPr>
            </w:pPr>
          </w:p>
        </w:tc>
      </w:tr>
    </w:tbl>
    <w:p w14:paraId="7190824B">
      <w:pPr>
        <w:pStyle w:val="5"/>
      </w:pPr>
      <w:r>
        <w:t xml:space="preserve">3.4.2.3 噪声源强 </w:t>
      </w:r>
    </w:p>
    <w:p w14:paraId="70632AC0">
      <w:pPr>
        <w:spacing w:line="360" w:lineRule="auto"/>
        <w:ind w:firstLine="480" w:firstLineChars="200"/>
        <w:jc w:val="left"/>
        <w:rPr>
          <w:rFonts w:hint="default"/>
          <w:lang w:val="en-US" w:eastAsia="zh-CN" w:bidi="ar"/>
        </w:rPr>
      </w:pPr>
      <w:r>
        <w:rPr>
          <w:rFonts w:hint="eastAsia"/>
          <w:lang w:eastAsia="zh-CN" w:bidi="ar"/>
        </w:rPr>
        <w:t>（</w:t>
      </w:r>
      <w:r>
        <w:rPr>
          <w:rFonts w:hint="eastAsia"/>
          <w:lang w:val="en-US" w:eastAsia="zh-CN" w:bidi="ar"/>
        </w:rPr>
        <w:t>1</w:t>
      </w:r>
      <w:r>
        <w:rPr>
          <w:rFonts w:hint="eastAsia"/>
          <w:lang w:eastAsia="zh-CN" w:bidi="ar"/>
        </w:rPr>
        <w:t>）</w:t>
      </w:r>
      <w:r>
        <w:rPr>
          <w:rFonts w:hint="eastAsia"/>
          <w:lang w:val="en-US" w:eastAsia="zh-CN" w:bidi="ar"/>
        </w:rPr>
        <w:t>医用酒精噪声源强</w:t>
      </w:r>
    </w:p>
    <w:p w14:paraId="3F8039DE">
      <w:pPr>
        <w:spacing w:line="360" w:lineRule="auto"/>
        <w:ind w:firstLine="480" w:firstLineChars="200"/>
        <w:jc w:val="left"/>
      </w:pPr>
      <w:r>
        <w:rPr>
          <w:rFonts w:hint="eastAsia"/>
          <w:lang w:eastAsia="zh-CN" w:bidi="ar"/>
        </w:rPr>
        <w:t>本项目</w:t>
      </w:r>
      <w:r>
        <w:rPr>
          <w:lang w:bidi="ar"/>
        </w:rPr>
        <w:t>运行期间产生的噪声主要来自风机、水泵等发出噪声。从噪声类型看，主要有空气动力噪声、机械噪声。噪声源大多分布在厂房内，噪声源强在70-9</w:t>
      </w:r>
      <w:r>
        <w:rPr>
          <w:rFonts w:hint="eastAsia"/>
          <w:lang w:val="en-US" w:eastAsia="zh-CN" w:bidi="ar"/>
        </w:rPr>
        <w:t>0</w:t>
      </w:r>
      <w:r>
        <w:t>dB(A)</w:t>
      </w:r>
      <w:r>
        <w:rPr>
          <w:lang w:bidi="ar"/>
        </w:rPr>
        <w:t>间，</w:t>
      </w:r>
      <w:r>
        <w:rPr>
          <w:rFonts w:hint="eastAsia"/>
          <w:lang w:eastAsia="zh-CN" w:bidi="ar"/>
        </w:rPr>
        <w:t>本项目</w:t>
      </w:r>
      <w:r>
        <w:rPr>
          <w:lang w:bidi="ar"/>
        </w:rPr>
        <w:t>噪声污染源源强核算及相关参数见表3.4-</w:t>
      </w:r>
      <w:r>
        <w:rPr>
          <w:rFonts w:hint="eastAsia"/>
          <w:lang w:val="en-US" w:eastAsia="zh-CN" w:bidi="ar"/>
        </w:rPr>
        <w:t>3</w:t>
      </w:r>
      <w:r>
        <w:rPr>
          <w:lang w:bidi="ar"/>
        </w:rPr>
        <w:t>。</w:t>
      </w:r>
    </w:p>
    <w:p w14:paraId="253D2B79">
      <w:pPr>
        <w:spacing w:line="360" w:lineRule="auto"/>
        <w:ind w:firstLine="480" w:firstLineChars="200"/>
        <w:jc w:val="left"/>
        <w:rPr>
          <w:rFonts w:hint="default"/>
          <w:lang w:val="en-US" w:eastAsia="zh-CN" w:bidi="ar"/>
        </w:rPr>
      </w:pPr>
      <w:r>
        <w:rPr>
          <w:rFonts w:hint="eastAsia"/>
          <w:lang w:eastAsia="zh-CN" w:bidi="ar"/>
        </w:rPr>
        <w:t>（</w:t>
      </w:r>
      <w:r>
        <w:rPr>
          <w:rFonts w:hint="eastAsia"/>
          <w:lang w:val="en-US" w:eastAsia="zh-CN" w:bidi="ar"/>
        </w:rPr>
        <w:t>2</w:t>
      </w:r>
      <w:r>
        <w:rPr>
          <w:rFonts w:hint="eastAsia"/>
          <w:lang w:eastAsia="zh-CN" w:bidi="ar"/>
        </w:rPr>
        <w:t>）</w:t>
      </w:r>
      <w:r>
        <w:rPr>
          <w:rFonts w:hint="eastAsia"/>
          <w:lang w:val="en-US" w:eastAsia="zh-CN" w:bidi="ar"/>
        </w:rPr>
        <w:t>污水处理站站噪声源强</w:t>
      </w:r>
    </w:p>
    <w:p w14:paraId="5D5BB2D4">
      <w:pPr>
        <w:spacing w:line="360" w:lineRule="auto"/>
        <w:ind w:firstLine="480" w:firstLineChars="200"/>
        <w:jc w:val="left"/>
      </w:pPr>
      <w:r>
        <w:rPr>
          <w:rFonts w:hint="eastAsia"/>
          <w:lang w:eastAsia="zh-CN" w:bidi="ar"/>
        </w:rPr>
        <w:t>本项目</w:t>
      </w:r>
      <w:r>
        <w:rPr>
          <w:rFonts w:hint="eastAsia"/>
          <w:lang w:val="en-US" w:eastAsia="zh-CN" w:bidi="ar"/>
        </w:rPr>
        <w:t>污水处理站</w:t>
      </w:r>
      <w:r>
        <w:rPr>
          <w:lang w:bidi="ar"/>
        </w:rPr>
        <w:t>运行期间产生的噪声主要来自风机、水泵等发出噪声。从噪声类型看，主要有空气动力噪声、机械噪声。噪声源大多分布在厂房内，噪声源强在70-90</w:t>
      </w:r>
      <w:r>
        <w:t>dB(A)</w:t>
      </w:r>
      <w:r>
        <w:rPr>
          <w:lang w:bidi="ar"/>
        </w:rPr>
        <w:t>间，</w:t>
      </w:r>
      <w:r>
        <w:rPr>
          <w:rFonts w:hint="eastAsia"/>
          <w:lang w:eastAsia="zh-CN" w:bidi="ar"/>
        </w:rPr>
        <w:t>本项目</w:t>
      </w:r>
      <w:r>
        <w:rPr>
          <w:rFonts w:hint="eastAsia"/>
          <w:lang w:val="en-US" w:eastAsia="zh-CN" w:bidi="ar"/>
        </w:rPr>
        <w:t>污水处理站</w:t>
      </w:r>
      <w:r>
        <w:rPr>
          <w:lang w:bidi="ar"/>
        </w:rPr>
        <w:t>噪声污染源源强核算及相关参数见表3.4-</w:t>
      </w:r>
      <w:r>
        <w:rPr>
          <w:rFonts w:hint="eastAsia"/>
          <w:lang w:val="en-US" w:eastAsia="zh-CN" w:bidi="ar"/>
        </w:rPr>
        <w:t>3</w:t>
      </w:r>
      <w:r>
        <w:rPr>
          <w:lang w:bidi="ar"/>
        </w:rPr>
        <w:t>。</w:t>
      </w:r>
    </w:p>
    <w:p w14:paraId="6D2F110A">
      <w:pPr>
        <w:jc w:val="center"/>
        <w:rPr>
          <w:b/>
          <w:lang w:bidi="ar"/>
        </w:rPr>
        <w:sectPr>
          <w:footerReference r:id="rId10" w:type="default"/>
          <w:pgSz w:w="11906" w:h="16838"/>
          <w:pgMar w:top="1440" w:right="1440" w:bottom="1440" w:left="1440" w:header="851" w:footer="992" w:gutter="0"/>
          <w:pgBorders>
            <w:top w:val="none" w:sz="0" w:space="0"/>
            <w:left w:val="none" w:sz="0" w:space="0"/>
            <w:bottom w:val="none" w:sz="0" w:space="0"/>
            <w:right w:val="none" w:sz="0" w:space="0"/>
          </w:pgBorders>
          <w:cols w:space="0" w:num="1"/>
          <w:docGrid w:linePitch="312" w:charSpace="0"/>
        </w:sectPr>
      </w:pPr>
    </w:p>
    <w:p w14:paraId="16C0D751">
      <w:pPr>
        <w:jc w:val="center"/>
        <w:rPr>
          <w:color w:val="auto"/>
        </w:rPr>
      </w:pPr>
      <w:r>
        <w:rPr>
          <w:b/>
          <w:color w:val="auto"/>
          <w:lang w:bidi="ar"/>
        </w:rPr>
        <w:t>表3.4-</w:t>
      </w:r>
      <w:r>
        <w:rPr>
          <w:rFonts w:hint="eastAsia"/>
          <w:b/>
          <w:color w:val="auto"/>
          <w:lang w:val="en-US" w:eastAsia="zh-CN" w:bidi="ar"/>
        </w:rPr>
        <w:t>3</w:t>
      </w:r>
      <w:r>
        <w:rPr>
          <w:b/>
          <w:color w:val="auto"/>
          <w:lang w:bidi="ar"/>
        </w:rPr>
        <w:t xml:space="preserve"> </w:t>
      </w:r>
      <w:r>
        <w:rPr>
          <w:rFonts w:hint="eastAsia"/>
          <w:b/>
          <w:color w:val="auto"/>
          <w:lang w:eastAsia="zh-CN" w:bidi="ar"/>
        </w:rPr>
        <w:t>本项目</w:t>
      </w:r>
      <w:r>
        <w:rPr>
          <w:b/>
          <w:color w:val="auto"/>
          <w:lang w:bidi="ar"/>
        </w:rPr>
        <w:t>噪声源强</w:t>
      </w:r>
      <w:r>
        <w:rPr>
          <w:rFonts w:hint="eastAsia"/>
          <w:b/>
          <w:color w:val="auto"/>
          <w:lang w:val="en-US" w:eastAsia="zh-CN" w:bidi="ar"/>
        </w:rPr>
        <w:t>调查清单（室内声源）</w:t>
      </w:r>
    </w:p>
    <w:tbl>
      <w:tblPr>
        <w:tblStyle w:val="54"/>
        <w:tblW w:w="14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8"/>
        <w:gridCol w:w="882"/>
        <w:gridCol w:w="1748"/>
        <w:gridCol w:w="1173"/>
        <w:gridCol w:w="1042"/>
        <w:gridCol w:w="1173"/>
        <w:gridCol w:w="915"/>
        <w:gridCol w:w="1021"/>
        <w:gridCol w:w="1561"/>
        <w:gridCol w:w="894"/>
        <w:gridCol w:w="989"/>
        <w:gridCol w:w="1022"/>
        <w:gridCol w:w="966"/>
      </w:tblGrid>
      <w:tr w14:paraId="127BB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8" w:type="dxa"/>
            <w:vMerge w:val="restart"/>
            <w:vAlign w:val="center"/>
          </w:tcPr>
          <w:p w14:paraId="4BDFE4EA">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序号</w:t>
            </w:r>
          </w:p>
        </w:tc>
        <w:tc>
          <w:tcPr>
            <w:tcW w:w="882" w:type="dxa"/>
            <w:vMerge w:val="restart"/>
            <w:vAlign w:val="center"/>
          </w:tcPr>
          <w:p w14:paraId="4FDAA338">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建筑物名称</w:t>
            </w:r>
          </w:p>
        </w:tc>
        <w:tc>
          <w:tcPr>
            <w:tcW w:w="1748" w:type="dxa"/>
            <w:vMerge w:val="restart"/>
            <w:vAlign w:val="center"/>
          </w:tcPr>
          <w:p w14:paraId="2849355A">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声源名称</w:t>
            </w:r>
          </w:p>
        </w:tc>
        <w:tc>
          <w:tcPr>
            <w:tcW w:w="1173" w:type="dxa"/>
            <w:vMerge w:val="restart"/>
            <w:vAlign w:val="center"/>
          </w:tcPr>
          <w:p w14:paraId="47CC7F8D">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型号</w:t>
            </w:r>
          </w:p>
        </w:tc>
        <w:tc>
          <w:tcPr>
            <w:tcW w:w="1042" w:type="dxa"/>
            <w:vMerge w:val="restart"/>
            <w:vAlign w:val="center"/>
          </w:tcPr>
          <w:p w14:paraId="325C3944">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声功率级/dB（A）</w:t>
            </w:r>
          </w:p>
        </w:tc>
        <w:tc>
          <w:tcPr>
            <w:tcW w:w="1173" w:type="dxa"/>
            <w:vMerge w:val="restart"/>
            <w:vAlign w:val="center"/>
          </w:tcPr>
          <w:p w14:paraId="3CCEDF37">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声源控制措施</w:t>
            </w:r>
          </w:p>
        </w:tc>
        <w:tc>
          <w:tcPr>
            <w:tcW w:w="915" w:type="dxa"/>
            <w:vMerge w:val="restart"/>
            <w:vAlign w:val="center"/>
          </w:tcPr>
          <w:p w14:paraId="1FF57F16">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空间相对位置</w:t>
            </w:r>
          </w:p>
        </w:tc>
        <w:tc>
          <w:tcPr>
            <w:tcW w:w="1021" w:type="dxa"/>
            <w:vMerge w:val="restart"/>
            <w:vAlign w:val="center"/>
          </w:tcPr>
          <w:p w14:paraId="70422719">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距室内边界距离/m</w:t>
            </w:r>
          </w:p>
        </w:tc>
        <w:tc>
          <w:tcPr>
            <w:tcW w:w="1561" w:type="dxa"/>
            <w:vMerge w:val="restart"/>
            <w:vAlign w:val="center"/>
          </w:tcPr>
          <w:p w14:paraId="7354535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室内边界声级/dB（A）</w:t>
            </w:r>
          </w:p>
        </w:tc>
        <w:tc>
          <w:tcPr>
            <w:tcW w:w="894" w:type="dxa"/>
            <w:vMerge w:val="restart"/>
            <w:vAlign w:val="center"/>
          </w:tcPr>
          <w:p w14:paraId="2E9B9FF3">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运行时段</w:t>
            </w:r>
          </w:p>
        </w:tc>
        <w:tc>
          <w:tcPr>
            <w:tcW w:w="989" w:type="dxa"/>
            <w:vMerge w:val="restart"/>
            <w:vAlign w:val="center"/>
          </w:tcPr>
          <w:p w14:paraId="2051F3EA">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建筑物插入损失/dB（A）</w:t>
            </w:r>
          </w:p>
        </w:tc>
        <w:tc>
          <w:tcPr>
            <w:tcW w:w="1988" w:type="dxa"/>
            <w:gridSpan w:val="2"/>
            <w:vAlign w:val="center"/>
          </w:tcPr>
          <w:p w14:paraId="0F0C2128">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建筑物外噪声</w:t>
            </w:r>
          </w:p>
        </w:tc>
      </w:tr>
      <w:tr w14:paraId="2FBAF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668" w:type="dxa"/>
            <w:vMerge w:val="continue"/>
            <w:vAlign w:val="center"/>
          </w:tcPr>
          <w:p w14:paraId="789BA64F">
            <w:pPr>
              <w:spacing w:line="240" w:lineRule="auto"/>
              <w:jc w:val="center"/>
              <w:rPr>
                <w:rFonts w:hint="default" w:ascii="Times New Roman" w:hAnsi="Times New Roman" w:eastAsia="宋体" w:cs="Times New Roman"/>
                <w:color w:val="auto"/>
                <w:sz w:val="21"/>
              </w:rPr>
            </w:pPr>
          </w:p>
        </w:tc>
        <w:tc>
          <w:tcPr>
            <w:tcW w:w="882" w:type="dxa"/>
            <w:vMerge w:val="continue"/>
            <w:vAlign w:val="center"/>
          </w:tcPr>
          <w:p w14:paraId="284F36BD">
            <w:pPr>
              <w:spacing w:line="240" w:lineRule="auto"/>
              <w:jc w:val="center"/>
              <w:rPr>
                <w:rFonts w:hint="default" w:ascii="Times New Roman" w:hAnsi="Times New Roman" w:eastAsia="宋体" w:cs="Times New Roman"/>
                <w:color w:val="auto"/>
                <w:sz w:val="21"/>
              </w:rPr>
            </w:pPr>
          </w:p>
        </w:tc>
        <w:tc>
          <w:tcPr>
            <w:tcW w:w="1748" w:type="dxa"/>
            <w:vMerge w:val="continue"/>
            <w:vAlign w:val="center"/>
          </w:tcPr>
          <w:p w14:paraId="50E1AABA">
            <w:pPr>
              <w:spacing w:line="240" w:lineRule="auto"/>
              <w:jc w:val="center"/>
              <w:rPr>
                <w:rFonts w:hint="default" w:ascii="Times New Roman" w:hAnsi="Times New Roman" w:eastAsia="宋体" w:cs="Times New Roman"/>
                <w:color w:val="auto"/>
                <w:sz w:val="21"/>
              </w:rPr>
            </w:pPr>
          </w:p>
        </w:tc>
        <w:tc>
          <w:tcPr>
            <w:tcW w:w="1173" w:type="dxa"/>
            <w:vMerge w:val="continue"/>
            <w:vAlign w:val="center"/>
          </w:tcPr>
          <w:p w14:paraId="3D5A5816">
            <w:pPr>
              <w:spacing w:line="240" w:lineRule="auto"/>
              <w:jc w:val="center"/>
              <w:rPr>
                <w:rFonts w:hint="default" w:ascii="Times New Roman" w:hAnsi="Times New Roman" w:eastAsia="宋体" w:cs="Times New Roman"/>
                <w:color w:val="auto"/>
                <w:sz w:val="21"/>
              </w:rPr>
            </w:pPr>
          </w:p>
        </w:tc>
        <w:tc>
          <w:tcPr>
            <w:tcW w:w="1042" w:type="dxa"/>
            <w:vMerge w:val="continue"/>
            <w:vAlign w:val="center"/>
          </w:tcPr>
          <w:p w14:paraId="506FECD7">
            <w:pPr>
              <w:spacing w:line="240" w:lineRule="auto"/>
              <w:jc w:val="center"/>
              <w:rPr>
                <w:rFonts w:hint="default" w:ascii="Times New Roman" w:hAnsi="Times New Roman" w:eastAsia="宋体" w:cs="Times New Roman"/>
                <w:color w:val="auto"/>
                <w:sz w:val="21"/>
              </w:rPr>
            </w:pPr>
          </w:p>
        </w:tc>
        <w:tc>
          <w:tcPr>
            <w:tcW w:w="1173" w:type="dxa"/>
            <w:vMerge w:val="continue"/>
            <w:vAlign w:val="center"/>
          </w:tcPr>
          <w:p w14:paraId="5FE4B0DC">
            <w:pPr>
              <w:spacing w:line="240" w:lineRule="auto"/>
              <w:jc w:val="center"/>
              <w:rPr>
                <w:rFonts w:hint="default" w:ascii="Times New Roman" w:hAnsi="Times New Roman" w:eastAsia="宋体" w:cs="Times New Roman"/>
                <w:color w:val="auto"/>
                <w:sz w:val="21"/>
              </w:rPr>
            </w:pPr>
          </w:p>
        </w:tc>
        <w:tc>
          <w:tcPr>
            <w:tcW w:w="915" w:type="dxa"/>
            <w:vMerge w:val="continue"/>
            <w:vAlign w:val="center"/>
          </w:tcPr>
          <w:p w14:paraId="001D5A0B">
            <w:pPr>
              <w:spacing w:line="240" w:lineRule="auto"/>
              <w:jc w:val="center"/>
              <w:rPr>
                <w:rFonts w:hint="default" w:ascii="Times New Roman" w:hAnsi="Times New Roman" w:eastAsia="宋体" w:cs="Times New Roman"/>
                <w:color w:val="auto"/>
                <w:sz w:val="21"/>
              </w:rPr>
            </w:pPr>
          </w:p>
        </w:tc>
        <w:tc>
          <w:tcPr>
            <w:tcW w:w="1021" w:type="dxa"/>
            <w:vMerge w:val="continue"/>
            <w:vAlign w:val="center"/>
          </w:tcPr>
          <w:p w14:paraId="4DB06AB5">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91D0B25">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68E8EC47">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54B4F8FE">
            <w:pPr>
              <w:spacing w:line="240" w:lineRule="auto"/>
              <w:jc w:val="center"/>
              <w:rPr>
                <w:rFonts w:hint="default" w:ascii="Times New Roman" w:hAnsi="Times New Roman" w:eastAsia="宋体" w:cs="Times New Roman"/>
                <w:color w:val="auto"/>
                <w:sz w:val="21"/>
              </w:rPr>
            </w:pPr>
          </w:p>
        </w:tc>
        <w:tc>
          <w:tcPr>
            <w:tcW w:w="1022" w:type="dxa"/>
            <w:vAlign w:val="center"/>
          </w:tcPr>
          <w:p w14:paraId="34C294D7">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声压级</w:t>
            </w:r>
          </w:p>
        </w:tc>
        <w:tc>
          <w:tcPr>
            <w:tcW w:w="966" w:type="dxa"/>
            <w:vAlign w:val="center"/>
          </w:tcPr>
          <w:p w14:paraId="18F754B5">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建筑物外距离</w:t>
            </w:r>
          </w:p>
        </w:tc>
      </w:tr>
      <w:tr w14:paraId="52BFC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22A1FE77">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1</w:t>
            </w:r>
          </w:p>
        </w:tc>
        <w:tc>
          <w:tcPr>
            <w:tcW w:w="882" w:type="dxa"/>
            <w:vMerge w:val="restart"/>
            <w:vAlign w:val="center"/>
          </w:tcPr>
          <w:p w14:paraId="49BFBF6F">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发酵车间</w:t>
            </w:r>
          </w:p>
        </w:tc>
        <w:tc>
          <w:tcPr>
            <w:tcW w:w="1748" w:type="dxa"/>
            <w:vAlign w:val="center"/>
          </w:tcPr>
          <w:p w14:paraId="3C1D222D">
            <w:pPr>
              <w:jc w:val="center"/>
              <w:rPr>
                <w:rFonts w:hint="default" w:ascii="Times New Roman" w:hAnsi="Times New Roman" w:eastAsia="宋体" w:cs="Times New Roman"/>
                <w:color w:val="auto"/>
                <w:sz w:val="21"/>
              </w:rPr>
            </w:pPr>
            <w:r>
              <w:rPr>
                <w:sz w:val="21"/>
                <w:szCs w:val="21"/>
              </w:rPr>
              <w:t>1</w:t>
            </w:r>
            <w:r>
              <w:rPr>
                <w:rFonts w:hAnsi="宋体"/>
                <w:sz w:val="21"/>
                <w:szCs w:val="21"/>
              </w:rPr>
              <w:t>号发酵循环泵</w:t>
            </w:r>
            <w:r>
              <w:rPr>
                <w:sz w:val="21"/>
                <w:szCs w:val="21"/>
              </w:rPr>
              <w:t>A/B</w:t>
            </w:r>
          </w:p>
        </w:tc>
        <w:tc>
          <w:tcPr>
            <w:tcW w:w="1173" w:type="dxa"/>
            <w:vAlign w:val="center"/>
          </w:tcPr>
          <w:p w14:paraId="557ECD6D">
            <w:pPr>
              <w:jc w:val="center"/>
              <w:rPr>
                <w:rFonts w:hint="default" w:ascii="Times New Roman" w:hAnsi="Times New Roman" w:eastAsia="宋体" w:cs="Times New Roman"/>
                <w:color w:val="auto"/>
                <w:sz w:val="21"/>
              </w:rPr>
            </w:pPr>
            <w:r>
              <w:rPr>
                <w:sz w:val="21"/>
                <w:szCs w:val="21"/>
              </w:rPr>
              <w:t>P411AB</w:t>
            </w:r>
          </w:p>
        </w:tc>
        <w:tc>
          <w:tcPr>
            <w:tcW w:w="1042" w:type="dxa"/>
            <w:vAlign w:val="center"/>
          </w:tcPr>
          <w:p w14:paraId="663C550E">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052A9822">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CCA4809">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restart"/>
            <w:vAlign w:val="center"/>
          </w:tcPr>
          <w:p w14:paraId="12B869C1">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声屏障-1(有窗户)：4.90</w:t>
            </w:r>
          </w:p>
          <w:p w14:paraId="6CD25EA6">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声屏障-2：19.50</w:t>
            </w:r>
          </w:p>
          <w:p w14:paraId="559C98C3">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声屏障-3：6.40</w:t>
            </w:r>
          </w:p>
          <w:p w14:paraId="57D9A24E">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声屏障-4：29.50</w:t>
            </w:r>
          </w:p>
        </w:tc>
        <w:tc>
          <w:tcPr>
            <w:tcW w:w="1561" w:type="dxa"/>
            <w:vMerge w:val="restart"/>
            <w:vAlign w:val="center"/>
          </w:tcPr>
          <w:p w14:paraId="6E462BCE">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声屏障-1(有窗户)：116.08</w:t>
            </w:r>
          </w:p>
          <w:p w14:paraId="77DD4A64">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声屏障-2：116.04</w:t>
            </w:r>
          </w:p>
          <w:p w14:paraId="66DB4729">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声屏障-3：116.06</w:t>
            </w:r>
          </w:p>
          <w:p w14:paraId="41A73BDB">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声屏障-4：116.04</w:t>
            </w:r>
          </w:p>
        </w:tc>
        <w:tc>
          <w:tcPr>
            <w:tcW w:w="894" w:type="dxa"/>
            <w:vMerge w:val="restart"/>
            <w:vAlign w:val="center"/>
          </w:tcPr>
          <w:p w14:paraId="17844881">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20</w:t>
            </w:r>
          </w:p>
        </w:tc>
        <w:tc>
          <w:tcPr>
            <w:tcW w:w="989" w:type="dxa"/>
            <w:vMerge w:val="restart"/>
            <w:vAlign w:val="center"/>
          </w:tcPr>
          <w:p w14:paraId="11B465F4">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声屏障-1(有窗户)：16.00</w:t>
            </w:r>
          </w:p>
          <w:p w14:paraId="33DB810D">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声屏障-2：41.00</w:t>
            </w:r>
          </w:p>
          <w:p w14:paraId="34906261">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声屏障-3：41.00</w:t>
            </w:r>
          </w:p>
          <w:p w14:paraId="31E5511D">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声屏障-4：41.00</w:t>
            </w:r>
          </w:p>
        </w:tc>
        <w:tc>
          <w:tcPr>
            <w:tcW w:w="1022" w:type="dxa"/>
            <w:vMerge w:val="restart"/>
            <w:vAlign w:val="center"/>
          </w:tcPr>
          <w:p w14:paraId="01B1AF38">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声屏障-1(有窗户)：100.08</w:t>
            </w:r>
          </w:p>
          <w:p w14:paraId="17120AC0">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声屏障-2：75.04</w:t>
            </w:r>
          </w:p>
          <w:p w14:paraId="47E65EC6">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声屏障-3：75.06</w:t>
            </w:r>
          </w:p>
          <w:p w14:paraId="4C7298FC">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声屏障-4：75.04</w:t>
            </w:r>
          </w:p>
        </w:tc>
        <w:tc>
          <w:tcPr>
            <w:tcW w:w="966" w:type="dxa"/>
            <w:vMerge w:val="restart"/>
            <w:vAlign w:val="center"/>
          </w:tcPr>
          <w:p w14:paraId="10F99C5A">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w:t>
            </w:r>
          </w:p>
          <w:p w14:paraId="42FF3CB0">
            <w:pPr>
              <w:spacing w:line="240" w:lineRule="auto"/>
              <w:jc w:val="center"/>
              <w:rPr>
                <w:rFonts w:hint="eastAsia" w:ascii="Times New Roman" w:hAnsi="Times New Roman" w:eastAsia="宋体" w:cs="Times New Roman"/>
                <w:color w:val="auto"/>
                <w:sz w:val="21"/>
                <w:lang w:val="en-US" w:eastAsia="zh-CN"/>
              </w:rPr>
            </w:pPr>
          </w:p>
        </w:tc>
      </w:tr>
      <w:tr w14:paraId="5840E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78C7D5E2">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2</w:t>
            </w:r>
          </w:p>
        </w:tc>
        <w:tc>
          <w:tcPr>
            <w:tcW w:w="882" w:type="dxa"/>
            <w:vMerge w:val="continue"/>
            <w:vAlign w:val="center"/>
          </w:tcPr>
          <w:p w14:paraId="68727B19">
            <w:pPr>
              <w:spacing w:line="240" w:lineRule="auto"/>
              <w:jc w:val="center"/>
              <w:rPr>
                <w:rFonts w:hint="default" w:ascii="Times New Roman" w:hAnsi="Times New Roman" w:eastAsia="宋体" w:cs="Times New Roman"/>
                <w:color w:val="auto"/>
                <w:sz w:val="21"/>
              </w:rPr>
            </w:pPr>
          </w:p>
        </w:tc>
        <w:tc>
          <w:tcPr>
            <w:tcW w:w="1748" w:type="dxa"/>
            <w:vAlign w:val="center"/>
          </w:tcPr>
          <w:p w14:paraId="6A6CB144">
            <w:pPr>
              <w:jc w:val="center"/>
              <w:rPr>
                <w:rFonts w:hint="default" w:ascii="Times New Roman" w:hAnsi="Times New Roman" w:eastAsia="宋体" w:cs="Times New Roman"/>
                <w:color w:val="auto"/>
                <w:sz w:val="21"/>
              </w:rPr>
            </w:pPr>
            <w:r>
              <w:rPr>
                <w:sz w:val="21"/>
                <w:szCs w:val="21"/>
              </w:rPr>
              <w:t>2</w:t>
            </w:r>
            <w:r>
              <w:rPr>
                <w:rFonts w:hAnsi="宋体"/>
                <w:sz w:val="21"/>
                <w:szCs w:val="21"/>
              </w:rPr>
              <w:t>号发酵循环泵</w:t>
            </w:r>
            <w:r>
              <w:rPr>
                <w:sz w:val="21"/>
                <w:szCs w:val="21"/>
              </w:rPr>
              <w:t>A/B</w:t>
            </w:r>
          </w:p>
        </w:tc>
        <w:tc>
          <w:tcPr>
            <w:tcW w:w="1173" w:type="dxa"/>
            <w:vAlign w:val="center"/>
          </w:tcPr>
          <w:p w14:paraId="7F5C44C6">
            <w:pPr>
              <w:jc w:val="center"/>
              <w:rPr>
                <w:rFonts w:hint="default" w:ascii="Times New Roman" w:hAnsi="Times New Roman" w:eastAsia="宋体" w:cs="Times New Roman"/>
                <w:color w:val="auto"/>
                <w:sz w:val="21"/>
              </w:rPr>
            </w:pPr>
            <w:r>
              <w:rPr>
                <w:sz w:val="21"/>
                <w:szCs w:val="21"/>
              </w:rPr>
              <w:t>P412AB</w:t>
            </w:r>
          </w:p>
        </w:tc>
        <w:tc>
          <w:tcPr>
            <w:tcW w:w="1042" w:type="dxa"/>
            <w:vAlign w:val="center"/>
          </w:tcPr>
          <w:p w14:paraId="6CEE15D9">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0B065BA3">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558247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07FDD4C5">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4FE2CF11">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32D88EEE">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EA19371">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11CE0A65">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5089C933">
            <w:pPr>
              <w:spacing w:line="240" w:lineRule="auto"/>
              <w:jc w:val="center"/>
              <w:rPr>
                <w:rFonts w:hint="eastAsia" w:ascii="Times New Roman" w:hAnsi="Times New Roman" w:eastAsia="宋体" w:cs="Times New Roman"/>
                <w:color w:val="auto"/>
                <w:sz w:val="21"/>
                <w:lang w:val="en-US" w:eastAsia="zh-CN"/>
              </w:rPr>
            </w:pPr>
          </w:p>
        </w:tc>
      </w:tr>
      <w:tr w14:paraId="72A98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4686CDAE">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3</w:t>
            </w:r>
          </w:p>
        </w:tc>
        <w:tc>
          <w:tcPr>
            <w:tcW w:w="882" w:type="dxa"/>
            <w:vMerge w:val="continue"/>
            <w:vAlign w:val="center"/>
          </w:tcPr>
          <w:p w14:paraId="5225AF8D">
            <w:pPr>
              <w:spacing w:line="240" w:lineRule="auto"/>
              <w:jc w:val="center"/>
              <w:rPr>
                <w:rFonts w:hint="default" w:ascii="Times New Roman" w:hAnsi="Times New Roman" w:eastAsia="宋体" w:cs="Times New Roman"/>
                <w:color w:val="auto"/>
                <w:sz w:val="21"/>
              </w:rPr>
            </w:pPr>
          </w:p>
        </w:tc>
        <w:tc>
          <w:tcPr>
            <w:tcW w:w="1748" w:type="dxa"/>
            <w:vAlign w:val="center"/>
          </w:tcPr>
          <w:p w14:paraId="27519E5E">
            <w:pPr>
              <w:jc w:val="center"/>
              <w:rPr>
                <w:rFonts w:hint="default" w:ascii="Times New Roman" w:hAnsi="Times New Roman" w:eastAsia="宋体" w:cs="Times New Roman"/>
                <w:color w:val="auto"/>
                <w:sz w:val="21"/>
              </w:rPr>
            </w:pPr>
            <w:r>
              <w:rPr>
                <w:sz w:val="21"/>
                <w:szCs w:val="21"/>
              </w:rPr>
              <w:t>3</w:t>
            </w:r>
            <w:r>
              <w:rPr>
                <w:rFonts w:hAnsi="宋体"/>
                <w:sz w:val="21"/>
                <w:szCs w:val="21"/>
              </w:rPr>
              <w:t>号发酵循环泵</w:t>
            </w:r>
            <w:r>
              <w:rPr>
                <w:sz w:val="21"/>
                <w:szCs w:val="21"/>
              </w:rPr>
              <w:t>A/B</w:t>
            </w:r>
          </w:p>
        </w:tc>
        <w:tc>
          <w:tcPr>
            <w:tcW w:w="1173" w:type="dxa"/>
            <w:vAlign w:val="center"/>
          </w:tcPr>
          <w:p w14:paraId="31FC620B">
            <w:pPr>
              <w:jc w:val="center"/>
              <w:rPr>
                <w:rFonts w:hint="default" w:ascii="Times New Roman" w:hAnsi="Times New Roman" w:eastAsia="宋体" w:cs="Times New Roman"/>
                <w:color w:val="auto"/>
                <w:sz w:val="21"/>
              </w:rPr>
            </w:pPr>
            <w:r>
              <w:rPr>
                <w:sz w:val="21"/>
                <w:szCs w:val="21"/>
              </w:rPr>
              <w:t>P413AB</w:t>
            </w:r>
          </w:p>
        </w:tc>
        <w:tc>
          <w:tcPr>
            <w:tcW w:w="1042" w:type="dxa"/>
            <w:vAlign w:val="center"/>
          </w:tcPr>
          <w:p w14:paraId="42E8772C">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642B315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BF4615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30FF5F7C">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26D61C95">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A03BAAD">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0416E85D">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37FA51B0">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0D417D44">
            <w:pPr>
              <w:spacing w:line="240" w:lineRule="auto"/>
              <w:jc w:val="center"/>
              <w:rPr>
                <w:rFonts w:hint="eastAsia" w:ascii="Times New Roman" w:hAnsi="Times New Roman" w:eastAsia="宋体" w:cs="Times New Roman"/>
                <w:color w:val="auto"/>
                <w:sz w:val="21"/>
                <w:lang w:val="en-US" w:eastAsia="zh-CN"/>
              </w:rPr>
            </w:pPr>
          </w:p>
        </w:tc>
      </w:tr>
      <w:tr w14:paraId="518A7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6D29756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4</w:t>
            </w:r>
          </w:p>
        </w:tc>
        <w:tc>
          <w:tcPr>
            <w:tcW w:w="882" w:type="dxa"/>
            <w:vMerge w:val="continue"/>
            <w:vAlign w:val="center"/>
          </w:tcPr>
          <w:p w14:paraId="67B690EC">
            <w:pPr>
              <w:spacing w:line="240" w:lineRule="auto"/>
              <w:jc w:val="center"/>
              <w:rPr>
                <w:rFonts w:hint="default" w:ascii="Times New Roman" w:hAnsi="Times New Roman" w:eastAsia="宋体" w:cs="Times New Roman"/>
                <w:color w:val="auto"/>
                <w:sz w:val="21"/>
              </w:rPr>
            </w:pPr>
          </w:p>
        </w:tc>
        <w:tc>
          <w:tcPr>
            <w:tcW w:w="1748" w:type="dxa"/>
            <w:vAlign w:val="center"/>
          </w:tcPr>
          <w:p w14:paraId="0C5002F8">
            <w:pPr>
              <w:jc w:val="center"/>
              <w:rPr>
                <w:rFonts w:hint="default" w:ascii="Times New Roman" w:hAnsi="Times New Roman" w:eastAsia="宋体" w:cs="Times New Roman"/>
                <w:color w:val="auto"/>
                <w:sz w:val="21"/>
              </w:rPr>
            </w:pPr>
            <w:r>
              <w:rPr>
                <w:sz w:val="21"/>
                <w:szCs w:val="21"/>
              </w:rPr>
              <w:t>4</w:t>
            </w:r>
            <w:r>
              <w:rPr>
                <w:rFonts w:hAnsi="宋体"/>
                <w:sz w:val="21"/>
                <w:szCs w:val="21"/>
              </w:rPr>
              <w:t>号发酵循环泵</w:t>
            </w:r>
          </w:p>
        </w:tc>
        <w:tc>
          <w:tcPr>
            <w:tcW w:w="1173" w:type="dxa"/>
            <w:vAlign w:val="center"/>
          </w:tcPr>
          <w:p w14:paraId="7BC8F435">
            <w:pPr>
              <w:jc w:val="center"/>
              <w:rPr>
                <w:rFonts w:hint="default" w:ascii="Times New Roman" w:hAnsi="Times New Roman" w:eastAsia="宋体" w:cs="Times New Roman"/>
                <w:color w:val="auto"/>
                <w:sz w:val="21"/>
              </w:rPr>
            </w:pPr>
            <w:r>
              <w:rPr>
                <w:sz w:val="21"/>
                <w:szCs w:val="21"/>
              </w:rPr>
              <w:t>P414</w:t>
            </w:r>
          </w:p>
        </w:tc>
        <w:tc>
          <w:tcPr>
            <w:tcW w:w="1042" w:type="dxa"/>
            <w:vAlign w:val="center"/>
          </w:tcPr>
          <w:p w14:paraId="3CF41880">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3097141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DF48049">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603C00CE">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BC6FB19">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432BF694">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AC06B16">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44621117">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6199F351">
            <w:pPr>
              <w:spacing w:line="240" w:lineRule="auto"/>
              <w:jc w:val="center"/>
              <w:rPr>
                <w:rFonts w:hint="eastAsia" w:ascii="Times New Roman" w:hAnsi="Times New Roman" w:eastAsia="宋体" w:cs="Times New Roman"/>
                <w:color w:val="auto"/>
                <w:sz w:val="21"/>
                <w:lang w:val="en-US" w:eastAsia="zh-CN"/>
              </w:rPr>
            </w:pPr>
          </w:p>
        </w:tc>
      </w:tr>
      <w:tr w14:paraId="31848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4CA1FC1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5</w:t>
            </w:r>
          </w:p>
        </w:tc>
        <w:tc>
          <w:tcPr>
            <w:tcW w:w="882" w:type="dxa"/>
            <w:vMerge w:val="continue"/>
            <w:vAlign w:val="center"/>
          </w:tcPr>
          <w:p w14:paraId="473825A7">
            <w:pPr>
              <w:spacing w:line="240" w:lineRule="auto"/>
              <w:jc w:val="center"/>
              <w:rPr>
                <w:rFonts w:hint="default" w:ascii="Times New Roman" w:hAnsi="Times New Roman" w:eastAsia="宋体" w:cs="Times New Roman"/>
                <w:color w:val="auto"/>
                <w:sz w:val="21"/>
              </w:rPr>
            </w:pPr>
          </w:p>
        </w:tc>
        <w:tc>
          <w:tcPr>
            <w:tcW w:w="1748" w:type="dxa"/>
            <w:vAlign w:val="center"/>
          </w:tcPr>
          <w:p w14:paraId="279245CB">
            <w:pPr>
              <w:jc w:val="center"/>
              <w:rPr>
                <w:rFonts w:hint="default" w:ascii="Times New Roman" w:hAnsi="Times New Roman" w:eastAsia="宋体" w:cs="Times New Roman"/>
                <w:color w:val="auto"/>
                <w:sz w:val="21"/>
              </w:rPr>
            </w:pPr>
            <w:r>
              <w:rPr>
                <w:sz w:val="21"/>
                <w:szCs w:val="21"/>
              </w:rPr>
              <w:t>5</w:t>
            </w:r>
            <w:r>
              <w:rPr>
                <w:rFonts w:hAnsi="宋体"/>
                <w:sz w:val="21"/>
                <w:szCs w:val="21"/>
              </w:rPr>
              <w:t>号发酵循环泵</w:t>
            </w:r>
          </w:p>
        </w:tc>
        <w:tc>
          <w:tcPr>
            <w:tcW w:w="1173" w:type="dxa"/>
            <w:vAlign w:val="center"/>
          </w:tcPr>
          <w:p w14:paraId="1A6C31B0">
            <w:pPr>
              <w:jc w:val="center"/>
              <w:rPr>
                <w:rFonts w:hint="default" w:ascii="Times New Roman" w:hAnsi="Times New Roman" w:eastAsia="宋体" w:cs="Times New Roman"/>
                <w:color w:val="auto"/>
                <w:sz w:val="21"/>
              </w:rPr>
            </w:pPr>
            <w:r>
              <w:rPr>
                <w:sz w:val="21"/>
                <w:szCs w:val="21"/>
              </w:rPr>
              <w:t>P415</w:t>
            </w:r>
          </w:p>
        </w:tc>
        <w:tc>
          <w:tcPr>
            <w:tcW w:w="1042" w:type="dxa"/>
            <w:vAlign w:val="center"/>
          </w:tcPr>
          <w:p w14:paraId="55C425DC">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541ED63F">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7BF2AF1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9FD00C5">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025C8C2">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3F7602FB">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560A68C5">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63DA54D4">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4CA0BA45">
            <w:pPr>
              <w:spacing w:line="240" w:lineRule="auto"/>
              <w:jc w:val="center"/>
              <w:rPr>
                <w:rFonts w:hint="eastAsia" w:ascii="Times New Roman" w:hAnsi="Times New Roman" w:eastAsia="宋体" w:cs="Times New Roman"/>
                <w:color w:val="auto"/>
                <w:sz w:val="21"/>
                <w:lang w:val="en-US" w:eastAsia="zh-CN"/>
              </w:rPr>
            </w:pPr>
          </w:p>
        </w:tc>
      </w:tr>
      <w:tr w14:paraId="60958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52186FA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6</w:t>
            </w:r>
          </w:p>
        </w:tc>
        <w:tc>
          <w:tcPr>
            <w:tcW w:w="882" w:type="dxa"/>
            <w:vMerge w:val="continue"/>
            <w:vAlign w:val="center"/>
          </w:tcPr>
          <w:p w14:paraId="40C813CE">
            <w:pPr>
              <w:spacing w:line="240" w:lineRule="auto"/>
              <w:jc w:val="center"/>
              <w:rPr>
                <w:rFonts w:hint="default" w:ascii="Times New Roman" w:hAnsi="Times New Roman" w:eastAsia="宋体" w:cs="Times New Roman"/>
                <w:color w:val="auto"/>
                <w:sz w:val="21"/>
              </w:rPr>
            </w:pPr>
          </w:p>
        </w:tc>
        <w:tc>
          <w:tcPr>
            <w:tcW w:w="1748" w:type="dxa"/>
            <w:vAlign w:val="center"/>
          </w:tcPr>
          <w:p w14:paraId="466BB42E">
            <w:pPr>
              <w:jc w:val="center"/>
              <w:rPr>
                <w:rFonts w:hint="default" w:ascii="Times New Roman" w:hAnsi="Times New Roman" w:eastAsia="宋体" w:cs="Times New Roman"/>
                <w:color w:val="auto"/>
                <w:sz w:val="21"/>
              </w:rPr>
            </w:pPr>
            <w:r>
              <w:rPr>
                <w:sz w:val="21"/>
                <w:szCs w:val="21"/>
              </w:rPr>
              <w:t>6</w:t>
            </w:r>
            <w:r>
              <w:rPr>
                <w:rFonts w:hAnsi="宋体"/>
                <w:sz w:val="21"/>
                <w:szCs w:val="21"/>
              </w:rPr>
              <w:t>号发酵循环泵</w:t>
            </w:r>
          </w:p>
        </w:tc>
        <w:tc>
          <w:tcPr>
            <w:tcW w:w="1173" w:type="dxa"/>
            <w:vAlign w:val="center"/>
          </w:tcPr>
          <w:p w14:paraId="3E1313F2">
            <w:pPr>
              <w:jc w:val="center"/>
              <w:rPr>
                <w:rFonts w:hint="default" w:ascii="Times New Roman" w:hAnsi="Times New Roman" w:eastAsia="宋体" w:cs="Times New Roman"/>
                <w:color w:val="auto"/>
                <w:sz w:val="21"/>
              </w:rPr>
            </w:pPr>
            <w:r>
              <w:rPr>
                <w:sz w:val="21"/>
                <w:szCs w:val="21"/>
              </w:rPr>
              <w:t>P416</w:t>
            </w:r>
          </w:p>
        </w:tc>
        <w:tc>
          <w:tcPr>
            <w:tcW w:w="1042" w:type="dxa"/>
            <w:vAlign w:val="center"/>
          </w:tcPr>
          <w:p w14:paraId="5ADB9767">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609EC5C7">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6CA725E3">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6566AFE">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0555DEA">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BAF610E">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581F4FE5">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54184507">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1D6E306C">
            <w:pPr>
              <w:spacing w:line="240" w:lineRule="auto"/>
              <w:jc w:val="center"/>
              <w:rPr>
                <w:rFonts w:hint="eastAsia" w:ascii="Times New Roman" w:hAnsi="Times New Roman" w:eastAsia="宋体" w:cs="Times New Roman"/>
                <w:color w:val="auto"/>
                <w:sz w:val="21"/>
                <w:lang w:val="en-US" w:eastAsia="zh-CN"/>
              </w:rPr>
            </w:pPr>
          </w:p>
        </w:tc>
      </w:tr>
      <w:tr w14:paraId="2B9E9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6783F817">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7</w:t>
            </w:r>
          </w:p>
        </w:tc>
        <w:tc>
          <w:tcPr>
            <w:tcW w:w="882" w:type="dxa"/>
            <w:vMerge w:val="continue"/>
            <w:vAlign w:val="center"/>
          </w:tcPr>
          <w:p w14:paraId="1361B009">
            <w:pPr>
              <w:spacing w:line="240" w:lineRule="auto"/>
              <w:jc w:val="center"/>
              <w:rPr>
                <w:rFonts w:hint="default" w:ascii="Times New Roman" w:hAnsi="Times New Roman" w:eastAsia="宋体" w:cs="Times New Roman"/>
                <w:color w:val="auto"/>
                <w:sz w:val="21"/>
              </w:rPr>
            </w:pPr>
          </w:p>
        </w:tc>
        <w:tc>
          <w:tcPr>
            <w:tcW w:w="1748" w:type="dxa"/>
            <w:vAlign w:val="center"/>
          </w:tcPr>
          <w:p w14:paraId="7F4F2219">
            <w:pPr>
              <w:jc w:val="center"/>
              <w:rPr>
                <w:rFonts w:hint="default" w:ascii="Times New Roman" w:hAnsi="Times New Roman" w:eastAsia="宋体" w:cs="Times New Roman"/>
                <w:color w:val="auto"/>
                <w:sz w:val="21"/>
              </w:rPr>
            </w:pPr>
            <w:r>
              <w:rPr>
                <w:sz w:val="21"/>
                <w:szCs w:val="21"/>
              </w:rPr>
              <w:t>7</w:t>
            </w:r>
            <w:r>
              <w:rPr>
                <w:rFonts w:hAnsi="宋体"/>
                <w:sz w:val="21"/>
                <w:szCs w:val="21"/>
              </w:rPr>
              <w:t>号发酵循环泵</w:t>
            </w:r>
          </w:p>
        </w:tc>
        <w:tc>
          <w:tcPr>
            <w:tcW w:w="1173" w:type="dxa"/>
            <w:vAlign w:val="center"/>
          </w:tcPr>
          <w:p w14:paraId="5443ED89">
            <w:pPr>
              <w:jc w:val="center"/>
              <w:rPr>
                <w:rFonts w:hint="default" w:ascii="Times New Roman" w:hAnsi="Times New Roman" w:eastAsia="宋体" w:cs="Times New Roman"/>
                <w:color w:val="auto"/>
                <w:sz w:val="21"/>
              </w:rPr>
            </w:pPr>
            <w:r>
              <w:rPr>
                <w:sz w:val="21"/>
                <w:szCs w:val="21"/>
              </w:rPr>
              <w:t>P417</w:t>
            </w:r>
          </w:p>
        </w:tc>
        <w:tc>
          <w:tcPr>
            <w:tcW w:w="1042" w:type="dxa"/>
            <w:vAlign w:val="center"/>
          </w:tcPr>
          <w:p w14:paraId="1FED1A64">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3DD2992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1BD844A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2149078F">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62A831B3">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21AEB561">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35DA5C07">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2335077A">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6EE71BAF">
            <w:pPr>
              <w:spacing w:line="240" w:lineRule="auto"/>
              <w:jc w:val="center"/>
              <w:rPr>
                <w:rFonts w:hint="eastAsia" w:ascii="Times New Roman" w:hAnsi="Times New Roman" w:eastAsia="宋体" w:cs="Times New Roman"/>
                <w:color w:val="auto"/>
                <w:sz w:val="21"/>
                <w:lang w:val="en-US" w:eastAsia="zh-CN"/>
              </w:rPr>
            </w:pPr>
          </w:p>
        </w:tc>
      </w:tr>
      <w:tr w14:paraId="44210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4397840A">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8</w:t>
            </w:r>
          </w:p>
        </w:tc>
        <w:tc>
          <w:tcPr>
            <w:tcW w:w="882" w:type="dxa"/>
            <w:vMerge w:val="continue"/>
            <w:vAlign w:val="center"/>
          </w:tcPr>
          <w:p w14:paraId="6F6F4274">
            <w:pPr>
              <w:spacing w:line="240" w:lineRule="auto"/>
              <w:jc w:val="center"/>
              <w:rPr>
                <w:rFonts w:hint="default" w:ascii="Times New Roman" w:hAnsi="Times New Roman" w:eastAsia="宋体" w:cs="Times New Roman"/>
                <w:color w:val="auto"/>
                <w:sz w:val="21"/>
              </w:rPr>
            </w:pPr>
          </w:p>
        </w:tc>
        <w:tc>
          <w:tcPr>
            <w:tcW w:w="1748" w:type="dxa"/>
            <w:vAlign w:val="center"/>
          </w:tcPr>
          <w:p w14:paraId="534B3F37">
            <w:pPr>
              <w:jc w:val="center"/>
              <w:rPr>
                <w:rFonts w:hint="default" w:ascii="Times New Roman" w:hAnsi="Times New Roman" w:eastAsia="宋体" w:cs="Times New Roman"/>
                <w:color w:val="auto"/>
                <w:sz w:val="21"/>
              </w:rPr>
            </w:pPr>
            <w:r>
              <w:rPr>
                <w:sz w:val="21"/>
                <w:szCs w:val="21"/>
              </w:rPr>
              <w:t>8</w:t>
            </w:r>
            <w:r>
              <w:rPr>
                <w:rFonts w:hAnsi="宋体"/>
                <w:sz w:val="21"/>
                <w:szCs w:val="21"/>
              </w:rPr>
              <w:t>号发酵循环泵</w:t>
            </w:r>
          </w:p>
        </w:tc>
        <w:tc>
          <w:tcPr>
            <w:tcW w:w="1173" w:type="dxa"/>
            <w:vAlign w:val="center"/>
          </w:tcPr>
          <w:p w14:paraId="5F0DCAB9">
            <w:pPr>
              <w:jc w:val="center"/>
              <w:rPr>
                <w:rFonts w:hint="default" w:ascii="Times New Roman" w:hAnsi="Times New Roman" w:eastAsia="宋体" w:cs="Times New Roman"/>
                <w:color w:val="auto"/>
                <w:sz w:val="21"/>
              </w:rPr>
            </w:pPr>
            <w:r>
              <w:rPr>
                <w:sz w:val="21"/>
                <w:szCs w:val="21"/>
              </w:rPr>
              <w:t>P418</w:t>
            </w:r>
          </w:p>
        </w:tc>
        <w:tc>
          <w:tcPr>
            <w:tcW w:w="1042" w:type="dxa"/>
            <w:vAlign w:val="center"/>
          </w:tcPr>
          <w:p w14:paraId="56BCB1C6">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438E3CF3">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5C02E09">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175B854A">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04AC82FC">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ED51A9E">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40D3A2AF">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58FE90EF">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71A33E64">
            <w:pPr>
              <w:spacing w:line="240" w:lineRule="auto"/>
              <w:jc w:val="center"/>
              <w:rPr>
                <w:rFonts w:hint="eastAsia" w:ascii="Times New Roman" w:hAnsi="Times New Roman" w:eastAsia="宋体" w:cs="Times New Roman"/>
                <w:color w:val="auto"/>
                <w:sz w:val="21"/>
                <w:lang w:val="en-US" w:eastAsia="zh-CN"/>
              </w:rPr>
            </w:pPr>
          </w:p>
        </w:tc>
      </w:tr>
      <w:tr w14:paraId="0BDAE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249B232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9</w:t>
            </w:r>
          </w:p>
        </w:tc>
        <w:tc>
          <w:tcPr>
            <w:tcW w:w="882" w:type="dxa"/>
            <w:vMerge w:val="continue"/>
            <w:vAlign w:val="center"/>
          </w:tcPr>
          <w:p w14:paraId="4C0764F4">
            <w:pPr>
              <w:spacing w:line="240" w:lineRule="auto"/>
              <w:jc w:val="center"/>
              <w:rPr>
                <w:rFonts w:hint="default" w:ascii="Times New Roman" w:hAnsi="Times New Roman" w:eastAsia="宋体" w:cs="Times New Roman"/>
                <w:color w:val="auto"/>
                <w:sz w:val="21"/>
              </w:rPr>
            </w:pPr>
          </w:p>
        </w:tc>
        <w:tc>
          <w:tcPr>
            <w:tcW w:w="1748" w:type="dxa"/>
            <w:vAlign w:val="center"/>
          </w:tcPr>
          <w:p w14:paraId="5A12E28A">
            <w:pPr>
              <w:jc w:val="center"/>
              <w:rPr>
                <w:rFonts w:hint="default" w:ascii="Times New Roman" w:hAnsi="Times New Roman" w:eastAsia="宋体" w:cs="Times New Roman"/>
                <w:color w:val="auto"/>
                <w:sz w:val="21"/>
              </w:rPr>
            </w:pPr>
            <w:r>
              <w:rPr>
                <w:rFonts w:hAnsi="宋体"/>
                <w:sz w:val="21"/>
                <w:szCs w:val="21"/>
              </w:rPr>
              <w:t>成熟醪泵</w:t>
            </w:r>
            <w:r>
              <w:rPr>
                <w:sz w:val="21"/>
                <w:szCs w:val="21"/>
              </w:rPr>
              <w:t>A/B</w:t>
            </w:r>
          </w:p>
        </w:tc>
        <w:tc>
          <w:tcPr>
            <w:tcW w:w="1173" w:type="dxa"/>
            <w:vAlign w:val="center"/>
          </w:tcPr>
          <w:p w14:paraId="473CCAFC">
            <w:pPr>
              <w:jc w:val="center"/>
              <w:rPr>
                <w:rFonts w:hint="default" w:ascii="Times New Roman" w:hAnsi="Times New Roman" w:eastAsia="宋体" w:cs="Times New Roman"/>
                <w:color w:val="auto"/>
                <w:sz w:val="21"/>
              </w:rPr>
            </w:pPr>
            <w:r>
              <w:rPr>
                <w:sz w:val="21"/>
                <w:szCs w:val="21"/>
              </w:rPr>
              <w:t>P410A/B</w:t>
            </w:r>
          </w:p>
        </w:tc>
        <w:tc>
          <w:tcPr>
            <w:tcW w:w="1042" w:type="dxa"/>
            <w:vAlign w:val="center"/>
          </w:tcPr>
          <w:p w14:paraId="3F9B3127">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18107F65">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2519CBC">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10A19597">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679F2847">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7DAF0D29">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42463C25">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07272AA1">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71714E9E">
            <w:pPr>
              <w:spacing w:line="240" w:lineRule="auto"/>
              <w:jc w:val="center"/>
              <w:rPr>
                <w:rFonts w:hint="eastAsia" w:ascii="Times New Roman" w:hAnsi="Times New Roman" w:eastAsia="宋体" w:cs="Times New Roman"/>
                <w:color w:val="auto"/>
                <w:sz w:val="21"/>
                <w:lang w:val="en-US" w:eastAsia="zh-CN"/>
              </w:rPr>
            </w:pPr>
          </w:p>
        </w:tc>
      </w:tr>
      <w:tr w14:paraId="47F7C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56A8BB01">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10</w:t>
            </w:r>
          </w:p>
        </w:tc>
        <w:tc>
          <w:tcPr>
            <w:tcW w:w="882" w:type="dxa"/>
            <w:vMerge w:val="restart"/>
            <w:vAlign w:val="center"/>
          </w:tcPr>
          <w:p w14:paraId="6F58E7D8">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蒸馏车间</w:t>
            </w:r>
          </w:p>
        </w:tc>
        <w:tc>
          <w:tcPr>
            <w:tcW w:w="1748" w:type="dxa"/>
            <w:vAlign w:val="center"/>
          </w:tcPr>
          <w:p w14:paraId="0D580247">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水洗塔回流泵</w:t>
            </w:r>
          </w:p>
        </w:tc>
        <w:tc>
          <w:tcPr>
            <w:tcW w:w="1173" w:type="dxa"/>
            <w:vAlign w:val="center"/>
          </w:tcPr>
          <w:p w14:paraId="6B712A60">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P565A/B</w:t>
            </w:r>
          </w:p>
        </w:tc>
        <w:tc>
          <w:tcPr>
            <w:tcW w:w="1042" w:type="dxa"/>
            <w:vAlign w:val="center"/>
          </w:tcPr>
          <w:p w14:paraId="69B74A03">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615260C4">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B309D43">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DDCA045">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3F62EC75">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24C591E3">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DEFD99D">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2F28D49A">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6F0786D3">
            <w:pPr>
              <w:spacing w:line="240" w:lineRule="auto"/>
              <w:jc w:val="center"/>
              <w:rPr>
                <w:rFonts w:hint="eastAsia" w:ascii="Times New Roman" w:hAnsi="Times New Roman" w:eastAsia="宋体" w:cs="Times New Roman"/>
                <w:color w:val="auto"/>
                <w:sz w:val="21"/>
                <w:lang w:val="en-US" w:eastAsia="zh-CN"/>
              </w:rPr>
            </w:pPr>
          </w:p>
        </w:tc>
      </w:tr>
      <w:tr w14:paraId="11599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0C16D807">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11</w:t>
            </w:r>
          </w:p>
        </w:tc>
        <w:tc>
          <w:tcPr>
            <w:tcW w:w="882" w:type="dxa"/>
            <w:vMerge w:val="continue"/>
            <w:vAlign w:val="center"/>
          </w:tcPr>
          <w:p w14:paraId="7591F9C8">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3711B5F7">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甲醇塔回流泵</w:t>
            </w:r>
          </w:p>
        </w:tc>
        <w:tc>
          <w:tcPr>
            <w:tcW w:w="1173" w:type="dxa"/>
            <w:vAlign w:val="center"/>
          </w:tcPr>
          <w:p w14:paraId="6A64F3DB">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P555A/B</w:t>
            </w:r>
          </w:p>
        </w:tc>
        <w:tc>
          <w:tcPr>
            <w:tcW w:w="1042" w:type="dxa"/>
            <w:vAlign w:val="center"/>
          </w:tcPr>
          <w:p w14:paraId="196D23A2">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2881569A">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56D60B54">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79CB977C">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2B4A9EA3">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624541B0">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BFCAA98">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043E0B5F">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56854E7">
            <w:pPr>
              <w:spacing w:line="240" w:lineRule="auto"/>
              <w:jc w:val="center"/>
              <w:rPr>
                <w:rFonts w:hint="eastAsia" w:ascii="Times New Roman" w:hAnsi="Times New Roman" w:eastAsia="宋体" w:cs="Times New Roman"/>
                <w:color w:val="auto"/>
                <w:sz w:val="21"/>
                <w:lang w:val="en-US" w:eastAsia="zh-CN"/>
              </w:rPr>
            </w:pPr>
          </w:p>
        </w:tc>
      </w:tr>
      <w:tr w14:paraId="0E924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1AB63A69">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12</w:t>
            </w:r>
          </w:p>
        </w:tc>
        <w:tc>
          <w:tcPr>
            <w:tcW w:w="882" w:type="dxa"/>
            <w:vMerge w:val="continue"/>
            <w:vAlign w:val="center"/>
          </w:tcPr>
          <w:p w14:paraId="40DB888E">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319E0A0D">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水洗塔淡酒泵</w:t>
            </w:r>
          </w:p>
        </w:tc>
        <w:tc>
          <w:tcPr>
            <w:tcW w:w="1173" w:type="dxa"/>
            <w:vAlign w:val="center"/>
          </w:tcPr>
          <w:p w14:paraId="40C23726">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P560A/B</w:t>
            </w:r>
          </w:p>
        </w:tc>
        <w:tc>
          <w:tcPr>
            <w:tcW w:w="1042" w:type="dxa"/>
            <w:vAlign w:val="center"/>
          </w:tcPr>
          <w:p w14:paraId="2E4C18D9">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156C4197">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6C962FDB">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017A5C00">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75673A3D">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3A3C1952">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480139E8">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44BA7563">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2C6315C9">
            <w:pPr>
              <w:spacing w:line="240" w:lineRule="auto"/>
              <w:jc w:val="center"/>
              <w:rPr>
                <w:rFonts w:hint="eastAsia" w:ascii="Times New Roman" w:hAnsi="Times New Roman" w:eastAsia="宋体" w:cs="Times New Roman"/>
                <w:color w:val="auto"/>
                <w:sz w:val="21"/>
                <w:lang w:val="en-US" w:eastAsia="zh-CN"/>
              </w:rPr>
            </w:pPr>
          </w:p>
        </w:tc>
      </w:tr>
      <w:tr w14:paraId="30A59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131981E5">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13</w:t>
            </w:r>
          </w:p>
        </w:tc>
        <w:tc>
          <w:tcPr>
            <w:tcW w:w="882" w:type="dxa"/>
            <w:vMerge w:val="continue"/>
            <w:vAlign w:val="center"/>
          </w:tcPr>
          <w:p w14:paraId="57D3E93E">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4987B8B5">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水洗塔淡酒泵</w:t>
            </w:r>
          </w:p>
        </w:tc>
        <w:tc>
          <w:tcPr>
            <w:tcW w:w="1173" w:type="dxa"/>
            <w:vAlign w:val="center"/>
          </w:tcPr>
          <w:p w14:paraId="0B652A7C">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P560C</w:t>
            </w:r>
          </w:p>
        </w:tc>
        <w:tc>
          <w:tcPr>
            <w:tcW w:w="1042" w:type="dxa"/>
            <w:vAlign w:val="center"/>
          </w:tcPr>
          <w:p w14:paraId="6621E518">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018E650F">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001CB25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3F6E825">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86C89A8">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5CD884D6">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29DE4094">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2C244CFD">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4A698FC4">
            <w:pPr>
              <w:spacing w:line="240" w:lineRule="auto"/>
              <w:jc w:val="center"/>
              <w:rPr>
                <w:rFonts w:hint="eastAsia" w:ascii="Times New Roman" w:hAnsi="Times New Roman" w:eastAsia="宋体" w:cs="Times New Roman"/>
                <w:color w:val="auto"/>
                <w:sz w:val="21"/>
                <w:lang w:val="en-US" w:eastAsia="zh-CN"/>
              </w:rPr>
            </w:pPr>
          </w:p>
        </w:tc>
      </w:tr>
      <w:tr w14:paraId="2EA1C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23D45406">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14</w:t>
            </w:r>
          </w:p>
        </w:tc>
        <w:tc>
          <w:tcPr>
            <w:tcW w:w="882" w:type="dxa"/>
            <w:vMerge w:val="continue"/>
            <w:vAlign w:val="center"/>
          </w:tcPr>
          <w:p w14:paraId="3F3FBE91">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5A510637">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甲醇塔循环泵</w:t>
            </w:r>
          </w:p>
        </w:tc>
        <w:tc>
          <w:tcPr>
            <w:tcW w:w="1173" w:type="dxa"/>
            <w:vAlign w:val="center"/>
          </w:tcPr>
          <w:p w14:paraId="0B4D2D2C">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P552A/B/C</w:t>
            </w:r>
          </w:p>
        </w:tc>
        <w:tc>
          <w:tcPr>
            <w:tcW w:w="1042" w:type="dxa"/>
            <w:vAlign w:val="center"/>
          </w:tcPr>
          <w:p w14:paraId="239D5330">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503501E9">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547B883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37C27387">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67A8E8B5">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463A3F5">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2A034422">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79EE5B7D">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22C1F644">
            <w:pPr>
              <w:spacing w:line="240" w:lineRule="auto"/>
              <w:jc w:val="center"/>
              <w:rPr>
                <w:rFonts w:hint="eastAsia" w:ascii="Times New Roman" w:hAnsi="Times New Roman" w:eastAsia="宋体" w:cs="Times New Roman"/>
                <w:color w:val="auto"/>
                <w:sz w:val="21"/>
                <w:lang w:val="en-US" w:eastAsia="zh-CN"/>
              </w:rPr>
            </w:pPr>
          </w:p>
        </w:tc>
      </w:tr>
      <w:tr w14:paraId="00DC4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3299377B">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15</w:t>
            </w:r>
          </w:p>
        </w:tc>
        <w:tc>
          <w:tcPr>
            <w:tcW w:w="882" w:type="dxa"/>
            <w:vMerge w:val="continue"/>
            <w:vAlign w:val="center"/>
          </w:tcPr>
          <w:p w14:paraId="65654CF2">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0EAD105E">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成品泵</w:t>
            </w:r>
          </w:p>
        </w:tc>
        <w:tc>
          <w:tcPr>
            <w:tcW w:w="1173" w:type="dxa"/>
            <w:vAlign w:val="center"/>
          </w:tcPr>
          <w:p w14:paraId="7E2A0CA2">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P5551 A/B</w:t>
            </w:r>
          </w:p>
        </w:tc>
        <w:tc>
          <w:tcPr>
            <w:tcW w:w="1042" w:type="dxa"/>
            <w:vAlign w:val="center"/>
          </w:tcPr>
          <w:p w14:paraId="2502F3D6">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77695B53">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7C8E08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CBEA33D">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3DCBBA4">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663BCC88">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03255168">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5A583960">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6C52345D">
            <w:pPr>
              <w:spacing w:line="240" w:lineRule="auto"/>
              <w:jc w:val="center"/>
              <w:rPr>
                <w:rFonts w:hint="eastAsia" w:ascii="Times New Roman" w:hAnsi="Times New Roman" w:eastAsia="宋体" w:cs="Times New Roman"/>
                <w:color w:val="auto"/>
                <w:sz w:val="21"/>
                <w:lang w:val="en-US" w:eastAsia="zh-CN"/>
              </w:rPr>
            </w:pPr>
          </w:p>
        </w:tc>
      </w:tr>
      <w:tr w14:paraId="65264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4E4BDF7E">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16</w:t>
            </w:r>
          </w:p>
        </w:tc>
        <w:tc>
          <w:tcPr>
            <w:tcW w:w="882" w:type="dxa"/>
            <w:vMerge w:val="continue"/>
            <w:vAlign w:val="center"/>
          </w:tcPr>
          <w:p w14:paraId="2321DC27">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2EEACAEE">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水洗塔循环泵A</w:t>
            </w:r>
          </w:p>
        </w:tc>
        <w:tc>
          <w:tcPr>
            <w:tcW w:w="1173" w:type="dxa"/>
            <w:vAlign w:val="center"/>
          </w:tcPr>
          <w:p w14:paraId="72098B6C">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P562A</w:t>
            </w:r>
          </w:p>
        </w:tc>
        <w:tc>
          <w:tcPr>
            <w:tcW w:w="1042" w:type="dxa"/>
            <w:vAlign w:val="center"/>
          </w:tcPr>
          <w:p w14:paraId="51AB1697">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7739B95E">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1B34A17">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1609020">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36D56D9A">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E3FC70F">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0BCC559B">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0BE83134">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04B35CD">
            <w:pPr>
              <w:spacing w:line="240" w:lineRule="auto"/>
              <w:jc w:val="center"/>
              <w:rPr>
                <w:rFonts w:hint="eastAsia" w:ascii="Times New Roman" w:hAnsi="Times New Roman" w:eastAsia="宋体" w:cs="Times New Roman"/>
                <w:color w:val="auto"/>
                <w:sz w:val="21"/>
                <w:lang w:val="en-US" w:eastAsia="zh-CN"/>
              </w:rPr>
            </w:pPr>
          </w:p>
        </w:tc>
      </w:tr>
      <w:tr w14:paraId="5FB53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54AA9A4E">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17</w:t>
            </w:r>
          </w:p>
        </w:tc>
        <w:tc>
          <w:tcPr>
            <w:tcW w:w="882" w:type="dxa"/>
            <w:vMerge w:val="continue"/>
            <w:vAlign w:val="center"/>
          </w:tcPr>
          <w:p w14:paraId="27A07969">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13FB4015">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水洗塔循环泵B</w:t>
            </w:r>
          </w:p>
        </w:tc>
        <w:tc>
          <w:tcPr>
            <w:tcW w:w="1173" w:type="dxa"/>
            <w:vAlign w:val="center"/>
          </w:tcPr>
          <w:p w14:paraId="76D608C4">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P562B</w:t>
            </w:r>
          </w:p>
        </w:tc>
        <w:tc>
          <w:tcPr>
            <w:tcW w:w="1042" w:type="dxa"/>
            <w:vAlign w:val="center"/>
          </w:tcPr>
          <w:p w14:paraId="74A1D5E7">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79703EE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0C2DD218">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4B6FC976">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76937D55">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6BFEEA5">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216A3C18">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3EADFD12">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01BA645C">
            <w:pPr>
              <w:spacing w:line="240" w:lineRule="auto"/>
              <w:jc w:val="center"/>
              <w:rPr>
                <w:rFonts w:hint="eastAsia" w:ascii="Times New Roman" w:hAnsi="Times New Roman" w:eastAsia="宋体" w:cs="Times New Roman"/>
                <w:color w:val="auto"/>
                <w:sz w:val="21"/>
                <w:lang w:val="en-US" w:eastAsia="zh-CN"/>
              </w:rPr>
            </w:pPr>
          </w:p>
        </w:tc>
      </w:tr>
      <w:tr w14:paraId="48ED9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70521BAB">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18</w:t>
            </w:r>
          </w:p>
        </w:tc>
        <w:tc>
          <w:tcPr>
            <w:tcW w:w="882" w:type="dxa"/>
            <w:vMerge w:val="continue"/>
            <w:vAlign w:val="center"/>
          </w:tcPr>
          <w:p w14:paraId="36D6DC27">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71F06563">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工业酒精泵</w:t>
            </w:r>
          </w:p>
        </w:tc>
        <w:tc>
          <w:tcPr>
            <w:tcW w:w="1173" w:type="dxa"/>
            <w:vAlign w:val="center"/>
          </w:tcPr>
          <w:p w14:paraId="580126D3">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P522</w:t>
            </w:r>
          </w:p>
        </w:tc>
        <w:tc>
          <w:tcPr>
            <w:tcW w:w="1042" w:type="dxa"/>
            <w:vAlign w:val="center"/>
          </w:tcPr>
          <w:p w14:paraId="060B316A">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23726AE4">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386953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4C46EF9">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7DA9FD28">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7E33545">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05DD564">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4C8B556E">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77220628">
            <w:pPr>
              <w:spacing w:line="240" w:lineRule="auto"/>
              <w:jc w:val="center"/>
              <w:rPr>
                <w:rFonts w:hint="eastAsia" w:ascii="Times New Roman" w:hAnsi="Times New Roman" w:eastAsia="宋体" w:cs="Times New Roman"/>
                <w:color w:val="auto"/>
                <w:sz w:val="21"/>
                <w:lang w:val="en-US" w:eastAsia="zh-CN"/>
              </w:rPr>
            </w:pPr>
          </w:p>
        </w:tc>
      </w:tr>
      <w:tr w14:paraId="00FA4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30AC1B8A">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19</w:t>
            </w:r>
          </w:p>
        </w:tc>
        <w:tc>
          <w:tcPr>
            <w:tcW w:w="882" w:type="dxa"/>
            <w:vMerge w:val="continue"/>
            <w:vAlign w:val="center"/>
          </w:tcPr>
          <w:p w14:paraId="305C7901">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0451BF18">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精塔A废水泵</w:t>
            </w:r>
          </w:p>
        </w:tc>
        <w:tc>
          <w:tcPr>
            <w:tcW w:w="1173" w:type="dxa"/>
            <w:vAlign w:val="center"/>
          </w:tcPr>
          <w:p w14:paraId="62C0754A">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P514A/B</w:t>
            </w:r>
          </w:p>
        </w:tc>
        <w:tc>
          <w:tcPr>
            <w:tcW w:w="1042" w:type="dxa"/>
            <w:vAlign w:val="center"/>
          </w:tcPr>
          <w:p w14:paraId="04035665">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60626ED5">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7B0D0F5E">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08775D09">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3EF31DA1">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67E38C45">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57FCBC4">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3B81F7CA">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814CBCA">
            <w:pPr>
              <w:spacing w:line="240" w:lineRule="auto"/>
              <w:jc w:val="center"/>
              <w:rPr>
                <w:rFonts w:hint="eastAsia" w:ascii="Times New Roman" w:hAnsi="Times New Roman" w:eastAsia="宋体" w:cs="Times New Roman"/>
                <w:color w:val="auto"/>
                <w:sz w:val="21"/>
                <w:lang w:val="en-US" w:eastAsia="zh-CN"/>
              </w:rPr>
            </w:pPr>
          </w:p>
        </w:tc>
      </w:tr>
      <w:tr w14:paraId="1E2CE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6B3A9E4B">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20</w:t>
            </w:r>
          </w:p>
        </w:tc>
        <w:tc>
          <w:tcPr>
            <w:tcW w:w="882" w:type="dxa"/>
            <w:vMerge w:val="continue"/>
            <w:vAlign w:val="center"/>
          </w:tcPr>
          <w:p w14:paraId="04A50319">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3EB5D08A">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精塔B废水泵</w:t>
            </w:r>
          </w:p>
        </w:tc>
        <w:tc>
          <w:tcPr>
            <w:tcW w:w="1173" w:type="dxa"/>
            <w:vAlign w:val="center"/>
          </w:tcPr>
          <w:p w14:paraId="4F16FFE2">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P511A/B</w:t>
            </w:r>
          </w:p>
        </w:tc>
        <w:tc>
          <w:tcPr>
            <w:tcW w:w="1042" w:type="dxa"/>
            <w:vAlign w:val="center"/>
          </w:tcPr>
          <w:p w14:paraId="2865F404">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6532E26B">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751B434C">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0756BE5E">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0224ED8D">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245F2666">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5F846A9">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122A31CB">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0CAC7639">
            <w:pPr>
              <w:spacing w:line="240" w:lineRule="auto"/>
              <w:jc w:val="center"/>
              <w:rPr>
                <w:rFonts w:hint="eastAsia" w:ascii="Times New Roman" w:hAnsi="Times New Roman" w:eastAsia="宋体" w:cs="Times New Roman"/>
                <w:color w:val="auto"/>
                <w:sz w:val="21"/>
                <w:lang w:val="en-US" w:eastAsia="zh-CN"/>
              </w:rPr>
            </w:pPr>
          </w:p>
        </w:tc>
      </w:tr>
      <w:tr w14:paraId="3714B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658A29C8">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21</w:t>
            </w:r>
          </w:p>
        </w:tc>
        <w:tc>
          <w:tcPr>
            <w:tcW w:w="882" w:type="dxa"/>
            <w:vMerge w:val="continue"/>
            <w:vAlign w:val="center"/>
          </w:tcPr>
          <w:p w14:paraId="1602BCCD">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53767606">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无水原料泵</w:t>
            </w:r>
          </w:p>
        </w:tc>
        <w:tc>
          <w:tcPr>
            <w:tcW w:w="1173" w:type="dxa"/>
            <w:vAlign w:val="center"/>
          </w:tcPr>
          <w:p w14:paraId="29B06421">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P604A/B</w:t>
            </w:r>
          </w:p>
        </w:tc>
        <w:tc>
          <w:tcPr>
            <w:tcW w:w="1042" w:type="dxa"/>
            <w:vAlign w:val="center"/>
          </w:tcPr>
          <w:p w14:paraId="5446F41E">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226510C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51E78B47">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17F735FF">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248EAB70">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A61A6A5">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16193C0">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64C21D26">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5F8CD38E">
            <w:pPr>
              <w:spacing w:line="240" w:lineRule="auto"/>
              <w:jc w:val="center"/>
              <w:rPr>
                <w:rFonts w:hint="eastAsia" w:ascii="Times New Roman" w:hAnsi="Times New Roman" w:eastAsia="宋体" w:cs="Times New Roman"/>
                <w:color w:val="auto"/>
                <w:sz w:val="21"/>
                <w:lang w:val="en-US" w:eastAsia="zh-CN"/>
              </w:rPr>
            </w:pPr>
          </w:p>
        </w:tc>
      </w:tr>
      <w:tr w14:paraId="186F0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75E34B4B">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22</w:t>
            </w:r>
          </w:p>
        </w:tc>
        <w:tc>
          <w:tcPr>
            <w:tcW w:w="882" w:type="dxa"/>
            <w:vMerge w:val="restart"/>
            <w:vAlign w:val="center"/>
          </w:tcPr>
          <w:p w14:paraId="032AC569">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污水处理站房</w:t>
            </w:r>
          </w:p>
        </w:tc>
        <w:tc>
          <w:tcPr>
            <w:tcW w:w="1748" w:type="dxa"/>
            <w:vAlign w:val="center"/>
          </w:tcPr>
          <w:p w14:paraId="6E1E30BC">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提升水泵</w:t>
            </w:r>
          </w:p>
        </w:tc>
        <w:tc>
          <w:tcPr>
            <w:tcW w:w="1173" w:type="dxa"/>
            <w:vAlign w:val="center"/>
          </w:tcPr>
          <w:p w14:paraId="418627D7">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D1000-313</w:t>
            </w:r>
          </w:p>
        </w:tc>
        <w:tc>
          <w:tcPr>
            <w:tcW w:w="1042" w:type="dxa"/>
            <w:vAlign w:val="center"/>
          </w:tcPr>
          <w:p w14:paraId="5E19C047">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4642A546">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6C013209">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中间</w:t>
            </w:r>
          </w:p>
        </w:tc>
        <w:tc>
          <w:tcPr>
            <w:tcW w:w="1021" w:type="dxa"/>
            <w:vMerge w:val="restart"/>
            <w:vAlign w:val="center"/>
          </w:tcPr>
          <w:p w14:paraId="0C854BD5">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声屏障-1(有窗户)：4.90</w:t>
            </w:r>
          </w:p>
          <w:p w14:paraId="639A5137">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声屏障-2：19.50</w:t>
            </w:r>
          </w:p>
          <w:p w14:paraId="28714F94">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声屏障-3：6.40</w:t>
            </w:r>
          </w:p>
          <w:p w14:paraId="2C6C1ED2">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声屏障-4：29.50</w:t>
            </w:r>
          </w:p>
        </w:tc>
        <w:tc>
          <w:tcPr>
            <w:tcW w:w="1561" w:type="dxa"/>
            <w:vMerge w:val="restart"/>
            <w:vAlign w:val="center"/>
          </w:tcPr>
          <w:p w14:paraId="716EB26B">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声屏障-1(有窗户)：116.08</w:t>
            </w:r>
          </w:p>
          <w:p w14:paraId="743613C9">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声屏障-2：116.04</w:t>
            </w:r>
          </w:p>
          <w:p w14:paraId="6DAB1080">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声屏障-3：116.06</w:t>
            </w:r>
          </w:p>
          <w:p w14:paraId="28D4FE47">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声屏障-4：116.04</w:t>
            </w:r>
          </w:p>
        </w:tc>
        <w:tc>
          <w:tcPr>
            <w:tcW w:w="894" w:type="dxa"/>
            <w:vMerge w:val="restart"/>
            <w:vAlign w:val="center"/>
          </w:tcPr>
          <w:p w14:paraId="44FB38B6">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20</w:t>
            </w:r>
          </w:p>
        </w:tc>
        <w:tc>
          <w:tcPr>
            <w:tcW w:w="989" w:type="dxa"/>
            <w:vMerge w:val="restart"/>
            <w:vAlign w:val="center"/>
          </w:tcPr>
          <w:p w14:paraId="7414661E">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声屏障-1(有窗户)：16.00</w:t>
            </w:r>
          </w:p>
          <w:p w14:paraId="53B1D803">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声屏障-2：41.00</w:t>
            </w:r>
          </w:p>
          <w:p w14:paraId="168891EF">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声屏障-3：41.00</w:t>
            </w:r>
          </w:p>
          <w:p w14:paraId="2849198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声屏障-4：41.00</w:t>
            </w:r>
          </w:p>
        </w:tc>
        <w:tc>
          <w:tcPr>
            <w:tcW w:w="1022" w:type="dxa"/>
            <w:vMerge w:val="restart"/>
            <w:vAlign w:val="center"/>
          </w:tcPr>
          <w:p w14:paraId="1C27FB80">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声屏障-1(有窗户)：100.08</w:t>
            </w:r>
          </w:p>
          <w:p w14:paraId="7443D460">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声屏障-2：75.04</w:t>
            </w:r>
          </w:p>
          <w:p w14:paraId="60A4AC4B">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声屏障-3：75.06</w:t>
            </w:r>
          </w:p>
          <w:p w14:paraId="51A67DC9">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声屏障-4：75.04</w:t>
            </w:r>
          </w:p>
        </w:tc>
        <w:tc>
          <w:tcPr>
            <w:tcW w:w="966" w:type="dxa"/>
            <w:vMerge w:val="restart"/>
            <w:vAlign w:val="center"/>
          </w:tcPr>
          <w:p w14:paraId="24D46F8B">
            <w:pPr>
              <w:spacing w:line="36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p w14:paraId="3022FFCA">
            <w:pPr>
              <w:spacing w:line="360" w:lineRule="auto"/>
              <w:jc w:val="center"/>
              <w:rPr>
                <w:rFonts w:hint="default" w:ascii="Times New Roman" w:hAnsi="Times New Roman" w:eastAsia="宋体" w:cs="Times New Roman"/>
                <w:color w:val="auto"/>
                <w:sz w:val="21"/>
                <w:lang w:val="en-US" w:eastAsia="zh-CN"/>
              </w:rPr>
            </w:pPr>
          </w:p>
        </w:tc>
      </w:tr>
      <w:tr w14:paraId="75D1F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29ADECBC">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23</w:t>
            </w:r>
          </w:p>
        </w:tc>
        <w:tc>
          <w:tcPr>
            <w:tcW w:w="882" w:type="dxa"/>
            <w:vMerge w:val="continue"/>
            <w:vAlign w:val="center"/>
          </w:tcPr>
          <w:p w14:paraId="70FA4591">
            <w:pPr>
              <w:spacing w:line="240" w:lineRule="auto"/>
              <w:jc w:val="center"/>
              <w:rPr>
                <w:rFonts w:hint="default" w:ascii="Times New Roman" w:hAnsi="Times New Roman" w:eastAsia="宋体" w:cs="Times New Roman"/>
                <w:color w:val="auto"/>
                <w:sz w:val="21"/>
              </w:rPr>
            </w:pPr>
          </w:p>
        </w:tc>
        <w:tc>
          <w:tcPr>
            <w:tcW w:w="1748" w:type="dxa"/>
            <w:vAlign w:val="center"/>
          </w:tcPr>
          <w:p w14:paraId="68377A6B">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回流泵</w:t>
            </w:r>
          </w:p>
        </w:tc>
        <w:tc>
          <w:tcPr>
            <w:tcW w:w="1173" w:type="dxa"/>
            <w:vAlign w:val="center"/>
          </w:tcPr>
          <w:p w14:paraId="7DE698E7">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F351</w:t>
            </w:r>
          </w:p>
        </w:tc>
        <w:tc>
          <w:tcPr>
            <w:tcW w:w="1042" w:type="dxa"/>
            <w:vAlign w:val="center"/>
          </w:tcPr>
          <w:p w14:paraId="5F9553BF">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6A26C1DB">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0916A7D4">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3A42DF2">
            <w:pPr>
              <w:spacing w:line="240" w:lineRule="auto"/>
              <w:jc w:val="center"/>
              <w:rPr>
                <w:rFonts w:hint="default" w:ascii="Times New Roman" w:hAnsi="Times New Roman" w:eastAsia="宋体" w:cs="Times New Roman"/>
                <w:color w:val="auto"/>
                <w:sz w:val="21"/>
                <w:lang w:val="en-US" w:eastAsia="zh-CN"/>
              </w:rPr>
            </w:pPr>
          </w:p>
        </w:tc>
        <w:tc>
          <w:tcPr>
            <w:tcW w:w="1561" w:type="dxa"/>
            <w:vMerge w:val="continue"/>
            <w:vAlign w:val="center"/>
          </w:tcPr>
          <w:p w14:paraId="66925539">
            <w:pPr>
              <w:spacing w:line="240" w:lineRule="auto"/>
              <w:jc w:val="center"/>
              <w:rPr>
                <w:rFonts w:hint="default" w:ascii="Times New Roman" w:hAnsi="Times New Roman" w:eastAsia="宋体" w:cs="Times New Roman"/>
                <w:color w:val="auto"/>
                <w:sz w:val="21"/>
                <w:lang w:val="en-US" w:eastAsia="zh-CN"/>
              </w:rPr>
            </w:pPr>
          </w:p>
        </w:tc>
        <w:tc>
          <w:tcPr>
            <w:tcW w:w="894" w:type="dxa"/>
            <w:vMerge w:val="continue"/>
            <w:vAlign w:val="center"/>
          </w:tcPr>
          <w:p w14:paraId="44C8220E">
            <w:pPr>
              <w:spacing w:line="240" w:lineRule="auto"/>
              <w:jc w:val="center"/>
              <w:rPr>
                <w:rFonts w:hint="default" w:ascii="Times New Roman" w:hAnsi="Times New Roman" w:eastAsia="宋体" w:cs="Times New Roman"/>
                <w:color w:val="auto"/>
                <w:sz w:val="21"/>
                <w:lang w:val="en-US" w:eastAsia="zh-CN"/>
              </w:rPr>
            </w:pPr>
          </w:p>
        </w:tc>
        <w:tc>
          <w:tcPr>
            <w:tcW w:w="989" w:type="dxa"/>
            <w:vMerge w:val="continue"/>
            <w:vAlign w:val="center"/>
          </w:tcPr>
          <w:p w14:paraId="5AA68E50">
            <w:pPr>
              <w:spacing w:line="240" w:lineRule="auto"/>
              <w:jc w:val="center"/>
              <w:rPr>
                <w:rFonts w:hint="default" w:ascii="Times New Roman" w:hAnsi="Times New Roman" w:eastAsia="宋体" w:cs="Times New Roman"/>
                <w:color w:val="auto"/>
                <w:sz w:val="21"/>
                <w:lang w:val="en-US" w:eastAsia="zh-CN"/>
              </w:rPr>
            </w:pPr>
          </w:p>
        </w:tc>
        <w:tc>
          <w:tcPr>
            <w:tcW w:w="1022" w:type="dxa"/>
            <w:vMerge w:val="continue"/>
            <w:vAlign w:val="center"/>
          </w:tcPr>
          <w:p w14:paraId="7B11AF54">
            <w:pPr>
              <w:spacing w:line="240" w:lineRule="auto"/>
              <w:jc w:val="center"/>
              <w:rPr>
                <w:rFonts w:hint="default" w:ascii="Times New Roman" w:hAnsi="Times New Roman" w:eastAsia="宋体" w:cs="Times New Roman"/>
                <w:color w:val="auto"/>
                <w:sz w:val="21"/>
                <w:lang w:val="en-US" w:eastAsia="zh-CN"/>
              </w:rPr>
            </w:pPr>
          </w:p>
        </w:tc>
        <w:tc>
          <w:tcPr>
            <w:tcW w:w="966" w:type="dxa"/>
            <w:vMerge w:val="continue"/>
            <w:vAlign w:val="center"/>
          </w:tcPr>
          <w:p w14:paraId="6B1B42E8">
            <w:pPr>
              <w:spacing w:line="240" w:lineRule="auto"/>
              <w:jc w:val="center"/>
              <w:rPr>
                <w:rFonts w:hint="default" w:ascii="Times New Roman" w:hAnsi="Times New Roman" w:eastAsia="宋体" w:cs="Times New Roman"/>
                <w:color w:val="auto"/>
                <w:sz w:val="21"/>
                <w:lang w:val="en-US" w:eastAsia="zh-CN"/>
              </w:rPr>
            </w:pPr>
          </w:p>
        </w:tc>
      </w:tr>
      <w:tr w14:paraId="653AA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68" w:type="dxa"/>
            <w:vAlign w:val="center"/>
          </w:tcPr>
          <w:p w14:paraId="2849BE6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24</w:t>
            </w:r>
          </w:p>
        </w:tc>
        <w:tc>
          <w:tcPr>
            <w:tcW w:w="882" w:type="dxa"/>
            <w:vMerge w:val="continue"/>
            <w:vAlign w:val="center"/>
          </w:tcPr>
          <w:p w14:paraId="73320DC8">
            <w:pPr>
              <w:spacing w:line="240" w:lineRule="auto"/>
              <w:jc w:val="center"/>
              <w:rPr>
                <w:rFonts w:hint="default" w:ascii="Times New Roman" w:hAnsi="Times New Roman" w:eastAsia="宋体" w:cs="Times New Roman"/>
                <w:color w:val="auto"/>
                <w:sz w:val="21"/>
              </w:rPr>
            </w:pPr>
          </w:p>
        </w:tc>
        <w:tc>
          <w:tcPr>
            <w:tcW w:w="1748" w:type="dxa"/>
            <w:vAlign w:val="center"/>
          </w:tcPr>
          <w:p w14:paraId="534B6FC2">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鼓风机</w:t>
            </w:r>
          </w:p>
        </w:tc>
        <w:tc>
          <w:tcPr>
            <w:tcW w:w="1173" w:type="dxa"/>
            <w:vAlign w:val="center"/>
          </w:tcPr>
          <w:p w14:paraId="5B6A46D0">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DK1000</w:t>
            </w:r>
          </w:p>
        </w:tc>
        <w:tc>
          <w:tcPr>
            <w:tcW w:w="1042" w:type="dxa"/>
            <w:vAlign w:val="center"/>
          </w:tcPr>
          <w:p w14:paraId="386AC176">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163A422C">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3AB3BB22">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372C1E65">
            <w:pPr>
              <w:spacing w:line="240" w:lineRule="auto"/>
              <w:jc w:val="center"/>
              <w:rPr>
                <w:rFonts w:hint="default" w:ascii="Times New Roman" w:hAnsi="Times New Roman" w:eastAsia="宋体" w:cs="Times New Roman"/>
                <w:color w:val="auto"/>
                <w:sz w:val="21"/>
                <w:lang w:val="en-US" w:eastAsia="zh-CN"/>
              </w:rPr>
            </w:pPr>
          </w:p>
        </w:tc>
        <w:tc>
          <w:tcPr>
            <w:tcW w:w="1561" w:type="dxa"/>
            <w:vMerge w:val="continue"/>
            <w:vAlign w:val="center"/>
          </w:tcPr>
          <w:p w14:paraId="7E6C803A">
            <w:pPr>
              <w:spacing w:line="240" w:lineRule="auto"/>
              <w:jc w:val="center"/>
              <w:rPr>
                <w:rFonts w:hint="default" w:ascii="Times New Roman" w:hAnsi="Times New Roman" w:eastAsia="宋体" w:cs="Times New Roman"/>
                <w:color w:val="auto"/>
                <w:sz w:val="21"/>
                <w:lang w:val="en-US" w:eastAsia="zh-CN"/>
              </w:rPr>
            </w:pPr>
          </w:p>
        </w:tc>
        <w:tc>
          <w:tcPr>
            <w:tcW w:w="894" w:type="dxa"/>
            <w:vMerge w:val="continue"/>
            <w:vAlign w:val="center"/>
          </w:tcPr>
          <w:p w14:paraId="0F6153C2">
            <w:pPr>
              <w:spacing w:line="240" w:lineRule="auto"/>
              <w:jc w:val="center"/>
              <w:rPr>
                <w:rFonts w:hint="default" w:ascii="Times New Roman" w:hAnsi="Times New Roman" w:eastAsia="宋体" w:cs="Times New Roman"/>
                <w:color w:val="auto"/>
                <w:sz w:val="21"/>
                <w:lang w:val="en-US" w:eastAsia="zh-CN"/>
              </w:rPr>
            </w:pPr>
          </w:p>
        </w:tc>
        <w:tc>
          <w:tcPr>
            <w:tcW w:w="989" w:type="dxa"/>
            <w:vMerge w:val="continue"/>
            <w:vAlign w:val="center"/>
          </w:tcPr>
          <w:p w14:paraId="282B24F1">
            <w:pPr>
              <w:spacing w:line="240" w:lineRule="auto"/>
              <w:jc w:val="center"/>
              <w:rPr>
                <w:rFonts w:hint="default" w:ascii="Times New Roman" w:hAnsi="Times New Roman" w:eastAsia="宋体" w:cs="Times New Roman"/>
                <w:color w:val="auto"/>
                <w:sz w:val="21"/>
                <w:lang w:val="en-US" w:eastAsia="zh-CN"/>
              </w:rPr>
            </w:pPr>
          </w:p>
        </w:tc>
        <w:tc>
          <w:tcPr>
            <w:tcW w:w="1022" w:type="dxa"/>
            <w:vMerge w:val="continue"/>
            <w:vAlign w:val="center"/>
          </w:tcPr>
          <w:p w14:paraId="58775C5C">
            <w:pPr>
              <w:spacing w:line="240" w:lineRule="auto"/>
              <w:jc w:val="center"/>
              <w:rPr>
                <w:rFonts w:hint="default" w:ascii="Times New Roman" w:hAnsi="Times New Roman" w:eastAsia="宋体" w:cs="Times New Roman"/>
                <w:color w:val="auto"/>
                <w:sz w:val="21"/>
                <w:lang w:val="en-US" w:eastAsia="zh-CN"/>
              </w:rPr>
            </w:pPr>
          </w:p>
        </w:tc>
        <w:tc>
          <w:tcPr>
            <w:tcW w:w="966" w:type="dxa"/>
            <w:vMerge w:val="continue"/>
            <w:vAlign w:val="center"/>
          </w:tcPr>
          <w:p w14:paraId="297C4A64">
            <w:pPr>
              <w:spacing w:line="240" w:lineRule="auto"/>
              <w:jc w:val="center"/>
              <w:rPr>
                <w:rFonts w:hint="default" w:ascii="Times New Roman" w:hAnsi="Times New Roman" w:eastAsia="宋体" w:cs="Times New Roman"/>
                <w:color w:val="auto"/>
                <w:sz w:val="21"/>
                <w:lang w:val="en-US" w:eastAsia="zh-CN"/>
              </w:rPr>
            </w:pPr>
          </w:p>
        </w:tc>
      </w:tr>
    </w:tbl>
    <w:p w14:paraId="7E10A79F">
      <w:pPr>
        <w:pStyle w:val="42"/>
        <w:sectPr>
          <w:pgSz w:w="16838" w:h="11906" w:orient="landscape"/>
          <w:pgMar w:top="1803" w:right="1440" w:bottom="1803" w:left="1440" w:header="851" w:footer="992" w:gutter="0"/>
          <w:pgBorders>
            <w:top w:val="none" w:sz="0" w:space="0"/>
            <w:left w:val="none" w:sz="0" w:space="0"/>
            <w:bottom w:val="none" w:sz="0" w:space="0"/>
            <w:right w:val="none" w:sz="0" w:space="0"/>
          </w:pgBorders>
          <w:cols w:space="0" w:num="1"/>
          <w:rtlGutter w:val="0"/>
          <w:docGrid w:linePitch="312" w:charSpace="0"/>
        </w:sectPr>
      </w:pPr>
    </w:p>
    <w:p w14:paraId="66785F52">
      <w:pPr>
        <w:pStyle w:val="5"/>
      </w:pPr>
      <w:r>
        <w:t xml:space="preserve">3.4.2.4 固体废物 </w:t>
      </w:r>
    </w:p>
    <w:p w14:paraId="2DB53557">
      <w:pPr>
        <w:spacing w:line="360" w:lineRule="auto"/>
        <w:ind w:firstLine="480" w:firstLineChars="200"/>
        <w:jc w:val="left"/>
      </w:pPr>
      <w:r>
        <w:rPr>
          <w:rFonts w:hint="eastAsia"/>
          <w:lang w:eastAsia="zh-CN" w:bidi="ar"/>
        </w:rPr>
        <w:t>本项目</w:t>
      </w:r>
      <w:r>
        <w:rPr>
          <w:lang w:bidi="ar"/>
        </w:rPr>
        <w:t>运行期间产生的固体废物为</w:t>
      </w:r>
      <w:r>
        <w:rPr>
          <w:rFonts w:ascii="Times New Roman" w:hAnsi="Times New Roman" w:eastAsia="宋体" w:cs="Times New Roman"/>
          <w:snapToGrid w:val="0"/>
          <w:color w:val="auto"/>
          <w:sz w:val="24"/>
          <w:szCs w:val="24"/>
          <w:lang w:val="en-US" w:eastAsia="zh-CN" w:bidi="ar-SA"/>
        </w:rPr>
        <w:t>污水处理站污泥</w:t>
      </w:r>
      <w:r>
        <w:rPr>
          <w:rFonts w:hint="eastAsia" w:cs="Times New Roman"/>
          <w:snapToGrid w:val="0"/>
          <w:color w:val="auto"/>
          <w:sz w:val="24"/>
          <w:szCs w:val="24"/>
          <w:lang w:val="en-US" w:eastAsia="zh-CN" w:bidi="ar-SA"/>
        </w:rPr>
        <w:t>、</w:t>
      </w:r>
      <w:r>
        <w:rPr>
          <w:rFonts w:hint="eastAsia" w:ascii="Times New Roman" w:hAnsi="Times New Roman" w:eastAsia="宋体" w:cs="Times New Roman"/>
          <w:snapToGrid w:val="0"/>
          <w:color w:val="auto"/>
          <w:sz w:val="24"/>
          <w:szCs w:val="24"/>
          <w:lang w:val="en-US" w:eastAsia="zh-CN" w:bidi="ar-SA"/>
        </w:rPr>
        <w:t>污水处理站恶臭吸附过程中产生的废活性炭</w:t>
      </w:r>
      <w:r>
        <w:rPr>
          <w:rFonts w:ascii="Times New Roman" w:hAnsi="Times New Roman" w:eastAsia="宋体" w:cs="Times New Roman"/>
          <w:snapToGrid w:val="0"/>
          <w:color w:val="auto"/>
          <w:sz w:val="24"/>
          <w:szCs w:val="24"/>
          <w:lang w:val="en-US" w:eastAsia="zh-CN" w:bidi="ar-SA"/>
        </w:rPr>
        <w:t>。</w:t>
      </w:r>
      <w:r>
        <w:rPr>
          <w:lang w:bidi="ar"/>
        </w:rPr>
        <w:t xml:space="preserve"> </w:t>
      </w:r>
    </w:p>
    <w:p w14:paraId="4A4BEF8E">
      <w:pPr>
        <w:spacing w:line="360" w:lineRule="auto"/>
        <w:ind w:firstLine="480" w:firstLineChars="200"/>
        <w:jc w:val="left"/>
        <w:rPr>
          <w:rFonts w:hint="eastAsia" w:ascii="Times New Roman" w:hAnsi="Times New Roman" w:cs="Times New Roman"/>
          <w:lang w:bidi="ar"/>
        </w:rPr>
      </w:pPr>
      <w:r>
        <w:rPr>
          <w:rFonts w:hint="eastAsia" w:ascii="Times New Roman" w:hAnsi="Times New Roman" w:cs="Times New Roman"/>
          <w:lang w:bidi="ar"/>
        </w:rPr>
        <w:t>1、</w:t>
      </w:r>
      <w:r>
        <w:rPr>
          <w:rFonts w:hint="eastAsia" w:ascii="Times New Roman" w:hAnsi="Times New Roman" w:cs="Times New Roman"/>
          <w:lang w:val="en-US" w:eastAsia="zh-CN" w:bidi="ar"/>
        </w:rPr>
        <w:t>污水处理站污泥</w:t>
      </w:r>
      <w:r>
        <w:rPr>
          <w:rFonts w:hint="eastAsia" w:ascii="Times New Roman" w:hAnsi="Times New Roman" w:cs="Times New Roman"/>
          <w:lang w:bidi="ar"/>
        </w:rPr>
        <w:t xml:space="preserve"> </w:t>
      </w:r>
    </w:p>
    <w:p w14:paraId="243312D1">
      <w:pPr>
        <w:spacing w:line="360" w:lineRule="auto"/>
        <w:ind w:firstLine="480" w:firstLineChars="200"/>
        <w:jc w:val="left"/>
        <w:rPr>
          <w:rFonts w:hint="eastAsia" w:ascii="Times New Roman" w:hAnsi="Times New Roman" w:cs="Times New Roman"/>
          <w:lang w:bidi="ar"/>
        </w:rPr>
      </w:pPr>
      <w:r>
        <w:rPr>
          <w:rFonts w:hint="eastAsia" w:cs="Times New Roman"/>
          <w:lang w:val="en-US" w:eastAsia="zh-CN" w:bidi="ar"/>
        </w:rPr>
        <w:t>扩建</w:t>
      </w:r>
      <w:r>
        <w:rPr>
          <w:rFonts w:hint="eastAsia" w:ascii="Times New Roman" w:hAnsi="Times New Roman" w:cs="Times New Roman"/>
          <w:lang w:bidi="ar"/>
        </w:rPr>
        <w:t>采用</w:t>
      </w:r>
      <w:r>
        <w:rPr>
          <w:rFonts w:hint="eastAsia" w:cs="Times New Roman"/>
          <w:lang w:val="en-US" w:eastAsia="zh-CN" w:bidi="ar"/>
        </w:rPr>
        <w:t>SPIC厌氧+生物接触氧化+连续活性砂滤工艺；在调节池、</w:t>
      </w:r>
      <w:r>
        <w:rPr>
          <w:rFonts w:hint="eastAsia" w:ascii="Times New Roman" w:hAnsi="Times New Roman" w:cs="Times New Roman"/>
          <w:lang w:bidi="ar"/>
        </w:rPr>
        <w:t>二沉池会有污泥产生</w:t>
      </w:r>
      <w:bookmarkStart w:id="230" w:name="OLE_LINK1"/>
      <w:bookmarkStart w:id="231" w:name="OLE_LINK2"/>
      <w:r>
        <w:rPr>
          <w:rFonts w:hint="eastAsia" w:ascii="Times New Roman" w:hAnsi="Times New Roman" w:cs="Times New Roman"/>
          <w:lang w:bidi="ar"/>
        </w:rPr>
        <w:t>。</w:t>
      </w:r>
      <w:bookmarkEnd w:id="230"/>
      <w:bookmarkEnd w:id="231"/>
      <w:r>
        <w:rPr>
          <w:rFonts w:hint="eastAsia" w:ascii="Times New Roman" w:hAnsi="Times New Roman" w:cs="Times New Roman"/>
          <w:lang w:bidi="ar"/>
        </w:rPr>
        <w:t>根据《给排水设计手册》，污泥产生量计算公式如下：</w:t>
      </w:r>
    </w:p>
    <w:p w14:paraId="0E8EDA25">
      <w:pPr>
        <w:spacing w:line="360" w:lineRule="auto"/>
        <w:ind w:firstLine="480" w:firstLineChars="200"/>
        <w:jc w:val="left"/>
        <w:rPr>
          <w:rFonts w:hint="eastAsia" w:ascii="Times New Roman" w:hAnsi="Times New Roman" w:cs="Times New Roman"/>
          <w:lang w:bidi="ar"/>
        </w:rPr>
      </w:pPr>
      <m:oMathPara>
        <m:oMath>
          <m:r>
            <m:rPr>
              <m:sty m:val="p"/>
            </m:rPr>
            <w:rPr>
              <w:rFonts w:hint="default" w:ascii="Cambria Math" w:hAnsi="Cambria Math" w:cs="Times New Roman"/>
              <w:lang w:bidi="ar"/>
            </w:rPr>
            <m:t>∆=YQ</m:t>
          </m:r>
          <m:sSub>
            <m:sSubPr>
              <m:ctrlPr>
                <w:rPr>
                  <w:rFonts w:hint="default" w:ascii="Cambria Math" w:hAnsi="Cambria Math" w:cs="Times New Roman"/>
                  <w:lang w:bidi="ar"/>
                </w:rPr>
              </m:ctrlPr>
            </m:sSubPr>
            <m:e>
              <m:r>
                <m:rPr>
                  <m:sty m:val="p"/>
                </m:rPr>
                <w:rPr>
                  <w:rFonts w:hint="default" w:ascii="Cambria Math" w:hAnsi="Cambria Math" w:cs="Times New Roman"/>
                  <w:lang w:bidi="ar"/>
                </w:rPr>
                <m:t>L</m:t>
              </m:r>
              <m:ctrlPr>
                <w:rPr>
                  <w:rFonts w:hint="default" w:ascii="Cambria Math" w:hAnsi="Cambria Math" w:cs="Times New Roman"/>
                  <w:lang w:bidi="ar"/>
                </w:rPr>
              </m:ctrlPr>
            </m:e>
            <m:sub>
              <m:r>
                <m:rPr>
                  <m:sty m:val="p"/>
                </m:rPr>
                <w:rPr>
                  <w:rFonts w:hint="default" w:ascii="Cambria Math" w:hAnsi="Cambria Math" w:cs="Times New Roman"/>
                  <w:lang w:bidi="ar"/>
                </w:rPr>
                <m:t>r</m:t>
              </m:r>
              <m:ctrlPr>
                <w:rPr>
                  <w:rFonts w:hint="default" w:ascii="Cambria Math" w:hAnsi="Cambria Math" w:cs="Times New Roman"/>
                  <w:lang w:bidi="ar"/>
                </w:rPr>
              </m:ctrlPr>
            </m:sub>
          </m:sSub>
          <m:r>
            <m:rPr>
              <m:sty m:val="p"/>
            </m:rPr>
            <w:rPr>
              <w:rFonts w:hint="default" w:ascii="Cambria Math" w:hAnsi="Cambria Math" w:cs="Times New Roman"/>
              <w:lang w:bidi="ar"/>
            </w:rPr>
            <m:t>−</m:t>
          </m:r>
          <m:sSub>
            <m:sSubPr>
              <m:ctrlPr>
                <w:rPr>
                  <w:rFonts w:hint="default" w:ascii="Cambria Math" w:hAnsi="Cambria Math" w:cs="Times New Roman"/>
                  <w:lang w:bidi="ar"/>
                </w:rPr>
              </m:ctrlPr>
            </m:sSubPr>
            <m:e>
              <m:r>
                <m:rPr>
                  <m:sty m:val="p"/>
                </m:rPr>
                <w:rPr>
                  <w:rFonts w:hint="default" w:ascii="Cambria Math" w:hAnsi="Cambria Math" w:cs="Times New Roman"/>
                  <w:lang w:bidi="ar"/>
                </w:rPr>
                <m:t>K</m:t>
              </m:r>
              <m:ctrlPr>
                <w:rPr>
                  <w:rFonts w:hint="default" w:ascii="Cambria Math" w:hAnsi="Cambria Math" w:cs="Times New Roman"/>
                  <w:lang w:bidi="ar"/>
                </w:rPr>
              </m:ctrlPr>
            </m:e>
            <m:sub>
              <m:r>
                <m:rPr>
                  <m:sty m:val="p"/>
                </m:rPr>
                <w:rPr>
                  <w:rFonts w:hint="default" w:ascii="Cambria Math" w:hAnsi="Cambria Math" w:cs="Times New Roman"/>
                  <w:lang w:bidi="ar"/>
                </w:rPr>
                <m:t>d</m:t>
              </m:r>
              <m:ctrlPr>
                <w:rPr>
                  <w:rFonts w:hint="default" w:ascii="Cambria Math" w:hAnsi="Cambria Math" w:cs="Times New Roman"/>
                  <w:lang w:bidi="ar"/>
                </w:rPr>
              </m:ctrlPr>
            </m:sub>
          </m:sSub>
          <m:r>
            <m:rPr>
              <m:sty m:val="p"/>
            </m:rPr>
            <w:rPr>
              <w:rFonts w:hint="default" w:ascii="Cambria Math" w:hAnsi="Cambria Math" w:cs="Times New Roman"/>
              <w:lang w:bidi="ar"/>
            </w:rPr>
            <m:t>V</m:t>
          </m:r>
          <m:sSub>
            <m:sSubPr>
              <m:ctrlPr>
                <w:rPr>
                  <w:rFonts w:hint="default" w:ascii="Cambria Math" w:hAnsi="Cambria Math" w:cs="Times New Roman"/>
                  <w:lang w:bidi="ar"/>
                </w:rPr>
              </m:ctrlPr>
            </m:sSubPr>
            <m:e>
              <m:r>
                <m:rPr>
                  <m:sty m:val="p"/>
                </m:rPr>
                <w:rPr>
                  <w:rFonts w:hint="default" w:ascii="Cambria Math" w:hAnsi="Cambria Math" w:cs="Times New Roman"/>
                  <w:lang w:bidi="ar"/>
                </w:rPr>
                <m:t>N</m:t>
              </m:r>
              <m:ctrlPr>
                <w:rPr>
                  <w:rFonts w:hint="default" w:ascii="Cambria Math" w:hAnsi="Cambria Math" w:cs="Times New Roman"/>
                  <w:lang w:bidi="ar"/>
                </w:rPr>
              </m:ctrlPr>
            </m:e>
            <m:sub>
              <m:r>
                <m:rPr>
                  <m:sty m:val="p"/>
                </m:rPr>
                <w:rPr>
                  <w:rFonts w:hint="default" w:ascii="Cambria Math" w:hAnsi="Cambria Math" w:cs="Times New Roman"/>
                  <w:lang w:bidi="ar"/>
                </w:rPr>
                <m:t>wv</m:t>
              </m:r>
              <m:ctrlPr>
                <w:rPr>
                  <w:rFonts w:hint="default" w:ascii="Cambria Math" w:hAnsi="Cambria Math" w:cs="Times New Roman"/>
                  <w:lang w:bidi="ar"/>
                </w:rPr>
              </m:ctrlPr>
            </m:sub>
          </m:sSub>
        </m:oMath>
      </m:oMathPara>
    </w:p>
    <w:p w14:paraId="2B03AA2B">
      <w:pPr>
        <w:spacing w:line="360" w:lineRule="auto"/>
        <w:ind w:firstLine="480" w:firstLineChars="200"/>
        <w:jc w:val="left"/>
        <w:rPr>
          <w:rFonts w:hint="eastAsia" w:ascii="Times New Roman" w:hAnsi="Times New Roman" w:cs="Times New Roman"/>
          <w:lang w:bidi="ar"/>
        </w:rPr>
      </w:pPr>
      <w:r>
        <w:rPr>
          <w:rFonts w:hint="eastAsia" w:ascii="Times New Roman" w:hAnsi="Times New Roman" w:cs="Times New Roman"/>
          <w:lang w:bidi="ar"/>
        </w:rPr>
        <w:t>式中：</w:t>
      </w:r>
      <m:oMath>
        <m:r>
          <m:rPr>
            <m:sty m:val="p"/>
          </m:rPr>
          <w:rPr>
            <w:rFonts w:hint="default" w:ascii="Cambria Math" w:hAnsi="Cambria Math" w:cs="Times New Roman"/>
            <w:lang w:bidi="ar"/>
          </w:rPr>
          <m:t>∆</m:t>
        </m:r>
      </m:oMath>
      <w:r>
        <w:rPr>
          <w:rFonts w:hint="eastAsia" w:ascii="Times New Roman" w:hAnsi="Times New Roman" w:cs="Times New Roman"/>
          <w:lang w:bidi="ar"/>
        </w:rPr>
        <w:t>—系统每日产泥量，kg/d；</w:t>
      </w:r>
    </w:p>
    <w:p w14:paraId="10561903">
      <w:pPr>
        <w:spacing w:line="360" w:lineRule="auto"/>
        <w:ind w:firstLine="480" w:firstLineChars="200"/>
        <w:jc w:val="left"/>
        <w:rPr>
          <w:rFonts w:hint="eastAsia" w:ascii="Times New Roman" w:hAnsi="Times New Roman" w:cs="Times New Roman"/>
          <w:lang w:bidi="ar"/>
        </w:rPr>
      </w:pPr>
      <m:oMath>
        <m:r>
          <m:rPr>
            <m:sty m:val="p"/>
          </m:rPr>
          <w:rPr>
            <w:rFonts w:hint="default" w:ascii="Cambria Math" w:hAnsi="Cambria Math" w:cs="Times New Roman"/>
            <w:lang w:bidi="ar"/>
          </w:rPr>
          <m:t>Y</m:t>
        </m:r>
      </m:oMath>
      <w:r>
        <w:rPr>
          <w:rFonts w:hint="eastAsia" w:ascii="Times New Roman" w:hAnsi="Times New Roman" w:cs="Times New Roman"/>
          <w:lang w:bidi="ar"/>
        </w:rPr>
        <w:t>—污泥产泥系数，kgVSS/（kgBOD</w:t>
      </w:r>
      <w:r>
        <w:rPr>
          <w:rFonts w:hint="eastAsia" w:ascii="Times New Roman" w:hAnsi="Times New Roman" w:cs="Times New Roman"/>
          <w:vertAlign w:val="subscript"/>
          <w:lang w:bidi="ar"/>
        </w:rPr>
        <w:t>5</w:t>
      </w:r>
      <w:r>
        <w:rPr>
          <w:rFonts w:hint="eastAsia" w:ascii="Times New Roman" w:hAnsi="Times New Roman" w:cs="Times New Roman"/>
          <w:lang w:bidi="ar"/>
        </w:rPr>
        <w:t>·d），20℃时为0.4～0.8，本次评价取0.7；</w:t>
      </w:r>
    </w:p>
    <w:p w14:paraId="4DB50498">
      <w:pPr>
        <w:spacing w:line="360" w:lineRule="auto"/>
        <w:ind w:firstLine="480" w:firstLineChars="200"/>
        <w:jc w:val="left"/>
        <w:rPr>
          <w:rFonts w:hint="eastAsia" w:ascii="Times New Roman" w:hAnsi="Times New Roman" w:cs="Times New Roman"/>
          <w:lang w:bidi="ar"/>
        </w:rPr>
      </w:pPr>
      <m:oMath>
        <m:r>
          <m:rPr>
            <m:sty m:val="p"/>
          </m:rPr>
          <w:rPr>
            <w:rFonts w:hint="default" w:ascii="Cambria Math" w:hAnsi="Cambria Math" w:cs="Times New Roman"/>
            <w:lang w:bidi="ar"/>
          </w:rPr>
          <m:t>Q</m:t>
        </m:r>
      </m:oMath>
      <w:r>
        <w:rPr>
          <w:rFonts w:hint="eastAsia" w:ascii="Times New Roman" w:hAnsi="Times New Roman" w:cs="Times New Roman"/>
          <w:lang w:bidi="ar"/>
        </w:rPr>
        <w:t>—进水设计流量，m3/d，设计进水流量为</w:t>
      </w:r>
      <w:r>
        <w:rPr>
          <w:rFonts w:hint="eastAsia" w:cs="Times New Roman"/>
          <w:lang w:val="en-US" w:eastAsia="zh-CN" w:bidi="ar"/>
        </w:rPr>
        <w:t>6</w:t>
      </w:r>
      <w:r>
        <w:rPr>
          <w:rFonts w:hint="eastAsia" w:ascii="Times New Roman" w:hAnsi="Times New Roman" w:cs="Times New Roman"/>
          <w:lang w:bidi="ar"/>
        </w:rPr>
        <w:t>000m</w:t>
      </w:r>
      <w:r>
        <w:rPr>
          <w:rFonts w:hint="eastAsia" w:ascii="Times New Roman" w:hAnsi="Times New Roman" w:cs="Times New Roman"/>
          <w:vertAlign w:val="superscript"/>
          <w:lang w:bidi="ar"/>
        </w:rPr>
        <w:t>3</w:t>
      </w:r>
      <w:r>
        <w:rPr>
          <w:rFonts w:hint="eastAsia" w:ascii="Times New Roman" w:hAnsi="Times New Roman" w:cs="Times New Roman"/>
          <w:lang w:bidi="ar"/>
        </w:rPr>
        <w:t>/d；</w:t>
      </w:r>
    </w:p>
    <w:p w14:paraId="00C9B733">
      <w:pPr>
        <w:spacing w:line="360" w:lineRule="auto"/>
        <w:ind w:firstLine="480" w:firstLineChars="200"/>
        <w:jc w:val="left"/>
        <w:rPr>
          <w:rFonts w:hint="eastAsia" w:ascii="Times New Roman" w:hAnsi="Times New Roman" w:cs="Times New Roman"/>
          <w:lang w:bidi="ar"/>
        </w:rPr>
      </w:pPr>
      <m:oMath>
        <m:sSub>
          <m:sSubPr>
            <m:ctrlPr>
              <w:rPr>
                <w:rFonts w:hint="default" w:ascii="Cambria Math" w:hAnsi="Cambria Math" w:cs="Times New Roman"/>
                <w:lang w:bidi="ar"/>
              </w:rPr>
            </m:ctrlPr>
          </m:sSubPr>
          <m:e>
            <m:r>
              <m:rPr>
                <m:sty m:val="p"/>
              </m:rPr>
              <w:rPr>
                <w:rFonts w:hint="default" w:ascii="Cambria Math" w:hAnsi="Cambria Math" w:cs="Times New Roman"/>
                <w:lang w:bidi="ar"/>
              </w:rPr>
              <m:t>L</m:t>
            </m:r>
            <m:ctrlPr>
              <w:rPr>
                <w:rFonts w:hint="default" w:ascii="Cambria Math" w:hAnsi="Cambria Math" w:cs="Times New Roman"/>
                <w:lang w:bidi="ar"/>
              </w:rPr>
            </m:ctrlPr>
          </m:e>
          <m:sub>
            <m:r>
              <m:rPr>
                <m:sty m:val="p"/>
              </m:rPr>
              <w:rPr>
                <w:rFonts w:hint="default" w:ascii="Cambria Math" w:hAnsi="Cambria Math" w:cs="Times New Roman"/>
                <w:lang w:bidi="ar"/>
              </w:rPr>
              <m:t>r</m:t>
            </m:r>
            <m:ctrlPr>
              <w:rPr>
                <w:rFonts w:hint="default" w:ascii="Cambria Math" w:hAnsi="Cambria Math" w:cs="Times New Roman"/>
                <w:lang w:bidi="ar"/>
              </w:rPr>
            </m:ctrlPr>
          </m:sub>
        </m:sSub>
      </m:oMath>
      <w:r>
        <w:rPr>
          <w:rFonts w:hint="eastAsia" w:ascii="Times New Roman" w:hAnsi="Times New Roman" w:cs="Times New Roman"/>
          <w:lang w:bidi="ar"/>
        </w:rPr>
        <w:t>—去除的BOD</w:t>
      </w:r>
      <w:r>
        <w:rPr>
          <w:rFonts w:hint="eastAsia" w:ascii="Times New Roman" w:hAnsi="Times New Roman" w:cs="Times New Roman"/>
          <w:vertAlign w:val="subscript"/>
          <w:lang w:bidi="ar"/>
        </w:rPr>
        <w:t>5</w:t>
      </w:r>
      <w:r>
        <w:rPr>
          <w:rFonts w:hint="eastAsia" w:ascii="Times New Roman" w:hAnsi="Times New Roman" w:cs="Times New Roman"/>
          <w:lang w:bidi="ar"/>
        </w:rPr>
        <w:t>浓度，kg/m</w:t>
      </w:r>
      <w:r>
        <w:rPr>
          <w:rFonts w:hint="eastAsia" w:ascii="Times New Roman" w:hAnsi="Times New Roman" w:cs="Times New Roman"/>
          <w:vertAlign w:val="superscript"/>
          <w:lang w:bidi="ar"/>
        </w:rPr>
        <w:t>3</w:t>
      </w:r>
      <w:r>
        <w:rPr>
          <w:rFonts w:hint="eastAsia" w:ascii="Times New Roman" w:hAnsi="Times New Roman" w:cs="Times New Roman"/>
          <w:lang w:bidi="ar"/>
        </w:rPr>
        <w:t>，本此评价</w:t>
      </w:r>
      <m:oMath>
        <m:sSub>
          <m:sSubPr>
            <m:ctrlPr>
              <w:rPr>
                <w:rFonts w:hint="default" w:ascii="Cambria Math" w:hAnsi="Cambria Math" w:cs="Times New Roman"/>
                <w:lang w:bidi="ar"/>
              </w:rPr>
            </m:ctrlPr>
          </m:sSubPr>
          <m:e>
            <m:r>
              <m:rPr>
                <m:sty m:val="p"/>
              </m:rPr>
              <w:rPr>
                <w:rFonts w:hint="default" w:ascii="Cambria Math" w:hAnsi="Cambria Math" w:cs="Times New Roman"/>
                <w:lang w:bidi="ar"/>
              </w:rPr>
              <m:t>L</m:t>
            </m:r>
            <m:ctrlPr>
              <w:rPr>
                <w:rFonts w:hint="default" w:ascii="Cambria Math" w:hAnsi="Cambria Math" w:cs="Times New Roman"/>
                <w:lang w:bidi="ar"/>
              </w:rPr>
            </m:ctrlPr>
          </m:e>
          <m:sub>
            <m:r>
              <m:rPr>
                <m:sty m:val="p"/>
              </m:rPr>
              <w:rPr>
                <w:rFonts w:hint="default" w:ascii="Cambria Math" w:hAnsi="Cambria Math" w:cs="Times New Roman"/>
                <w:lang w:bidi="ar"/>
              </w:rPr>
              <m:t>r</m:t>
            </m:r>
            <m:ctrlPr>
              <w:rPr>
                <w:rFonts w:hint="default" w:ascii="Cambria Math" w:hAnsi="Cambria Math" w:cs="Times New Roman"/>
                <w:lang w:bidi="ar"/>
              </w:rPr>
            </m:ctrlPr>
          </m:sub>
        </m:sSub>
      </m:oMath>
      <w:r>
        <w:rPr>
          <w:rFonts w:hint="eastAsia" w:ascii="Times New Roman" w:hAnsi="Times New Roman" w:cs="Times New Roman"/>
          <w:lang w:bidi="ar"/>
        </w:rPr>
        <w:t>=</w:t>
      </w:r>
      <w:r>
        <w:rPr>
          <w:rFonts w:hint="eastAsia" w:cs="Times New Roman"/>
          <w:lang w:val="en-US" w:eastAsia="zh-CN" w:bidi="ar"/>
        </w:rPr>
        <w:t>0.46</w:t>
      </w:r>
      <w:r>
        <w:rPr>
          <w:rFonts w:hint="eastAsia" w:ascii="Times New Roman" w:hAnsi="Times New Roman" w:cs="Times New Roman"/>
          <w:lang w:bidi="ar"/>
        </w:rPr>
        <w:t>（进水浓度）-0.01（出水浓度）=</w:t>
      </w:r>
      <w:r>
        <w:rPr>
          <w:rFonts w:hint="eastAsia" w:cs="Times New Roman"/>
          <w:lang w:val="en-US" w:eastAsia="zh-CN" w:bidi="ar"/>
        </w:rPr>
        <w:t>0.45</w:t>
      </w:r>
      <w:r>
        <w:rPr>
          <w:rFonts w:hint="eastAsia" w:ascii="Times New Roman" w:hAnsi="Times New Roman" w:cs="Times New Roman"/>
          <w:lang w:bidi="ar"/>
        </w:rPr>
        <w:t>kg/m</w:t>
      </w:r>
      <w:r>
        <w:rPr>
          <w:rFonts w:hint="eastAsia" w:ascii="Times New Roman" w:hAnsi="Times New Roman" w:cs="Times New Roman"/>
          <w:vertAlign w:val="superscript"/>
          <w:lang w:bidi="ar"/>
        </w:rPr>
        <w:t>3</w:t>
      </w:r>
      <w:r>
        <w:rPr>
          <w:rFonts w:hint="eastAsia" w:ascii="Times New Roman" w:hAnsi="Times New Roman" w:cs="Times New Roman"/>
          <w:lang w:bidi="ar"/>
        </w:rPr>
        <w:t>；</w:t>
      </w:r>
    </w:p>
    <w:p w14:paraId="1D13FAB1">
      <w:pPr>
        <w:spacing w:line="360" w:lineRule="auto"/>
        <w:ind w:firstLine="480" w:firstLineChars="200"/>
        <w:jc w:val="left"/>
        <w:rPr>
          <w:rFonts w:hint="eastAsia" w:ascii="Times New Roman" w:hAnsi="Times New Roman" w:cs="Times New Roman"/>
          <w:lang w:bidi="ar"/>
        </w:rPr>
      </w:pPr>
      <m:oMath>
        <m:sSub>
          <m:sSubPr>
            <m:ctrlPr>
              <w:rPr>
                <w:rFonts w:hint="default" w:ascii="Cambria Math" w:hAnsi="Cambria Math" w:cs="Times New Roman"/>
                <w:lang w:bidi="ar"/>
              </w:rPr>
            </m:ctrlPr>
          </m:sSubPr>
          <m:e>
            <m:r>
              <m:rPr>
                <m:sty m:val="p"/>
              </m:rPr>
              <w:rPr>
                <w:rFonts w:hint="default" w:ascii="Cambria Math" w:hAnsi="Cambria Math" w:cs="Times New Roman"/>
                <w:lang w:bidi="ar"/>
              </w:rPr>
              <m:t>K</m:t>
            </m:r>
            <m:ctrlPr>
              <w:rPr>
                <w:rFonts w:hint="default" w:ascii="Cambria Math" w:hAnsi="Cambria Math" w:cs="Times New Roman"/>
                <w:lang w:bidi="ar"/>
              </w:rPr>
            </m:ctrlPr>
          </m:e>
          <m:sub>
            <m:r>
              <m:rPr>
                <m:sty m:val="p"/>
              </m:rPr>
              <w:rPr>
                <w:rFonts w:hint="default" w:ascii="Cambria Math" w:hAnsi="Cambria Math" w:cs="Times New Roman"/>
                <w:lang w:bidi="ar"/>
              </w:rPr>
              <m:t>d</m:t>
            </m:r>
            <m:ctrlPr>
              <w:rPr>
                <w:rFonts w:hint="default" w:ascii="Cambria Math" w:hAnsi="Cambria Math" w:cs="Times New Roman"/>
                <w:lang w:bidi="ar"/>
              </w:rPr>
            </m:ctrlPr>
          </m:sub>
        </m:sSub>
      </m:oMath>
      <w:r>
        <w:rPr>
          <w:rFonts w:hint="eastAsia" w:ascii="Times New Roman" w:hAnsi="Times New Roman" w:cs="Times New Roman"/>
          <w:lang w:bidi="ar"/>
        </w:rPr>
        <w:t>—衰减系数，kgVSS/（kgVSS·d），20℃时为0.04～0.075，本次评价取0.05；</w:t>
      </w:r>
    </w:p>
    <w:p w14:paraId="160E0206">
      <w:pPr>
        <w:spacing w:line="360" w:lineRule="auto"/>
        <w:ind w:firstLine="480" w:firstLineChars="200"/>
        <w:jc w:val="left"/>
        <w:rPr>
          <w:rFonts w:hint="eastAsia" w:ascii="Times New Roman" w:hAnsi="Times New Roman" w:cs="Times New Roman"/>
          <w:lang w:bidi="ar"/>
        </w:rPr>
      </w:pPr>
      <m:oMath>
        <m:r>
          <m:rPr>
            <m:sty m:val="p"/>
          </m:rPr>
          <w:rPr>
            <w:rFonts w:hint="default" w:ascii="Cambria Math" w:hAnsi="Cambria Math" w:cs="Times New Roman"/>
            <w:lang w:bidi="ar"/>
          </w:rPr>
          <m:t>V</m:t>
        </m:r>
      </m:oMath>
      <w:r>
        <w:rPr>
          <w:rFonts w:hint="eastAsia" w:ascii="Times New Roman" w:hAnsi="Times New Roman" w:cs="Times New Roman"/>
          <w:lang w:bidi="ar"/>
        </w:rPr>
        <w:t>—曝气池容积，m3，</w:t>
      </w:r>
      <w:r>
        <w:rPr>
          <w:rFonts w:hint="eastAsia" w:cs="Times New Roman"/>
          <w:lang w:val="en-US" w:eastAsia="zh-CN" w:bidi="ar"/>
        </w:rPr>
        <w:t>本项目接触氧化</w:t>
      </w:r>
      <w:r>
        <w:rPr>
          <w:rFonts w:hint="eastAsia" w:ascii="Times New Roman" w:hAnsi="Times New Roman" w:cs="Times New Roman"/>
          <w:lang w:bidi="ar"/>
        </w:rPr>
        <w:t>池容积为</w:t>
      </w:r>
      <w:r>
        <w:rPr>
          <w:rFonts w:hint="eastAsia" w:cs="Times New Roman"/>
          <w:lang w:val="en-US" w:eastAsia="zh-CN" w:bidi="ar"/>
        </w:rPr>
        <w:t>2800</w:t>
      </w:r>
      <w:r>
        <w:rPr>
          <w:rFonts w:hint="eastAsia" w:ascii="Times New Roman" w:hAnsi="Times New Roman" w:cs="Times New Roman"/>
          <w:lang w:bidi="ar"/>
        </w:rPr>
        <w:t>m</w:t>
      </w:r>
      <w:r>
        <w:rPr>
          <w:rFonts w:hint="eastAsia" w:ascii="Times New Roman" w:hAnsi="Times New Roman" w:cs="Times New Roman"/>
          <w:vertAlign w:val="superscript"/>
          <w:lang w:bidi="ar"/>
        </w:rPr>
        <w:t>3</w:t>
      </w:r>
      <w:r>
        <w:rPr>
          <w:rFonts w:hint="eastAsia" w:ascii="Times New Roman" w:hAnsi="Times New Roman" w:cs="Times New Roman"/>
          <w:lang w:bidi="ar"/>
        </w:rPr>
        <w:t>；</w:t>
      </w:r>
    </w:p>
    <w:p w14:paraId="5BDCCD8C">
      <w:pPr>
        <w:spacing w:line="360" w:lineRule="auto"/>
        <w:ind w:firstLine="480" w:firstLineChars="200"/>
        <w:jc w:val="left"/>
        <w:rPr>
          <w:rFonts w:hint="eastAsia" w:ascii="Times New Roman" w:hAnsi="Times New Roman" w:cs="Times New Roman"/>
          <w:lang w:bidi="ar"/>
        </w:rPr>
      </w:pPr>
      <m:oMath>
        <m:sSub>
          <m:sSubPr>
            <m:ctrlPr>
              <w:rPr>
                <w:rFonts w:hint="default" w:ascii="Cambria Math" w:hAnsi="Cambria Math" w:cs="Times New Roman"/>
                <w:lang w:bidi="ar"/>
              </w:rPr>
            </m:ctrlPr>
          </m:sSubPr>
          <m:e>
            <m:r>
              <m:rPr>
                <m:sty m:val="p"/>
              </m:rPr>
              <w:rPr>
                <w:rFonts w:hint="default" w:ascii="Cambria Math" w:hAnsi="Cambria Math" w:cs="Times New Roman"/>
                <w:lang w:bidi="ar"/>
              </w:rPr>
              <m:t>N</m:t>
            </m:r>
            <m:ctrlPr>
              <w:rPr>
                <w:rFonts w:hint="default" w:ascii="Cambria Math" w:hAnsi="Cambria Math" w:cs="Times New Roman"/>
                <w:lang w:bidi="ar"/>
              </w:rPr>
            </m:ctrlPr>
          </m:e>
          <m:sub>
            <m:r>
              <m:rPr>
                <m:sty m:val="p"/>
              </m:rPr>
              <w:rPr>
                <w:rFonts w:hint="default" w:ascii="Cambria Math" w:hAnsi="Cambria Math" w:cs="Times New Roman"/>
                <w:lang w:bidi="ar"/>
              </w:rPr>
              <m:t>wv</m:t>
            </m:r>
            <m:ctrlPr>
              <w:rPr>
                <w:rFonts w:hint="default" w:ascii="Cambria Math" w:hAnsi="Cambria Math" w:cs="Times New Roman"/>
                <w:lang w:bidi="ar"/>
              </w:rPr>
            </m:ctrlPr>
          </m:sub>
        </m:sSub>
      </m:oMath>
      <w:r>
        <w:rPr>
          <w:rFonts w:hint="eastAsia" w:ascii="Times New Roman" w:hAnsi="Times New Roman" w:cs="Times New Roman"/>
          <w:lang w:bidi="ar"/>
        </w:rPr>
        <w:t>—混合液挥发性悬浮物浓度（MLVSS），kg/m</w:t>
      </w:r>
      <w:r>
        <w:rPr>
          <w:rFonts w:hint="eastAsia" w:ascii="Times New Roman" w:hAnsi="Times New Roman" w:cs="Times New Roman"/>
          <w:vertAlign w:val="superscript"/>
          <w:lang w:bidi="ar"/>
        </w:rPr>
        <w:t>3</w:t>
      </w:r>
      <w:r>
        <w:rPr>
          <w:rFonts w:hint="eastAsia" w:ascii="Times New Roman" w:hAnsi="Times New Roman" w:cs="Times New Roman"/>
          <w:lang w:bidi="ar"/>
        </w:rPr>
        <w:t>，本项目取0.75kg/m</w:t>
      </w:r>
      <w:r>
        <w:rPr>
          <w:rFonts w:hint="eastAsia" w:ascii="Times New Roman" w:hAnsi="Times New Roman" w:cs="Times New Roman"/>
          <w:vertAlign w:val="superscript"/>
          <w:lang w:bidi="ar"/>
        </w:rPr>
        <w:t>3</w:t>
      </w:r>
      <w:r>
        <w:rPr>
          <w:rFonts w:hint="eastAsia" w:ascii="Times New Roman" w:hAnsi="Times New Roman" w:cs="Times New Roman"/>
          <w:lang w:bidi="ar"/>
        </w:rPr>
        <w:t>。</w:t>
      </w:r>
    </w:p>
    <w:p w14:paraId="3A85F9E3">
      <w:pPr>
        <w:spacing w:line="360" w:lineRule="auto"/>
        <w:ind w:firstLine="480" w:firstLineChars="200"/>
        <w:jc w:val="left"/>
        <w:rPr>
          <w:rFonts w:hint="eastAsia" w:ascii="Times New Roman" w:hAnsi="Times New Roman" w:cs="Times New Roman"/>
          <w:lang w:eastAsia="zh-CN" w:bidi="ar"/>
        </w:rPr>
      </w:pPr>
      <w:r>
        <w:rPr>
          <w:rFonts w:hint="eastAsia" w:ascii="Times New Roman" w:hAnsi="Times New Roman" w:cs="Times New Roman"/>
          <w:lang w:bidi="ar"/>
        </w:rPr>
        <w:t>经计算，</w:t>
      </w:r>
      <w:r>
        <w:rPr>
          <w:rFonts w:hint="eastAsia" w:cs="Times New Roman"/>
          <w:lang w:val="en-US" w:eastAsia="zh-CN" w:bidi="ar"/>
        </w:rPr>
        <w:t>本项目</w:t>
      </w:r>
      <w:r>
        <w:rPr>
          <w:rFonts w:hint="eastAsia" w:ascii="Times New Roman" w:hAnsi="Times New Roman" w:cs="Times New Roman"/>
          <w:lang w:bidi="ar"/>
        </w:rPr>
        <w:t>每日排出剩余污泥量为</w:t>
      </w:r>
      <w:r>
        <w:rPr>
          <w:rFonts w:hint="eastAsia" w:cs="Times New Roman"/>
          <w:lang w:val="en-US" w:eastAsia="zh-CN" w:bidi="ar"/>
        </w:rPr>
        <w:t>1785</w:t>
      </w:r>
      <w:r>
        <w:rPr>
          <w:rFonts w:hint="eastAsia" w:ascii="Times New Roman" w:hAnsi="Times New Roman" w:cs="Times New Roman"/>
          <w:lang w:bidi="ar"/>
        </w:rPr>
        <w:t>kg/d（</w:t>
      </w:r>
      <w:r>
        <w:rPr>
          <w:rFonts w:hint="eastAsia" w:cs="Times New Roman"/>
          <w:lang w:val="en-US" w:eastAsia="zh-CN" w:bidi="ar"/>
        </w:rPr>
        <w:t>651.5</w:t>
      </w:r>
      <w:r>
        <w:rPr>
          <w:rFonts w:hint="eastAsia" w:ascii="Times New Roman" w:hAnsi="Times New Roman" w:cs="Times New Roman"/>
          <w:lang w:bidi="ar"/>
        </w:rPr>
        <w:t>t/a）（</w:t>
      </w:r>
      <w:r>
        <w:rPr>
          <w:rFonts w:hint="eastAsia" w:cs="Times New Roman"/>
          <w:lang w:val="en-US" w:eastAsia="zh-CN" w:bidi="ar"/>
        </w:rPr>
        <w:t>湿</w:t>
      </w:r>
      <w:r>
        <w:rPr>
          <w:rFonts w:hint="eastAsia" w:ascii="Times New Roman" w:hAnsi="Times New Roman" w:cs="Times New Roman"/>
          <w:lang w:bidi="ar"/>
        </w:rPr>
        <w:t>重）。污泥含水率99.5%，脱水后污泥含水率为6</w:t>
      </w:r>
      <w:r>
        <w:rPr>
          <w:rFonts w:hint="eastAsia" w:cs="Times New Roman"/>
          <w:lang w:val="en-US" w:eastAsia="zh-CN" w:bidi="ar"/>
        </w:rPr>
        <w:t>0</w:t>
      </w:r>
      <w:r>
        <w:rPr>
          <w:rFonts w:hint="eastAsia" w:ascii="Times New Roman" w:hAnsi="Times New Roman" w:cs="Times New Roman"/>
          <w:lang w:bidi="ar"/>
        </w:rPr>
        <w:t>%，则污泥产生量为</w:t>
      </w:r>
      <w:r>
        <w:rPr>
          <w:rFonts w:hint="eastAsia" w:cs="Times New Roman"/>
          <w:lang w:val="en-US" w:eastAsia="zh-CN" w:bidi="ar"/>
        </w:rPr>
        <w:t>390.9</w:t>
      </w:r>
      <w:r>
        <w:rPr>
          <w:rFonts w:hint="eastAsia" w:ascii="Times New Roman" w:hAnsi="Times New Roman" w:cs="Times New Roman"/>
          <w:lang w:bidi="ar"/>
        </w:rPr>
        <w:t>t/a。</w:t>
      </w:r>
      <w:r>
        <w:rPr>
          <w:rFonts w:hint="eastAsia" w:ascii="Times New Roman" w:hAnsi="Times New Roman" w:cs="Times New Roman"/>
          <w:lang w:val="en-US" w:eastAsia="zh-CN" w:bidi="ar"/>
        </w:rPr>
        <w:t>掺混入燃煤进入锅炉燃烧</w:t>
      </w:r>
      <w:r>
        <w:rPr>
          <w:rFonts w:hint="eastAsia" w:ascii="Times New Roman" w:hAnsi="Times New Roman" w:cs="Times New Roman"/>
          <w:lang w:eastAsia="zh-CN" w:bidi="ar"/>
        </w:rPr>
        <w:t>。</w:t>
      </w:r>
    </w:p>
    <w:p w14:paraId="2F21DD0A">
      <w:pPr>
        <w:spacing w:line="360" w:lineRule="auto"/>
        <w:ind w:firstLine="480" w:firstLineChars="200"/>
        <w:jc w:val="left"/>
      </w:pPr>
      <w:r>
        <w:rPr>
          <w:rFonts w:hint="eastAsia"/>
          <w:lang w:val="en-US" w:eastAsia="zh-CN" w:bidi="ar"/>
        </w:rPr>
        <w:t>2、废活性炭</w:t>
      </w:r>
      <w:r>
        <w:rPr>
          <w:lang w:bidi="ar"/>
        </w:rPr>
        <w:t xml:space="preserve"> </w:t>
      </w:r>
    </w:p>
    <w:p w14:paraId="67B4C693">
      <w:pPr>
        <w:spacing w:line="360" w:lineRule="auto"/>
        <w:ind w:firstLine="480" w:firstLineChars="200"/>
      </w:pPr>
      <w:r>
        <w:rPr>
          <w:rFonts w:hint="eastAsia"/>
          <w:lang w:val="en-US" w:eastAsia="zh-CN" w:bidi="ar"/>
        </w:rPr>
        <w:t>污水处理站恶臭处理</w:t>
      </w:r>
      <w:r>
        <w:rPr>
          <w:lang w:bidi="ar"/>
        </w:rPr>
        <w:t>过程中会产生废</w:t>
      </w:r>
      <w:r>
        <w:rPr>
          <w:rFonts w:hint="eastAsia"/>
          <w:lang w:val="en-US" w:eastAsia="zh-CN" w:bidi="ar"/>
        </w:rPr>
        <w:t>活性炭</w:t>
      </w:r>
      <w:r>
        <w:rPr>
          <w:lang w:bidi="ar"/>
        </w:rPr>
        <w:t>。</w:t>
      </w:r>
      <w:r>
        <w:t>废</w:t>
      </w:r>
      <w:r>
        <w:rPr>
          <w:rFonts w:hint="eastAsia"/>
          <w:lang w:val="en-US" w:eastAsia="zh-CN"/>
        </w:rPr>
        <w:t>活性炭</w:t>
      </w:r>
      <w:r>
        <w:rPr>
          <w:lang w:val="zh-CN"/>
        </w:rPr>
        <w:t>产生量为</w:t>
      </w:r>
      <w:r>
        <w:rPr>
          <w:rFonts w:hint="eastAsia"/>
        </w:rPr>
        <w:t>1</w:t>
      </w:r>
      <w:r>
        <w:t>t/a</w:t>
      </w:r>
      <w:r>
        <w:rPr>
          <w:lang w:val="zh-CN"/>
        </w:rPr>
        <w:t>，</w:t>
      </w:r>
      <w:r>
        <w:t>未纳入《国家危险废物名录》（2021 版），不属于危险废物，</w:t>
      </w:r>
      <w:r>
        <w:rPr>
          <w:smallCaps/>
        </w:rPr>
        <w:t>废</w:t>
      </w:r>
      <w:r>
        <w:rPr>
          <w:rFonts w:hint="eastAsia"/>
          <w:smallCaps/>
          <w:lang w:val="en-US" w:eastAsia="zh-CN"/>
        </w:rPr>
        <w:t>活性炭</w:t>
      </w:r>
      <w:r>
        <w:t>由生产厂家统一回收处置。</w:t>
      </w:r>
    </w:p>
    <w:p w14:paraId="19B92085">
      <w:pPr>
        <w:spacing w:line="360" w:lineRule="auto"/>
        <w:ind w:firstLine="480" w:firstLineChars="200"/>
        <w:jc w:val="left"/>
      </w:pPr>
      <w:r>
        <w:rPr>
          <w:rFonts w:hint="eastAsia"/>
          <w:lang w:eastAsia="zh-CN" w:bidi="ar"/>
        </w:rPr>
        <w:t>本项目</w:t>
      </w:r>
      <w:r>
        <w:rPr>
          <w:lang w:bidi="ar"/>
        </w:rPr>
        <w:t>固体废物污染源源强及相关参数一览表见表3.4-</w:t>
      </w:r>
      <w:r>
        <w:rPr>
          <w:rFonts w:hint="eastAsia"/>
          <w:lang w:val="en-US" w:eastAsia="zh-CN" w:bidi="ar"/>
        </w:rPr>
        <w:t>4</w:t>
      </w:r>
      <w:r>
        <w:rPr>
          <w:lang w:bidi="ar"/>
        </w:rPr>
        <w:t>。</w:t>
      </w:r>
    </w:p>
    <w:p w14:paraId="45BA42BD">
      <w:pPr>
        <w:spacing w:line="360" w:lineRule="auto"/>
        <w:ind w:firstLine="482" w:firstLineChars="200"/>
        <w:jc w:val="center"/>
      </w:pPr>
      <w:r>
        <w:rPr>
          <w:b/>
          <w:bCs/>
        </w:rPr>
        <w:t>表3.4-</w:t>
      </w:r>
      <w:r>
        <w:rPr>
          <w:rFonts w:hint="eastAsia"/>
          <w:b/>
          <w:bCs/>
          <w:lang w:val="en-US" w:eastAsia="zh-CN"/>
        </w:rPr>
        <w:t>4</w:t>
      </w:r>
      <w:r>
        <w:t xml:space="preserve">  </w:t>
      </w:r>
      <w:r>
        <w:rPr>
          <w:rFonts w:hint="eastAsia"/>
          <w:b/>
          <w:lang w:eastAsia="zh-CN" w:bidi="ar"/>
        </w:rPr>
        <w:t>本项目</w:t>
      </w:r>
      <w:r>
        <w:rPr>
          <w:b/>
          <w:lang w:bidi="ar"/>
        </w:rPr>
        <w:t>固体废物污染物源强一览表</w:t>
      </w:r>
    </w:p>
    <w:tbl>
      <w:tblPr>
        <w:tblStyle w:val="54"/>
        <w:tblW w:w="504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887"/>
        <w:gridCol w:w="687"/>
        <w:gridCol w:w="676"/>
        <w:gridCol w:w="763"/>
        <w:gridCol w:w="928"/>
        <w:gridCol w:w="1784"/>
        <w:gridCol w:w="1107"/>
        <w:gridCol w:w="1743"/>
      </w:tblGrid>
      <w:tr w14:paraId="116FA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vMerge w:val="restart"/>
            <w:tcBorders>
              <w:tl2br w:val="nil"/>
              <w:tr2bl w:val="nil"/>
            </w:tcBorders>
            <w:vAlign w:val="center"/>
          </w:tcPr>
          <w:p w14:paraId="312B45BC">
            <w:pPr>
              <w:jc w:val="center"/>
              <w:rPr>
                <w:b/>
                <w:bCs/>
                <w:color w:val="auto"/>
                <w:sz w:val="21"/>
                <w:szCs w:val="21"/>
              </w:rPr>
            </w:pPr>
            <w:r>
              <w:rPr>
                <w:b/>
                <w:bCs/>
                <w:color w:val="auto"/>
                <w:sz w:val="21"/>
                <w:szCs w:val="21"/>
              </w:rPr>
              <w:t>工序/生产线</w:t>
            </w:r>
          </w:p>
        </w:tc>
        <w:tc>
          <w:tcPr>
            <w:tcW w:w="475" w:type="pct"/>
            <w:vMerge w:val="restart"/>
            <w:tcBorders>
              <w:tl2br w:val="nil"/>
              <w:tr2bl w:val="nil"/>
            </w:tcBorders>
            <w:vAlign w:val="center"/>
          </w:tcPr>
          <w:p w14:paraId="5285CC93">
            <w:pPr>
              <w:jc w:val="center"/>
              <w:rPr>
                <w:b/>
                <w:bCs/>
                <w:color w:val="auto"/>
                <w:sz w:val="21"/>
                <w:szCs w:val="21"/>
              </w:rPr>
            </w:pPr>
            <w:r>
              <w:rPr>
                <w:b/>
                <w:bCs/>
                <w:color w:val="auto"/>
                <w:sz w:val="21"/>
                <w:szCs w:val="21"/>
              </w:rPr>
              <w:t>装置</w:t>
            </w:r>
          </w:p>
        </w:tc>
        <w:tc>
          <w:tcPr>
            <w:tcW w:w="368" w:type="pct"/>
            <w:vMerge w:val="restart"/>
            <w:tcBorders>
              <w:tl2br w:val="nil"/>
              <w:tr2bl w:val="nil"/>
            </w:tcBorders>
            <w:vAlign w:val="center"/>
          </w:tcPr>
          <w:p w14:paraId="0E8BF11F">
            <w:pPr>
              <w:jc w:val="center"/>
              <w:rPr>
                <w:b/>
                <w:bCs/>
                <w:color w:val="auto"/>
                <w:sz w:val="21"/>
                <w:szCs w:val="21"/>
              </w:rPr>
            </w:pPr>
            <w:r>
              <w:rPr>
                <w:b/>
                <w:bCs/>
                <w:color w:val="auto"/>
                <w:sz w:val="21"/>
                <w:szCs w:val="21"/>
              </w:rPr>
              <w:t>固体废物名称</w:t>
            </w:r>
          </w:p>
        </w:tc>
        <w:tc>
          <w:tcPr>
            <w:tcW w:w="362" w:type="pct"/>
            <w:vMerge w:val="restart"/>
            <w:tcBorders>
              <w:tl2br w:val="nil"/>
              <w:tr2bl w:val="nil"/>
            </w:tcBorders>
            <w:vAlign w:val="center"/>
          </w:tcPr>
          <w:p w14:paraId="43C9759A">
            <w:pPr>
              <w:jc w:val="center"/>
              <w:rPr>
                <w:b/>
                <w:bCs/>
                <w:color w:val="auto"/>
                <w:sz w:val="21"/>
                <w:szCs w:val="21"/>
              </w:rPr>
            </w:pPr>
            <w:r>
              <w:rPr>
                <w:b/>
                <w:bCs/>
                <w:color w:val="auto"/>
                <w:sz w:val="21"/>
                <w:szCs w:val="21"/>
              </w:rPr>
              <w:t>固废属性</w:t>
            </w:r>
          </w:p>
        </w:tc>
        <w:tc>
          <w:tcPr>
            <w:tcW w:w="906" w:type="pct"/>
            <w:gridSpan w:val="2"/>
            <w:tcBorders>
              <w:tl2br w:val="nil"/>
              <w:tr2bl w:val="nil"/>
            </w:tcBorders>
            <w:vAlign w:val="center"/>
          </w:tcPr>
          <w:p w14:paraId="4CA87FE6">
            <w:pPr>
              <w:jc w:val="center"/>
              <w:rPr>
                <w:b/>
                <w:bCs/>
                <w:color w:val="auto"/>
                <w:sz w:val="21"/>
                <w:szCs w:val="21"/>
              </w:rPr>
            </w:pPr>
            <w:r>
              <w:rPr>
                <w:b/>
                <w:bCs/>
                <w:color w:val="auto"/>
                <w:sz w:val="21"/>
                <w:szCs w:val="21"/>
              </w:rPr>
              <w:t>产生量</w:t>
            </w:r>
          </w:p>
        </w:tc>
        <w:tc>
          <w:tcPr>
            <w:tcW w:w="1549" w:type="pct"/>
            <w:gridSpan w:val="2"/>
            <w:tcBorders>
              <w:tl2br w:val="nil"/>
              <w:tr2bl w:val="nil"/>
            </w:tcBorders>
            <w:vAlign w:val="center"/>
          </w:tcPr>
          <w:p w14:paraId="4113A0DE">
            <w:pPr>
              <w:jc w:val="center"/>
              <w:rPr>
                <w:b/>
                <w:bCs/>
                <w:color w:val="auto"/>
                <w:sz w:val="21"/>
                <w:szCs w:val="21"/>
              </w:rPr>
            </w:pPr>
            <w:r>
              <w:rPr>
                <w:b/>
                <w:bCs/>
                <w:color w:val="auto"/>
                <w:sz w:val="21"/>
                <w:szCs w:val="21"/>
              </w:rPr>
              <w:t>处置措施</w:t>
            </w:r>
          </w:p>
        </w:tc>
        <w:tc>
          <w:tcPr>
            <w:tcW w:w="934" w:type="pct"/>
            <w:vMerge w:val="restart"/>
            <w:tcBorders>
              <w:tl2br w:val="nil"/>
              <w:tr2bl w:val="nil"/>
            </w:tcBorders>
            <w:vAlign w:val="center"/>
          </w:tcPr>
          <w:p w14:paraId="18F24CCA">
            <w:pPr>
              <w:jc w:val="center"/>
              <w:rPr>
                <w:b/>
                <w:bCs/>
                <w:color w:val="auto"/>
                <w:sz w:val="21"/>
                <w:szCs w:val="21"/>
              </w:rPr>
            </w:pPr>
            <w:r>
              <w:rPr>
                <w:b/>
                <w:bCs/>
                <w:color w:val="auto"/>
                <w:sz w:val="21"/>
                <w:szCs w:val="21"/>
              </w:rPr>
              <w:t>处置去向</w:t>
            </w:r>
          </w:p>
        </w:tc>
      </w:tr>
      <w:tr w14:paraId="6E107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vMerge w:val="continue"/>
            <w:tcBorders>
              <w:tl2br w:val="nil"/>
              <w:tr2bl w:val="nil"/>
            </w:tcBorders>
            <w:vAlign w:val="center"/>
          </w:tcPr>
          <w:p w14:paraId="69FA1563">
            <w:pPr>
              <w:jc w:val="center"/>
              <w:rPr>
                <w:color w:val="auto"/>
                <w:sz w:val="21"/>
                <w:szCs w:val="21"/>
              </w:rPr>
            </w:pPr>
          </w:p>
        </w:tc>
        <w:tc>
          <w:tcPr>
            <w:tcW w:w="475" w:type="pct"/>
            <w:vMerge w:val="continue"/>
            <w:tcBorders>
              <w:tl2br w:val="nil"/>
              <w:tr2bl w:val="nil"/>
            </w:tcBorders>
            <w:vAlign w:val="center"/>
          </w:tcPr>
          <w:p w14:paraId="6456C5CE">
            <w:pPr>
              <w:jc w:val="center"/>
              <w:rPr>
                <w:color w:val="auto"/>
                <w:sz w:val="21"/>
                <w:szCs w:val="21"/>
              </w:rPr>
            </w:pPr>
          </w:p>
        </w:tc>
        <w:tc>
          <w:tcPr>
            <w:tcW w:w="368" w:type="pct"/>
            <w:vMerge w:val="continue"/>
            <w:tcBorders>
              <w:tl2br w:val="nil"/>
              <w:tr2bl w:val="nil"/>
            </w:tcBorders>
            <w:vAlign w:val="center"/>
          </w:tcPr>
          <w:p w14:paraId="3A2EF628">
            <w:pPr>
              <w:jc w:val="center"/>
              <w:rPr>
                <w:color w:val="auto"/>
                <w:sz w:val="21"/>
                <w:szCs w:val="21"/>
              </w:rPr>
            </w:pPr>
          </w:p>
        </w:tc>
        <w:tc>
          <w:tcPr>
            <w:tcW w:w="362" w:type="pct"/>
            <w:vMerge w:val="continue"/>
            <w:tcBorders>
              <w:tl2br w:val="nil"/>
              <w:tr2bl w:val="nil"/>
            </w:tcBorders>
            <w:vAlign w:val="center"/>
          </w:tcPr>
          <w:p w14:paraId="4C50C3E2">
            <w:pPr>
              <w:jc w:val="center"/>
              <w:rPr>
                <w:color w:val="auto"/>
                <w:sz w:val="21"/>
                <w:szCs w:val="21"/>
              </w:rPr>
            </w:pPr>
          </w:p>
        </w:tc>
        <w:tc>
          <w:tcPr>
            <w:tcW w:w="409" w:type="pct"/>
            <w:tcBorders>
              <w:tl2br w:val="nil"/>
              <w:tr2bl w:val="nil"/>
            </w:tcBorders>
            <w:vAlign w:val="center"/>
          </w:tcPr>
          <w:p w14:paraId="30E11470">
            <w:pPr>
              <w:jc w:val="center"/>
              <w:rPr>
                <w:b/>
                <w:bCs/>
                <w:color w:val="auto"/>
                <w:sz w:val="21"/>
                <w:szCs w:val="21"/>
              </w:rPr>
            </w:pPr>
            <w:r>
              <w:rPr>
                <w:b/>
                <w:bCs/>
                <w:color w:val="auto"/>
                <w:sz w:val="21"/>
                <w:szCs w:val="21"/>
              </w:rPr>
              <w:t>核算方法</w:t>
            </w:r>
          </w:p>
        </w:tc>
        <w:tc>
          <w:tcPr>
            <w:tcW w:w="497" w:type="pct"/>
            <w:tcBorders>
              <w:tl2br w:val="nil"/>
              <w:tr2bl w:val="nil"/>
            </w:tcBorders>
            <w:vAlign w:val="center"/>
          </w:tcPr>
          <w:p w14:paraId="3CD2E6CA">
            <w:pPr>
              <w:jc w:val="center"/>
              <w:rPr>
                <w:b/>
                <w:bCs/>
                <w:color w:val="auto"/>
                <w:sz w:val="21"/>
                <w:szCs w:val="21"/>
              </w:rPr>
            </w:pPr>
            <w:r>
              <w:rPr>
                <w:b/>
                <w:bCs/>
                <w:color w:val="auto"/>
                <w:sz w:val="21"/>
                <w:szCs w:val="21"/>
              </w:rPr>
              <w:t>产生量（t/a）</w:t>
            </w:r>
          </w:p>
        </w:tc>
        <w:tc>
          <w:tcPr>
            <w:tcW w:w="956" w:type="pct"/>
            <w:tcBorders>
              <w:tl2br w:val="nil"/>
              <w:tr2bl w:val="nil"/>
            </w:tcBorders>
            <w:vAlign w:val="center"/>
          </w:tcPr>
          <w:p w14:paraId="082BE075">
            <w:pPr>
              <w:jc w:val="center"/>
              <w:rPr>
                <w:b/>
                <w:bCs/>
                <w:color w:val="auto"/>
                <w:sz w:val="21"/>
                <w:szCs w:val="21"/>
              </w:rPr>
            </w:pPr>
            <w:r>
              <w:rPr>
                <w:b/>
                <w:bCs/>
                <w:color w:val="auto"/>
                <w:sz w:val="21"/>
                <w:szCs w:val="21"/>
              </w:rPr>
              <w:t>工艺</w:t>
            </w:r>
          </w:p>
        </w:tc>
        <w:tc>
          <w:tcPr>
            <w:tcW w:w="593" w:type="pct"/>
            <w:tcBorders>
              <w:tl2br w:val="nil"/>
              <w:tr2bl w:val="nil"/>
            </w:tcBorders>
            <w:vAlign w:val="center"/>
          </w:tcPr>
          <w:p w14:paraId="25144E4F">
            <w:pPr>
              <w:jc w:val="center"/>
              <w:rPr>
                <w:b/>
                <w:bCs/>
                <w:color w:val="auto"/>
                <w:sz w:val="21"/>
                <w:szCs w:val="21"/>
              </w:rPr>
            </w:pPr>
            <w:r>
              <w:rPr>
                <w:b/>
                <w:bCs/>
                <w:color w:val="auto"/>
                <w:sz w:val="21"/>
                <w:szCs w:val="21"/>
              </w:rPr>
              <w:t>处置量（t/a）</w:t>
            </w:r>
          </w:p>
        </w:tc>
        <w:tc>
          <w:tcPr>
            <w:tcW w:w="934" w:type="pct"/>
            <w:vMerge w:val="continue"/>
            <w:tcBorders>
              <w:tl2br w:val="nil"/>
              <w:tr2bl w:val="nil"/>
            </w:tcBorders>
            <w:vAlign w:val="center"/>
          </w:tcPr>
          <w:p w14:paraId="47C1DBB3">
            <w:pPr>
              <w:jc w:val="center"/>
              <w:rPr>
                <w:color w:val="auto"/>
                <w:sz w:val="21"/>
                <w:szCs w:val="21"/>
              </w:rPr>
            </w:pPr>
          </w:p>
        </w:tc>
      </w:tr>
      <w:tr w14:paraId="18E8B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402" w:type="pct"/>
            <w:tcBorders>
              <w:tl2br w:val="nil"/>
              <w:tr2bl w:val="nil"/>
            </w:tcBorders>
            <w:vAlign w:val="center"/>
          </w:tcPr>
          <w:p w14:paraId="75AC630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污水处理</w:t>
            </w:r>
          </w:p>
        </w:tc>
        <w:tc>
          <w:tcPr>
            <w:tcW w:w="475" w:type="pct"/>
            <w:tcBorders>
              <w:tl2br w:val="nil"/>
              <w:tr2bl w:val="nil"/>
            </w:tcBorders>
            <w:vAlign w:val="center"/>
          </w:tcPr>
          <w:p w14:paraId="0B8E988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污水处理站</w:t>
            </w:r>
          </w:p>
        </w:tc>
        <w:tc>
          <w:tcPr>
            <w:tcW w:w="368" w:type="pct"/>
            <w:tcBorders>
              <w:tl2br w:val="nil"/>
              <w:tr2bl w:val="nil"/>
            </w:tcBorders>
            <w:vAlign w:val="center"/>
          </w:tcPr>
          <w:p w14:paraId="161E8A93">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污泥</w:t>
            </w:r>
          </w:p>
        </w:tc>
        <w:tc>
          <w:tcPr>
            <w:tcW w:w="362" w:type="pct"/>
            <w:tcBorders>
              <w:tl2br w:val="nil"/>
              <w:tr2bl w:val="nil"/>
            </w:tcBorders>
            <w:vAlign w:val="center"/>
          </w:tcPr>
          <w:p w14:paraId="05B8BA4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一般固废</w:t>
            </w:r>
          </w:p>
        </w:tc>
        <w:tc>
          <w:tcPr>
            <w:tcW w:w="409" w:type="pct"/>
            <w:vMerge w:val="restart"/>
            <w:tcBorders>
              <w:tl2br w:val="nil"/>
              <w:tr2bl w:val="nil"/>
            </w:tcBorders>
            <w:vAlign w:val="center"/>
          </w:tcPr>
          <w:p w14:paraId="13B818C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物料衡算法</w:t>
            </w:r>
          </w:p>
        </w:tc>
        <w:tc>
          <w:tcPr>
            <w:tcW w:w="497" w:type="pct"/>
            <w:tcBorders>
              <w:tl2br w:val="nil"/>
              <w:tr2bl w:val="nil"/>
            </w:tcBorders>
            <w:vAlign w:val="center"/>
          </w:tcPr>
          <w:p w14:paraId="370FAF5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390.9</w:t>
            </w:r>
          </w:p>
        </w:tc>
        <w:tc>
          <w:tcPr>
            <w:tcW w:w="956" w:type="pct"/>
            <w:tcBorders>
              <w:tl2br w:val="nil"/>
              <w:tr2bl w:val="nil"/>
            </w:tcBorders>
            <w:vAlign w:val="center"/>
          </w:tcPr>
          <w:p w14:paraId="09373EFE">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掺混入燃煤进入锅炉燃烧</w:t>
            </w:r>
          </w:p>
        </w:tc>
        <w:tc>
          <w:tcPr>
            <w:tcW w:w="593" w:type="pct"/>
            <w:tcBorders>
              <w:tl2br w:val="nil"/>
              <w:tr2bl w:val="nil"/>
            </w:tcBorders>
            <w:vAlign w:val="center"/>
          </w:tcPr>
          <w:p w14:paraId="62440978">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390.9</w:t>
            </w:r>
          </w:p>
        </w:tc>
        <w:tc>
          <w:tcPr>
            <w:tcW w:w="934" w:type="pct"/>
            <w:tcBorders>
              <w:tl2br w:val="nil"/>
              <w:tr2bl w:val="nil"/>
            </w:tcBorders>
            <w:vAlign w:val="center"/>
          </w:tcPr>
          <w:p w14:paraId="75D2D7B8">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掺混入燃煤进入锅炉燃烧</w:t>
            </w:r>
          </w:p>
        </w:tc>
      </w:tr>
      <w:tr w14:paraId="1C5D5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2" w:type="pct"/>
            <w:tcBorders>
              <w:tl2br w:val="nil"/>
              <w:tr2bl w:val="nil"/>
            </w:tcBorders>
            <w:vAlign w:val="center"/>
          </w:tcPr>
          <w:p w14:paraId="561D2386">
            <w:pPr>
              <w:jc w:val="center"/>
              <w:rPr>
                <w:rFonts w:hint="eastAsia" w:eastAsia="宋体"/>
                <w:color w:val="auto"/>
                <w:sz w:val="21"/>
                <w:szCs w:val="21"/>
                <w:lang w:eastAsia="zh-CN"/>
              </w:rPr>
            </w:pPr>
            <w:r>
              <w:rPr>
                <w:rFonts w:hint="eastAsia"/>
                <w:color w:val="auto"/>
                <w:sz w:val="21"/>
                <w:szCs w:val="21"/>
                <w:lang w:val="en-US" w:eastAsia="zh-CN"/>
              </w:rPr>
              <w:t>污水处理站</w:t>
            </w:r>
          </w:p>
        </w:tc>
        <w:tc>
          <w:tcPr>
            <w:tcW w:w="475" w:type="pct"/>
            <w:tcBorders>
              <w:tl2br w:val="nil"/>
              <w:tr2bl w:val="nil"/>
            </w:tcBorders>
            <w:vAlign w:val="center"/>
          </w:tcPr>
          <w:p w14:paraId="15AC0D34">
            <w:pPr>
              <w:jc w:val="center"/>
              <w:rPr>
                <w:color w:val="auto"/>
                <w:sz w:val="21"/>
                <w:szCs w:val="21"/>
              </w:rPr>
            </w:pPr>
            <w:r>
              <w:rPr>
                <w:rFonts w:hint="eastAsia"/>
                <w:color w:val="auto"/>
                <w:sz w:val="21"/>
                <w:szCs w:val="21"/>
                <w:lang w:val="en-US" w:eastAsia="zh-CN"/>
              </w:rPr>
              <w:t>废气处理</w:t>
            </w:r>
            <w:r>
              <w:rPr>
                <w:color w:val="auto"/>
                <w:sz w:val="21"/>
                <w:szCs w:val="21"/>
              </w:rPr>
              <w:t>系统</w:t>
            </w:r>
          </w:p>
        </w:tc>
        <w:tc>
          <w:tcPr>
            <w:tcW w:w="368" w:type="pct"/>
            <w:tcBorders>
              <w:tl2br w:val="nil"/>
              <w:tr2bl w:val="nil"/>
            </w:tcBorders>
            <w:vAlign w:val="center"/>
          </w:tcPr>
          <w:p w14:paraId="776FCC8E">
            <w:pPr>
              <w:jc w:val="center"/>
              <w:rPr>
                <w:rFonts w:hint="eastAsia" w:eastAsia="宋体"/>
                <w:color w:val="auto"/>
                <w:sz w:val="21"/>
                <w:szCs w:val="21"/>
                <w:lang w:eastAsia="zh-CN"/>
              </w:rPr>
            </w:pPr>
            <w:r>
              <w:rPr>
                <w:color w:val="auto"/>
                <w:sz w:val="21"/>
                <w:szCs w:val="21"/>
              </w:rPr>
              <w:t>废</w:t>
            </w:r>
            <w:r>
              <w:rPr>
                <w:rFonts w:hint="eastAsia"/>
                <w:color w:val="auto"/>
                <w:sz w:val="21"/>
                <w:szCs w:val="21"/>
                <w:lang w:val="en-US" w:eastAsia="zh-CN"/>
              </w:rPr>
              <w:t>活性炭</w:t>
            </w:r>
          </w:p>
        </w:tc>
        <w:tc>
          <w:tcPr>
            <w:tcW w:w="362" w:type="pct"/>
            <w:tcBorders>
              <w:tl2br w:val="nil"/>
              <w:tr2bl w:val="nil"/>
            </w:tcBorders>
            <w:vAlign w:val="center"/>
          </w:tcPr>
          <w:p w14:paraId="276C9990">
            <w:pPr>
              <w:jc w:val="center"/>
              <w:rPr>
                <w:color w:val="auto"/>
                <w:sz w:val="21"/>
                <w:szCs w:val="21"/>
              </w:rPr>
            </w:pPr>
            <w:r>
              <w:rPr>
                <w:color w:val="auto"/>
                <w:sz w:val="21"/>
                <w:szCs w:val="21"/>
              </w:rPr>
              <w:t>一般固废</w:t>
            </w:r>
          </w:p>
        </w:tc>
        <w:tc>
          <w:tcPr>
            <w:tcW w:w="409" w:type="pct"/>
            <w:vMerge w:val="continue"/>
            <w:tcBorders>
              <w:tl2br w:val="nil"/>
              <w:tr2bl w:val="nil"/>
            </w:tcBorders>
            <w:vAlign w:val="center"/>
          </w:tcPr>
          <w:p w14:paraId="60A0E0D0">
            <w:pPr>
              <w:jc w:val="center"/>
              <w:rPr>
                <w:color w:val="auto"/>
                <w:sz w:val="21"/>
                <w:szCs w:val="21"/>
              </w:rPr>
            </w:pPr>
          </w:p>
        </w:tc>
        <w:tc>
          <w:tcPr>
            <w:tcW w:w="497" w:type="pct"/>
            <w:tcBorders>
              <w:tl2br w:val="nil"/>
              <w:tr2bl w:val="nil"/>
            </w:tcBorders>
            <w:vAlign w:val="center"/>
          </w:tcPr>
          <w:p w14:paraId="3EFC622D">
            <w:pPr>
              <w:jc w:val="center"/>
              <w:rPr>
                <w:color w:val="auto"/>
                <w:sz w:val="21"/>
                <w:szCs w:val="21"/>
              </w:rPr>
            </w:pPr>
            <w:r>
              <w:rPr>
                <w:color w:val="auto"/>
                <w:sz w:val="21"/>
                <w:szCs w:val="21"/>
              </w:rPr>
              <w:t>1</w:t>
            </w:r>
          </w:p>
        </w:tc>
        <w:tc>
          <w:tcPr>
            <w:tcW w:w="956" w:type="pct"/>
            <w:tcBorders>
              <w:tl2br w:val="nil"/>
              <w:tr2bl w:val="nil"/>
            </w:tcBorders>
            <w:vAlign w:val="center"/>
          </w:tcPr>
          <w:p w14:paraId="79F4C36F">
            <w:pPr>
              <w:jc w:val="center"/>
              <w:rPr>
                <w:color w:val="auto"/>
                <w:sz w:val="21"/>
                <w:szCs w:val="21"/>
              </w:rPr>
            </w:pPr>
            <w:r>
              <w:rPr>
                <w:rFonts w:hint="eastAsia"/>
                <w:color w:val="auto"/>
                <w:sz w:val="21"/>
                <w:szCs w:val="21"/>
              </w:rPr>
              <w:t>由厂家回收</w:t>
            </w:r>
          </w:p>
        </w:tc>
        <w:tc>
          <w:tcPr>
            <w:tcW w:w="593" w:type="pct"/>
            <w:tcBorders>
              <w:tl2br w:val="nil"/>
              <w:tr2bl w:val="nil"/>
            </w:tcBorders>
            <w:vAlign w:val="center"/>
          </w:tcPr>
          <w:p w14:paraId="0C23D7E9">
            <w:pPr>
              <w:jc w:val="center"/>
              <w:rPr>
                <w:color w:val="auto"/>
                <w:sz w:val="21"/>
                <w:szCs w:val="21"/>
              </w:rPr>
            </w:pPr>
            <w:r>
              <w:rPr>
                <w:color w:val="auto"/>
                <w:sz w:val="21"/>
                <w:szCs w:val="21"/>
              </w:rPr>
              <w:t>1</w:t>
            </w:r>
          </w:p>
        </w:tc>
        <w:tc>
          <w:tcPr>
            <w:tcW w:w="934" w:type="pct"/>
            <w:tcBorders>
              <w:tl2br w:val="nil"/>
              <w:tr2bl w:val="nil"/>
            </w:tcBorders>
            <w:vAlign w:val="center"/>
          </w:tcPr>
          <w:p w14:paraId="1C0E72A0">
            <w:pPr>
              <w:jc w:val="center"/>
              <w:rPr>
                <w:color w:val="auto"/>
                <w:sz w:val="21"/>
                <w:szCs w:val="21"/>
              </w:rPr>
            </w:pPr>
            <w:r>
              <w:rPr>
                <w:rFonts w:hint="eastAsia"/>
                <w:color w:val="auto"/>
                <w:sz w:val="21"/>
                <w:szCs w:val="21"/>
              </w:rPr>
              <w:t>由厂家回收</w:t>
            </w:r>
          </w:p>
        </w:tc>
      </w:tr>
    </w:tbl>
    <w:p w14:paraId="53768FA2">
      <w:pPr>
        <w:pStyle w:val="5"/>
        <w:numPr>
          <w:ilvl w:val="0"/>
          <w:numId w:val="0"/>
        </w:numPr>
        <w:bidi w:val="0"/>
        <w:ind w:leftChars="0"/>
        <w:rPr>
          <w:rFonts w:hint="default" w:ascii="Times New Roman" w:hAnsi="Times New Roman" w:cs="Times New Roman"/>
          <w:color w:val="auto"/>
        </w:rPr>
      </w:pPr>
      <w:bookmarkStart w:id="232" w:name="_Toc8829"/>
      <w:bookmarkStart w:id="233" w:name="_Toc13663"/>
      <w:bookmarkStart w:id="234" w:name="_Toc21732"/>
      <w:r>
        <w:rPr>
          <w:rFonts w:hint="default" w:ascii="Times New Roman" w:hAnsi="Times New Roman" w:cs="Times New Roman"/>
          <w:color w:val="auto"/>
        </w:rPr>
        <w:t>3.</w:t>
      </w:r>
      <w:r>
        <w:rPr>
          <w:rFonts w:hint="default" w:ascii="Times New Roman" w:hAnsi="Times New Roman" w:cs="Times New Roman"/>
          <w:color w:val="auto"/>
          <w:lang w:val="en-US" w:eastAsia="zh-CN"/>
        </w:rPr>
        <w:t>4</w:t>
      </w:r>
      <w:r>
        <w:rPr>
          <w:rFonts w:hint="default" w:ascii="Times New Roman" w:hAnsi="Times New Roman" w:cs="Times New Roman"/>
          <w:color w:val="auto"/>
        </w:rPr>
        <w:t>.2.5 非正常状况污染源分析</w:t>
      </w:r>
      <w:bookmarkEnd w:id="232"/>
    </w:p>
    <w:p w14:paraId="43516C64">
      <w:pPr>
        <w:spacing w:line="360" w:lineRule="auto"/>
        <w:ind w:firstLine="480" w:firstLineChars="200"/>
        <w:jc w:val="left"/>
        <w:rPr>
          <w:rFonts w:hint="eastAsia" w:ascii="Times New Roman" w:hAnsi="Times New Roman" w:eastAsia="宋体" w:cs="Times New Roman"/>
          <w:color w:val="auto"/>
          <w:lang w:val="en-US" w:eastAsia="zh-CN" w:bidi="ar"/>
        </w:rPr>
      </w:pPr>
      <w:r>
        <w:rPr>
          <w:rFonts w:hint="eastAsia" w:ascii="Times New Roman" w:hAnsi="Times New Roman" w:eastAsia="宋体" w:cs="Times New Roman"/>
          <w:color w:val="auto"/>
          <w:lang w:val="en-US" w:eastAsia="zh-CN" w:bidi="ar"/>
        </w:rPr>
        <w:t>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07629A57">
      <w:pPr>
        <w:spacing w:line="360" w:lineRule="auto"/>
        <w:ind w:firstLine="480" w:firstLineChars="200"/>
        <w:jc w:val="left"/>
        <w:rPr>
          <w:rFonts w:hint="eastAsia" w:ascii="Times New Roman" w:hAnsi="Times New Roman" w:eastAsia="宋体" w:cs="Times New Roman"/>
          <w:color w:val="auto"/>
          <w:lang w:val="en-US" w:eastAsia="zh-CN" w:bidi="ar"/>
        </w:rPr>
      </w:pPr>
      <w:r>
        <w:rPr>
          <w:rFonts w:hint="eastAsia" w:ascii="Times New Roman" w:hAnsi="Times New Roman" w:eastAsia="宋体" w:cs="Times New Roman"/>
          <w:color w:val="auto"/>
          <w:lang w:val="en-US" w:eastAsia="zh-CN" w:bidi="ar"/>
        </w:rPr>
        <w:t>①安排专人负责环保设备的日常维护和管理，每隔固定时间检查、汇报情况，及时发现废气处理设备的隐患，确保废气处理系统正常运行；</w:t>
      </w:r>
    </w:p>
    <w:p w14:paraId="38ED46FA">
      <w:pPr>
        <w:spacing w:line="360" w:lineRule="auto"/>
        <w:ind w:firstLine="480" w:firstLineChars="200"/>
        <w:jc w:val="left"/>
        <w:rPr>
          <w:rFonts w:hint="eastAsia" w:ascii="Times New Roman" w:hAnsi="Times New Roman" w:eastAsia="宋体" w:cs="Times New Roman"/>
          <w:color w:val="auto"/>
          <w:lang w:val="en-US" w:eastAsia="zh-CN" w:bidi="ar"/>
        </w:rPr>
      </w:pPr>
      <w:r>
        <w:rPr>
          <w:rFonts w:hint="eastAsia" w:ascii="Times New Roman" w:hAnsi="Times New Roman" w:eastAsia="宋体" w:cs="Times New Roman"/>
          <w:color w:val="auto"/>
          <w:lang w:val="en-US" w:eastAsia="zh-CN" w:bidi="ar"/>
        </w:rPr>
        <w:t>②建立健全的环保管理机构，对环保管理人员和技术人员进行岗位培训，委托具有专业资质的环境检测单位对项目排放的各类污染物进行定期检测；</w:t>
      </w:r>
    </w:p>
    <w:p w14:paraId="211EE754">
      <w:pPr>
        <w:spacing w:line="360" w:lineRule="auto"/>
        <w:ind w:firstLine="480" w:firstLineChars="200"/>
        <w:jc w:val="left"/>
        <w:rPr>
          <w:rFonts w:hint="eastAsia" w:ascii="Times New Roman" w:hAnsi="Times New Roman" w:eastAsia="宋体" w:cs="Times New Roman"/>
          <w:color w:val="auto"/>
          <w:lang w:val="en-US" w:eastAsia="zh-CN" w:bidi="ar"/>
        </w:rPr>
      </w:pPr>
      <w:r>
        <w:rPr>
          <w:rFonts w:hint="eastAsia" w:ascii="Times New Roman" w:hAnsi="Times New Roman" w:eastAsia="宋体" w:cs="Times New Roman"/>
          <w:color w:val="auto"/>
          <w:lang w:val="en-US" w:eastAsia="zh-CN" w:bidi="ar"/>
        </w:rPr>
        <w:t>③应定期维护、检修废气净化装置，以保持废气处理装置的净化能力和净化容量。</w:t>
      </w:r>
    </w:p>
    <w:p w14:paraId="28844FBC">
      <w:pPr>
        <w:pStyle w:val="5"/>
      </w:pPr>
      <w:r>
        <w:t>3.4.2.</w:t>
      </w:r>
      <w:r>
        <w:rPr>
          <w:rFonts w:hint="eastAsia" w:eastAsia="宋体"/>
          <w:lang w:val="en-US" w:eastAsia="zh-CN"/>
        </w:rPr>
        <w:t>6</w:t>
      </w:r>
      <w:r>
        <w:t xml:space="preserve"> </w:t>
      </w:r>
      <w:r>
        <w:rPr>
          <w:rFonts w:hint="eastAsia" w:eastAsia="宋体"/>
          <w:lang w:val="en-US" w:eastAsia="zh-CN"/>
        </w:rPr>
        <w:t>环境风险</w:t>
      </w:r>
      <w:r>
        <w:t xml:space="preserve"> </w:t>
      </w:r>
    </w:p>
    <w:p w14:paraId="6DFCC196">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风险源调查</w:t>
      </w:r>
    </w:p>
    <w:p w14:paraId="36B55C8F">
      <w:pPr>
        <w:spacing w:line="360" w:lineRule="auto"/>
        <w:ind w:firstLine="480" w:firstLineChars="200"/>
        <w:rPr>
          <w:color w:val="auto"/>
          <w:sz w:val="24"/>
          <w:szCs w:val="24"/>
        </w:rPr>
      </w:pPr>
      <w:r>
        <w:rPr>
          <w:sz w:val="24"/>
          <w:szCs w:val="24"/>
        </w:rPr>
        <w:t>本项目主要风险物质为溶剂乙醇</w:t>
      </w:r>
      <w:r>
        <w:rPr>
          <w:rFonts w:hint="eastAsia"/>
          <w:sz w:val="24"/>
          <w:szCs w:val="24"/>
          <w:lang w:eastAsia="zh-CN"/>
        </w:rPr>
        <w:t>，</w:t>
      </w:r>
      <w:r>
        <w:rPr>
          <w:sz w:val="24"/>
          <w:szCs w:val="24"/>
        </w:rPr>
        <w:t>乙醇不在《建设项目环境风险评价技术导则》(HJ 169-2018)的附录B中，根据附录B.2其他危险物质的临界量鉴别方法，查看乙醇的MSDS数据。与《化学品分类和标签规范 第18部分：急性毒性》（GB30000.18-2013）和《化学品分类和标签规范 第28部分：对水生环境的危害》（GB30000.28-2013）中的判定过程进行对比可知乙醇不属于健康危险急性毒性物质和危害水环境物质，不属于《建设项目环境风险评价技术导则》(HJ 169-2018)附录B中其他危险物质。查阅《企业突发环境事件风险分级方法》（HJ941-2018）附录A—突发环境事件风险物质及临界量，其中乙醇临界量为500t。</w:t>
      </w:r>
      <w:r>
        <w:rPr>
          <w:rFonts w:hint="eastAsia"/>
          <w:color w:val="auto"/>
          <w:sz w:val="24"/>
          <w:szCs w:val="24"/>
          <w:lang w:val="en-US" w:eastAsia="zh-CN"/>
        </w:rPr>
        <w:t>蒸馏车间</w:t>
      </w:r>
      <w:r>
        <w:rPr>
          <w:color w:val="auto"/>
          <w:sz w:val="24"/>
          <w:szCs w:val="24"/>
        </w:rPr>
        <w:t>设置3</w:t>
      </w:r>
      <w:r>
        <w:rPr>
          <w:rFonts w:hint="eastAsia"/>
          <w:color w:val="auto"/>
          <w:sz w:val="24"/>
          <w:szCs w:val="24"/>
          <w:lang w:val="en-US" w:eastAsia="zh-CN"/>
        </w:rPr>
        <w:t>0</w:t>
      </w:r>
      <w:r>
        <w:rPr>
          <w:color w:val="auto"/>
          <w:sz w:val="24"/>
          <w:szCs w:val="24"/>
        </w:rPr>
        <w:t>0m</w:t>
      </w:r>
      <w:r>
        <w:rPr>
          <w:color w:val="auto"/>
          <w:sz w:val="24"/>
          <w:szCs w:val="24"/>
          <w:vertAlign w:val="superscript"/>
        </w:rPr>
        <w:t>3</w:t>
      </w:r>
      <w:r>
        <w:rPr>
          <w:color w:val="auto"/>
          <w:sz w:val="24"/>
          <w:szCs w:val="24"/>
        </w:rPr>
        <w:t>的</w:t>
      </w:r>
      <w:r>
        <w:rPr>
          <w:rFonts w:hint="eastAsia"/>
          <w:color w:val="auto"/>
          <w:sz w:val="24"/>
          <w:szCs w:val="24"/>
          <w:lang w:val="en-US" w:eastAsia="zh-CN"/>
        </w:rPr>
        <w:t>医用酒精暂存</w:t>
      </w:r>
      <w:r>
        <w:rPr>
          <w:color w:val="auto"/>
          <w:sz w:val="24"/>
          <w:szCs w:val="24"/>
        </w:rPr>
        <w:t>储罐</w:t>
      </w:r>
      <w:r>
        <w:rPr>
          <w:rFonts w:hint="eastAsia"/>
          <w:color w:val="auto"/>
          <w:sz w:val="24"/>
          <w:szCs w:val="24"/>
          <w:lang w:val="en-US" w:eastAsia="zh-CN"/>
        </w:rPr>
        <w:t>3</w:t>
      </w:r>
      <w:r>
        <w:rPr>
          <w:color w:val="auto"/>
          <w:sz w:val="24"/>
          <w:szCs w:val="24"/>
        </w:rPr>
        <w:t>个</w:t>
      </w:r>
      <w:r>
        <w:rPr>
          <w:rFonts w:hint="eastAsia"/>
          <w:color w:val="auto"/>
          <w:sz w:val="24"/>
          <w:szCs w:val="24"/>
          <w:lang w:eastAsia="zh-CN"/>
        </w:rPr>
        <w:t>，</w:t>
      </w:r>
      <w:r>
        <w:rPr>
          <w:color w:val="auto"/>
          <w:sz w:val="24"/>
          <w:szCs w:val="24"/>
        </w:rPr>
        <w:t>乙醇的最大存在量为</w:t>
      </w:r>
      <w:r>
        <w:rPr>
          <w:rFonts w:hint="eastAsia"/>
          <w:color w:val="auto"/>
          <w:sz w:val="24"/>
          <w:szCs w:val="24"/>
          <w:lang w:val="en-US" w:eastAsia="zh-CN"/>
        </w:rPr>
        <w:t>9</w:t>
      </w:r>
      <w:r>
        <w:rPr>
          <w:rFonts w:hint="eastAsia"/>
          <w:color w:val="auto"/>
          <w:sz w:val="24"/>
          <w:szCs w:val="24"/>
        </w:rPr>
        <w:t>00</w:t>
      </w:r>
      <w:r>
        <w:rPr>
          <w:color w:val="auto"/>
          <w:sz w:val="24"/>
          <w:szCs w:val="24"/>
        </w:rPr>
        <w:t>m</w:t>
      </w:r>
      <w:r>
        <w:rPr>
          <w:color w:val="auto"/>
          <w:sz w:val="24"/>
          <w:szCs w:val="24"/>
          <w:vertAlign w:val="superscript"/>
        </w:rPr>
        <w:t>3</w:t>
      </w:r>
      <w:r>
        <w:rPr>
          <w:rFonts w:hint="eastAsia"/>
          <w:color w:val="auto"/>
          <w:sz w:val="24"/>
          <w:szCs w:val="24"/>
        </w:rPr>
        <w:t>，</w:t>
      </w:r>
      <w:r>
        <w:rPr>
          <w:color w:val="auto"/>
          <w:sz w:val="24"/>
          <w:szCs w:val="24"/>
        </w:rPr>
        <w:t>乙醇相对密度为0.79</w:t>
      </w:r>
      <w:r>
        <w:rPr>
          <w:rFonts w:hint="eastAsia"/>
          <w:color w:val="auto"/>
          <w:sz w:val="24"/>
          <w:szCs w:val="24"/>
        </w:rPr>
        <w:t>，</w:t>
      </w:r>
      <w:r>
        <w:rPr>
          <w:color w:val="auto"/>
          <w:sz w:val="24"/>
          <w:szCs w:val="24"/>
        </w:rPr>
        <w:t>所以乙醇</w:t>
      </w:r>
      <w:r>
        <w:rPr>
          <w:rFonts w:hint="eastAsia"/>
          <w:color w:val="auto"/>
          <w:sz w:val="24"/>
          <w:szCs w:val="24"/>
        </w:rPr>
        <w:t>存在</w:t>
      </w:r>
      <w:r>
        <w:rPr>
          <w:color w:val="auto"/>
          <w:sz w:val="24"/>
          <w:szCs w:val="24"/>
        </w:rPr>
        <w:t>量为</w:t>
      </w:r>
      <w:r>
        <w:rPr>
          <w:rFonts w:hint="eastAsia"/>
          <w:color w:val="auto"/>
          <w:sz w:val="24"/>
          <w:szCs w:val="24"/>
          <w:lang w:val="en-US" w:eastAsia="zh-CN"/>
        </w:rPr>
        <w:t>711</w:t>
      </w:r>
      <w:r>
        <w:rPr>
          <w:color w:val="auto"/>
          <w:sz w:val="24"/>
          <w:szCs w:val="24"/>
        </w:rPr>
        <w:t>t。</w:t>
      </w:r>
    </w:p>
    <w:p w14:paraId="575E75F1">
      <w:pPr>
        <w:widowControl w:val="0"/>
        <w:spacing w:line="360" w:lineRule="auto"/>
        <w:jc w:val="center"/>
        <w:rPr>
          <w:rFonts w:ascii="Times New Roman" w:hAnsi="Times New Roman" w:cs="Times New Roman"/>
          <w:b/>
          <w:lang w:bidi="ar"/>
        </w:rPr>
      </w:pPr>
      <w:r>
        <w:rPr>
          <w:rFonts w:ascii="Times New Roman" w:hAnsi="Times New Roman" w:cs="Times New Roman"/>
          <w:b/>
          <w:lang w:bidi="ar"/>
        </w:rPr>
        <w:t>表</w:t>
      </w:r>
      <w:r>
        <w:rPr>
          <w:rFonts w:hint="eastAsia" w:cs="Times New Roman"/>
          <w:b/>
          <w:lang w:val="en-US" w:eastAsia="zh-CN" w:bidi="ar"/>
        </w:rPr>
        <w:t>3</w:t>
      </w:r>
      <w:r>
        <w:rPr>
          <w:rFonts w:ascii="Times New Roman" w:hAnsi="Times New Roman" w:cs="Times New Roman"/>
          <w:b/>
          <w:lang w:bidi="ar"/>
        </w:rPr>
        <w:t>.</w:t>
      </w:r>
      <w:r>
        <w:rPr>
          <w:rFonts w:hint="eastAsia" w:cs="Times New Roman"/>
          <w:b/>
          <w:lang w:val="en-US" w:eastAsia="zh-CN" w:bidi="ar"/>
        </w:rPr>
        <w:t>4-6</w:t>
      </w:r>
      <w:r>
        <w:rPr>
          <w:rFonts w:ascii="Times New Roman" w:hAnsi="Times New Roman" w:cs="Times New Roman"/>
          <w:b/>
          <w:lang w:bidi="ar"/>
        </w:rPr>
        <w:t xml:space="preserve"> 危险物质数量与临界量比值（Q）</w:t>
      </w:r>
    </w:p>
    <w:tbl>
      <w:tblPr>
        <w:tblStyle w:val="53"/>
        <w:tblW w:w="91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4"/>
        <w:gridCol w:w="1390"/>
        <w:gridCol w:w="1401"/>
        <w:gridCol w:w="1836"/>
        <w:gridCol w:w="1258"/>
        <w:gridCol w:w="1260"/>
        <w:gridCol w:w="1328"/>
      </w:tblGrid>
      <w:tr w14:paraId="3F01A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724" w:type="dxa"/>
            <w:noWrap w:val="0"/>
            <w:vAlign w:val="center"/>
          </w:tcPr>
          <w:p w14:paraId="2561EAC5">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序号</w:t>
            </w:r>
          </w:p>
        </w:tc>
        <w:tc>
          <w:tcPr>
            <w:tcW w:w="1390" w:type="dxa"/>
            <w:noWrap w:val="0"/>
            <w:vAlign w:val="center"/>
          </w:tcPr>
          <w:p w14:paraId="68E0B0F9">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储存介质</w:t>
            </w:r>
          </w:p>
        </w:tc>
        <w:tc>
          <w:tcPr>
            <w:tcW w:w="1401" w:type="dxa"/>
            <w:noWrap w:val="0"/>
            <w:vAlign w:val="center"/>
          </w:tcPr>
          <w:p w14:paraId="502F1048">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工艺名称</w:t>
            </w:r>
          </w:p>
        </w:tc>
        <w:tc>
          <w:tcPr>
            <w:tcW w:w="1836" w:type="dxa"/>
            <w:noWrap w:val="0"/>
            <w:vAlign w:val="center"/>
          </w:tcPr>
          <w:p w14:paraId="29D92264">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储罐容积及个数</w:t>
            </w:r>
          </w:p>
        </w:tc>
        <w:tc>
          <w:tcPr>
            <w:tcW w:w="1258" w:type="dxa"/>
            <w:noWrap w:val="0"/>
            <w:vAlign w:val="center"/>
          </w:tcPr>
          <w:p w14:paraId="15869F9B">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临界量（t）</w:t>
            </w:r>
          </w:p>
        </w:tc>
        <w:tc>
          <w:tcPr>
            <w:tcW w:w="1260" w:type="dxa"/>
            <w:noWrap w:val="0"/>
            <w:vAlign w:val="center"/>
          </w:tcPr>
          <w:p w14:paraId="05F17A10">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企业最大在线量（t）</w:t>
            </w:r>
          </w:p>
        </w:tc>
        <w:tc>
          <w:tcPr>
            <w:tcW w:w="1328" w:type="dxa"/>
            <w:noWrap w:val="0"/>
            <w:vAlign w:val="center"/>
          </w:tcPr>
          <w:p w14:paraId="60529AD9">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Q值</w:t>
            </w:r>
          </w:p>
        </w:tc>
      </w:tr>
      <w:tr w14:paraId="79605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724" w:type="dxa"/>
            <w:noWrap w:val="0"/>
            <w:vAlign w:val="center"/>
          </w:tcPr>
          <w:p w14:paraId="0E0FF2C5">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1</w:t>
            </w:r>
          </w:p>
        </w:tc>
        <w:tc>
          <w:tcPr>
            <w:tcW w:w="1390" w:type="dxa"/>
            <w:noWrap w:val="0"/>
            <w:vAlign w:val="center"/>
          </w:tcPr>
          <w:p w14:paraId="132201AF">
            <w:pPr>
              <w:tabs>
                <w:tab w:val="left" w:pos="1021"/>
              </w:tabs>
              <w:adjustRightInd w:val="0"/>
              <w:snapToGrid w:val="0"/>
              <w:jc w:val="center"/>
              <w:rPr>
                <w:rFonts w:hint="default" w:ascii="Times New Roman" w:hAnsi="Times New Roman" w:eastAsia="宋体" w:cs="Times New Roman"/>
                <w:snapToGrid w:val="0"/>
                <w:kern w:val="0"/>
                <w:sz w:val="21"/>
                <w:szCs w:val="21"/>
                <w:lang w:val="en-US" w:eastAsia="zh-CN"/>
              </w:rPr>
            </w:pPr>
            <w:r>
              <w:rPr>
                <w:rFonts w:hint="eastAsia" w:cs="Times New Roman"/>
                <w:snapToGrid w:val="0"/>
                <w:kern w:val="0"/>
                <w:sz w:val="21"/>
                <w:szCs w:val="21"/>
                <w:lang w:val="en-US" w:eastAsia="zh-CN"/>
              </w:rPr>
              <w:t>医用酒精</w:t>
            </w:r>
          </w:p>
        </w:tc>
        <w:tc>
          <w:tcPr>
            <w:tcW w:w="1401" w:type="dxa"/>
            <w:noWrap w:val="0"/>
            <w:vAlign w:val="center"/>
          </w:tcPr>
          <w:p w14:paraId="21CF3279">
            <w:pPr>
              <w:widowControl/>
              <w:adjustRightInd w:val="0"/>
              <w:snapToGrid w:val="0"/>
              <w:jc w:val="center"/>
              <w:rPr>
                <w:rFonts w:hint="default" w:ascii="Times New Roman" w:hAnsi="Times New Roman" w:cs="Times New Roman"/>
                <w:snapToGrid w:val="0"/>
                <w:sz w:val="21"/>
                <w:szCs w:val="21"/>
              </w:rPr>
            </w:pPr>
            <w:r>
              <w:rPr>
                <w:rFonts w:hint="eastAsia" w:cs="Times New Roman"/>
                <w:snapToGrid w:val="0"/>
                <w:sz w:val="21"/>
                <w:szCs w:val="21"/>
                <w:lang w:val="en-US" w:eastAsia="zh-CN"/>
              </w:rPr>
              <w:t>医用酒精暂存</w:t>
            </w:r>
            <w:r>
              <w:rPr>
                <w:rFonts w:hint="default" w:ascii="Times New Roman" w:hAnsi="Times New Roman" w:cs="Times New Roman"/>
                <w:snapToGrid w:val="0"/>
                <w:sz w:val="21"/>
                <w:szCs w:val="21"/>
              </w:rPr>
              <w:t>区</w:t>
            </w:r>
          </w:p>
        </w:tc>
        <w:tc>
          <w:tcPr>
            <w:tcW w:w="1836" w:type="dxa"/>
            <w:noWrap w:val="0"/>
            <w:vAlign w:val="center"/>
          </w:tcPr>
          <w:p w14:paraId="5A122BD0">
            <w:pPr>
              <w:widowControl/>
              <w:adjustRightInd w:val="0"/>
              <w:snapToGrid w:val="0"/>
              <w:jc w:val="center"/>
              <w:rPr>
                <w:rFonts w:hint="default" w:ascii="Times New Roman" w:hAnsi="Times New Roman" w:cs="Times New Roman"/>
                <w:snapToGrid w:val="0"/>
                <w:sz w:val="21"/>
                <w:szCs w:val="21"/>
              </w:rPr>
            </w:pPr>
            <w:r>
              <w:rPr>
                <w:rFonts w:hint="default" w:ascii="Times New Roman" w:hAnsi="Times New Roman" w:cs="Times New Roman"/>
                <w:snapToGrid w:val="0"/>
                <w:kern w:val="0"/>
                <w:sz w:val="21"/>
                <w:szCs w:val="21"/>
              </w:rPr>
              <w:t>3</w:t>
            </w:r>
            <w:r>
              <w:rPr>
                <w:rFonts w:hint="eastAsia" w:cs="Times New Roman"/>
                <w:snapToGrid w:val="0"/>
                <w:kern w:val="0"/>
                <w:sz w:val="21"/>
                <w:szCs w:val="21"/>
                <w:lang w:val="en-US" w:eastAsia="zh-CN"/>
              </w:rPr>
              <w:t>0</w:t>
            </w:r>
            <w:r>
              <w:rPr>
                <w:rFonts w:hint="default" w:ascii="Times New Roman" w:hAnsi="Times New Roman" w:cs="Times New Roman"/>
                <w:snapToGrid w:val="0"/>
                <w:kern w:val="0"/>
                <w:sz w:val="21"/>
                <w:szCs w:val="21"/>
              </w:rPr>
              <w:t>0m</w:t>
            </w:r>
            <w:r>
              <w:rPr>
                <w:rFonts w:hint="default" w:ascii="Times New Roman" w:hAnsi="Times New Roman" w:cs="Times New Roman"/>
                <w:snapToGrid w:val="0"/>
                <w:kern w:val="0"/>
                <w:sz w:val="21"/>
                <w:szCs w:val="21"/>
                <w:vertAlign w:val="superscript"/>
              </w:rPr>
              <w:t>3</w:t>
            </w:r>
            <w:r>
              <w:rPr>
                <w:rFonts w:hint="default" w:ascii="Times New Roman" w:hAnsi="Times New Roman" w:cs="Times New Roman"/>
                <w:snapToGrid w:val="0"/>
                <w:kern w:val="0"/>
                <w:sz w:val="21"/>
                <w:szCs w:val="21"/>
              </w:rPr>
              <w:t>×</w:t>
            </w:r>
            <w:r>
              <w:rPr>
                <w:rFonts w:hint="eastAsia" w:cs="Times New Roman"/>
                <w:snapToGrid w:val="0"/>
                <w:kern w:val="0"/>
                <w:sz w:val="21"/>
                <w:szCs w:val="21"/>
                <w:lang w:val="en-US" w:eastAsia="zh-CN"/>
              </w:rPr>
              <w:t>3</w:t>
            </w:r>
            <w:r>
              <w:rPr>
                <w:rFonts w:hint="default" w:ascii="Times New Roman" w:hAnsi="Times New Roman" w:cs="Times New Roman"/>
                <w:snapToGrid w:val="0"/>
                <w:kern w:val="0"/>
                <w:sz w:val="21"/>
                <w:szCs w:val="21"/>
              </w:rPr>
              <w:t>个</w:t>
            </w:r>
          </w:p>
        </w:tc>
        <w:tc>
          <w:tcPr>
            <w:tcW w:w="1258" w:type="dxa"/>
            <w:noWrap w:val="0"/>
            <w:vAlign w:val="center"/>
          </w:tcPr>
          <w:p w14:paraId="53468DB6">
            <w:pPr>
              <w:tabs>
                <w:tab w:val="left" w:pos="1021"/>
              </w:tabs>
              <w:adjustRightInd w:val="0"/>
              <w:snapToGrid w:val="0"/>
              <w:jc w:val="center"/>
              <w:rPr>
                <w:rFonts w:hint="default" w:ascii="Times New Roman" w:hAnsi="Times New Roman" w:cs="Times New Roman"/>
                <w:snapToGrid w:val="0"/>
                <w:kern w:val="0"/>
                <w:sz w:val="21"/>
                <w:szCs w:val="21"/>
              </w:rPr>
            </w:pPr>
            <w:r>
              <w:rPr>
                <w:rFonts w:hint="default" w:ascii="Times New Roman" w:hAnsi="Times New Roman" w:cs="Times New Roman"/>
                <w:snapToGrid w:val="0"/>
                <w:kern w:val="0"/>
                <w:sz w:val="21"/>
                <w:szCs w:val="21"/>
              </w:rPr>
              <w:t>500</w:t>
            </w:r>
          </w:p>
        </w:tc>
        <w:tc>
          <w:tcPr>
            <w:tcW w:w="1260" w:type="dxa"/>
            <w:noWrap w:val="0"/>
            <w:vAlign w:val="center"/>
          </w:tcPr>
          <w:p w14:paraId="1C55DD8A">
            <w:pPr>
              <w:tabs>
                <w:tab w:val="left" w:pos="1021"/>
              </w:tabs>
              <w:adjustRightInd w:val="0"/>
              <w:snapToGrid w:val="0"/>
              <w:jc w:val="center"/>
              <w:rPr>
                <w:rFonts w:hint="default" w:ascii="Times New Roman" w:hAnsi="Times New Roman" w:eastAsia="宋体" w:cs="Times New Roman"/>
                <w:snapToGrid w:val="0"/>
                <w:kern w:val="0"/>
                <w:sz w:val="21"/>
                <w:szCs w:val="21"/>
                <w:lang w:val="en-US" w:eastAsia="zh-CN"/>
              </w:rPr>
            </w:pPr>
            <w:r>
              <w:rPr>
                <w:rFonts w:hint="default" w:ascii="Times New Roman" w:hAnsi="Times New Roman" w:cs="Times New Roman"/>
                <w:snapToGrid w:val="0"/>
                <w:kern w:val="0"/>
                <w:sz w:val="21"/>
                <w:szCs w:val="21"/>
              </w:rPr>
              <w:t>7</w:t>
            </w:r>
            <w:r>
              <w:rPr>
                <w:rFonts w:hint="eastAsia" w:cs="Times New Roman"/>
                <w:snapToGrid w:val="0"/>
                <w:kern w:val="0"/>
                <w:sz w:val="21"/>
                <w:szCs w:val="21"/>
                <w:lang w:val="en-US" w:eastAsia="zh-CN"/>
              </w:rPr>
              <w:t>11</w:t>
            </w:r>
          </w:p>
        </w:tc>
        <w:tc>
          <w:tcPr>
            <w:tcW w:w="1328" w:type="dxa"/>
            <w:noWrap w:val="0"/>
            <w:vAlign w:val="center"/>
          </w:tcPr>
          <w:p w14:paraId="7D74FD5A">
            <w:pPr>
              <w:adjustRightInd w:val="0"/>
              <w:snapToGrid w:val="0"/>
              <w:jc w:val="center"/>
              <w:rPr>
                <w:rFonts w:hint="default" w:ascii="Times New Roman" w:hAnsi="Times New Roman" w:eastAsia="宋体" w:cs="Times New Roman"/>
                <w:snapToGrid w:val="0"/>
                <w:sz w:val="21"/>
                <w:szCs w:val="21"/>
                <w:lang w:val="en-US" w:eastAsia="zh-CN"/>
              </w:rPr>
            </w:pPr>
            <w:r>
              <w:rPr>
                <w:rFonts w:hint="eastAsia" w:cs="Times New Roman"/>
                <w:snapToGrid w:val="0"/>
                <w:sz w:val="21"/>
                <w:szCs w:val="21"/>
                <w:lang w:val="en-US" w:eastAsia="zh-CN"/>
              </w:rPr>
              <w:t>1.422</w:t>
            </w:r>
          </w:p>
        </w:tc>
      </w:tr>
    </w:tbl>
    <w:p w14:paraId="572EA7E4">
      <w:pPr>
        <w:spacing w:line="360" w:lineRule="auto"/>
        <w:ind w:firstLine="480"/>
        <w:rPr>
          <w:rFonts w:hint="default" w:ascii="Times New Roman" w:hAnsi="Times New Roman" w:cs="Times New Roman"/>
          <w:color w:val="auto"/>
          <w:szCs w:val="32"/>
        </w:rPr>
      </w:pPr>
      <w:r>
        <w:rPr>
          <w:rFonts w:hint="eastAsia" w:ascii="Times New Roman" w:hAnsi="Times New Roman" w:cs="Times New Roman"/>
          <w:color w:val="auto"/>
          <w:szCs w:val="32"/>
          <w:lang w:val="en-US" w:eastAsia="zh-CN"/>
        </w:rPr>
        <w:t>2</w:t>
      </w:r>
      <w:r>
        <w:rPr>
          <w:rFonts w:hint="default" w:ascii="Times New Roman" w:hAnsi="Times New Roman" w:cs="Times New Roman"/>
          <w:color w:val="auto"/>
          <w:szCs w:val="32"/>
          <w:lang w:val="en-US" w:eastAsia="zh-CN"/>
        </w:rPr>
        <w:t>、</w:t>
      </w:r>
      <w:r>
        <w:rPr>
          <w:rFonts w:hint="default" w:ascii="Times New Roman" w:hAnsi="Times New Roman" w:cs="Times New Roman"/>
          <w:color w:val="auto"/>
          <w:szCs w:val="32"/>
        </w:rPr>
        <w:t>环境风险评价等级</w:t>
      </w:r>
    </w:p>
    <w:p w14:paraId="4B23D4DB">
      <w:pPr>
        <w:spacing w:line="360" w:lineRule="auto"/>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由</w:t>
      </w:r>
      <w:r>
        <w:rPr>
          <w:rFonts w:hint="eastAsia" w:ascii="Times New Roman" w:hAnsi="Times New Roman" w:cs="Times New Roman"/>
          <w:color w:val="auto"/>
          <w:sz w:val="24"/>
          <w:szCs w:val="24"/>
          <w:lang w:val="en-US" w:eastAsia="zh-CN"/>
        </w:rPr>
        <w:t>2.4.7章节</w:t>
      </w:r>
      <w:r>
        <w:rPr>
          <w:rFonts w:hint="default" w:ascii="Times New Roman" w:hAnsi="Times New Roman" w:cs="Times New Roman"/>
          <w:color w:val="auto"/>
          <w:sz w:val="24"/>
          <w:szCs w:val="24"/>
        </w:rPr>
        <w:t>可知，本项目大气环境风险评级等级为</w:t>
      </w:r>
      <w:r>
        <w:rPr>
          <w:rFonts w:hint="default" w:ascii="Times New Roman" w:hAnsi="Times New Roman" w:cs="Times New Roman"/>
          <w:color w:val="auto"/>
          <w:sz w:val="24"/>
          <w:szCs w:val="24"/>
          <w:lang w:val="en-US" w:eastAsia="zh-CN"/>
        </w:rPr>
        <w:t>简单分析</w:t>
      </w:r>
      <w:r>
        <w:rPr>
          <w:rFonts w:hint="default" w:ascii="Times New Roman" w:hAnsi="Times New Roman" w:cs="Times New Roman"/>
          <w:color w:val="auto"/>
          <w:sz w:val="24"/>
          <w:szCs w:val="24"/>
        </w:rPr>
        <w:t>；地表水环境风险评级等级为</w:t>
      </w:r>
      <w:r>
        <w:rPr>
          <w:rFonts w:hint="default" w:ascii="Times New Roman" w:hAnsi="Times New Roman" w:cs="Times New Roman"/>
          <w:color w:val="auto"/>
          <w:sz w:val="24"/>
          <w:szCs w:val="24"/>
          <w:lang w:val="en-US" w:eastAsia="zh-CN"/>
        </w:rPr>
        <w:t>简单分析</w:t>
      </w:r>
      <w:r>
        <w:rPr>
          <w:rFonts w:hint="default" w:ascii="Times New Roman" w:hAnsi="Times New Roman" w:cs="Times New Roman"/>
          <w:color w:val="auto"/>
          <w:sz w:val="24"/>
          <w:szCs w:val="24"/>
        </w:rPr>
        <w:t>；地下水环境风险等级为</w:t>
      </w:r>
      <w:r>
        <w:rPr>
          <w:rFonts w:hint="eastAsia" w:ascii="Times New Roman" w:hAnsi="Times New Roman" w:cs="Times New Roman"/>
          <w:color w:val="auto"/>
          <w:sz w:val="24"/>
          <w:szCs w:val="24"/>
          <w:lang w:val="en-US" w:eastAsia="zh-CN"/>
        </w:rPr>
        <w:t>简单分析</w:t>
      </w:r>
      <w:r>
        <w:rPr>
          <w:rFonts w:hint="default" w:ascii="Times New Roman" w:hAnsi="Times New Roman" w:cs="Times New Roman"/>
          <w:color w:val="auto"/>
          <w:sz w:val="24"/>
          <w:szCs w:val="24"/>
        </w:rPr>
        <w:t>。</w:t>
      </w:r>
    </w:p>
    <w:p w14:paraId="17F1F67B">
      <w:pPr>
        <w:spacing w:line="360" w:lineRule="auto"/>
        <w:ind w:firstLine="480"/>
        <w:rPr>
          <w:rFonts w:hint="default" w:ascii="Times New Roman" w:hAnsi="Times New Roman" w:eastAsia="宋体" w:cs="Times New Roman"/>
          <w:color w:val="auto"/>
        </w:rPr>
      </w:pPr>
      <w:r>
        <w:rPr>
          <w:rFonts w:hint="eastAsia" w:ascii="Times New Roman" w:hAnsi="Times New Roman" w:eastAsia="宋体" w:cs="Times New Roman"/>
          <w:color w:val="auto"/>
          <w:lang w:val="en-US" w:eastAsia="zh-CN"/>
        </w:rPr>
        <w:t>3</w:t>
      </w:r>
      <w:r>
        <w:rPr>
          <w:rFonts w:hint="default" w:ascii="Times New Roman" w:hAnsi="Times New Roman" w:eastAsia="宋体" w:cs="Times New Roman"/>
          <w:color w:val="auto"/>
          <w:lang w:val="en-US" w:eastAsia="zh-CN"/>
        </w:rPr>
        <w:t>、</w:t>
      </w:r>
      <w:r>
        <w:rPr>
          <w:rFonts w:hint="default" w:ascii="Times New Roman" w:hAnsi="Times New Roman" w:eastAsia="宋体" w:cs="Times New Roman"/>
          <w:color w:val="auto"/>
        </w:rPr>
        <w:t>环境敏感目标调查</w:t>
      </w:r>
    </w:p>
    <w:p w14:paraId="598F3860">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本项目位于</w:t>
      </w:r>
      <w:r>
        <w:rPr>
          <w:rFonts w:hint="eastAsia"/>
          <w:lang w:eastAsia="zh-CN"/>
        </w:rPr>
        <w:t>拉哈生物技术与化学制药产业园黑龙江鸿展生物科技股份有限公司院内</w:t>
      </w:r>
      <w:r>
        <w:rPr>
          <w:rFonts w:hint="default" w:ascii="Times New Roman" w:hAnsi="Times New Roman" w:cs="Times New Roman"/>
          <w:color w:val="auto"/>
        </w:rPr>
        <w:t>，</w:t>
      </w:r>
      <w:r>
        <w:rPr>
          <w:rFonts w:hint="eastAsia"/>
          <w:lang w:eastAsia="zh-CN"/>
        </w:rPr>
        <w:t>厂址北侧</w:t>
      </w:r>
      <w:r>
        <w:rPr>
          <w:rFonts w:hint="eastAsia"/>
          <w:lang w:val="en-US" w:eastAsia="zh-CN"/>
        </w:rPr>
        <w:t>为鸿展仓储物流项目；</w:t>
      </w:r>
      <w:r>
        <w:rPr>
          <w:rFonts w:hint="eastAsia"/>
          <w:lang w:eastAsia="zh-CN"/>
        </w:rPr>
        <w:t>东北侧为前屯；东南侧为齐齐哈尔鹏程北方糖业股份有限公司；南侧为示范场村，西侧为空地。</w:t>
      </w:r>
    </w:p>
    <w:p w14:paraId="5BFBCEC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lang w:eastAsia="zh-CN"/>
        </w:rPr>
      </w:pPr>
      <w:r>
        <w:rPr>
          <w:rFonts w:hint="default" w:ascii="Times New Roman" w:hAnsi="Times New Roman" w:cs="Times New Roman"/>
          <w:b/>
          <w:color w:val="auto"/>
          <w:sz w:val="24"/>
          <w:highlight w:val="none"/>
        </w:rPr>
        <w:t>表</w:t>
      </w:r>
      <w:r>
        <w:rPr>
          <w:rFonts w:hint="default" w:ascii="Times New Roman" w:hAnsi="Times New Roman" w:cs="Times New Roman"/>
          <w:b/>
          <w:color w:val="auto"/>
          <w:sz w:val="24"/>
          <w:highlight w:val="none"/>
          <w:lang w:val="en-US" w:eastAsia="zh-CN"/>
        </w:rPr>
        <w:t>3.4-</w:t>
      </w:r>
      <w:r>
        <w:rPr>
          <w:rFonts w:hint="eastAsia" w:ascii="Times New Roman" w:hAnsi="Times New Roman" w:cs="Times New Roman"/>
          <w:b/>
          <w:color w:val="auto"/>
          <w:sz w:val="24"/>
          <w:highlight w:val="none"/>
          <w:lang w:val="en-US" w:eastAsia="zh-CN"/>
        </w:rPr>
        <w:t>7</w:t>
      </w:r>
      <w:r>
        <w:rPr>
          <w:rFonts w:hint="default" w:ascii="Times New Roman" w:hAnsi="Times New Roman" w:cs="Times New Roman"/>
          <w:b/>
          <w:color w:val="auto"/>
          <w:sz w:val="24"/>
          <w:highlight w:val="none"/>
        </w:rPr>
        <w:t xml:space="preserve"> </w:t>
      </w:r>
      <w:r>
        <w:rPr>
          <w:rFonts w:hint="default" w:ascii="Times New Roman" w:hAnsi="Times New Roman" w:cs="Times New Roman"/>
          <w:b/>
          <w:color w:val="auto"/>
          <w:sz w:val="24"/>
          <w:highlight w:val="none"/>
          <w:lang w:eastAsia="zh-CN"/>
        </w:rPr>
        <w:t>环境风险受体</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62"/>
        <w:gridCol w:w="2254"/>
        <w:gridCol w:w="1035"/>
        <w:gridCol w:w="1130"/>
        <w:gridCol w:w="1184"/>
        <w:gridCol w:w="2612"/>
      </w:tblGrid>
      <w:tr w14:paraId="0A261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tcBorders>
              <w:tl2br w:val="nil"/>
              <w:tr2bl w:val="nil"/>
            </w:tcBorders>
            <w:noWrap w:val="0"/>
            <w:vAlign w:val="center"/>
          </w:tcPr>
          <w:p w14:paraId="08DFCD2F">
            <w:pPr>
              <w:pStyle w:val="99"/>
              <w:keepNext w:val="0"/>
              <w:keepLines w:val="0"/>
              <w:suppressLineNumbers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pacing w:val="0"/>
                <w:kern w:val="2"/>
                <w:sz w:val="21"/>
                <w:szCs w:val="21"/>
              </w:rPr>
            </w:pPr>
            <w:r>
              <w:rPr>
                <w:rFonts w:hint="default" w:ascii="Times New Roman" w:hAnsi="Times New Roman" w:eastAsia="宋体" w:cs="Times New Roman"/>
                <w:b/>
                <w:bCs/>
                <w:color w:val="auto"/>
                <w:spacing w:val="0"/>
                <w:kern w:val="2"/>
                <w:sz w:val="21"/>
                <w:szCs w:val="21"/>
              </w:rPr>
              <w:t>环境要素</w:t>
            </w:r>
          </w:p>
        </w:tc>
        <w:tc>
          <w:tcPr>
            <w:tcW w:w="1241" w:type="pct"/>
            <w:tcBorders>
              <w:tl2br w:val="nil"/>
              <w:tr2bl w:val="nil"/>
            </w:tcBorders>
            <w:noWrap w:val="0"/>
            <w:vAlign w:val="center"/>
          </w:tcPr>
          <w:p w14:paraId="20C59FBA">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名称</w:t>
            </w:r>
          </w:p>
        </w:tc>
        <w:tc>
          <w:tcPr>
            <w:tcW w:w="570" w:type="pct"/>
            <w:tcBorders>
              <w:tl2br w:val="nil"/>
              <w:tr2bl w:val="nil"/>
            </w:tcBorders>
            <w:noWrap w:val="0"/>
            <w:vAlign w:val="center"/>
          </w:tcPr>
          <w:p w14:paraId="36A61B56">
            <w:pPr>
              <w:pStyle w:val="99"/>
              <w:keepNext w:val="0"/>
              <w:keepLines w:val="0"/>
              <w:suppressLineNumbers w:val="0"/>
              <w:adjustRightIn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pacing w:val="0"/>
                <w:kern w:val="2"/>
                <w:sz w:val="21"/>
                <w:szCs w:val="21"/>
              </w:rPr>
            </w:pPr>
            <w:r>
              <w:rPr>
                <w:rFonts w:hint="default" w:ascii="Times New Roman" w:hAnsi="Times New Roman" w:eastAsia="宋体" w:cs="Times New Roman"/>
                <w:b/>
                <w:bCs/>
                <w:color w:val="auto"/>
                <w:spacing w:val="0"/>
                <w:kern w:val="2"/>
                <w:sz w:val="21"/>
                <w:szCs w:val="21"/>
              </w:rPr>
              <w:t>相对位置</w:t>
            </w:r>
          </w:p>
        </w:tc>
        <w:tc>
          <w:tcPr>
            <w:tcW w:w="622" w:type="pct"/>
            <w:tcBorders>
              <w:tl2br w:val="nil"/>
              <w:tr2bl w:val="nil"/>
            </w:tcBorders>
            <w:noWrap w:val="0"/>
            <w:vAlign w:val="center"/>
          </w:tcPr>
          <w:p w14:paraId="731AFA2B">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距厂界最近距离</w:t>
            </w:r>
            <w:r>
              <w:rPr>
                <w:rFonts w:hint="default" w:ascii="Times New Roman" w:hAnsi="Times New Roman" w:cs="Times New Roman"/>
                <w:b/>
                <w:bCs/>
                <w:color w:val="auto"/>
                <w:sz w:val="21"/>
                <w:szCs w:val="21"/>
                <w:lang w:eastAsia="zh-CN"/>
              </w:rPr>
              <w:t>（</w:t>
            </w:r>
            <w:r>
              <w:rPr>
                <w:rFonts w:hint="default" w:ascii="Times New Roman" w:hAnsi="Times New Roman" w:cs="Times New Roman"/>
                <w:b/>
                <w:bCs/>
                <w:color w:val="auto"/>
                <w:sz w:val="21"/>
                <w:szCs w:val="21"/>
              </w:rPr>
              <w:t>m</w:t>
            </w:r>
            <w:r>
              <w:rPr>
                <w:rFonts w:hint="default" w:ascii="Times New Roman" w:hAnsi="Times New Roman" w:cs="Times New Roman"/>
                <w:b/>
                <w:bCs/>
                <w:color w:val="auto"/>
                <w:sz w:val="21"/>
                <w:szCs w:val="21"/>
                <w:lang w:eastAsia="zh-CN"/>
              </w:rPr>
              <w:t>）</w:t>
            </w:r>
          </w:p>
        </w:tc>
        <w:tc>
          <w:tcPr>
            <w:tcW w:w="651" w:type="pct"/>
            <w:tcBorders>
              <w:tl2br w:val="nil"/>
              <w:tr2bl w:val="nil"/>
            </w:tcBorders>
            <w:noWrap w:val="0"/>
            <w:vAlign w:val="center"/>
          </w:tcPr>
          <w:p w14:paraId="34011608">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受影响人数（人）</w:t>
            </w:r>
          </w:p>
        </w:tc>
        <w:tc>
          <w:tcPr>
            <w:tcW w:w="1438" w:type="pct"/>
            <w:tcBorders>
              <w:tl2br w:val="nil"/>
              <w:tr2bl w:val="nil"/>
            </w:tcBorders>
            <w:noWrap w:val="0"/>
            <w:vAlign w:val="center"/>
          </w:tcPr>
          <w:p w14:paraId="11ABAFF5">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功能要求</w:t>
            </w:r>
          </w:p>
        </w:tc>
      </w:tr>
      <w:tr w14:paraId="018B6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vMerge w:val="restart"/>
            <w:tcBorders>
              <w:tl2br w:val="nil"/>
              <w:tr2bl w:val="nil"/>
            </w:tcBorders>
            <w:noWrap w:val="0"/>
            <w:vAlign w:val="center"/>
          </w:tcPr>
          <w:p w14:paraId="66728868">
            <w:pPr>
              <w:pStyle w:val="99"/>
              <w:keepNext w:val="0"/>
              <w:keepLines w:val="0"/>
              <w:suppressLineNumbers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21"/>
                <w:szCs w:val="21"/>
              </w:rPr>
            </w:pPr>
            <w:r>
              <w:rPr>
                <w:rFonts w:hint="default" w:ascii="Times New Roman" w:hAnsi="Times New Roman" w:eastAsia="宋体" w:cs="Times New Roman"/>
                <w:color w:val="auto"/>
                <w:spacing w:val="0"/>
                <w:kern w:val="2"/>
                <w:sz w:val="21"/>
                <w:szCs w:val="21"/>
              </w:rPr>
              <w:t>环境空气</w:t>
            </w:r>
          </w:p>
        </w:tc>
        <w:tc>
          <w:tcPr>
            <w:tcW w:w="1241" w:type="pct"/>
            <w:tcBorders>
              <w:tl2br w:val="nil"/>
              <w:tr2bl w:val="nil"/>
            </w:tcBorders>
            <w:shd w:val="clear" w:color="auto" w:fill="auto"/>
            <w:noWrap w:val="0"/>
            <w:vAlign w:val="center"/>
          </w:tcPr>
          <w:p w14:paraId="1E5A5434">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sz w:val="21"/>
                <w:szCs w:val="21"/>
                <w:lang w:val="en-US" w:eastAsia="zh-CN"/>
              </w:rPr>
              <w:t>前屯</w:t>
            </w:r>
          </w:p>
        </w:tc>
        <w:tc>
          <w:tcPr>
            <w:tcW w:w="570" w:type="pct"/>
            <w:tcBorders>
              <w:tl2br w:val="nil"/>
              <w:tr2bl w:val="nil"/>
            </w:tcBorders>
            <w:shd w:val="clear" w:color="auto" w:fill="auto"/>
            <w:noWrap w:val="0"/>
            <w:vAlign w:val="center"/>
          </w:tcPr>
          <w:p w14:paraId="026EBDB0">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sz w:val="21"/>
                <w:szCs w:val="21"/>
                <w:lang w:val="en-US" w:eastAsia="zh-CN"/>
              </w:rPr>
              <w:t>NE</w:t>
            </w:r>
          </w:p>
        </w:tc>
        <w:tc>
          <w:tcPr>
            <w:tcW w:w="622" w:type="pct"/>
            <w:tcBorders>
              <w:tl2br w:val="nil"/>
              <w:tr2bl w:val="nil"/>
            </w:tcBorders>
            <w:shd w:val="clear" w:color="auto" w:fill="auto"/>
            <w:noWrap w:val="0"/>
            <w:vAlign w:val="center"/>
          </w:tcPr>
          <w:p w14:paraId="3DD9FE53">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sz w:val="21"/>
                <w:szCs w:val="21"/>
                <w:lang w:val="en-US" w:eastAsia="zh-CN"/>
              </w:rPr>
              <w:t>0.03</w:t>
            </w:r>
          </w:p>
        </w:tc>
        <w:tc>
          <w:tcPr>
            <w:tcW w:w="651" w:type="pct"/>
            <w:tcBorders>
              <w:tl2br w:val="nil"/>
              <w:tr2bl w:val="nil"/>
            </w:tcBorders>
            <w:noWrap w:val="0"/>
            <w:vAlign w:val="center"/>
          </w:tcPr>
          <w:p w14:paraId="09D075E2">
            <w:pPr>
              <w:keepNext w:val="0"/>
              <w:keepLines w:val="0"/>
              <w:suppressLineNumbers w:val="0"/>
              <w:tabs>
                <w:tab w:val="left" w:leader="middleDot" w:pos="0"/>
              </w:tabs>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sz w:val="21"/>
                <w:szCs w:val="21"/>
                <w:lang w:val="en-US" w:eastAsia="zh-CN"/>
              </w:rPr>
              <w:t>5</w:t>
            </w:r>
            <w:r>
              <w:rPr>
                <w:rFonts w:hint="default" w:ascii="Times New Roman" w:hAnsi="Times New Roman" w:cs="Times New Roman"/>
                <w:color w:val="auto"/>
                <w:sz w:val="21"/>
                <w:szCs w:val="21"/>
              </w:rPr>
              <w:t>00</w:t>
            </w:r>
          </w:p>
        </w:tc>
        <w:tc>
          <w:tcPr>
            <w:tcW w:w="1438" w:type="pct"/>
            <w:vMerge w:val="restart"/>
            <w:tcBorders>
              <w:tl2br w:val="nil"/>
              <w:tr2bl w:val="nil"/>
            </w:tcBorders>
            <w:noWrap w:val="0"/>
            <w:vAlign w:val="center"/>
          </w:tcPr>
          <w:p w14:paraId="4C8BC6F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《环境空气质量标准》（GB3095-2012）</w:t>
            </w:r>
          </w:p>
          <w:p w14:paraId="29B0504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中二类</w:t>
            </w:r>
          </w:p>
        </w:tc>
      </w:tr>
      <w:tr w14:paraId="5293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vMerge w:val="continue"/>
            <w:tcBorders>
              <w:tl2br w:val="nil"/>
              <w:tr2bl w:val="nil"/>
            </w:tcBorders>
            <w:noWrap w:val="0"/>
            <w:vAlign w:val="center"/>
          </w:tcPr>
          <w:p w14:paraId="07F03473">
            <w:pPr>
              <w:pStyle w:val="99"/>
              <w:keepNext w:val="0"/>
              <w:keepLines w:val="0"/>
              <w:suppressLineNumbers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21"/>
                <w:szCs w:val="21"/>
              </w:rPr>
            </w:pPr>
          </w:p>
        </w:tc>
        <w:tc>
          <w:tcPr>
            <w:tcW w:w="1241" w:type="pct"/>
            <w:tcBorders>
              <w:tl2br w:val="nil"/>
              <w:tr2bl w:val="nil"/>
            </w:tcBorders>
            <w:shd w:val="clear" w:color="auto" w:fill="auto"/>
            <w:noWrap w:val="0"/>
            <w:vAlign w:val="center"/>
          </w:tcPr>
          <w:p w14:paraId="08EE30C7">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sz w:val="21"/>
                <w:szCs w:val="21"/>
                <w:lang w:val="en-US" w:eastAsia="zh-CN"/>
              </w:rPr>
              <w:t>大桥口</w:t>
            </w:r>
          </w:p>
        </w:tc>
        <w:tc>
          <w:tcPr>
            <w:tcW w:w="570" w:type="pct"/>
            <w:tcBorders>
              <w:tl2br w:val="nil"/>
              <w:tr2bl w:val="nil"/>
            </w:tcBorders>
            <w:shd w:val="clear" w:color="auto" w:fill="auto"/>
            <w:noWrap w:val="0"/>
            <w:vAlign w:val="center"/>
          </w:tcPr>
          <w:p w14:paraId="1F6D685F">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sz w:val="21"/>
                <w:szCs w:val="21"/>
                <w:lang w:val="en-US" w:eastAsia="zh-CN"/>
              </w:rPr>
              <w:t>NE</w:t>
            </w:r>
          </w:p>
        </w:tc>
        <w:tc>
          <w:tcPr>
            <w:tcW w:w="622" w:type="pct"/>
            <w:tcBorders>
              <w:tl2br w:val="nil"/>
              <w:tr2bl w:val="nil"/>
            </w:tcBorders>
            <w:shd w:val="clear" w:color="auto" w:fill="auto"/>
            <w:noWrap w:val="0"/>
            <w:vAlign w:val="center"/>
          </w:tcPr>
          <w:p w14:paraId="45783CD1">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kern w:val="2"/>
                <w:sz w:val="21"/>
                <w:szCs w:val="21"/>
                <w:lang w:val="en-US" w:eastAsia="zh-CN" w:bidi="ar-SA"/>
              </w:rPr>
            </w:pPr>
            <w:r>
              <w:rPr>
                <w:rFonts w:hint="eastAsia" w:ascii="Times New Roman"/>
                <w:sz w:val="21"/>
                <w:szCs w:val="21"/>
                <w:lang w:val="en-US" w:eastAsia="zh-CN"/>
              </w:rPr>
              <w:t>3.43</w:t>
            </w:r>
          </w:p>
        </w:tc>
        <w:tc>
          <w:tcPr>
            <w:tcW w:w="651" w:type="pct"/>
            <w:tcBorders>
              <w:tl2br w:val="nil"/>
              <w:tr2bl w:val="nil"/>
            </w:tcBorders>
            <w:noWrap w:val="0"/>
            <w:vAlign w:val="center"/>
          </w:tcPr>
          <w:p w14:paraId="484E6223">
            <w:pPr>
              <w:keepNext w:val="0"/>
              <w:keepLines w:val="0"/>
              <w:suppressLineNumbers w:val="0"/>
              <w:tabs>
                <w:tab w:val="left" w:leader="middleDot" w:pos="0"/>
              </w:tabs>
              <w:spacing w:before="0" w:beforeAutospacing="0" w:after="0" w:afterAutospacing="0"/>
              <w:ind w:left="0" w:right="0"/>
              <w:jc w:val="center"/>
              <w:rPr>
                <w:rFonts w:hint="default" w:ascii="Times New Roman" w:hAnsi="Times New Roman" w:eastAsia="宋体" w:cs="Times New Roman"/>
                <w:color w:val="auto"/>
                <w:kern w:val="2"/>
                <w:sz w:val="24"/>
                <w:szCs w:val="21"/>
                <w:lang w:val="en-US" w:eastAsia="zh-CN" w:bidi="ar-SA"/>
              </w:rPr>
            </w:pPr>
            <w:r>
              <w:rPr>
                <w:rFonts w:hint="eastAsia" w:ascii="Times New Roman" w:cs="Times New Roman"/>
                <w:color w:val="auto"/>
                <w:sz w:val="21"/>
                <w:szCs w:val="21"/>
                <w:lang w:val="en-US" w:eastAsia="zh-CN"/>
              </w:rPr>
              <w:t>3</w:t>
            </w:r>
            <w:r>
              <w:rPr>
                <w:rFonts w:hint="default" w:ascii="Times New Roman" w:hAnsi="Times New Roman" w:cs="Times New Roman"/>
                <w:color w:val="auto"/>
                <w:sz w:val="21"/>
                <w:szCs w:val="21"/>
              </w:rPr>
              <w:t>00</w:t>
            </w:r>
          </w:p>
        </w:tc>
        <w:tc>
          <w:tcPr>
            <w:tcW w:w="1438" w:type="pct"/>
            <w:vMerge w:val="continue"/>
            <w:tcBorders>
              <w:tl2br w:val="nil"/>
              <w:tr2bl w:val="nil"/>
            </w:tcBorders>
            <w:noWrap w:val="0"/>
            <w:vAlign w:val="center"/>
          </w:tcPr>
          <w:p w14:paraId="7BFC2833">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r>
      <w:tr w14:paraId="6F339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vMerge w:val="continue"/>
            <w:tcBorders>
              <w:tl2br w:val="nil"/>
              <w:tr2bl w:val="nil"/>
            </w:tcBorders>
            <w:noWrap w:val="0"/>
            <w:vAlign w:val="center"/>
          </w:tcPr>
          <w:p w14:paraId="5C392B89">
            <w:pPr>
              <w:pStyle w:val="99"/>
              <w:keepNext w:val="0"/>
              <w:keepLines w:val="0"/>
              <w:suppressLineNumbers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21"/>
                <w:szCs w:val="21"/>
              </w:rPr>
            </w:pPr>
          </w:p>
        </w:tc>
        <w:tc>
          <w:tcPr>
            <w:tcW w:w="1241" w:type="pct"/>
            <w:tcBorders>
              <w:tl2br w:val="nil"/>
              <w:tr2bl w:val="nil"/>
            </w:tcBorders>
            <w:shd w:val="clear" w:color="auto" w:fill="auto"/>
            <w:noWrap w:val="0"/>
            <w:vAlign w:val="center"/>
          </w:tcPr>
          <w:p w14:paraId="639C5DAA">
            <w:pPr>
              <w:pStyle w:val="262"/>
              <w:autoSpaceDE w:val="0"/>
              <w:autoSpaceDN w:val="0"/>
              <w:spacing w:line="320" w:lineRule="exact"/>
              <w:ind w:left="0" w:leftChars="0" w:firstLine="0" w:firstLineChars="0"/>
              <w:jc w:val="center"/>
              <w:textAlignment w:val="bottom"/>
              <w:rPr>
                <w:rFonts w:hint="eastAsia" w:ascii="Times New Roman" w:cs="Times New Roman"/>
                <w:color w:val="auto"/>
                <w:sz w:val="21"/>
                <w:szCs w:val="21"/>
                <w:lang w:val="en-US" w:eastAsia="zh-CN"/>
              </w:rPr>
            </w:pPr>
            <w:r>
              <w:rPr>
                <w:rFonts w:hint="eastAsia" w:ascii="Times New Roman"/>
                <w:sz w:val="21"/>
                <w:szCs w:val="21"/>
                <w:lang w:val="en-US" w:eastAsia="zh-CN"/>
              </w:rPr>
              <w:t>后屯</w:t>
            </w:r>
          </w:p>
        </w:tc>
        <w:tc>
          <w:tcPr>
            <w:tcW w:w="570" w:type="pct"/>
            <w:tcBorders>
              <w:tl2br w:val="nil"/>
              <w:tr2bl w:val="nil"/>
            </w:tcBorders>
            <w:shd w:val="clear" w:color="auto" w:fill="auto"/>
            <w:noWrap w:val="0"/>
            <w:vAlign w:val="center"/>
          </w:tcPr>
          <w:p w14:paraId="1A7B1A0E">
            <w:pPr>
              <w:pStyle w:val="262"/>
              <w:autoSpaceDE w:val="0"/>
              <w:autoSpaceDN w:val="0"/>
              <w:spacing w:line="320" w:lineRule="exact"/>
              <w:ind w:left="0" w:leftChars="0" w:firstLine="0" w:firstLineChars="0"/>
              <w:jc w:val="center"/>
              <w:textAlignment w:val="bottom"/>
              <w:rPr>
                <w:rFonts w:hint="eastAsia" w:ascii="Times New Roman" w:cs="Times New Roman"/>
                <w:color w:val="auto"/>
                <w:sz w:val="21"/>
                <w:szCs w:val="21"/>
                <w:lang w:val="en-US" w:eastAsia="zh-CN"/>
              </w:rPr>
            </w:pPr>
            <w:r>
              <w:rPr>
                <w:rFonts w:hint="eastAsia" w:ascii="Times New Roman"/>
                <w:sz w:val="21"/>
                <w:szCs w:val="21"/>
                <w:lang w:val="en-US" w:eastAsia="zh-CN"/>
              </w:rPr>
              <w:t>N</w:t>
            </w:r>
          </w:p>
        </w:tc>
        <w:tc>
          <w:tcPr>
            <w:tcW w:w="622" w:type="pct"/>
            <w:tcBorders>
              <w:tl2br w:val="nil"/>
              <w:tr2bl w:val="nil"/>
            </w:tcBorders>
            <w:shd w:val="clear" w:color="auto" w:fill="auto"/>
            <w:noWrap w:val="0"/>
            <w:vAlign w:val="center"/>
          </w:tcPr>
          <w:p w14:paraId="3A41DC0B">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ascii="Times New Roman"/>
                <w:sz w:val="21"/>
                <w:szCs w:val="21"/>
                <w:lang w:val="en-US" w:eastAsia="zh-CN"/>
              </w:rPr>
              <w:t>1.74</w:t>
            </w:r>
          </w:p>
        </w:tc>
        <w:tc>
          <w:tcPr>
            <w:tcW w:w="651" w:type="pct"/>
            <w:tcBorders>
              <w:tl2br w:val="nil"/>
              <w:tr2bl w:val="nil"/>
            </w:tcBorders>
            <w:noWrap w:val="0"/>
            <w:vAlign w:val="center"/>
          </w:tcPr>
          <w:p w14:paraId="37FF6233">
            <w:pPr>
              <w:keepNext w:val="0"/>
              <w:keepLines w:val="0"/>
              <w:suppressLineNumbers w:val="0"/>
              <w:tabs>
                <w:tab w:val="left" w:leader="middleDot" w:pos="0"/>
              </w:tabs>
              <w:spacing w:before="0" w:beforeAutospacing="0" w:after="0" w:afterAutospacing="0"/>
              <w:ind w:left="0" w:right="0"/>
              <w:jc w:val="center"/>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300</w:t>
            </w:r>
          </w:p>
        </w:tc>
        <w:tc>
          <w:tcPr>
            <w:tcW w:w="1438" w:type="pct"/>
            <w:vMerge w:val="continue"/>
            <w:tcBorders>
              <w:tl2br w:val="nil"/>
              <w:tr2bl w:val="nil"/>
            </w:tcBorders>
            <w:noWrap w:val="0"/>
            <w:vAlign w:val="center"/>
          </w:tcPr>
          <w:p w14:paraId="3179E53C">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r>
      <w:tr w14:paraId="2CF3B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vMerge w:val="continue"/>
            <w:tcBorders>
              <w:tl2br w:val="nil"/>
              <w:tr2bl w:val="nil"/>
            </w:tcBorders>
            <w:noWrap w:val="0"/>
            <w:vAlign w:val="center"/>
          </w:tcPr>
          <w:p w14:paraId="4F07E5FA">
            <w:pPr>
              <w:pStyle w:val="99"/>
              <w:keepNext w:val="0"/>
              <w:keepLines w:val="0"/>
              <w:suppressLineNumbers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21"/>
                <w:szCs w:val="21"/>
              </w:rPr>
            </w:pPr>
          </w:p>
        </w:tc>
        <w:tc>
          <w:tcPr>
            <w:tcW w:w="1241" w:type="pct"/>
            <w:tcBorders>
              <w:tl2br w:val="nil"/>
              <w:tr2bl w:val="nil"/>
            </w:tcBorders>
            <w:shd w:val="clear" w:color="auto" w:fill="auto"/>
            <w:noWrap w:val="0"/>
            <w:vAlign w:val="center"/>
          </w:tcPr>
          <w:p w14:paraId="3DA5D35C">
            <w:pPr>
              <w:pStyle w:val="262"/>
              <w:autoSpaceDE w:val="0"/>
              <w:autoSpaceDN w:val="0"/>
              <w:spacing w:line="320" w:lineRule="exact"/>
              <w:ind w:left="0" w:leftChars="0" w:firstLine="0" w:firstLineChars="0"/>
              <w:jc w:val="center"/>
              <w:textAlignment w:val="bottom"/>
              <w:rPr>
                <w:rFonts w:hint="eastAsia" w:ascii="Times New Roman" w:cs="Times New Roman"/>
                <w:color w:val="auto"/>
                <w:sz w:val="21"/>
                <w:szCs w:val="21"/>
                <w:lang w:val="en-US" w:eastAsia="zh-CN"/>
              </w:rPr>
            </w:pPr>
            <w:r>
              <w:rPr>
                <w:rFonts w:hint="eastAsia" w:ascii="Times New Roman"/>
                <w:sz w:val="21"/>
                <w:szCs w:val="21"/>
                <w:lang w:val="en-US" w:eastAsia="zh-CN"/>
              </w:rPr>
              <w:t>示范场村</w:t>
            </w:r>
          </w:p>
        </w:tc>
        <w:tc>
          <w:tcPr>
            <w:tcW w:w="570" w:type="pct"/>
            <w:tcBorders>
              <w:tl2br w:val="nil"/>
              <w:tr2bl w:val="nil"/>
            </w:tcBorders>
            <w:shd w:val="clear" w:color="auto" w:fill="auto"/>
            <w:noWrap w:val="0"/>
            <w:vAlign w:val="center"/>
          </w:tcPr>
          <w:p w14:paraId="7C39E836">
            <w:pPr>
              <w:pStyle w:val="262"/>
              <w:autoSpaceDE w:val="0"/>
              <w:autoSpaceDN w:val="0"/>
              <w:spacing w:line="320" w:lineRule="exact"/>
              <w:ind w:left="0" w:leftChars="0" w:firstLine="0" w:firstLineChars="0"/>
              <w:jc w:val="center"/>
              <w:textAlignment w:val="bottom"/>
              <w:rPr>
                <w:rFonts w:hint="eastAsia" w:ascii="Times New Roman" w:cs="Times New Roman"/>
                <w:color w:val="auto"/>
                <w:sz w:val="21"/>
                <w:szCs w:val="21"/>
                <w:lang w:val="en-US" w:eastAsia="zh-CN"/>
              </w:rPr>
            </w:pPr>
            <w:r>
              <w:rPr>
                <w:rFonts w:hint="eastAsia" w:ascii="Times New Roman"/>
                <w:sz w:val="21"/>
                <w:szCs w:val="21"/>
                <w:lang w:val="en-US" w:eastAsia="zh-CN"/>
              </w:rPr>
              <w:t>SW</w:t>
            </w:r>
          </w:p>
        </w:tc>
        <w:tc>
          <w:tcPr>
            <w:tcW w:w="622" w:type="pct"/>
            <w:tcBorders>
              <w:tl2br w:val="nil"/>
              <w:tr2bl w:val="nil"/>
            </w:tcBorders>
            <w:shd w:val="clear" w:color="auto" w:fill="auto"/>
            <w:noWrap w:val="0"/>
            <w:vAlign w:val="center"/>
          </w:tcPr>
          <w:p w14:paraId="742BCBC3">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ascii="Times New Roman"/>
                <w:sz w:val="21"/>
                <w:szCs w:val="21"/>
                <w:lang w:val="en-US" w:eastAsia="zh-CN"/>
              </w:rPr>
              <w:t>0.05</w:t>
            </w:r>
          </w:p>
        </w:tc>
        <w:tc>
          <w:tcPr>
            <w:tcW w:w="651" w:type="pct"/>
            <w:tcBorders>
              <w:tl2br w:val="nil"/>
              <w:tr2bl w:val="nil"/>
            </w:tcBorders>
            <w:noWrap w:val="0"/>
            <w:vAlign w:val="center"/>
          </w:tcPr>
          <w:p w14:paraId="3F2E3FBD">
            <w:pPr>
              <w:keepNext w:val="0"/>
              <w:keepLines w:val="0"/>
              <w:suppressLineNumbers w:val="0"/>
              <w:tabs>
                <w:tab w:val="left" w:leader="middleDot" w:pos="0"/>
              </w:tabs>
              <w:spacing w:before="0" w:beforeAutospacing="0" w:after="0" w:afterAutospacing="0"/>
              <w:ind w:left="0" w:right="0"/>
              <w:jc w:val="center"/>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300</w:t>
            </w:r>
          </w:p>
        </w:tc>
        <w:tc>
          <w:tcPr>
            <w:tcW w:w="1438" w:type="pct"/>
            <w:vMerge w:val="continue"/>
            <w:tcBorders>
              <w:tl2br w:val="nil"/>
              <w:tr2bl w:val="nil"/>
            </w:tcBorders>
            <w:noWrap w:val="0"/>
            <w:vAlign w:val="center"/>
          </w:tcPr>
          <w:p w14:paraId="6A813B8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r>
      <w:tr w14:paraId="40515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vMerge w:val="continue"/>
            <w:tcBorders>
              <w:tl2br w:val="nil"/>
              <w:tr2bl w:val="nil"/>
            </w:tcBorders>
            <w:noWrap w:val="0"/>
            <w:vAlign w:val="center"/>
          </w:tcPr>
          <w:p w14:paraId="46CEA0E5">
            <w:pPr>
              <w:pStyle w:val="99"/>
              <w:keepNext w:val="0"/>
              <w:keepLines w:val="0"/>
              <w:suppressLineNumbers w:val="0"/>
              <w:adjustRightIn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kern w:val="2"/>
                <w:sz w:val="21"/>
                <w:szCs w:val="21"/>
              </w:rPr>
            </w:pPr>
          </w:p>
        </w:tc>
        <w:tc>
          <w:tcPr>
            <w:tcW w:w="1241" w:type="pct"/>
            <w:tcBorders>
              <w:tl2br w:val="nil"/>
              <w:tr2bl w:val="nil"/>
            </w:tcBorders>
            <w:shd w:val="clear" w:color="auto" w:fill="auto"/>
            <w:noWrap w:val="0"/>
            <w:vAlign w:val="center"/>
          </w:tcPr>
          <w:p w14:paraId="5581EDDC">
            <w:pPr>
              <w:pStyle w:val="262"/>
              <w:autoSpaceDE w:val="0"/>
              <w:autoSpaceDN w:val="0"/>
              <w:spacing w:line="320" w:lineRule="exact"/>
              <w:ind w:left="0" w:leftChars="0" w:firstLine="0" w:firstLineChars="0"/>
              <w:jc w:val="center"/>
              <w:textAlignment w:val="bottom"/>
              <w:rPr>
                <w:rFonts w:hint="eastAsia" w:ascii="Times New Roman" w:cs="Times New Roman"/>
                <w:color w:val="auto"/>
                <w:sz w:val="21"/>
                <w:szCs w:val="21"/>
                <w:lang w:val="en-US" w:eastAsia="zh-CN"/>
              </w:rPr>
            </w:pPr>
            <w:r>
              <w:rPr>
                <w:rFonts w:hint="eastAsia" w:ascii="Times New Roman"/>
                <w:sz w:val="21"/>
                <w:szCs w:val="21"/>
                <w:lang w:val="en-US" w:eastAsia="zh-CN"/>
              </w:rPr>
              <w:t>永富村</w:t>
            </w:r>
          </w:p>
        </w:tc>
        <w:tc>
          <w:tcPr>
            <w:tcW w:w="570" w:type="pct"/>
            <w:tcBorders>
              <w:tl2br w:val="nil"/>
              <w:tr2bl w:val="nil"/>
            </w:tcBorders>
            <w:shd w:val="clear" w:color="auto" w:fill="auto"/>
            <w:noWrap w:val="0"/>
            <w:vAlign w:val="center"/>
          </w:tcPr>
          <w:p w14:paraId="0846901F">
            <w:pPr>
              <w:pStyle w:val="262"/>
              <w:autoSpaceDE w:val="0"/>
              <w:autoSpaceDN w:val="0"/>
              <w:spacing w:line="320" w:lineRule="exact"/>
              <w:ind w:left="0" w:leftChars="0" w:firstLine="0" w:firstLineChars="0"/>
              <w:jc w:val="center"/>
              <w:textAlignment w:val="bottom"/>
              <w:rPr>
                <w:rFonts w:hint="eastAsia" w:ascii="Times New Roman" w:cs="Times New Roman"/>
                <w:color w:val="auto"/>
                <w:sz w:val="21"/>
                <w:szCs w:val="21"/>
                <w:lang w:val="en-US" w:eastAsia="zh-CN"/>
              </w:rPr>
            </w:pPr>
            <w:r>
              <w:rPr>
                <w:rFonts w:hint="eastAsia" w:ascii="Times New Roman"/>
                <w:sz w:val="21"/>
                <w:szCs w:val="21"/>
                <w:lang w:val="en-US" w:eastAsia="zh-CN"/>
              </w:rPr>
              <w:t>SSW</w:t>
            </w:r>
          </w:p>
        </w:tc>
        <w:tc>
          <w:tcPr>
            <w:tcW w:w="622" w:type="pct"/>
            <w:tcBorders>
              <w:tl2br w:val="nil"/>
              <w:tr2bl w:val="nil"/>
            </w:tcBorders>
            <w:shd w:val="clear" w:color="auto" w:fill="auto"/>
            <w:noWrap w:val="0"/>
            <w:vAlign w:val="center"/>
          </w:tcPr>
          <w:p w14:paraId="02E36912">
            <w:pPr>
              <w:pStyle w:val="262"/>
              <w:autoSpaceDE w:val="0"/>
              <w:autoSpaceDN w:val="0"/>
              <w:spacing w:line="320" w:lineRule="exact"/>
              <w:ind w:left="0" w:leftChars="0" w:firstLine="0" w:firstLineChars="0"/>
              <w:jc w:val="center"/>
              <w:textAlignment w:val="bottom"/>
              <w:rPr>
                <w:rFonts w:hint="default" w:ascii="Times New Roman" w:hAnsi="Times New Roman" w:eastAsia="宋体" w:cs="Times New Roman"/>
                <w:color w:val="auto"/>
                <w:sz w:val="21"/>
                <w:szCs w:val="21"/>
                <w:lang w:val="en-US" w:eastAsia="zh-CN"/>
              </w:rPr>
            </w:pPr>
            <w:r>
              <w:rPr>
                <w:rFonts w:hint="eastAsia" w:ascii="Times New Roman"/>
                <w:sz w:val="21"/>
                <w:szCs w:val="21"/>
                <w:lang w:val="en-US" w:eastAsia="zh-CN"/>
              </w:rPr>
              <w:t>2.55</w:t>
            </w:r>
          </w:p>
        </w:tc>
        <w:tc>
          <w:tcPr>
            <w:tcW w:w="651" w:type="pct"/>
            <w:tcBorders>
              <w:tl2br w:val="nil"/>
              <w:tr2bl w:val="nil"/>
            </w:tcBorders>
            <w:noWrap w:val="0"/>
            <w:vAlign w:val="center"/>
          </w:tcPr>
          <w:p w14:paraId="532D6F20">
            <w:pPr>
              <w:keepNext w:val="0"/>
              <w:keepLines w:val="0"/>
              <w:suppressLineNumbers w:val="0"/>
              <w:tabs>
                <w:tab w:val="left" w:leader="middleDot" w:pos="0"/>
              </w:tabs>
              <w:spacing w:before="0" w:beforeAutospacing="0" w:after="0" w:afterAutospacing="0"/>
              <w:ind w:left="0" w:right="0"/>
              <w:jc w:val="center"/>
              <w:rPr>
                <w:rFonts w:hint="default" w:ascii="Times New Roman" w:cs="Times New Roman"/>
                <w:color w:val="auto"/>
                <w:sz w:val="21"/>
                <w:szCs w:val="21"/>
                <w:lang w:val="en-US" w:eastAsia="zh-CN"/>
              </w:rPr>
            </w:pPr>
            <w:r>
              <w:rPr>
                <w:rFonts w:hint="eastAsia" w:ascii="Times New Roman" w:cs="Times New Roman"/>
                <w:color w:val="auto"/>
                <w:sz w:val="21"/>
                <w:szCs w:val="21"/>
                <w:lang w:val="en-US" w:eastAsia="zh-CN"/>
              </w:rPr>
              <w:t>300</w:t>
            </w:r>
          </w:p>
        </w:tc>
        <w:tc>
          <w:tcPr>
            <w:tcW w:w="1438" w:type="pct"/>
            <w:vMerge w:val="continue"/>
            <w:tcBorders>
              <w:tl2br w:val="nil"/>
              <w:tr2bl w:val="nil"/>
            </w:tcBorders>
            <w:noWrap w:val="0"/>
            <w:vAlign w:val="center"/>
          </w:tcPr>
          <w:p w14:paraId="2FDF186F">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p>
        </w:tc>
      </w:tr>
      <w:tr w14:paraId="3307E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tcBorders>
              <w:tl2br w:val="nil"/>
              <w:tr2bl w:val="nil"/>
            </w:tcBorders>
            <w:noWrap w:val="0"/>
            <w:vAlign w:val="center"/>
          </w:tcPr>
          <w:p w14:paraId="69035191">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地下水环境</w:t>
            </w:r>
          </w:p>
        </w:tc>
        <w:tc>
          <w:tcPr>
            <w:tcW w:w="3085" w:type="pct"/>
            <w:gridSpan w:val="4"/>
            <w:tcBorders>
              <w:tl2br w:val="nil"/>
              <w:tr2bl w:val="nil"/>
            </w:tcBorders>
            <w:noWrap w:val="0"/>
            <w:vAlign w:val="center"/>
          </w:tcPr>
          <w:p w14:paraId="1660A3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潜水含水层、</w:t>
            </w:r>
            <w:r>
              <w:rPr>
                <w:rFonts w:hint="default" w:ascii="Times New Roman" w:hAnsi="Times New Roman" w:eastAsia="宋体" w:cs="Times New Roman"/>
                <w:color w:val="auto"/>
                <w:sz w:val="21"/>
                <w:szCs w:val="21"/>
                <w:lang w:val="en-US" w:eastAsia="zh-CN"/>
              </w:rPr>
              <w:t>厂区自建饮用水井</w:t>
            </w:r>
            <w:r>
              <w:rPr>
                <w:rFonts w:hint="default" w:ascii="Times New Roman" w:hAnsi="Times New Roman" w:eastAsia="宋体" w:cs="Times New Roman"/>
                <w:color w:val="auto"/>
                <w:sz w:val="21"/>
                <w:szCs w:val="21"/>
                <w:lang w:eastAsia="zh-CN"/>
              </w:rPr>
              <w:t>和分散式饮用水水源地</w:t>
            </w:r>
          </w:p>
        </w:tc>
        <w:tc>
          <w:tcPr>
            <w:tcW w:w="1438" w:type="pct"/>
            <w:tcBorders>
              <w:tl2br w:val="nil"/>
              <w:tr2bl w:val="nil"/>
            </w:tcBorders>
            <w:noWrap w:val="0"/>
            <w:vAlign w:val="center"/>
          </w:tcPr>
          <w:p w14:paraId="6C50175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《地下水质量标准》（GB/T14848-93）Ⅲ类</w:t>
            </w:r>
          </w:p>
        </w:tc>
      </w:tr>
      <w:tr w14:paraId="531BC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475" w:type="pct"/>
            <w:tcBorders>
              <w:tl2br w:val="nil"/>
              <w:tr2bl w:val="nil"/>
            </w:tcBorders>
            <w:noWrap w:val="0"/>
            <w:vAlign w:val="center"/>
          </w:tcPr>
          <w:p w14:paraId="46DA3ED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w:t>
            </w:r>
          </w:p>
        </w:tc>
        <w:tc>
          <w:tcPr>
            <w:tcW w:w="1241" w:type="pct"/>
            <w:tcBorders>
              <w:tl2br w:val="nil"/>
              <w:tr2bl w:val="nil"/>
            </w:tcBorders>
            <w:shd w:val="clear" w:color="auto" w:fill="auto"/>
            <w:noWrap w:val="0"/>
            <w:vAlign w:val="center"/>
          </w:tcPr>
          <w:p w14:paraId="4D14CC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嫩江</w:t>
            </w:r>
          </w:p>
        </w:tc>
        <w:tc>
          <w:tcPr>
            <w:tcW w:w="570" w:type="pct"/>
            <w:tcBorders>
              <w:tl2br w:val="nil"/>
              <w:tr2bl w:val="nil"/>
            </w:tcBorders>
            <w:shd w:val="clear" w:color="auto" w:fill="auto"/>
            <w:noWrap w:val="0"/>
            <w:vAlign w:val="center"/>
          </w:tcPr>
          <w:p w14:paraId="223FA9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西</w:t>
            </w:r>
          </w:p>
        </w:tc>
        <w:tc>
          <w:tcPr>
            <w:tcW w:w="622" w:type="pct"/>
            <w:tcBorders>
              <w:tl2br w:val="nil"/>
              <w:tr2bl w:val="nil"/>
            </w:tcBorders>
            <w:shd w:val="clear" w:color="auto" w:fill="auto"/>
            <w:noWrap w:val="0"/>
            <w:vAlign w:val="center"/>
          </w:tcPr>
          <w:p w14:paraId="46B82CB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sz w:val="21"/>
                <w:szCs w:val="21"/>
                <w:lang w:val="en-US" w:eastAsia="zh-CN"/>
              </w:rPr>
              <w:t>3775</w:t>
            </w:r>
          </w:p>
        </w:tc>
        <w:tc>
          <w:tcPr>
            <w:tcW w:w="651" w:type="pct"/>
            <w:tcBorders>
              <w:tl2br w:val="nil"/>
              <w:tr2bl w:val="nil"/>
            </w:tcBorders>
            <w:noWrap w:val="0"/>
            <w:vAlign w:val="center"/>
          </w:tcPr>
          <w:p w14:paraId="673B1E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w:t>
            </w:r>
          </w:p>
        </w:tc>
        <w:tc>
          <w:tcPr>
            <w:tcW w:w="1438" w:type="pct"/>
            <w:tcBorders>
              <w:tl2br w:val="nil"/>
              <w:tr2bl w:val="nil"/>
            </w:tcBorders>
            <w:noWrap w:val="0"/>
            <w:vAlign w:val="center"/>
          </w:tcPr>
          <w:p w14:paraId="15BA52FB">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《地表水环境质量标准》（GB3838-2002）中的</w:t>
            </w:r>
            <w:r>
              <w:rPr>
                <w:rFonts w:hint="default" w:ascii="Times New Roman" w:hAnsi="Times New Roman" w:eastAsia="宋体" w:cs="Times New Roman"/>
                <w:color w:val="auto"/>
                <w:sz w:val="21"/>
                <w:szCs w:val="21"/>
              </w:rPr>
              <w:fldChar w:fldCharType="begin"/>
            </w:r>
            <w:r>
              <w:rPr>
                <w:rFonts w:hint="default" w:ascii="Times New Roman" w:hAnsi="Times New Roman" w:eastAsia="宋体" w:cs="Times New Roman"/>
                <w:color w:val="auto"/>
                <w:sz w:val="21"/>
                <w:szCs w:val="21"/>
              </w:rPr>
              <w:instrText xml:space="preserve"> = 3 \* ROMAN \* MERGEFORMAT </w:instrText>
            </w:r>
            <w:r>
              <w:rPr>
                <w:rFonts w:hint="default" w:ascii="Times New Roman" w:hAnsi="Times New Roman" w:eastAsia="宋体" w:cs="Times New Roman"/>
                <w:color w:val="auto"/>
                <w:sz w:val="21"/>
                <w:szCs w:val="21"/>
              </w:rPr>
              <w:fldChar w:fldCharType="separate"/>
            </w:r>
            <w:r>
              <w:rPr>
                <w:rFonts w:hint="default" w:ascii="Times New Roman" w:hAnsi="Times New Roman" w:eastAsia="宋体" w:cs="Times New Roman"/>
                <w:color w:val="auto"/>
                <w:sz w:val="21"/>
                <w:szCs w:val="21"/>
              </w:rPr>
              <w:t>III</w:t>
            </w:r>
            <w:r>
              <w:rPr>
                <w:rFonts w:hint="default" w:ascii="Times New Roman" w:hAnsi="Times New Roman" w:eastAsia="宋体" w:cs="Times New Roman"/>
                <w:color w:val="auto"/>
                <w:sz w:val="21"/>
                <w:szCs w:val="21"/>
              </w:rPr>
              <w:fldChar w:fldCharType="end"/>
            </w:r>
            <w:r>
              <w:rPr>
                <w:rFonts w:hint="default" w:ascii="Times New Roman" w:hAnsi="Times New Roman" w:eastAsia="宋体" w:cs="Times New Roman"/>
                <w:color w:val="auto"/>
                <w:sz w:val="21"/>
                <w:szCs w:val="21"/>
              </w:rPr>
              <w:t>类</w:t>
            </w:r>
          </w:p>
        </w:tc>
      </w:tr>
    </w:tbl>
    <w:p w14:paraId="5A303009">
      <w:pPr>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5、</w:t>
      </w:r>
      <w:r>
        <w:rPr>
          <w:rFonts w:hint="default" w:ascii="Times New Roman" w:hAnsi="Times New Roman" w:eastAsia="宋体" w:cs="Times New Roman"/>
          <w:color w:val="auto"/>
        </w:rPr>
        <w:t>环境风险识别</w:t>
      </w:r>
    </w:p>
    <w:p w14:paraId="71138368">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主要危险物质及分布情况</w:t>
      </w:r>
    </w:p>
    <w:p w14:paraId="5111516E">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A.物质危险性识别</w:t>
      </w:r>
    </w:p>
    <w:p w14:paraId="34391F87">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本项目所涉及的危险物质为</w:t>
      </w:r>
      <w:r>
        <w:rPr>
          <w:rFonts w:hint="eastAsia" w:ascii="Times New Roman" w:hAnsi="Times New Roman" w:cs="Times New Roman"/>
          <w:color w:val="auto"/>
          <w:lang w:val="en-US" w:eastAsia="zh-CN"/>
        </w:rPr>
        <w:t>乙醇</w:t>
      </w:r>
      <w:r>
        <w:rPr>
          <w:rFonts w:hint="default" w:ascii="Times New Roman" w:hAnsi="Times New Roman" w:cs="Times New Roman"/>
          <w:color w:val="auto"/>
        </w:rPr>
        <w:t>。物质风险性判别见下表。</w:t>
      </w:r>
    </w:p>
    <w:p w14:paraId="6A8BCF3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p>
    <w:p w14:paraId="518D5D3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p>
    <w:p w14:paraId="27051F6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p>
    <w:p w14:paraId="08C19DF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lang w:val="en-US" w:eastAsia="zh-CN"/>
        </w:rPr>
        <w:t xml:space="preserve">3.4-8 </w:t>
      </w:r>
      <w:r>
        <w:rPr>
          <w:rFonts w:hint="default" w:ascii="Times New Roman" w:hAnsi="Times New Roman" w:eastAsia="宋体" w:cs="Times New Roman"/>
          <w:b/>
          <w:color w:val="auto"/>
          <w:sz w:val="24"/>
          <w:highlight w:val="none"/>
        </w:rPr>
        <w:t xml:space="preserve"> </w:t>
      </w:r>
      <w:r>
        <w:rPr>
          <w:rFonts w:hint="eastAsia" w:ascii="Times New Roman" w:hAnsi="Times New Roman" w:eastAsia="宋体" w:cs="Times New Roman"/>
          <w:b/>
          <w:color w:val="auto"/>
          <w:sz w:val="24"/>
          <w:highlight w:val="none"/>
          <w:lang w:val="en-US" w:eastAsia="zh-CN"/>
        </w:rPr>
        <w:t>乙醇</w:t>
      </w:r>
      <w:r>
        <w:rPr>
          <w:rFonts w:hint="default" w:ascii="Times New Roman" w:hAnsi="Times New Roman" w:eastAsia="宋体" w:cs="Times New Roman"/>
          <w:b/>
          <w:color w:val="auto"/>
          <w:sz w:val="24"/>
          <w:highlight w:val="none"/>
        </w:rPr>
        <w:t>的理化性质及毒性描述</w:t>
      </w:r>
    </w:p>
    <w:tbl>
      <w:tblPr>
        <w:tblStyle w:val="5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4060"/>
        <w:gridCol w:w="1968"/>
        <w:gridCol w:w="2312"/>
      </w:tblGrid>
      <w:tr w14:paraId="06390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restart"/>
            <w:tcBorders>
              <w:tl2br w:val="nil"/>
              <w:tr2bl w:val="nil"/>
            </w:tcBorders>
            <w:noWrap w:val="0"/>
            <w:vAlign w:val="center"/>
          </w:tcPr>
          <w:p w14:paraId="60A6A49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标识</w:t>
            </w:r>
          </w:p>
        </w:tc>
        <w:tc>
          <w:tcPr>
            <w:tcW w:w="2197" w:type="pct"/>
            <w:tcBorders>
              <w:tl2br w:val="nil"/>
              <w:tr2bl w:val="nil"/>
            </w:tcBorders>
            <w:noWrap w:val="0"/>
            <w:vAlign w:val="center"/>
          </w:tcPr>
          <w:p w14:paraId="16E72C2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中文名∶乙醇、酒精</w:t>
            </w:r>
          </w:p>
        </w:tc>
        <w:tc>
          <w:tcPr>
            <w:tcW w:w="2315" w:type="pct"/>
            <w:gridSpan w:val="2"/>
            <w:tcBorders>
              <w:tl2br w:val="nil"/>
              <w:tr2bl w:val="nil"/>
            </w:tcBorders>
            <w:noWrap w:val="0"/>
            <w:vAlign w:val="center"/>
          </w:tcPr>
          <w:p w14:paraId="362CA3F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英文名∶Ethylacoholethano</w:t>
            </w:r>
          </w:p>
        </w:tc>
      </w:tr>
      <w:tr w14:paraId="5574A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0BE7798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10ED022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分子式∶C</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O</w:t>
            </w:r>
          </w:p>
        </w:tc>
        <w:tc>
          <w:tcPr>
            <w:tcW w:w="1065" w:type="pct"/>
            <w:tcBorders>
              <w:tl2br w:val="nil"/>
              <w:tr2bl w:val="nil"/>
            </w:tcBorders>
            <w:noWrap w:val="0"/>
            <w:vAlign w:val="center"/>
          </w:tcPr>
          <w:p w14:paraId="2C4407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分子量∶46.07</w:t>
            </w:r>
          </w:p>
        </w:tc>
        <w:tc>
          <w:tcPr>
            <w:tcW w:w="1250" w:type="pct"/>
            <w:tcBorders>
              <w:tl2br w:val="nil"/>
              <w:tr2bl w:val="nil"/>
            </w:tcBorders>
            <w:noWrap w:val="0"/>
            <w:vAlign w:val="center"/>
          </w:tcPr>
          <w:p w14:paraId="4E80C3A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UN号∶1170</w:t>
            </w:r>
          </w:p>
        </w:tc>
      </w:tr>
      <w:tr w14:paraId="5616D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54385FB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182639A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危化品目录号∶2568</w:t>
            </w:r>
          </w:p>
        </w:tc>
        <w:tc>
          <w:tcPr>
            <w:tcW w:w="2315" w:type="pct"/>
            <w:gridSpan w:val="2"/>
            <w:tcBorders>
              <w:tl2br w:val="nil"/>
              <w:tr2bl w:val="nil"/>
            </w:tcBorders>
            <w:noWrap w:val="0"/>
            <w:vAlign w:val="center"/>
          </w:tcPr>
          <w:p w14:paraId="6A325C4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CAS号∶64-17-5</w:t>
            </w:r>
          </w:p>
        </w:tc>
      </w:tr>
      <w:tr w14:paraId="36A45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1B6B0F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78F15A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危险类别∶第3.2类中闪点易燃液体</w:t>
            </w:r>
          </w:p>
        </w:tc>
        <w:tc>
          <w:tcPr>
            <w:tcW w:w="2315" w:type="pct"/>
            <w:gridSpan w:val="2"/>
            <w:tcBorders>
              <w:tl2br w:val="nil"/>
              <w:tr2bl w:val="nil"/>
            </w:tcBorders>
            <w:noWrap w:val="0"/>
            <w:vAlign w:val="center"/>
          </w:tcPr>
          <w:p w14:paraId="5EB4971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化学类别∶醇</w:t>
            </w:r>
          </w:p>
        </w:tc>
      </w:tr>
      <w:tr w14:paraId="3547C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restart"/>
            <w:tcBorders>
              <w:tl2br w:val="nil"/>
              <w:tr2bl w:val="nil"/>
            </w:tcBorders>
            <w:noWrap w:val="0"/>
            <w:vAlign w:val="center"/>
          </w:tcPr>
          <w:p w14:paraId="47AD134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理化性质</w:t>
            </w:r>
          </w:p>
        </w:tc>
        <w:tc>
          <w:tcPr>
            <w:tcW w:w="2197" w:type="pct"/>
            <w:tcBorders>
              <w:tl2br w:val="nil"/>
              <w:tr2bl w:val="nil"/>
            </w:tcBorders>
            <w:noWrap w:val="0"/>
            <w:vAlign w:val="center"/>
          </w:tcPr>
          <w:p w14:paraId="61344A6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外观与性状∶无色液体，有洒香</w:t>
            </w:r>
          </w:p>
        </w:tc>
        <w:tc>
          <w:tcPr>
            <w:tcW w:w="2315" w:type="pct"/>
            <w:gridSpan w:val="2"/>
            <w:tcBorders>
              <w:tl2br w:val="nil"/>
              <w:tr2bl w:val="nil"/>
            </w:tcBorders>
            <w:noWrap w:val="0"/>
            <w:vAlign w:val="center"/>
          </w:tcPr>
          <w:p w14:paraId="7949D76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主要用途∶用于有机合成、消毒及作溶剂</w:t>
            </w:r>
          </w:p>
        </w:tc>
      </w:tr>
      <w:tr w14:paraId="562C3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3E1E199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5C51D2E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熔点（℃）∶-114.1</w:t>
            </w:r>
          </w:p>
        </w:tc>
        <w:tc>
          <w:tcPr>
            <w:tcW w:w="2315" w:type="pct"/>
            <w:gridSpan w:val="2"/>
            <w:tcBorders>
              <w:tl2br w:val="nil"/>
              <w:tr2bl w:val="nil"/>
            </w:tcBorders>
            <w:noWrap w:val="0"/>
            <w:vAlign w:val="center"/>
          </w:tcPr>
          <w:p w14:paraId="625873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溶解性∶与水混溶，可混溶于醚、氯仿等</w:t>
            </w:r>
          </w:p>
        </w:tc>
      </w:tr>
      <w:tr w14:paraId="30043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48586D1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2BF9CBE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沸点（℃）∶78.3</w:t>
            </w:r>
          </w:p>
        </w:tc>
        <w:tc>
          <w:tcPr>
            <w:tcW w:w="2315" w:type="pct"/>
            <w:gridSpan w:val="2"/>
            <w:tcBorders>
              <w:tl2br w:val="nil"/>
              <w:tr2bl w:val="nil"/>
            </w:tcBorders>
            <w:noWrap w:val="0"/>
            <w:vAlign w:val="center"/>
          </w:tcPr>
          <w:p w14:paraId="19E1BF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相对密度（水=1）∶0.79</w:t>
            </w:r>
          </w:p>
        </w:tc>
      </w:tr>
      <w:tr w14:paraId="2C5A9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231FC97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267B809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饱和蒸汽压（KPa）∶5.33（19℃）</w:t>
            </w:r>
          </w:p>
        </w:tc>
        <w:tc>
          <w:tcPr>
            <w:tcW w:w="2315" w:type="pct"/>
            <w:gridSpan w:val="2"/>
            <w:tcBorders>
              <w:tl2br w:val="nil"/>
              <w:tr2bl w:val="nil"/>
            </w:tcBorders>
            <w:noWrap w:val="0"/>
            <w:vAlign w:val="center"/>
          </w:tcPr>
          <w:p w14:paraId="0FF5196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相对密度（空气=1）∶1.59</w:t>
            </w:r>
          </w:p>
        </w:tc>
      </w:tr>
      <w:tr w14:paraId="33466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0AE091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4795EB6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临界温度（℃）∶243.1</w:t>
            </w:r>
          </w:p>
        </w:tc>
        <w:tc>
          <w:tcPr>
            <w:tcW w:w="2315" w:type="pct"/>
            <w:gridSpan w:val="2"/>
            <w:tcBorders>
              <w:tl2br w:val="nil"/>
              <w:tr2bl w:val="nil"/>
            </w:tcBorders>
            <w:noWrap w:val="0"/>
            <w:vAlign w:val="center"/>
          </w:tcPr>
          <w:p w14:paraId="78930EA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燃烧热（KJ/mol）∶1365.5</w:t>
            </w:r>
          </w:p>
        </w:tc>
      </w:tr>
      <w:tr w14:paraId="20030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73D0A36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6511DF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临界压力（MPa）∶6.38</w:t>
            </w:r>
          </w:p>
        </w:tc>
        <w:tc>
          <w:tcPr>
            <w:tcW w:w="2315" w:type="pct"/>
            <w:gridSpan w:val="2"/>
            <w:tcBorders>
              <w:tl2br w:val="nil"/>
              <w:tr2bl w:val="nil"/>
            </w:tcBorders>
            <w:noWrap w:val="0"/>
            <w:vAlign w:val="center"/>
          </w:tcPr>
          <w:p w14:paraId="194CBA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最小点火能（KJ）∶无资料</w:t>
            </w:r>
          </w:p>
        </w:tc>
      </w:tr>
      <w:tr w14:paraId="26E6D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restart"/>
            <w:tcBorders>
              <w:tl2br w:val="nil"/>
              <w:tr2bl w:val="nil"/>
            </w:tcBorders>
            <w:noWrap w:val="0"/>
            <w:vAlign w:val="center"/>
          </w:tcPr>
          <w:p w14:paraId="73672DB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燃烧爆炸危险性</w:t>
            </w:r>
          </w:p>
        </w:tc>
        <w:tc>
          <w:tcPr>
            <w:tcW w:w="2197" w:type="pct"/>
            <w:tcBorders>
              <w:tl2br w:val="nil"/>
              <w:tr2bl w:val="nil"/>
            </w:tcBorders>
            <w:noWrap w:val="0"/>
            <w:vAlign w:val="center"/>
          </w:tcPr>
          <w:p w14:paraId="50D958D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燃烧性∶易燃</w:t>
            </w:r>
          </w:p>
          <w:p w14:paraId="25BC8ED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315" w:type="pct"/>
            <w:gridSpan w:val="2"/>
            <w:tcBorders>
              <w:tl2br w:val="nil"/>
              <w:tr2bl w:val="nil"/>
            </w:tcBorders>
            <w:noWrap w:val="0"/>
            <w:vAlign w:val="center"/>
          </w:tcPr>
          <w:p w14:paraId="76E6BA1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燃烧（分解）产物∶CO、CO2</w:t>
            </w:r>
          </w:p>
        </w:tc>
      </w:tr>
      <w:tr w14:paraId="4044A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6333C0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2378D43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闪点（℃）∶12</w:t>
            </w:r>
          </w:p>
        </w:tc>
        <w:tc>
          <w:tcPr>
            <w:tcW w:w="2315" w:type="pct"/>
            <w:gridSpan w:val="2"/>
            <w:tcBorders>
              <w:tl2br w:val="nil"/>
              <w:tr2bl w:val="nil"/>
            </w:tcBorders>
            <w:noWrap w:val="0"/>
            <w:vAlign w:val="center"/>
          </w:tcPr>
          <w:p w14:paraId="68982D6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聚合危害∶不聚合</w:t>
            </w:r>
          </w:p>
        </w:tc>
      </w:tr>
      <w:tr w14:paraId="03231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3B5606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7C79F8B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爆炸极限（V%）∶3.3～19</w:t>
            </w:r>
          </w:p>
        </w:tc>
        <w:tc>
          <w:tcPr>
            <w:tcW w:w="2315" w:type="pct"/>
            <w:gridSpan w:val="2"/>
            <w:tcBorders>
              <w:tl2br w:val="nil"/>
              <w:tr2bl w:val="nil"/>
            </w:tcBorders>
            <w:noWrap w:val="0"/>
            <w:vAlign w:val="center"/>
          </w:tcPr>
          <w:p w14:paraId="704000F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稳定性∶稳定</w:t>
            </w:r>
          </w:p>
        </w:tc>
      </w:tr>
      <w:tr w14:paraId="1E8A2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089F91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2197" w:type="pct"/>
            <w:tcBorders>
              <w:tl2br w:val="nil"/>
              <w:tr2bl w:val="nil"/>
            </w:tcBorders>
            <w:noWrap w:val="0"/>
            <w:vAlign w:val="center"/>
          </w:tcPr>
          <w:p w14:paraId="7960920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引燃温度（℃）∶363</w:t>
            </w:r>
          </w:p>
        </w:tc>
        <w:tc>
          <w:tcPr>
            <w:tcW w:w="2315" w:type="pct"/>
            <w:gridSpan w:val="2"/>
            <w:tcBorders>
              <w:tl2br w:val="nil"/>
              <w:tr2bl w:val="nil"/>
            </w:tcBorders>
            <w:noWrap w:val="0"/>
            <w:vAlign w:val="center"/>
          </w:tcPr>
          <w:p w14:paraId="6CC417C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禁忌物∶强氧化剂、酸类、酸酐、胺类</w:t>
            </w:r>
          </w:p>
        </w:tc>
      </w:tr>
      <w:tr w14:paraId="39B0D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38DF51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4513" w:type="pct"/>
            <w:gridSpan w:val="3"/>
            <w:tcBorders>
              <w:tl2br w:val="nil"/>
              <w:tr2bl w:val="nil"/>
            </w:tcBorders>
            <w:noWrap w:val="0"/>
            <w:vAlign w:val="center"/>
          </w:tcPr>
          <w:p w14:paraId="071768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易燃，其蒸气与空气可形成爆炸性混合物，遇高热、明火会引起燃烧爆炸，与氧化剂接触会发生猛烈反应或引起燃烧。在火场中，受热的容器有爆炸的危险。其蒸气比空气重，能在较低处扩散到相当远的地方。遇明火会引着回燃。</w:t>
            </w:r>
          </w:p>
        </w:tc>
      </w:tr>
      <w:tr w14:paraId="0F84E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vMerge w:val="continue"/>
            <w:tcBorders>
              <w:tl2br w:val="nil"/>
              <w:tr2bl w:val="nil"/>
            </w:tcBorders>
            <w:noWrap w:val="0"/>
            <w:vAlign w:val="center"/>
          </w:tcPr>
          <w:p w14:paraId="7804E2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4513" w:type="pct"/>
            <w:gridSpan w:val="3"/>
            <w:tcBorders>
              <w:tl2br w:val="nil"/>
              <w:tr2bl w:val="nil"/>
            </w:tcBorders>
            <w:noWrap w:val="0"/>
            <w:vAlign w:val="center"/>
          </w:tcPr>
          <w:p w14:paraId="2D2F3B2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灭火剂∶尽可能将容器从火场移至空旷处。喷水保持火场容器冷却，直至灭火结束。灭火剂∶抗溶性池沫、干粉、二氧化碳、砂土。</w:t>
            </w:r>
          </w:p>
        </w:tc>
      </w:tr>
      <w:tr w14:paraId="5AAB5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tcBorders>
              <w:tl2br w:val="nil"/>
              <w:tr2bl w:val="nil"/>
            </w:tcBorders>
            <w:noWrap w:val="0"/>
            <w:vAlign w:val="center"/>
          </w:tcPr>
          <w:p w14:paraId="1958438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毒性</w:t>
            </w:r>
          </w:p>
        </w:tc>
        <w:tc>
          <w:tcPr>
            <w:tcW w:w="4513" w:type="pct"/>
            <w:gridSpan w:val="3"/>
            <w:tcBorders>
              <w:tl2br w:val="nil"/>
              <w:tr2bl w:val="nil"/>
            </w:tcBorders>
            <w:noWrap w:val="0"/>
            <w:vAlign w:val="center"/>
          </w:tcPr>
          <w:p w14:paraId="28E92CD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急性毒性∶LCo0∶37620 mg/m，10h 大鼠吸入</w:t>
            </w:r>
          </w:p>
        </w:tc>
      </w:tr>
      <w:tr w14:paraId="55118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tcBorders>
              <w:tl2br w:val="nil"/>
              <w:tr2bl w:val="nil"/>
            </w:tcBorders>
            <w:noWrap w:val="0"/>
            <w:vAlign w:val="center"/>
          </w:tcPr>
          <w:p w14:paraId="40E5308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健康危害</w:t>
            </w:r>
          </w:p>
        </w:tc>
        <w:tc>
          <w:tcPr>
            <w:tcW w:w="4513" w:type="pct"/>
            <w:gridSpan w:val="3"/>
            <w:tcBorders>
              <w:tl2br w:val="nil"/>
              <w:tr2bl w:val="nil"/>
            </w:tcBorders>
            <w:noWrap w:val="0"/>
            <w:vAlign w:val="center"/>
          </w:tcPr>
          <w:p w14:paraId="3C69831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侵入途径∶吸入、食入、经皮吸收。本品为中枢神经系统抑制剂。先引起兴奋，随后抑制。急性中毒多发于口服。一股可分为兴奋、催眠、麻醉、窒息四阶段。患者进入第三或第四阶段，出现意识丧失、瞳孔扩大、呼吸不规律、体克、心力循环衰竭及呼吸停止。慢性影健康响∶长期接触高浓度可引起鼻、眼、粘膜刺激症状，以及头痛、头晕、城乏、易激动、震危害颤、恶心等。长期酗酒可引起多发性神经病、慢性胃炎、脂肪肝、肝硬化、心肌损害及器质性精神病等。皮肤长期接触可引起干燥、脱屑、破裂和皮炎。</w:t>
            </w:r>
          </w:p>
        </w:tc>
      </w:tr>
      <w:tr w14:paraId="64EFB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tcBorders>
              <w:tl2br w:val="nil"/>
              <w:tr2bl w:val="nil"/>
            </w:tcBorders>
            <w:noWrap w:val="0"/>
            <w:vAlign w:val="center"/>
          </w:tcPr>
          <w:p w14:paraId="40E99AE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急救措施</w:t>
            </w:r>
          </w:p>
        </w:tc>
        <w:tc>
          <w:tcPr>
            <w:tcW w:w="4513" w:type="pct"/>
            <w:gridSpan w:val="3"/>
            <w:tcBorders>
              <w:tl2br w:val="nil"/>
              <w:tr2bl w:val="nil"/>
            </w:tcBorders>
            <w:noWrap w:val="0"/>
            <w:vAlign w:val="center"/>
          </w:tcPr>
          <w:p w14:paraId="4C8526D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皮肤接触∶脱去被污染衣着，用清水冲洗。提起眼睑，用大量清水或生理盐水冲洗。就医急教迅速脱离现场至空气新鲜处。食入∶用足量的温水漱口，催吐。就医。</w:t>
            </w:r>
          </w:p>
        </w:tc>
      </w:tr>
      <w:tr w14:paraId="5B562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tcBorders>
              <w:tl2br w:val="nil"/>
              <w:tr2bl w:val="nil"/>
            </w:tcBorders>
            <w:noWrap w:val="0"/>
            <w:vAlign w:val="center"/>
          </w:tcPr>
          <w:p w14:paraId="545AF39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防护措施</w:t>
            </w:r>
          </w:p>
        </w:tc>
        <w:tc>
          <w:tcPr>
            <w:tcW w:w="4513" w:type="pct"/>
            <w:gridSpan w:val="3"/>
            <w:tcBorders>
              <w:tl2br w:val="nil"/>
              <w:tr2bl w:val="nil"/>
            </w:tcBorders>
            <w:noWrap w:val="0"/>
            <w:vAlign w:val="center"/>
          </w:tcPr>
          <w:p w14:paraId="7200966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工程控制∶生产过程密闭，全面通风。提供安全淋浴和洗眼设备。呼吸系统防护∶可能接防护触时，佩戴过滤式防毒面具（半面罩）。身体防护∶穿防静电工作服</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手防护∶戴一般作业措施防护手套</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其它∶工作现场禁止吸烟。</w:t>
            </w:r>
          </w:p>
        </w:tc>
      </w:tr>
      <w:tr w14:paraId="39838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tcBorders>
              <w:tl2br w:val="nil"/>
              <w:tr2bl w:val="nil"/>
            </w:tcBorders>
            <w:noWrap w:val="0"/>
            <w:vAlign w:val="center"/>
          </w:tcPr>
          <w:p w14:paraId="2D0ADBE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泄漏应急处理</w:t>
            </w:r>
          </w:p>
        </w:tc>
        <w:tc>
          <w:tcPr>
            <w:tcW w:w="4513" w:type="pct"/>
            <w:gridSpan w:val="3"/>
            <w:tcBorders>
              <w:tl2br w:val="nil"/>
              <w:tr2bl w:val="nil"/>
            </w:tcBorders>
            <w:noWrap w:val="0"/>
            <w:vAlign w:val="center"/>
          </w:tcPr>
          <w:p w14:paraId="66B5D1C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迅速撤离泄漏污染区人员至安全区，进行隔离，限制出入;切断火源。应急人员戴自给正压式呼吸器，穿消防防护服。尽可能切断泄漏源。防止进入下水道、排洪沟等限制性空间。泄漏小量泄漏∶用砂土或其它不燃材料吸收。可用大量水冲洗，放入废水系统。大量泄漏∶构应急筑围堤或挖坑收容，用泡沫复盖，降低蒸气灾害</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用防爆泵转移至槽车或专用收集器内，处理回收运至废物处理场所处置。</w:t>
            </w:r>
          </w:p>
        </w:tc>
      </w:tr>
      <w:tr w14:paraId="391C8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 w:type="pct"/>
            <w:tcBorders>
              <w:tl2br w:val="nil"/>
              <w:tr2bl w:val="nil"/>
            </w:tcBorders>
            <w:noWrap w:val="0"/>
            <w:vAlign w:val="center"/>
          </w:tcPr>
          <w:p w14:paraId="7A31BA9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储运注意事项</w:t>
            </w:r>
          </w:p>
        </w:tc>
        <w:tc>
          <w:tcPr>
            <w:tcW w:w="4513" w:type="pct"/>
            <w:gridSpan w:val="3"/>
            <w:tcBorders>
              <w:tl2br w:val="nil"/>
              <w:tr2bl w:val="nil"/>
            </w:tcBorders>
            <w:noWrap w:val="0"/>
            <w:vAlign w:val="center"/>
          </w:tcPr>
          <w:p w14:paraId="4744163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存于阴凉通风、干燥、通风良好的仓间内，远离火种、热源。仓内温度不宜超过30℃，储运防止阳光直射。保持容器密封。与氧化剂分开存放。储存间内的照明、通风等设施应采用防爆型，开关设在仓外，配备相应品种和数量消防器材。桶装留有墙距、顶距及防火走道。注意事项罐储要有防火防爆措施。夏季要有降温措施，禁止使用易产生火花的工具和机械设备。灌装注意流速（不超过3m/s），有静电接地装置，防止静电积聚。</w:t>
            </w:r>
          </w:p>
        </w:tc>
      </w:tr>
    </w:tbl>
    <w:p w14:paraId="4FE965E6">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B.生产系统危险性识别</w:t>
      </w:r>
    </w:p>
    <w:p w14:paraId="2B1A0D4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p>
    <w:p w14:paraId="5DAAB32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p>
    <w:p w14:paraId="1454F26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p>
    <w:p w14:paraId="4C71686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表3.</w:t>
      </w:r>
      <w:r>
        <w:rPr>
          <w:rFonts w:hint="default"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w:t>
      </w:r>
      <w:r>
        <w:rPr>
          <w:rFonts w:hint="eastAsia" w:ascii="Times New Roman" w:hAnsi="Times New Roman" w:eastAsia="宋体" w:cs="Times New Roman"/>
          <w:b/>
          <w:color w:val="auto"/>
          <w:sz w:val="24"/>
          <w:highlight w:val="none"/>
          <w:lang w:val="en-US" w:eastAsia="zh-CN"/>
        </w:rPr>
        <w:t>9</w:t>
      </w:r>
      <w:r>
        <w:rPr>
          <w:rFonts w:hint="default" w:ascii="Times New Roman" w:hAnsi="Times New Roman" w:eastAsia="宋体" w:cs="Times New Roman"/>
          <w:b/>
          <w:color w:val="auto"/>
          <w:sz w:val="24"/>
          <w:highlight w:val="none"/>
        </w:rPr>
        <w:t xml:space="preserve">  生产系统危险性识别一览表</w:t>
      </w:r>
    </w:p>
    <w:tbl>
      <w:tblPr>
        <w:tblStyle w:val="5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1"/>
        <w:gridCol w:w="959"/>
        <w:gridCol w:w="1709"/>
        <w:gridCol w:w="5797"/>
      </w:tblGrid>
      <w:tr w14:paraId="61055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17" w:type="pct"/>
            <w:tcBorders>
              <w:tl2br w:val="nil"/>
              <w:tr2bl w:val="nil"/>
            </w:tcBorders>
            <w:noWrap w:val="0"/>
            <w:vAlign w:val="center"/>
          </w:tcPr>
          <w:p w14:paraId="682DE26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生产单元</w:t>
            </w:r>
          </w:p>
        </w:tc>
        <w:tc>
          <w:tcPr>
            <w:tcW w:w="519" w:type="pct"/>
            <w:tcBorders>
              <w:tl2br w:val="nil"/>
              <w:tr2bl w:val="nil"/>
            </w:tcBorders>
            <w:noWrap w:val="0"/>
            <w:vAlign w:val="center"/>
          </w:tcPr>
          <w:p w14:paraId="727EBC7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涉及生产车间</w:t>
            </w:r>
          </w:p>
        </w:tc>
        <w:tc>
          <w:tcPr>
            <w:tcW w:w="925" w:type="pct"/>
            <w:tcBorders>
              <w:tl2br w:val="nil"/>
              <w:tr2bl w:val="nil"/>
            </w:tcBorders>
            <w:noWrap w:val="0"/>
            <w:vAlign w:val="center"/>
          </w:tcPr>
          <w:p w14:paraId="743C534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危害识别</w:t>
            </w:r>
          </w:p>
        </w:tc>
        <w:tc>
          <w:tcPr>
            <w:tcW w:w="3137" w:type="pct"/>
            <w:tcBorders>
              <w:tl2br w:val="nil"/>
              <w:tr2bl w:val="nil"/>
            </w:tcBorders>
            <w:noWrap w:val="0"/>
            <w:vAlign w:val="center"/>
          </w:tcPr>
          <w:p w14:paraId="7DB333F4">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危险性分析</w:t>
            </w:r>
          </w:p>
        </w:tc>
      </w:tr>
      <w:tr w14:paraId="5ACF5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417" w:type="pct"/>
            <w:tcBorders>
              <w:tl2br w:val="nil"/>
              <w:tr2bl w:val="nil"/>
            </w:tcBorders>
            <w:noWrap w:val="0"/>
            <w:vAlign w:val="center"/>
          </w:tcPr>
          <w:p w14:paraId="2E5223A6">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蒸馏</w:t>
            </w:r>
          </w:p>
        </w:tc>
        <w:tc>
          <w:tcPr>
            <w:tcW w:w="519" w:type="pct"/>
            <w:tcBorders>
              <w:tl2br w:val="nil"/>
              <w:tr2bl w:val="nil"/>
            </w:tcBorders>
            <w:noWrap w:val="0"/>
            <w:vAlign w:val="center"/>
          </w:tcPr>
          <w:p w14:paraId="444A8DA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蒸馏车间</w:t>
            </w:r>
          </w:p>
        </w:tc>
        <w:tc>
          <w:tcPr>
            <w:tcW w:w="925" w:type="pct"/>
            <w:tcBorders>
              <w:tl2br w:val="nil"/>
              <w:tr2bl w:val="nil"/>
            </w:tcBorders>
            <w:noWrap w:val="0"/>
            <w:vAlign w:val="center"/>
          </w:tcPr>
          <w:p w14:paraId="5CF2CA15">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泄漏、火灾、爆炸</w:t>
            </w:r>
          </w:p>
        </w:tc>
        <w:tc>
          <w:tcPr>
            <w:tcW w:w="3137" w:type="pct"/>
            <w:tcBorders>
              <w:tl2br w:val="nil"/>
              <w:tr2bl w:val="nil"/>
            </w:tcBorders>
            <w:noWrap w:val="0"/>
            <w:vAlign w:val="center"/>
          </w:tcPr>
          <w:p w14:paraId="25104420">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乙醇</w:t>
            </w:r>
            <w:r>
              <w:rPr>
                <w:rFonts w:hint="default" w:ascii="Times New Roman" w:hAnsi="Times New Roman" w:eastAsia="宋体" w:cs="Times New Roman"/>
                <w:b w:val="0"/>
                <w:bCs w:val="0"/>
                <w:color w:val="auto"/>
                <w:sz w:val="21"/>
                <w:szCs w:val="21"/>
              </w:rPr>
              <w:t>发生泄漏事故，容易流淌扩散，与空气混合，遇有火源极易发生燃烧、火灾、爆炸；火灾爆炸事故将可能引发人员伤亡事故，并可能对周围环境产生影响</w:t>
            </w:r>
          </w:p>
        </w:tc>
      </w:tr>
    </w:tbl>
    <w:p w14:paraId="3FC8978F">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C.风险识别结果及可能影响环境的途径</w:t>
      </w:r>
    </w:p>
    <w:p w14:paraId="2C456CE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表3.</w:t>
      </w:r>
      <w:r>
        <w:rPr>
          <w:rFonts w:hint="default"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w:t>
      </w:r>
      <w:r>
        <w:rPr>
          <w:rFonts w:hint="eastAsia" w:ascii="Times New Roman" w:hAnsi="Times New Roman" w:eastAsia="宋体" w:cs="Times New Roman"/>
          <w:b/>
          <w:color w:val="auto"/>
          <w:sz w:val="24"/>
          <w:highlight w:val="none"/>
          <w:lang w:val="en-US" w:eastAsia="zh-CN"/>
        </w:rPr>
        <w:t>10</w:t>
      </w:r>
      <w:r>
        <w:rPr>
          <w:rFonts w:hint="default" w:ascii="Times New Roman" w:hAnsi="Times New Roman" w:eastAsia="宋体" w:cs="Times New Roman"/>
          <w:b/>
          <w:color w:val="auto"/>
          <w:sz w:val="24"/>
          <w:highlight w:val="none"/>
        </w:rPr>
        <w:t xml:space="preserve">  风险识别一览表</w:t>
      </w:r>
    </w:p>
    <w:tbl>
      <w:tblPr>
        <w:tblStyle w:val="5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3"/>
        <w:gridCol w:w="2506"/>
        <w:gridCol w:w="5727"/>
      </w:tblGrid>
      <w:tr w14:paraId="4FA54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3" w:type="pct"/>
            <w:tcBorders>
              <w:tl2br w:val="nil"/>
              <w:tr2bl w:val="nil"/>
            </w:tcBorders>
            <w:noWrap w:val="0"/>
            <w:vAlign w:val="center"/>
          </w:tcPr>
          <w:p w14:paraId="01588E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风险源</w:t>
            </w:r>
          </w:p>
        </w:tc>
        <w:tc>
          <w:tcPr>
            <w:tcW w:w="1356" w:type="pct"/>
            <w:tcBorders>
              <w:tl2br w:val="nil"/>
              <w:tr2bl w:val="nil"/>
            </w:tcBorders>
            <w:noWrap w:val="0"/>
            <w:vAlign w:val="center"/>
          </w:tcPr>
          <w:p w14:paraId="12B040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危险物质</w:t>
            </w:r>
          </w:p>
        </w:tc>
        <w:tc>
          <w:tcPr>
            <w:tcW w:w="3099" w:type="pct"/>
            <w:tcBorders>
              <w:tl2br w:val="nil"/>
              <w:tr2bl w:val="nil"/>
            </w:tcBorders>
            <w:noWrap w:val="0"/>
            <w:vAlign w:val="center"/>
          </w:tcPr>
          <w:p w14:paraId="66FAB3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环境影响途径</w:t>
            </w:r>
          </w:p>
        </w:tc>
      </w:tr>
      <w:tr w14:paraId="38268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43" w:type="pct"/>
            <w:tcBorders>
              <w:tl2br w:val="nil"/>
              <w:tr2bl w:val="nil"/>
            </w:tcBorders>
            <w:noWrap w:val="0"/>
            <w:vAlign w:val="center"/>
          </w:tcPr>
          <w:p w14:paraId="4A2299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蒸馏车间</w:t>
            </w:r>
          </w:p>
        </w:tc>
        <w:tc>
          <w:tcPr>
            <w:tcW w:w="1356" w:type="pct"/>
            <w:tcBorders>
              <w:tl2br w:val="nil"/>
              <w:tr2bl w:val="nil"/>
            </w:tcBorders>
            <w:noWrap w:val="0"/>
            <w:vAlign w:val="center"/>
          </w:tcPr>
          <w:p w14:paraId="6B3F5B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auto"/>
                <w:sz w:val="21"/>
                <w:szCs w:val="21"/>
                <w:lang w:eastAsia="zh-CN"/>
              </w:rPr>
            </w:pPr>
            <w:r>
              <w:rPr>
                <w:rFonts w:hint="eastAsia" w:ascii="Times New Roman" w:hAnsi="Times New Roman" w:cs="Times New Roman"/>
                <w:b w:val="0"/>
                <w:bCs w:val="0"/>
                <w:color w:val="auto"/>
                <w:sz w:val="21"/>
                <w:szCs w:val="21"/>
                <w:lang w:val="en-US" w:eastAsia="zh-CN"/>
              </w:rPr>
              <w:t>乙醇</w:t>
            </w:r>
          </w:p>
        </w:tc>
        <w:tc>
          <w:tcPr>
            <w:tcW w:w="3099" w:type="pct"/>
            <w:tcBorders>
              <w:tl2br w:val="nil"/>
              <w:tr2bl w:val="nil"/>
            </w:tcBorders>
            <w:noWrap w:val="0"/>
            <w:vAlign w:val="center"/>
          </w:tcPr>
          <w:p w14:paraId="5D0D75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val="0"/>
                <w:bCs w:val="0"/>
                <w:color w:val="auto"/>
                <w:sz w:val="21"/>
                <w:szCs w:val="21"/>
              </w:rPr>
            </w:pPr>
            <w:r>
              <w:rPr>
                <w:rFonts w:hint="eastAsia" w:ascii="Times New Roman" w:hAnsi="Times New Roman" w:cs="Times New Roman"/>
                <w:b w:val="0"/>
                <w:bCs w:val="0"/>
                <w:color w:val="auto"/>
                <w:sz w:val="21"/>
                <w:szCs w:val="21"/>
                <w:lang w:val="en-US" w:eastAsia="zh-CN"/>
              </w:rPr>
              <w:t>乙醇</w:t>
            </w:r>
            <w:r>
              <w:rPr>
                <w:rFonts w:hint="default" w:ascii="Times New Roman" w:hAnsi="Times New Roman" w:cs="Times New Roman"/>
                <w:b w:val="0"/>
                <w:bCs w:val="0"/>
                <w:color w:val="auto"/>
                <w:sz w:val="21"/>
                <w:szCs w:val="21"/>
              </w:rPr>
              <w:t>发生泄漏事故，容易流淌扩散，与空气混合，遇有火源极易发生燃烧、火灾、爆炸；</w:t>
            </w:r>
          </w:p>
        </w:tc>
      </w:tr>
    </w:tbl>
    <w:p w14:paraId="4ABBE073">
      <w:pPr>
        <w:pStyle w:val="5"/>
        <w:numPr>
          <w:ilvl w:val="0"/>
          <w:numId w:val="0"/>
        </w:numPr>
        <w:bidi w:val="0"/>
        <w:ind w:left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3.4.2.7运输过程中产生的污染物分析</w:t>
      </w:r>
    </w:p>
    <w:p w14:paraId="463FEF23">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本项目主要运力组织为厂区的运输车，运输路线为</w:t>
      </w:r>
      <w:r>
        <w:rPr>
          <w:rFonts w:hint="eastAsia" w:ascii="Times New Roman" w:hAnsi="Times New Roman" w:eastAsia="宋体" w:cs="Times New Roman"/>
          <w:color w:val="auto"/>
          <w:sz w:val="24"/>
          <w:szCs w:val="24"/>
          <w:lang w:val="en-US" w:eastAsia="zh-CN"/>
        </w:rPr>
        <w:t>厂区铁路专用线</w:t>
      </w:r>
      <w:r>
        <w:rPr>
          <w:rFonts w:hint="default" w:ascii="Times New Roman" w:hAnsi="Times New Roman" w:eastAsia="宋体" w:cs="Times New Roman"/>
          <w:color w:val="auto"/>
          <w:sz w:val="24"/>
          <w:szCs w:val="24"/>
          <w:lang w:val="en-US" w:eastAsia="zh-CN"/>
        </w:rPr>
        <w:t>至</w:t>
      </w:r>
      <w:r>
        <w:rPr>
          <w:rFonts w:hint="eastAsia" w:ascii="Times New Roman" w:hAnsi="Times New Roman" w:eastAsia="宋体" w:cs="Times New Roman"/>
          <w:color w:val="auto"/>
          <w:sz w:val="24"/>
          <w:szCs w:val="24"/>
          <w:lang w:val="en-US" w:eastAsia="zh-CN"/>
        </w:rPr>
        <w:t>原料仓</w:t>
      </w:r>
      <w:r>
        <w:rPr>
          <w:rFonts w:hint="default" w:ascii="Times New Roman" w:hAnsi="Times New Roman" w:eastAsia="宋体" w:cs="Times New Roman"/>
          <w:color w:val="auto"/>
          <w:sz w:val="24"/>
          <w:szCs w:val="24"/>
          <w:lang w:val="en-US" w:eastAsia="zh-CN"/>
        </w:rPr>
        <w:t>，受本项目原料及产品运输影响，</w:t>
      </w:r>
      <w:r>
        <w:rPr>
          <w:rFonts w:hint="default" w:ascii="Times New Roman" w:hAnsi="Times New Roman" w:eastAsia="宋体" w:cs="Times New Roman"/>
          <w:color w:val="auto"/>
          <w:sz w:val="24"/>
          <w:szCs w:val="24"/>
        </w:rPr>
        <w:t>该道路平均新增中型卡车、大型卡车各</w:t>
      </w:r>
      <w:r>
        <w:rPr>
          <w:rFonts w:hint="default"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次/天</w:t>
      </w:r>
      <w:r>
        <w:rPr>
          <w:rFonts w:hint="default" w:ascii="Times New Roman" w:hAnsi="Times New Roman" w:eastAsia="宋体" w:cs="Times New Roman"/>
          <w:color w:val="auto"/>
          <w:sz w:val="24"/>
          <w:szCs w:val="24"/>
          <w:lang w:val="en-US" w:eastAsia="zh-CN"/>
        </w:rPr>
        <w:t>。排放污染物主要为NOx、CO和THC，年排放量约1t/a、3.5t/a、29.1t/a。</w:t>
      </w:r>
    </w:p>
    <w:p w14:paraId="51A3D161">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项目车辆运输产生的污染物主要为原料在运输等各个环节产生的颗粒物及运输车辆噪声对周围环境影响，采取措施如下：</w:t>
      </w:r>
    </w:p>
    <w:p w14:paraId="27B5432C">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物料运输车辆要采用封闭车辆或加盖苫布，避免运输过程产生物料遗撒；</w:t>
      </w:r>
    </w:p>
    <w:p w14:paraId="7554028C">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要求驾驶员在运输过程中做到文明驾驶，途经村庄时要减速慢行、禁止鸣笛，以减少扬尘、噪声对周围环境影响；</w:t>
      </w:r>
    </w:p>
    <w:p w14:paraId="23317800">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在进厂道路上设专人定期清扫，配置洒水车洒水降尘，将物料运输过程中产生的扬尘降低到最低程度。</w:t>
      </w:r>
    </w:p>
    <w:p w14:paraId="140BE648">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综上所述，采取以上措施后，可将物料运输对周围环境影响降到最低，在可接受范围内。</w:t>
      </w:r>
    </w:p>
    <w:p w14:paraId="10DFB0AF">
      <w:pPr>
        <w:pStyle w:val="4"/>
        <w:numPr>
          <w:ilvl w:val="0"/>
          <w:numId w:val="0"/>
        </w:numPr>
        <w:bidi w:val="0"/>
        <w:ind w:leftChars="0"/>
        <w:rPr>
          <w:rFonts w:hint="default" w:ascii="Times New Roman" w:hAnsi="Times New Roman" w:cs="Times New Roman"/>
          <w:color w:val="auto"/>
        </w:rPr>
      </w:pPr>
      <w:r>
        <w:rPr>
          <w:rFonts w:hint="default" w:ascii="Times New Roman" w:hAnsi="Times New Roman" w:cs="Times New Roman"/>
          <w:color w:val="auto"/>
        </w:rPr>
        <w:t>3.</w:t>
      </w:r>
      <w:r>
        <w:rPr>
          <w:rFonts w:hint="default" w:ascii="Times New Roman" w:hAnsi="Times New Roman" w:cs="Times New Roman"/>
          <w:color w:val="auto"/>
          <w:lang w:val="en-US" w:eastAsia="zh-CN"/>
        </w:rPr>
        <w:t>4</w:t>
      </w: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清洁生产</w:t>
      </w:r>
    </w:p>
    <w:p w14:paraId="170C207A">
      <w:pPr>
        <w:pStyle w:val="5"/>
        <w:numPr>
          <w:ilvl w:val="0"/>
          <w:numId w:val="0"/>
        </w:numPr>
        <w:bidi w:val="0"/>
        <w:ind w:leftChars="0"/>
        <w:rPr>
          <w:rFonts w:hint="default" w:ascii="Times New Roman" w:hAnsi="Times New Roman" w:cs="Times New Roman"/>
          <w:color w:val="auto"/>
        </w:rPr>
      </w:pPr>
      <w:r>
        <w:rPr>
          <w:rFonts w:hint="default" w:ascii="Times New Roman" w:hAnsi="Times New Roman" w:cs="Times New Roman"/>
          <w:color w:val="auto"/>
        </w:rPr>
        <w:t>3.</w:t>
      </w:r>
      <w:r>
        <w:rPr>
          <w:rFonts w:hint="default" w:ascii="Times New Roman" w:hAnsi="Times New Roman" w:cs="Times New Roman"/>
          <w:color w:val="auto"/>
          <w:lang w:val="en-US" w:eastAsia="zh-CN"/>
        </w:rPr>
        <w:t>4</w:t>
      </w: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.1清洁生产分析</w:t>
      </w:r>
    </w:p>
    <w:p w14:paraId="4DE69C7E">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w:t>
      </w:r>
    </w:p>
    <w:p w14:paraId="43FFA929">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清洁生产是我国经济可持续发展的一项重要战略，也是实现我国污染控制重点由末端控制向生产全过程转变的重大措施。通过选择清洁原料、清洁工艺等，减少或消除污染物，使污染物产生量最小化；清洁生产往往通过提高利用效率来实现，可以帮助企业降低生产成本，从源头削减污染物排放，减轻末端处理负担，降低建设项目的环境风险。</w:t>
      </w:r>
    </w:p>
    <w:p w14:paraId="62A0D31A">
      <w:pPr>
        <w:pStyle w:val="5"/>
        <w:numPr>
          <w:ilvl w:val="0"/>
          <w:numId w:val="0"/>
        </w:numPr>
        <w:bidi w:val="0"/>
        <w:ind w:leftChars="0"/>
        <w:rPr>
          <w:rFonts w:hint="default" w:ascii="Times New Roman" w:hAnsi="Times New Roman" w:cs="Times New Roman"/>
          <w:color w:val="auto"/>
        </w:rPr>
      </w:pPr>
      <w:r>
        <w:rPr>
          <w:rFonts w:hint="default" w:ascii="Times New Roman" w:hAnsi="Times New Roman" w:cs="Times New Roman"/>
          <w:color w:val="auto"/>
        </w:rPr>
        <w:t>3.</w:t>
      </w:r>
      <w:r>
        <w:rPr>
          <w:rFonts w:hint="default" w:ascii="Times New Roman" w:hAnsi="Times New Roman" w:cs="Times New Roman"/>
          <w:color w:val="auto"/>
          <w:lang w:val="en-US" w:eastAsia="zh-CN"/>
        </w:rPr>
        <w:t>4</w:t>
      </w:r>
      <w:r>
        <w:rPr>
          <w:rFonts w:hint="default" w:ascii="Times New Roman" w:hAnsi="Times New Roman" w:cs="Times New Roman"/>
          <w:color w:val="auto"/>
        </w:rPr>
        <w:t>.</w:t>
      </w:r>
      <w:r>
        <w:rPr>
          <w:rFonts w:hint="default" w:ascii="Times New Roman" w:hAnsi="Times New Roman" w:cs="Times New Roman"/>
          <w:color w:val="auto"/>
          <w:lang w:val="en-US" w:eastAsia="zh-CN"/>
        </w:rPr>
        <w:t>3</w:t>
      </w:r>
      <w:r>
        <w:rPr>
          <w:rFonts w:hint="default" w:ascii="Times New Roman" w:hAnsi="Times New Roman" w:cs="Times New Roman"/>
          <w:color w:val="auto"/>
        </w:rPr>
        <w:t>.</w:t>
      </w:r>
      <w:r>
        <w:rPr>
          <w:rFonts w:hint="default" w:ascii="Times New Roman" w:hAnsi="Times New Roman" w:cs="Times New Roman"/>
          <w:color w:val="auto"/>
          <w:lang w:val="en-US" w:eastAsia="zh-CN"/>
        </w:rPr>
        <w:t>2</w:t>
      </w:r>
      <w:r>
        <w:rPr>
          <w:rFonts w:hint="default" w:ascii="Times New Roman" w:hAnsi="Times New Roman" w:cs="Times New Roman"/>
          <w:color w:val="auto"/>
        </w:rPr>
        <w:t>项目清洁生产分析</w:t>
      </w:r>
    </w:p>
    <w:p w14:paraId="5837FE85">
      <w:pPr>
        <w:spacing w:line="360" w:lineRule="auto"/>
        <w:ind w:firstLine="48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w:t>
      </w:r>
      <w:r>
        <w:rPr>
          <w:rFonts w:hint="default" w:ascii="Times New Roman" w:hAnsi="Times New Roman" w:eastAsia="宋体" w:cs="Times New Roman"/>
          <w:color w:val="auto"/>
          <w:sz w:val="24"/>
          <w:szCs w:val="24"/>
          <w:lang w:val="en-US" w:eastAsia="zh-CN"/>
        </w:rPr>
        <w:t>项目以</w:t>
      </w:r>
      <w:r>
        <w:rPr>
          <w:rFonts w:hint="eastAsia" w:ascii="Times New Roman" w:hAnsi="Times New Roman" w:eastAsia="宋体" w:cs="Times New Roman"/>
          <w:color w:val="auto"/>
          <w:sz w:val="24"/>
          <w:szCs w:val="24"/>
          <w:lang w:val="en-US" w:eastAsia="zh-CN"/>
        </w:rPr>
        <w:t>玉米</w:t>
      </w:r>
      <w:r>
        <w:rPr>
          <w:rFonts w:hint="default" w:ascii="Times New Roman" w:hAnsi="Times New Roman" w:eastAsia="宋体" w:cs="Times New Roman"/>
          <w:color w:val="auto"/>
          <w:sz w:val="24"/>
          <w:szCs w:val="24"/>
          <w:lang w:val="en-US" w:eastAsia="zh-CN"/>
        </w:rPr>
        <w:t>为主要原料，</w:t>
      </w:r>
      <w:r>
        <w:rPr>
          <w:rFonts w:hint="eastAsia" w:ascii="Times New Roman" w:hAnsi="Times New Roman" w:eastAsia="宋体" w:cs="Times New Roman"/>
          <w:color w:val="auto"/>
          <w:sz w:val="24"/>
          <w:szCs w:val="24"/>
          <w:lang w:val="en-US" w:eastAsia="zh-CN"/>
        </w:rPr>
        <w:t>属于谷类</w:t>
      </w:r>
      <w:r>
        <w:rPr>
          <w:rFonts w:hint="default" w:ascii="Times New Roman" w:hAnsi="Times New Roman" w:eastAsia="宋体" w:cs="Times New Roman"/>
          <w:color w:val="auto"/>
          <w:sz w:val="24"/>
          <w:szCs w:val="24"/>
          <w:lang w:val="en-US" w:eastAsia="zh-CN"/>
        </w:rPr>
        <w:t>。</w:t>
      </w:r>
    </w:p>
    <w:p w14:paraId="76B1C510">
      <w:pPr>
        <w:spacing w:line="360" w:lineRule="auto"/>
        <w:ind w:firstLine="48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本评价参照《清洁生产标准 </w:t>
      </w:r>
      <w:r>
        <w:rPr>
          <w:rFonts w:hint="eastAsia" w:ascii="Times New Roman" w:hAnsi="Times New Roman" w:eastAsia="宋体" w:cs="Times New Roman"/>
          <w:color w:val="auto"/>
          <w:sz w:val="24"/>
          <w:szCs w:val="24"/>
          <w:lang w:val="en-US" w:eastAsia="zh-CN"/>
        </w:rPr>
        <w:t>酒精</w:t>
      </w:r>
      <w:r>
        <w:rPr>
          <w:rFonts w:hint="default" w:ascii="Times New Roman" w:hAnsi="Times New Roman" w:eastAsia="宋体" w:cs="Times New Roman"/>
          <w:color w:val="auto"/>
          <w:sz w:val="24"/>
          <w:szCs w:val="24"/>
          <w:lang w:val="en-US" w:eastAsia="zh-CN"/>
        </w:rPr>
        <w:t>制造业》(HJ</w:t>
      </w:r>
      <w:r>
        <w:rPr>
          <w:rFonts w:hint="eastAsia" w:ascii="Times New Roman" w:hAnsi="Times New Roman" w:eastAsia="宋体" w:cs="Times New Roman"/>
          <w:color w:val="auto"/>
          <w:sz w:val="24"/>
          <w:szCs w:val="24"/>
          <w:lang w:val="en-US" w:eastAsia="zh-CN"/>
        </w:rPr>
        <w:t>581-</w:t>
      </w:r>
      <w:r>
        <w:rPr>
          <w:rFonts w:hint="default" w:ascii="Times New Roman" w:hAnsi="Times New Roman" w:eastAsia="宋体" w:cs="Times New Roman"/>
          <w:color w:val="auto"/>
          <w:sz w:val="24"/>
          <w:szCs w:val="24"/>
          <w:lang w:val="en-US" w:eastAsia="zh-CN"/>
        </w:rPr>
        <w:t>20</w:t>
      </w:r>
      <w:r>
        <w:rPr>
          <w:rFonts w:hint="eastAsia" w:ascii="Times New Roman" w:hAnsi="Times New Roman" w:eastAsia="宋体" w:cs="Times New Roman"/>
          <w:color w:val="auto"/>
          <w:sz w:val="24"/>
          <w:szCs w:val="24"/>
          <w:lang w:val="en-US" w:eastAsia="zh-CN"/>
        </w:rPr>
        <w:t>10</w:t>
      </w:r>
      <w:r>
        <w:rPr>
          <w:rFonts w:hint="default" w:ascii="Times New Roman" w:hAnsi="Times New Roman" w:eastAsia="宋体" w:cs="Times New Roman"/>
          <w:color w:val="auto"/>
          <w:sz w:val="24"/>
          <w:szCs w:val="24"/>
          <w:lang w:val="en-US" w:eastAsia="zh-CN"/>
        </w:rPr>
        <w:t>)进行对比分析，详见表</w:t>
      </w:r>
      <w:r>
        <w:rPr>
          <w:rFonts w:hint="eastAsia" w:ascii="Times New Roman" w:hAnsi="Times New Roman" w:eastAsia="宋体" w:cs="Times New Roman"/>
          <w:color w:val="auto"/>
          <w:sz w:val="24"/>
          <w:szCs w:val="24"/>
          <w:lang w:val="en-US" w:eastAsia="zh-CN"/>
        </w:rPr>
        <w:t>3.4</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w:t>
      </w:r>
    </w:p>
    <w:p w14:paraId="2AC0C1FF">
      <w:pPr>
        <w:jc w:val="center"/>
        <w:rPr>
          <w:rFonts w:eastAsia="黑体"/>
          <w:sz w:val="24"/>
        </w:rPr>
      </w:pPr>
    </w:p>
    <w:p w14:paraId="52F59C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4"/>
          <w:highlight w:val="none"/>
        </w:rPr>
      </w:pPr>
      <w:r>
        <w:rPr>
          <w:rFonts w:eastAsia="黑体"/>
          <w:sz w:val="24"/>
        </w:rPr>
        <w:br w:type="page"/>
      </w:r>
      <w:r>
        <w:rPr>
          <w:rFonts w:hint="default"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rPr>
        <w:t>3.4</w:t>
      </w:r>
      <w:r>
        <w:rPr>
          <w:rFonts w:hint="default" w:ascii="Times New Roman" w:hAnsi="Times New Roman" w:eastAsia="宋体" w:cs="Times New Roman"/>
          <w:b/>
          <w:color w:val="auto"/>
          <w:sz w:val="24"/>
          <w:highlight w:val="none"/>
        </w:rPr>
        <w:t>-1</w:t>
      </w:r>
      <w:r>
        <w:rPr>
          <w:rFonts w:hint="eastAsia" w:ascii="Times New Roman" w:hAnsi="Times New Roman" w:eastAsia="宋体" w:cs="Times New Roman"/>
          <w:b/>
          <w:color w:val="auto"/>
          <w:sz w:val="24"/>
          <w:highlight w:val="none"/>
          <w:lang w:val="en-US" w:eastAsia="zh-CN"/>
        </w:rPr>
        <w:t>1</w:t>
      </w:r>
      <w:r>
        <w:rPr>
          <w:rFonts w:hint="eastAsia" w:ascii="Times New Roman" w:hAnsi="Times New Roman" w:eastAsia="宋体" w:cs="Times New Roman"/>
          <w:b/>
          <w:color w:val="auto"/>
          <w:sz w:val="24"/>
          <w:highlight w:val="none"/>
        </w:rPr>
        <w:t xml:space="preserve">  酒精</w:t>
      </w:r>
      <w:r>
        <w:rPr>
          <w:rFonts w:hint="default" w:ascii="Times New Roman" w:hAnsi="Times New Roman" w:eastAsia="宋体" w:cs="Times New Roman"/>
          <w:b/>
          <w:color w:val="auto"/>
          <w:sz w:val="24"/>
          <w:highlight w:val="none"/>
        </w:rPr>
        <w:t>制造业清洁生产标准指标</w:t>
      </w:r>
    </w:p>
    <w:p w14:paraId="2D3B0BE5">
      <w:r>
        <mc:AlternateContent>
          <mc:Choice Requires="wpg">
            <w:drawing>
              <wp:anchor distT="0" distB="0" distL="114300" distR="114300" simplePos="0" relativeHeight="251659264" behindDoc="0" locked="0" layoutInCell="1" allowOverlap="1">
                <wp:simplePos x="0" y="0"/>
                <wp:positionH relativeFrom="column">
                  <wp:posOffset>223520</wp:posOffset>
                </wp:positionH>
                <wp:positionV relativeFrom="paragraph">
                  <wp:posOffset>99695</wp:posOffset>
                </wp:positionV>
                <wp:extent cx="5257800" cy="8321040"/>
                <wp:effectExtent l="0" t="0" r="0" b="3810"/>
                <wp:wrapNone/>
                <wp:docPr id="57" name="组合 57"/>
                <wp:cNvGraphicFramePr/>
                <a:graphic xmlns:a="http://schemas.openxmlformats.org/drawingml/2006/main">
                  <a:graphicData uri="http://schemas.microsoft.com/office/word/2010/wordprocessingGroup">
                    <wpg:wgp>
                      <wpg:cNvGrpSpPr/>
                      <wpg:grpSpPr>
                        <a:xfrm>
                          <a:off x="0" y="0"/>
                          <a:ext cx="5257800" cy="8321040"/>
                          <a:chOff x="2961" y="1752"/>
                          <a:chExt cx="6660" cy="11076"/>
                        </a:xfrm>
                      </wpg:grpSpPr>
                      <pic:pic xmlns:pic="http://schemas.openxmlformats.org/drawingml/2006/picture">
                        <pic:nvPicPr>
                          <pic:cNvPr id="42" name="图片 8"/>
                          <pic:cNvPicPr>
                            <a:picLocks noChangeAspect="1"/>
                          </pic:cNvPicPr>
                        </pic:nvPicPr>
                        <pic:blipFill>
                          <a:blip r:embed="rId59"/>
                          <a:srcRect l="28909" t="8904" r="27374" b="14095"/>
                          <a:stretch>
                            <a:fillRect/>
                          </a:stretch>
                        </pic:blipFill>
                        <pic:spPr>
                          <a:xfrm>
                            <a:off x="2961" y="5496"/>
                            <a:ext cx="6660" cy="7332"/>
                          </a:xfrm>
                          <a:prstGeom prst="rect">
                            <a:avLst/>
                          </a:prstGeom>
                          <a:noFill/>
                          <a:ln>
                            <a:noFill/>
                          </a:ln>
                        </pic:spPr>
                      </pic:pic>
                      <pic:pic xmlns:pic="http://schemas.openxmlformats.org/drawingml/2006/picture">
                        <pic:nvPicPr>
                          <pic:cNvPr id="56" name="图片 9"/>
                          <pic:cNvPicPr>
                            <a:picLocks noChangeAspect="1"/>
                          </pic:cNvPicPr>
                        </pic:nvPicPr>
                        <pic:blipFill>
                          <a:blip r:embed="rId60"/>
                          <a:srcRect l="22041" t="31360" r="23332" b="14473"/>
                          <a:stretch>
                            <a:fillRect/>
                          </a:stretch>
                        </pic:blipFill>
                        <pic:spPr>
                          <a:xfrm>
                            <a:off x="2961" y="1752"/>
                            <a:ext cx="6660" cy="4128"/>
                          </a:xfrm>
                          <a:prstGeom prst="rect">
                            <a:avLst/>
                          </a:prstGeom>
                          <a:noFill/>
                          <a:ln>
                            <a:noFill/>
                          </a:ln>
                        </pic:spPr>
                      </pic:pic>
                    </wpg:wgp>
                  </a:graphicData>
                </a:graphic>
              </wp:anchor>
            </w:drawing>
          </mc:Choice>
          <mc:Fallback>
            <w:pict>
              <v:group id="_x0000_s1026" o:spid="_x0000_s1026" o:spt="203" style="position:absolute;left:0pt;margin-left:17.6pt;margin-top:7.85pt;height:655.2pt;width:414pt;z-index:251659264;mso-width-relative:page;mso-height-relative:page;" coordorigin="2961,1752" coordsize="6660,11076" o:gfxdata="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ZlLvJ&#10;vQAAAKcBAAAZAAAAZHJzL19yZWxzL2Uyb0RvYy54bWwucmVsc72QywrCMBBF94L/EGZv03YhIqZu&#10;RHAr+gFDMk2jzYMkiv69AUEUBHcuZ4Z77mFW65sd2ZViMt4JaKoaGDnplXFawPGwnS2ApYxO4egd&#10;CbhTgnU3naz2NGIuoTSYkFihuCRgyDksOU9yIIup8oFcufQ+WsxljJoHlGfUxNu6nvP4zoDug8l2&#10;SkDcqRbY4R5K82+273sjaePlxZLLXyq4saW7ADFqygIsKYPPZVudAmng3yWa/0g0Lwn+8d7uAV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">
                <o:lock v:ext="edit" aspectratio="f"/>
                <v:shape id="图片 8" o:spid="_x0000_s1026" o:spt="75" type="#_x0000_t75" style="position:absolute;left:2961;top:5496;height:7332;width:6660;" filled="f" o:preferrelative="t" stroked="f" coordsize="21600,21600" o:gfxdata="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drAQvQAA&#10;ANsAAAAPAAAAAAAAAAEAIAAAACIAAABkcnMvZG93bnJldi54bWxQSwECFAAUAAAACACHTuJAMy8F&#10;njsAAAA5AAAAEAAAAAAAAAABACAAAAAMAQAAZHJzL3NoYXBleG1sLnhtbFBLBQYAAAAABgAGAFsB&#10;AAC2AwAAAAA=&#10;">
                  <v:fill on="f" focussize="0,0"/>
                  <v:stroke on="f"/>
                  <v:imagedata r:id="rId59" cropleft="18946f" croptop="5835f" cropright="17940f" cropbottom="9237f" o:title=""/>
                  <o:lock v:ext="edit" aspectratio="t"/>
                </v:shape>
                <v:shape id="图片 9" o:spid="_x0000_s1026" o:spt="75" type="#_x0000_t75" style="position:absolute;left:2961;top:1752;height:4128;width:6660;" filled="f" o:preferrelative="t" stroked="f" coordsize="21600,21600" o:gfxdata="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P0T1ugAAANsA&#10;AAAPAAAAAAAAAAEAIAAAACIAAABkcnMvZG93bnJldi54bWxQSwECFAAUAAAACACHTuJAMy8FnjsA&#10;AAA5AAAAEAAAAAAAAAABACAAAAAJAQAAZHJzL3NoYXBleG1sLnhtbFBLBQYAAAAABgAGAFsBAACz&#10;AwAAAAA=&#10;">
                  <v:fill on="f" focussize="0,0"/>
                  <v:stroke on="f"/>
                  <v:imagedata r:id="rId60" cropleft="14445f" croptop="20552f" cropright="15291f" cropbottom="9485f" o:title=""/>
                  <o:lock v:ext="edit" aspectratio="t"/>
                </v:shape>
              </v:group>
            </w:pict>
          </mc:Fallback>
        </mc:AlternateContent>
      </w:r>
    </w:p>
    <w:p w14:paraId="4021B28A"/>
    <w:p w14:paraId="32FCEB16"/>
    <w:p w14:paraId="0BAFD3A3"/>
    <w:p w14:paraId="0BBC95FF"/>
    <w:p w14:paraId="17C08C9A"/>
    <w:p w14:paraId="1513B6B5"/>
    <w:p w14:paraId="1DD9DC1C"/>
    <w:p w14:paraId="215E58C0"/>
    <w:p w14:paraId="1EEA8768"/>
    <w:p w14:paraId="73CC6334"/>
    <w:p w14:paraId="00B35F1A"/>
    <w:p w14:paraId="508C97AF"/>
    <w:p w14:paraId="5BDC2938"/>
    <w:p w14:paraId="7A249EB0"/>
    <w:p w14:paraId="73626EF4"/>
    <w:p w14:paraId="75CB24B8"/>
    <w:p w14:paraId="49BB5B75"/>
    <w:p w14:paraId="7E28FE35"/>
    <w:p w14:paraId="7FE4D119"/>
    <w:p w14:paraId="2148C428"/>
    <w:p w14:paraId="5E2717B0"/>
    <w:p w14:paraId="56575D84"/>
    <w:p w14:paraId="278A8F50"/>
    <w:p w14:paraId="527457F4"/>
    <w:p w14:paraId="41052B29"/>
    <w:p w14:paraId="3DE92776"/>
    <w:p w14:paraId="0D8CE78F"/>
    <w:p w14:paraId="1FC9BA6F"/>
    <w:p w14:paraId="50F2D0FF"/>
    <w:p w14:paraId="5AA780C0"/>
    <w:p w14:paraId="7C201A61"/>
    <w:p w14:paraId="21BEAD09"/>
    <w:p w14:paraId="796B1C5B"/>
    <w:p w14:paraId="1F48F037"/>
    <w:p w14:paraId="51428539"/>
    <w:p w14:paraId="2EE6CA6C"/>
    <w:p w14:paraId="09EE1515"/>
    <w:p w14:paraId="7EF50A0C"/>
    <w:p w14:paraId="6416A9C9"/>
    <w:p w14:paraId="6FD772C8"/>
    <w:p w14:paraId="7855D221"/>
    <w:p w14:paraId="3E005A0B">
      <w:pPr>
        <w:pStyle w:val="5"/>
        <w:numPr>
          <w:ilvl w:val="0"/>
          <w:numId w:val="0"/>
        </w:numPr>
        <w:bidi w:val="0"/>
        <w:ind w:leftChars="0"/>
        <w:rPr>
          <w:b w:val="0"/>
          <w:szCs w:val="28"/>
        </w:rPr>
      </w:pPr>
      <w:bookmarkStart w:id="235" w:name="_Toc246323664"/>
      <w:bookmarkStart w:id="236" w:name="_Toc280168373"/>
      <w:bookmarkStart w:id="237" w:name="_Toc276127324"/>
      <w:bookmarkStart w:id="238" w:name="_Toc454462883"/>
      <w:r>
        <w:rPr>
          <w:rFonts w:hint="eastAsia"/>
          <w:b w:val="0"/>
          <w:szCs w:val="28"/>
        </w:rPr>
        <w:br w:type="page"/>
      </w:r>
      <w:r>
        <w:rPr>
          <w:rFonts w:hint="eastAsia" w:ascii="Times New Roman" w:hAnsi="Times New Roman" w:eastAsia="Times New Roman" w:cs="Times New Roman"/>
          <w:color w:val="auto"/>
        </w:rPr>
        <w:t>3.4.3</w:t>
      </w:r>
      <w:r>
        <w:rPr>
          <w:rFonts w:hint="eastAsia" w:ascii="Times New Roman" w:hAnsi="Times New Roman" w:eastAsia="宋体" w:cs="Times New Roman"/>
          <w:color w:val="auto"/>
          <w:lang w:val="en-US" w:eastAsia="zh-CN"/>
        </w:rPr>
        <w:t>.3</w:t>
      </w:r>
      <w:r>
        <w:rPr>
          <w:rFonts w:hint="eastAsia" w:ascii="Times New Roman" w:hAnsi="Times New Roman" w:eastAsia="Times New Roman" w:cs="Times New Roman"/>
          <w:color w:val="auto"/>
        </w:rPr>
        <w:t>本项目清洁生产指标体系符合性分析</w:t>
      </w:r>
      <w:bookmarkEnd w:id="235"/>
      <w:bookmarkEnd w:id="236"/>
      <w:bookmarkEnd w:id="237"/>
      <w:bookmarkEnd w:id="238"/>
    </w:p>
    <w:p w14:paraId="094AA6CC">
      <w:pPr>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本评价对本工程的清洁生产评价指标进行评述，具体评价结果详见表3.4-12。</w:t>
      </w:r>
    </w:p>
    <w:p w14:paraId="101861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eastAsia" w:ascii="Times New Roman" w:hAnsi="Times New Roman" w:eastAsia="宋体" w:cs="Times New Roman"/>
          <w:b/>
          <w:color w:val="auto"/>
          <w:sz w:val="24"/>
          <w:highlight w:val="none"/>
        </w:rPr>
        <w:t>3.4</w:t>
      </w:r>
      <w:r>
        <w:rPr>
          <w:rFonts w:hint="default" w:ascii="Times New Roman" w:hAnsi="Times New Roman" w:eastAsia="宋体" w:cs="Times New Roman"/>
          <w:b/>
          <w:color w:val="auto"/>
          <w:sz w:val="24"/>
          <w:highlight w:val="none"/>
        </w:rPr>
        <w:t>-</w:t>
      </w:r>
      <w:r>
        <w:rPr>
          <w:rFonts w:hint="eastAsia" w:ascii="Times New Roman" w:hAnsi="Times New Roman" w:eastAsia="宋体" w:cs="Times New Roman"/>
          <w:b/>
          <w:color w:val="auto"/>
          <w:sz w:val="24"/>
          <w:highlight w:val="none"/>
          <w:lang w:val="en-US" w:eastAsia="zh-CN"/>
        </w:rPr>
        <w:t>12</w:t>
      </w:r>
      <w:r>
        <w:rPr>
          <w:rFonts w:hint="default" w:ascii="Times New Roman" w:hAnsi="Times New Roman" w:eastAsia="宋体" w:cs="Times New Roman"/>
          <w:b/>
          <w:color w:val="auto"/>
          <w:sz w:val="24"/>
          <w:highlight w:val="none"/>
        </w:rPr>
        <w:t>清洁生产评价结果</w:t>
      </w:r>
    </w:p>
    <w:tbl>
      <w:tblPr>
        <w:tblStyle w:val="53"/>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2"/>
        <w:gridCol w:w="3969"/>
        <w:gridCol w:w="1869"/>
      </w:tblGrid>
      <w:tr w14:paraId="6AF51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5B0A5966">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清洁生产指标等级</w:t>
            </w:r>
          </w:p>
        </w:tc>
        <w:tc>
          <w:tcPr>
            <w:tcW w:w="3969" w:type="dxa"/>
            <w:tcBorders>
              <w:tl2br w:val="nil"/>
              <w:tr2bl w:val="nil"/>
            </w:tcBorders>
            <w:shd w:val="clear" w:color="auto" w:fill="auto"/>
            <w:vAlign w:val="center"/>
          </w:tcPr>
          <w:p w14:paraId="53DD8718">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本项目</w:t>
            </w:r>
          </w:p>
        </w:tc>
        <w:tc>
          <w:tcPr>
            <w:tcW w:w="1869" w:type="dxa"/>
            <w:tcBorders>
              <w:tl2br w:val="nil"/>
              <w:tr2bl w:val="nil"/>
            </w:tcBorders>
            <w:shd w:val="clear" w:color="auto" w:fill="auto"/>
            <w:vAlign w:val="center"/>
          </w:tcPr>
          <w:p w14:paraId="727620DE">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清洁生产水平</w:t>
            </w:r>
          </w:p>
        </w:tc>
      </w:tr>
      <w:tr w14:paraId="61199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0" w:type="dxa"/>
            <w:gridSpan w:val="3"/>
            <w:tcBorders>
              <w:tl2br w:val="nil"/>
              <w:tr2bl w:val="nil"/>
            </w:tcBorders>
            <w:shd w:val="clear" w:color="auto" w:fill="auto"/>
            <w:vAlign w:val="center"/>
          </w:tcPr>
          <w:p w14:paraId="400CAC18">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一、生产工艺与设备要求</w:t>
            </w:r>
          </w:p>
        </w:tc>
      </w:tr>
      <w:tr w14:paraId="79BC0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55E3835F">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1、发酵成熟醪酒精分/%</w:t>
            </w:r>
          </w:p>
        </w:tc>
        <w:tc>
          <w:tcPr>
            <w:tcW w:w="3969" w:type="dxa"/>
            <w:tcBorders>
              <w:tl2br w:val="nil"/>
              <w:tr2bl w:val="nil"/>
            </w:tcBorders>
            <w:shd w:val="clear" w:color="auto" w:fill="auto"/>
            <w:vAlign w:val="center"/>
          </w:tcPr>
          <w:p w14:paraId="2720C896">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14%</w:t>
            </w:r>
          </w:p>
        </w:tc>
        <w:tc>
          <w:tcPr>
            <w:tcW w:w="1869" w:type="dxa"/>
            <w:tcBorders>
              <w:tl2br w:val="nil"/>
              <w:tr2bl w:val="nil"/>
            </w:tcBorders>
            <w:shd w:val="clear" w:color="auto" w:fill="auto"/>
            <w:vAlign w:val="center"/>
          </w:tcPr>
          <w:p w14:paraId="073B1FB3">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578FE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0F4043FA">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2、清洗系统</w:t>
            </w:r>
          </w:p>
        </w:tc>
        <w:tc>
          <w:tcPr>
            <w:tcW w:w="3969" w:type="dxa"/>
            <w:tcBorders>
              <w:tl2br w:val="nil"/>
              <w:tr2bl w:val="nil"/>
            </w:tcBorders>
            <w:shd w:val="clear" w:color="auto" w:fill="auto"/>
            <w:vAlign w:val="center"/>
          </w:tcPr>
          <w:p w14:paraId="769C0FE6">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自动清洗系统</w:t>
            </w:r>
          </w:p>
        </w:tc>
        <w:tc>
          <w:tcPr>
            <w:tcW w:w="1869" w:type="dxa"/>
            <w:tcBorders>
              <w:tl2br w:val="nil"/>
              <w:tr2bl w:val="nil"/>
            </w:tcBorders>
            <w:shd w:val="clear" w:color="auto" w:fill="auto"/>
            <w:vAlign w:val="center"/>
          </w:tcPr>
          <w:p w14:paraId="0C05E345">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63C90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09D8632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3、蒸馏设备</w:t>
            </w:r>
          </w:p>
        </w:tc>
        <w:tc>
          <w:tcPr>
            <w:tcW w:w="3969" w:type="dxa"/>
            <w:tcBorders>
              <w:tl2br w:val="nil"/>
              <w:tr2bl w:val="nil"/>
            </w:tcBorders>
            <w:shd w:val="clear" w:color="auto" w:fill="auto"/>
            <w:vAlign w:val="center"/>
          </w:tcPr>
          <w:p w14:paraId="0CBD4BAB">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差压蒸馏</w:t>
            </w:r>
          </w:p>
        </w:tc>
        <w:tc>
          <w:tcPr>
            <w:tcW w:w="1869" w:type="dxa"/>
            <w:tcBorders>
              <w:tl2br w:val="nil"/>
              <w:tr2bl w:val="nil"/>
            </w:tcBorders>
            <w:shd w:val="clear" w:color="auto" w:fill="auto"/>
            <w:vAlign w:val="center"/>
          </w:tcPr>
          <w:p w14:paraId="0BCCA456">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33FCC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0" w:type="dxa"/>
            <w:gridSpan w:val="3"/>
            <w:tcBorders>
              <w:tl2br w:val="nil"/>
              <w:tr2bl w:val="nil"/>
            </w:tcBorders>
            <w:shd w:val="clear" w:color="auto" w:fill="auto"/>
            <w:vAlign w:val="center"/>
          </w:tcPr>
          <w:p w14:paraId="7BA3CA4D">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二、资源能源利用指标</w:t>
            </w:r>
          </w:p>
        </w:tc>
      </w:tr>
      <w:tr w14:paraId="7988D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2E4CA161">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1、单位产品综合能耗/（kgce/kL）</w:t>
            </w:r>
          </w:p>
        </w:tc>
        <w:tc>
          <w:tcPr>
            <w:tcW w:w="3969" w:type="dxa"/>
            <w:tcBorders>
              <w:tl2br w:val="nil"/>
              <w:tr2bl w:val="nil"/>
            </w:tcBorders>
            <w:shd w:val="clear" w:color="auto" w:fill="auto"/>
            <w:vAlign w:val="center"/>
          </w:tcPr>
          <w:p w14:paraId="2DBB8CA2">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591</w:t>
            </w:r>
          </w:p>
        </w:tc>
        <w:tc>
          <w:tcPr>
            <w:tcW w:w="1869" w:type="dxa"/>
            <w:tcBorders>
              <w:tl2br w:val="nil"/>
              <w:tr2bl w:val="nil"/>
            </w:tcBorders>
            <w:shd w:val="clear" w:color="auto" w:fill="auto"/>
            <w:vAlign w:val="center"/>
          </w:tcPr>
          <w:p w14:paraId="21CF87E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二级</w:t>
            </w:r>
          </w:p>
        </w:tc>
      </w:tr>
      <w:tr w14:paraId="7B99E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5F1640D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2、单位产品耗电量/（kWh/ kL）</w:t>
            </w:r>
          </w:p>
        </w:tc>
        <w:tc>
          <w:tcPr>
            <w:tcW w:w="3969" w:type="dxa"/>
            <w:tcBorders>
              <w:tl2br w:val="nil"/>
              <w:tr2bl w:val="nil"/>
            </w:tcBorders>
            <w:shd w:val="clear" w:color="auto" w:fill="auto"/>
            <w:vAlign w:val="center"/>
          </w:tcPr>
          <w:p w14:paraId="6CF95B16">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252</w:t>
            </w:r>
          </w:p>
        </w:tc>
        <w:tc>
          <w:tcPr>
            <w:tcW w:w="1869" w:type="dxa"/>
            <w:tcBorders>
              <w:tl2br w:val="nil"/>
              <w:tr2bl w:val="nil"/>
            </w:tcBorders>
            <w:shd w:val="clear" w:color="auto" w:fill="auto"/>
            <w:vAlign w:val="center"/>
          </w:tcPr>
          <w:p w14:paraId="546E2D38">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二级</w:t>
            </w:r>
          </w:p>
        </w:tc>
      </w:tr>
      <w:tr w14:paraId="584B1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114A3709">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3、单位产品取水量/（m3/kL）</w:t>
            </w:r>
          </w:p>
        </w:tc>
        <w:tc>
          <w:tcPr>
            <w:tcW w:w="3969" w:type="dxa"/>
            <w:tcBorders>
              <w:tl2br w:val="nil"/>
              <w:tr2bl w:val="nil"/>
            </w:tcBorders>
            <w:shd w:val="clear" w:color="auto" w:fill="auto"/>
            <w:vAlign w:val="center"/>
          </w:tcPr>
          <w:p w14:paraId="017CF7EB">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9.95</w:t>
            </w:r>
          </w:p>
        </w:tc>
        <w:tc>
          <w:tcPr>
            <w:tcW w:w="1869" w:type="dxa"/>
            <w:tcBorders>
              <w:tl2br w:val="nil"/>
              <w:tr2bl w:val="nil"/>
            </w:tcBorders>
            <w:shd w:val="clear" w:color="auto" w:fill="auto"/>
            <w:vAlign w:val="center"/>
          </w:tcPr>
          <w:p w14:paraId="1D2B930A">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73119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13E244CB">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4、糖分出酒率/%</w:t>
            </w:r>
          </w:p>
        </w:tc>
        <w:tc>
          <w:tcPr>
            <w:tcW w:w="3969" w:type="dxa"/>
            <w:tcBorders>
              <w:tl2br w:val="nil"/>
              <w:tr2bl w:val="nil"/>
            </w:tcBorders>
            <w:shd w:val="clear" w:color="auto" w:fill="auto"/>
            <w:vAlign w:val="center"/>
          </w:tcPr>
          <w:p w14:paraId="6B83FC1A">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56.3</w:t>
            </w:r>
          </w:p>
        </w:tc>
        <w:tc>
          <w:tcPr>
            <w:tcW w:w="1869" w:type="dxa"/>
            <w:tcBorders>
              <w:tl2br w:val="nil"/>
              <w:tr2bl w:val="nil"/>
            </w:tcBorders>
            <w:shd w:val="clear" w:color="auto" w:fill="auto"/>
            <w:vAlign w:val="center"/>
          </w:tcPr>
          <w:p w14:paraId="1124E95E">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1949C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084DB48B">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5、淀粉出酒率/%</w:t>
            </w:r>
          </w:p>
        </w:tc>
        <w:tc>
          <w:tcPr>
            <w:tcW w:w="3969" w:type="dxa"/>
            <w:tcBorders>
              <w:tl2br w:val="nil"/>
              <w:tr2bl w:val="nil"/>
            </w:tcBorders>
            <w:shd w:val="clear" w:color="auto" w:fill="auto"/>
            <w:vAlign w:val="center"/>
          </w:tcPr>
          <w:p w14:paraId="22D87061">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58.2</w:t>
            </w:r>
          </w:p>
        </w:tc>
        <w:tc>
          <w:tcPr>
            <w:tcW w:w="1869" w:type="dxa"/>
            <w:tcBorders>
              <w:tl2br w:val="nil"/>
              <w:tr2bl w:val="nil"/>
            </w:tcBorders>
            <w:shd w:val="clear" w:color="auto" w:fill="auto"/>
            <w:vAlign w:val="center"/>
          </w:tcPr>
          <w:p w14:paraId="59C4BEEC">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00386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0" w:type="dxa"/>
            <w:gridSpan w:val="3"/>
            <w:tcBorders>
              <w:tl2br w:val="nil"/>
              <w:tr2bl w:val="nil"/>
            </w:tcBorders>
            <w:shd w:val="clear" w:color="auto" w:fill="auto"/>
            <w:vAlign w:val="center"/>
          </w:tcPr>
          <w:p w14:paraId="5CAB2FF9">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三、污染物产生指标（末端处理前）</w:t>
            </w:r>
          </w:p>
        </w:tc>
      </w:tr>
      <w:tr w14:paraId="7FC03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6FB65C1E">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1、单位产品废水产生量/（m3/kL）</w:t>
            </w:r>
          </w:p>
        </w:tc>
        <w:tc>
          <w:tcPr>
            <w:tcW w:w="3969" w:type="dxa"/>
            <w:tcBorders>
              <w:tl2br w:val="nil"/>
              <w:tr2bl w:val="nil"/>
            </w:tcBorders>
            <w:shd w:val="clear" w:color="auto" w:fill="auto"/>
            <w:vAlign w:val="center"/>
          </w:tcPr>
          <w:p w14:paraId="097AEEA8">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4.29</w:t>
            </w:r>
          </w:p>
        </w:tc>
        <w:tc>
          <w:tcPr>
            <w:tcW w:w="1869" w:type="dxa"/>
            <w:tcBorders>
              <w:tl2br w:val="nil"/>
              <w:tr2bl w:val="nil"/>
            </w:tcBorders>
            <w:shd w:val="clear" w:color="auto" w:fill="auto"/>
            <w:vAlign w:val="center"/>
          </w:tcPr>
          <w:p w14:paraId="63BD62E2">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3DDFA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5CF06F50">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2、单位产品COD产生量/（kg/kL）</w:t>
            </w:r>
          </w:p>
        </w:tc>
        <w:tc>
          <w:tcPr>
            <w:tcW w:w="3969" w:type="dxa"/>
            <w:tcBorders>
              <w:tl2br w:val="nil"/>
              <w:tr2bl w:val="nil"/>
            </w:tcBorders>
            <w:shd w:val="clear" w:color="auto" w:fill="auto"/>
            <w:vAlign w:val="center"/>
          </w:tcPr>
          <w:p w14:paraId="5D77D5D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60.08</w:t>
            </w:r>
          </w:p>
        </w:tc>
        <w:tc>
          <w:tcPr>
            <w:tcW w:w="1869" w:type="dxa"/>
            <w:tcBorders>
              <w:tl2br w:val="nil"/>
              <w:tr2bl w:val="nil"/>
            </w:tcBorders>
            <w:shd w:val="clear" w:color="auto" w:fill="auto"/>
            <w:vAlign w:val="center"/>
          </w:tcPr>
          <w:p w14:paraId="3FA99550">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13B1D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3FA0A7FE">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3、单位产品酒精糟液产生量/（m3/kL）（综合利用前）</w:t>
            </w:r>
          </w:p>
        </w:tc>
        <w:tc>
          <w:tcPr>
            <w:tcW w:w="3969" w:type="dxa"/>
            <w:tcBorders>
              <w:tl2br w:val="nil"/>
              <w:tr2bl w:val="nil"/>
            </w:tcBorders>
            <w:shd w:val="clear" w:color="auto" w:fill="auto"/>
            <w:vAlign w:val="center"/>
          </w:tcPr>
          <w:p w14:paraId="56C8E8B9">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9.8</w:t>
            </w:r>
          </w:p>
        </w:tc>
        <w:tc>
          <w:tcPr>
            <w:tcW w:w="1869" w:type="dxa"/>
            <w:tcBorders>
              <w:tl2br w:val="nil"/>
              <w:tr2bl w:val="nil"/>
            </w:tcBorders>
            <w:shd w:val="clear" w:color="auto" w:fill="auto"/>
            <w:vAlign w:val="center"/>
          </w:tcPr>
          <w:p w14:paraId="2A9320D9">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二级</w:t>
            </w:r>
          </w:p>
        </w:tc>
      </w:tr>
      <w:tr w14:paraId="2516F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0" w:type="dxa"/>
            <w:gridSpan w:val="3"/>
            <w:tcBorders>
              <w:tl2br w:val="nil"/>
              <w:tr2bl w:val="nil"/>
            </w:tcBorders>
            <w:shd w:val="clear" w:color="auto" w:fill="auto"/>
            <w:vAlign w:val="center"/>
          </w:tcPr>
          <w:p w14:paraId="0DD4C0C8">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四、废物回收利用指标</w:t>
            </w:r>
          </w:p>
        </w:tc>
      </w:tr>
      <w:tr w14:paraId="41159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25697B61">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1、酒精糟液综合利用率/%</w:t>
            </w:r>
          </w:p>
        </w:tc>
        <w:tc>
          <w:tcPr>
            <w:tcW w:w="3969" w:type="dxa"/>
            <w:tcBorders>
              <w:tl2br w:val="nil"/>
              <w:tr2bl w:val="nil"/>
            </w:tcBorders>
            <w:shd w:val="clear" w:color="auto" w:fill="auto"/>
            <w:vAlign w:val="center"/>
          </w:tcPr>
          <w:p w14:paraId="7307F552">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100</w:t>
            </w:r>
          </w:p>
        </w:tc>
        <w:tc>
          <w:tcPr>
            <w:tcW w:w="1869" w:type="dxa"/>
            <w:tcBorders>
              <w:tl2br w:val="nil"/>
              <w:tr2bl w:val="nil"/>
            </w:tcBorders>
            <w:shd w:val="clear" w:color="auto" w:fill="auto"/>
            <w:vAlign w:val="center"/>
          </w:tcPr>
          <w:p w14:paraId="4B50C9CC">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7A59C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773395AB">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2、冷却水循环利用率/%</w:t>
            </w:r>
          </w:p>
        </w:tc>
        <w:tc>
          <w:tcPr>
            <w:tcW w:w="3969" w:type="dxa"/>
            <w:tcBorders>
              <w:tl2br w:val="nil"/>
              <w:tr2bl w:val="nil"/>
            </w:tcBorders>
            <w:shd w:val="clear" w:color="auto" w:fill="auto"/>
            <w:vAlign w:val="center"/>
          </w:tcPr>
          <w:p w14:paraId="350D5482">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98.39</w:t>
            </w:r>
          </w:p>
        </w:tc>
        <w:tc>
          <w:tcPr>
            <w:tcW w:w="1869" w:type="dxa"/>
            <w:tcBorders>
              <w:tl2br w:val="nil"/>
              <w:tr2bl w:val="nil"/>
            </w:tcBorders>
            <w:shd w:val="clear" w:color="auto" w:fill="auto"/>
            <w:vAlign w:val="center"/>
          </w:tcPr>
          <w:p w14:paraId="52D98553">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3553E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060" w:type="dxa"/>
            <w:gridSpan w:val="3"/>
            <w:tcBorders>
              <w:tl2br w:val="nil"/>
              <w:tr2bl w:val="nil"/>
            </w:tcBorders>
            <w:shd w:val="clear" w:color="auto" w:fill="auto"/>
            <w:vAlign w:val="center"/>
          </w:tcPr>
          <w:p w14:paraId="0E1D2F88">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五、环境管理要求</w:t>
            </w:r>
          </w:p>
        </w:tc>
      </w:tr>
      <w:tr w14:paraId="1E66D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5FAC66E5">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1.环境法律法规标准</w:t>
            </w:r>
          </w:p>
        </w:tc>
        <w:tc>
          <w:tcPr>
            <w:tcW w:w="3969" w:type="dxa"/>
            <w:tcBorders>
              <w:tl2br w:val="nil"/>
              <w:tr2bl w:val="nil"/>
            </w:tcBorders>
            <w:shd w:val="clear" w:color="auto" w:fill="auto"/>
            <w:vAlign w:val="center"/>
          </w:tcPr>
          <w:p w14:paraId="54A4BB88">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符合国家和地方有关法律、法规，污染物排放达到国家和地方排放标准、总量控制和排污许可证管理要求。</w:t>
            </w:r>
          </w:p>
        </w:tc>
        <w:tc>
          <w:tcPr>
            <w:tcW w:w="1869" w:type="dxa"/>
            <w:tcBorders>
              <w:tl2br w:val="nil"/>
              <w:tr2bl w:val="nil"/>
            </w:tcBorders>
            <w:shd w:val="clear" w:color="auto" w:fill="auto"/>
            <w:vAlign w:val="center"/>
          </w:tcPr>
          <w:p w14:paraId="7551A876">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26AC6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5513B05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2、组织机构</w:t>
            </w:r>
          </w:p>
        </w:tc>
        <w:tc>
          <w:tcPr>
            <w:tcW w:w="3969" w:type="dxa"/>
            <w:tcBorders>
              <w:tl2br w:val="nil"/>
              <w:tr2bl w:val="nil"/>
            </w:tcBorders>
            <w:shd w:val="clear" w:color="auto" w:fill="auto"/>
            <w:vAlign w:val="center"/>
          </w:tcPr>
          <w:p w14:paraId="757B738C">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建立健全专门环境管理机构，配备专职管理人员</w:t>
            </w:r>
          </w:p>
        </w:tc>
        <w:tc>
          <w:tcPr>
            <w:tcW w:w="1869" w:type="dxa"/>
            <w:tcBorders>
              <w:tl2br w:val="nil"/>
              <w:tr2bl w:val="nil"/>
            </w:tcBorders>
            <w:shd w:val="clear" w:color="auto" w:fill="auto"/>
            <w:vAlign w:val="center"/>
          </w:tcPr>
          <w:p w14:paraId="619B5131">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07B42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3186A075">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3、环境审核</w:t>
            </w:r>
          </w:p>
        </w:tc>
        <w:tc>
          <w:tcPr>
            <w:tcW w:w="3969" w:type="dxa"/>
            <w:tcBorders>
              <w:tl2br w:val="nil"/>
              <w:tr2bl w:val="nil"/>
            </w:tcBorders>
            <w:shd w:val="clear" w:color="auto" w:fill="auto"/>
            <w:vAlign w:val="center"/>
          </w:tcPr>
          <w:p w14:paraId="1C4849B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按照GB/T24001建立并有效运行环境管理体系，环境管理手册、程序文件及作业文件齐备，通过环境管理体系认证；按照《清洁生产审核暂行办法》的要求完成了清洁生产审核，并经省级环境保护行政主管部门评估验收，持续实施清洁生产</w:t>
            </w:r>
          </w:p>
        </w:tc>
        <w:tc>
          <w:tcPr>
            <w:tcW w:w="1869" w:type="dxa"/>
            <w:tcBorders>
              <w:tl2br w:val="nil"/>
              <w:tr2bl w:val="nil"/>
            </w:tcBorders>
            <w:shd w:val="clear" w:color="auto" w:fill="auto"/>
            <w:vAlign w:val="center"/>
          </w:tcPr>
          <w:p w14:paraId="4B1681F0">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1D2F7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7D864D49">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4、生产过程环境管理</w:t>
            </w:r>
          </w:p>
        </w:tc>
        <w:tc>
          <w:tcPr>
            <w:tcW w:w="3969" w:type="dxa"/>
            <w:tcBorders>
              <w:tl2br w:val="nil"/>
              <w:tr2bl w:val="nil"/>
            </w:tcBorders>
            <w:shd w:val="clear" w:color="auto" w:fill="auto"/>
            <w:vAlign w:val="center"/>
          </w:tcPr>
          <w:p w14:paraId="16C3ED82">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有原材料质检制度和原材料消耗定额管理制度，对能耗水耗有考核，对产品合格率有考核，各种人流、物流包括人的活动区域、物品堆放区域等有明显标识；管道、设备无跑冒滴漏，有可靠的防范措施。</w:t>
            </w:r>
          </w:p>
        </w:tc>
        <w:tc>
          <w:tcPr>
            <w:tcW w:w="1869" w:type="dxa"/>
            <w:tcBorders>
              <w:tl2br w:val="nil"/>
              <w:tr2bl w:val="nil"/>
            </w:tcBorders>
            <w:shd w:val="clear" w:color="auto" w:fill="auto"/>
            <w:vAlign w:val="center"/>
          </w:tcPr>
          <w:p w14:paraId="751BD80F">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2F98B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3DA92895">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5、固体废物处理处置</w:t>
            </w:r>
          </w:p>
        </w:tc>
        <w:tc>
          <w:tcPr>
            <w:tcW w:w="3969" w:type="dxa"/>
            <w:tcBorders>
              <w:tl2br w:val="nil"/>
              <w:tr2bl w:val="nil"/>
            </w:tcBorders>
            <w:shd w:val="clear" w:color="auto" w:fill="auto"/>
            <w:vAlign w:val="center"/>
          </w:tcPr>
          <w:p w14:paraId="227668B6">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对各种固体废物进行了外卖综合利用或市政部门统一无害化处理。</w:t>
            </w:r>
          </w:p>
        </w:tc>
        <w:tc>
          <w:tcPr>
            <w:tcW w:w="1869" w:type="dxa"/>
            <w:tcBorders>
              <w:tl2br w:val="nil"/>
              <w:tr2bl w:val="nil"/>
            </w:tcBorders>
            <w:shd w:val="clear" w:color="auto" w:fill="auto"/>
            <w:vAlign w:val="center"/>
          </w:tcPr>
          <w:p w14:paraId="0C6CDFAC">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r w14:paraId="6E935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222" w:type="dxa"/>
            <w:tcBorders>
              <w:tl2br w:val="nil"/>
              <w:tr2bl w:val="nil"/>
            </w:tcBorders>
            <w:shd w:val="clear" w:color="auto" w:fill="auto"/>
            <w:vAlign w:val="center"/>
          </w:tcPr>
          <w:p w14:paraId="757D3D8B">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6、相关方环境管理</w:t>
            </w:r>
          </w:p>
        </w:tc>
        <w:tc>
          <w:tcPr>
            <w:tcW w:w="3969" w:type="dxa"/>
            <w:tcBorders>
              <w:tl2br w:val="nil"/>
              <w:tr2bl w:val="nil"/>
            </w:tcBorders>
            <w:shd w:val="clear" w:color="auto" w:fill="auto"/>
            <w:vAlign w:val="center"/>
          </w:tcPr>
          <w:p w14:paraId="78A30B17">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购买有资质的原材料供应商的产品，对原材料供应商的产品质量、包装和运输环节提出了环境管理要求。</w:t>
            </w:r>
          </w:p>
        </w:tc>
        <w:tc>
          <w:tcPr>
            <w:tcW w:w="1869" w:type="dxa"/>
            <w:tcBorders>
              <w:tl2br w:val="nil"/>
              <w:tr2bl w:val="nil"/>
            </w:tcBorders>
            <w:shd w:val="clear" w:color="auto" w:fill="auto"/>
            <w:vAlign w:val="center"/>
          </w:tcPr>
          <w:p w14:paraId="36EB2619">
            <w:pPr>
              <w:keepNext w:val="0"/>
              <w:keepLines w:val="0"/>
              <w:suppressLineNumbers w:val="0"/>
              <w:bidi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一级</w:t>
            </w:r>
          </w:p>
        </w:tc>
      </w:tr>
    </w:tbl>
    <w:p w14:paraId="4889910D">
      <w:pPr>
        <w:spacing w:line="360" w:lineRule="auto"/>
        <w:ind w:firstLine="480"/>
        <w:rPr>
          <w:spacing w:val="16"/>
          <w:sz w:val="24"/>
        </w:rPr>
      </w:pPr>
      <w:bookmarkStart w:id="239" w:name="_Toc186421395"/>
      <w:bookmarkStart w:id="240" w:name="_Toc242930838"/>
      <w:bookmarkStart w:id="241" w:name="_Toc276127326"/>
      <w:bookmarkStart w:id="242" w:name="_Toc280168374"/>
      <w:bookmarkStart w:id="243" w:name="_Toc241115198"/>
      <w:bookmarkStart w:id="244" w:name="_Toc192472960"/>
      <w:r>
        <w:rPr>
          <w:rFonts w:hint="eastAsia" w:ascii="Times New Roman" w:hAnsi="Times New Roman" w:eastAsia="宋体" w:cs="Times New Roman"/>
          <w:color w:val="auto"/>
          <w:sz w:val="24"/>
          <w:szCs w:val="24"/>
          <w:lang w:val="en-US" w:eastAsia="zh-CN"/>
        </w:rPr>
        <w:t>由表3.4-2可知，本项目达到清洁生产二级水平，即国内清洁生产先进水平。</w:t>
      </w:r>
    </w:p>
    <w:p w14:paraId="3030E423">
      <w:pPr>
        <w:pStyle w:val="5"/>
        <w:numPr>
          <w:ilvl w:val="0"/>
          <w:numId w:val="0"/>
        </w:numPr>
        <w:bidi w:val="0"/>
        <w:ind w:leftChars="0"/>
        <w:rPr>
          <w:rFonts w:hint="eastAsia" w:ascii="Times New Roman" w:hAnsi="Times New Roman" w:eastAsia="Times New Roman" w:cs="Times New Roman"/>
          <w:color w:val="auto"/>
        </w:rPr>
      </w:pPr>
      <w:bookmarkStart w:id="245" w:name="_Toc454462884"/>
      <w:r>
        <w:rPr>
          <w:rFonts w:hint="eastAsia" w:ascii="Times New Roman" w:hAnsi="Times New Roman" w:eastAsia="Times New Roman" w:cs="Times New Roman"/>
          <w:color w:val="auto"/>
        </w:rPr>
        <w:t>3.4.</w:t>
      </w:r>
      <w:r>
        <w:rPr>
          <w:rFonts w:hint="eastAsia" w:ascii="Times New Roman" w:hAnsi="Times New Roman" w:eastAsia="宋体" w:cs="Times New Roman"/>
          <w:color w:val="auto"/>
          <w:lang w:val="en-US" w:eastAsia="zh-CN"/>
        </w:rPr>
        <w:t>3.</w:t>
      </w:r>
      <w:r>
        <w:rPr>
          <w:rFonts w:hint="eastAsia" w:ascii="Times New Roman" w:hAnsi="Times New Roman" w:eastAsia="Times New Roman" w:cs="Times New Roman"/>
          <w:color w:val="auto"/>
        </w:rPr>
        <w:t>4清洁生产改进措施建议</w:t>
      </w:r>
      <w:bookmarkEnd w:id="245"/>
    </w:p>
    <w:p w14:paraId="596D4D35">
      <w:pPr>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企业从设计到实际生产运行，应做到高起点、严要求，采用先进、成熟、低废的生产工艺和设备。按照节能、降耗、减污、增效的清洁生产原则，制定企业各工段的清洁生产措施实施细则，通过技术培训和清洁生产教育，提高干部职工落实清洁生产的意识和能力，使清洁生产措施落到实处。力争早日达到企业清洁生产一级标准。</w:t>
      </w:r>
    </w:p>
    <w:bookmarkEnd w:id="239"/>
    <w:bookmarkEnd w:id="240"/>
    <w:bookmarkEnd w:id="241"/>
    <w:bookmarkEnd w:id="242"/>
    <w:bookmarkEnd w:id="243"/>
    <w:bookmarkEnd w:id="244"/>
    <w:p w14:paraId="75D493F9">
      <w:pPr>
        <w:pStyle w:val="5"/>
        <w:numPr>
          <w:ilvl w:val="0"/>
          <w:numId w:val="0"/>
        </w:numPr>
        <w:bidi w:val="0"/>
        <w:ind w:leftChars="0"/>
        <w:rPr>
          <w:rFonts w:hint="eastAsia" w:ascii="Times New Roman" w:hAnsi="Times New Roman" w:eastAsia="Times New Roman" w:cs="Times New Roman"/>
          <w:color w:val="auto"/>
        </w:rPr>
      </w:pPr>
      <w:bookmarkStart w:id="246" w:name="_Toc280168375"/>
      <w:bookmarkStart w:id="247" w:name="_Toc454462885"/>
      <w:bookmarkStart w:id="248" w:name="_Toc276127328"/>
      <w:r>
        <w:rPr>
          <w:rFonts w:hint="eastAsia" w:ascii="Times New Roman" w:hAnsi="Times New Roman" w:eastAsia="Times New Roman" w:cs="Times New Roman"/>
          <w:color w:val="auto"/>
        </w:rPr>
        <w:t>3.4.</w:t>
      </w:r>
      <w:r>
        <w:rPr>
          <w:rFonts w:hint="eastAsia" w:ascii="Times New Roman" w:hAnsi="Times New Roman" w:eastAsia="宋体" w:cs="Times New Roman"/>
          <w:color w:val="auto"/>
          <w:lang w:val="en-US" w:eastAsia="zh-CN"/>
        </w:rPr>
        <w:t>3.</w:t>
      </w:r>
      <w:r>
        <w:rPr>
          <w:rFonts w:hint="eastAsia" w:ascii="Times New Roman" w:hAnsi="Times New Roman" w:eastAsia="Times New Roman" w:cs="Times New Roman"/>
          <w:color w:val="auto"/>
        </w:rPr>
        <w:t>5结论</w:t>
      </w:r>
      <w:bookmarkEnd w:id="246"/>
      <w:bookmarkEnd w:id="247"/>
      <w:bookmarkEnd w:id="248"/>
    </w:p>
    <w:p w14:paraId="6A9CA34B">
      <w:pPr>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投产后，通过采用目前国内成熟的生产技术，在保证产品质量的前提下采取有效的节能降耗和节约用水措施，降低生产成本，达到了社会效益、经济效益和环境效益的三统一，在许多方面贯彻体现了清洁生产的原则，清洁生产水平可以达到国内先进水平。</w:t>
      </w:r>
    </w:p>
    <w:p w14:paraId="21050084">
      <w:pPr>
        <w:rPr>
          <w:rStyle w:val="212"/>
        </w:rPr>
      </w:pPr>
      <w:r>
        <w:rPr>
          <w:rStyle w:val="212"/>
        </w:rPr>
        <w:br w:type="page"/>
      </w:r>
    </w:p>
    <w:p w14:paraId="3761E3B3">
      <w:pPr>
        <w:spacing w:line="360" w:lineRule="auto"/>
      </w:pPr>
      <w:r>
        <w:rPr>
          <w:rStyle w:val="212"/>
        </w:rPr>
        <w:t>4环境现状调查与评价</w:t>
      </w:r>
      <w:bookmarkEnd w:id="233"/>
      <w:bookmarkEnd w:id="234"/>
    </w:p>
    <w:p w14:paraId="6E5691A8">
      <w:pPr>
        <w:pStyle w:val="3"/>
      </w:pPr>
      <w:bookmarkStart w:id="249" w:name="_Toc513324426"/>
      <w:bookmarkStart w:id="250" w:name="_Toc13962"/>
      <w:bookmarkStart w:id="251" w:name="_Toc26482"/>
      <w:bookmarkStart w:id="252" w:name="_Toc163"/>
      <w:bookmarkStart w:id="253" w:name="_Toc250639022"/>
      <w:bookmarkStart w:id="254" w:name="_Toc201855607"/>
      <w:bookmarkStart w:id="255" w:name="_Toc187231172"/>
      <w:r>
        <w:t>4.1自然环境现状调查与评价</w:t>
      </w:r>
      <w:bookmarkEnd w:id="249"/>
      <w:bookmarkEnd w:id="250"/>
      <w:bookmarkEnd w:id="251"/>
    </w:p>
    <w:p w14:paraId="2C2B89E0">
      <w:pPr>
        <w:pStyle w:val="4"/>
      </w:pPr>
      <w:r>
        <w:t>4.1.1地理位置</w:t>
      </w:r>
    </w:p>
    <w:p w14:paraId="0A1EE524">
      <w:pPr>
        <w:spacing w:line="360" w:lineRule="auto"/>
        <w:ind w:firstLine="480" w:firstLineChars="200"/>
      </w:pPr>
      <w:r>
        <w:t>讷河市位于黑龙江省松嫩平原北部，北靠嫩江县，东与五大连池、克山县接壤，南与依安、富裕县为邻，西以嫩江与甘南县和内蒙古自治区的莫力达瓦自治旗为界。地处东经124°18′28″－125°59′23″北纬47°57′37″－48°55′55″。幅员面积667，430公顷，境内有4个省属国营农场，15个军办农场和省属老莱劳改支队。现有耕地面积380，140.5公顷，占土地总面积63.7%；林地面积76，055.0公顷，占土地总面积12.7%；牧草地面积26，771.3公顷，占土地总面积4.5%；水域面积18,0037公顷，占土地总面积3%。</w:t>
      </w:r>
      <w:r>
        <w:rPr>
          <w:rFonts w:hint="eastAsia"/>
          <w:lang w:eastAsia="zh-CN"/>
        </w:rPr>
        <w:t>本项目</w:t>
      </w:r>
      <w:r>
        <w:t>位于</w:t>
      </w:r>
      <w:r>
        <w:rPr>
          <w:rFonts w:hint="eastAsia"/>
          <w:lang w:eastAsia="zh-CN"/>
        </w:rPr>
        <w:t>拉哈生物技术与化学制药产业园黑龙江鸿展生物科技股份有限公司院内</w:t>
      </w:r>
      <w:r>
        <w:t>，建设项目所在区域地理位置见图 4.1-1。</w:t>
      </w:r>
    </w:p>
    <w:p w14:paraId="0B88ABD9">
      <w:pPr>
        <w:pStyle w:val="4"/>
        <w:rPr>
          <w:rFonts w:eastAsia="Times New Roman"/>
        </w:rPr>
      </w:pPr>
      <w:r>
        <w:t>4.1.2地质及地形地貌</w:t>
      </w:r>
    </w:p>
    <w:p w14:paraId="0F95D4D1">
      <w:pPr>
        <w:spacing w:line="360" w:lineRule="auto"/>
        <w:ind w:firstLine="480" w:firstLineChars="200"/>
      </w:pPr>
      <w:r>
        <w:t>讷河市处在松嫩平原北缘，是小兴安岭山脉向平原过渡地带。海拔高度164米至436米。受新华夏构造体系和东西向构造体系的控制影响，总地势是北部高，南部低，由东北向西南倾斜。古代沉积和现代剥蚀堆积作用明显，形成了低丘、熔岩台地（强起伏大川大岗）、波状起伏台地（漫川漫岗）、微倾斜台地、河古平原和低平原等七种地貌类型：</w:t>
      </w:r>
    </w:p>
    <w:p w14:paraId="6B42CBA1">
      <w:pPr>
        <w:spacing w:line="360" w:lineRule="auto"/>
        <w:ind w:firstLine="480" w:firstLineChars="200"/>
      </w:pPr>
      <w:r>
        <w:t>坡丘：面积193.8平方公里，占全市面积的2.9%；</w:t>
      </w:r>
    </w:p>
    <w:p w14:paraId="5F249AF0">
      <w:pPr>
        <w:spacing w:line="360" w:lineRule="auto"/>
        <w:ind w:firstLine="480" w:firstLineChars="200"/>
      </w:pPr>
      <w:r>
        <w:t>熔岩台地：面积174.4平方公里，占全市面积的2.6%；</w:t>
      </w:r>
    </w:p>
    <w:p w14:paraId="7A5E1702">
      <w:pPr>
        <w:spacing w:line="360" w:lineRule="auto"/>
        <w:ind w:firstLine="480" w:firstLineChars="200"/>
      </w:pPr>
      <w:r>
        <w:t>丘陵状台地：又称强烈起伏高平原，属于山前高平原地形，为1 153.9平方公里，占全市面积的17.3%，为市境主要的林业生产基地和野生动物栖息地；</w:t>
      </w:r>
    </w:p>
    <w:p w14:paraId="2464F36F">
      <w:pPr>
        <w:spacing w:line="360" w:lineRule="auto"/>
        <w:ind w:firstLine="480" w:firstLineChars="200"/>
      </w:pPr>
      <w:r>
        <w:t>波状起伏台地：也称漫川漫岗，亦属山前高平原地形。为3 283.4平方公里，占全市面积的49.2%，遍布市境中部和东南部；</w:t>
      </w:r>
    </w:p>
    <w:p w14:paraId="2203AD45">
      <w:pPr>
        <w:spacing w:line="360" w:lineRule="auto"/>
        <w:ind w:firstLine="480" w:firstLineChars="200"/>
      </w:pPr>
      <w:r>
        <w:t>微倾斜台地：面积282.1平方公里，占全市面积的4.2%，为经济作物主产区；</w:t>
      </w:r>
    </w:p>
    <w:p w14:paraId="7844B71E">
      <w:pPr>
        <w:spacing w:line="360" w:lineRule="auto"/>
        <w:ind w:firstLine="480" w:firstLineChars="200"/>
      </w:pPr>
      <w:r>
        <w:t>河谷平原：面积1 256.9平方公里，占全市面积的18.7%，分布市境中部和西部，已全部垦为耕地，水资源丰富；冲积平原：面积321.8平方公里，占全市面积的4.8%，分布市域西部边境，草原退化、耕地风蚀严重。</w:t>
      </w:r>
    </w:p>
    <w:p w14:paraId="28703127">
      <w:pPr>
        <w:pStyle w:val="27"/>
        <w:spacing w:line="360" w:lineRule="auto"/>
        <w:ind w:firstLine="480" w:firstLineChars="200"/>
        <w:rPr>
          <w:rFonts w:ascii="Times New Roman" w:hAnsi="Times New Roman" w:eastAsia="宋体" w:cs="Times New Roman"/>
          <w:sz w:val="24"/>
          <w:szCs w:val="24"/>
          <w:lang w:val="en-US" w:eastAsia="zh-CN" w:bidi="ar-SA"/>
        </w:rPr>
        <w:sectPr>
          <w:footerReference r:id="rId11" w:type="default"/>
          <w:pgSz w:w="11906" w:h="16838"/>
          <w:pgMar w:top="1440" w:right="1440" w:bottom="1440" w:left="1440" w:header="851" w:footer="992" w:gutter="0"/>
          <w:pgBorders>
            <w:top w:val="none" w:sz="0" w:space="0"/>
            <w:left w:val="none" w:sz="0" w:space="0"/>
            <w:bottom w:val="none" w:sz="0" w:space="0"/>
            <w:right w:val="none" w:sz="0" w:space="0"/>
          </w:pgBorders>
          <w:cols w:space="0" w:num="1"/>
          <w:docGrid w:linePitch="312" w:charSpace="0"/>
        </w:sectPr>
      </w:pPr>
      <w:r>
        <w:rPr>
          <w:rFonts w:ascii="Times New Roman" w:hAnsi="Times New Roman" w:eastAsia="宋体" w:cs="Times New Roman"/>
          <w:sz w:val="24"/>
          <w:szCs w:val="24"/>
          <w:lang w:val="en-US" w:eastAsia="zh-CN" w:bidi="ar-SA"/>
        </w:rPr>
        <w:t>讷河市属大兴安岭隆起带和松嫩平原地层沉降带的交接处，含水层多为砂砾石、砂卵石及细砂透镜体等孔隙组成。水量丰富，补给可靠。</w:t>
      </w:r>
    </w:p>
    <w:p w14:paraId="27E3CDC3">
      <w:pPr>
        <w:pStyle w:val="20"/>
        <w:jc w:val="center"/>
      </w:pPr>
      <w:r>
        <mc:AlternateContent>
          <mc:Choice Requires="wps">
            <w:drawing>
              <wp:anchor distT="0" distB="0" distL="114300" distR="114300" simplePos="0" relativeHeight="251671552" behindDoc="0" locked="0" layoutInCell="1" allowOverlap="1">
                <wp:simplePos x="0" y="0"/>
                <wp:positionH relativeFrom="column">
                  <wp:posOffset>2790190</wp:posOffset>
                </wp:positionH>
                <wp:positionV relativeFrom="paragraph">
                  <wp:posOffset>3251200</wp:posOffset>
                </wp:positionV>
                <wp:extent cx="716280" cy="316230"/>
                <wp:effectExtent l="215900" t="6350" r="20320" b="248920"/>
                <wp:wrapNone/>
                <wp:docPr id="198" name="矩形标注 198"/>
                <wp:cNvGraphicFramePr/>
                <a:graphic xmlns:a="http://schemas.openxmlformats.org/drawingml/2006/main">
                  <a:graphicData uri="http://schemas.microsoft.com/office/word/2010/wordprocessingShape">
                    <wps:wsp>
                      <wps:cNvSpPr/>
                      <wps:spPr>
                        <a:xfrm>
                          <a:off x="3985260" y="4664075"/>
                          <a:ext cx="716280" cy="316230"/>
                        </a:xfrm>
                        <a:prstGeom prst="wedgeRectCallout">
                          <a:avLst>
                            <a:gd name="adj1" fmla="val -73958"/>
                            <a:gd name="adj2" fmla="val 119571"/>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4E8EE">
                            <w:pPr>
                              <w:jc w:val="center"/>
                              <w:rPr>
                                <w:b/>
                                <w:bCs/>
                                <w:color w:val="00B050"/>
                                <w14:textOutline w14:w="12700" w14:cap="flat" w14:cmpd="sng" w14:algn="ctr">
                                  <w14:solidFill>
                                    <w14:srgbClr w14:val="FF0000"/>
                                  </w14:solidFill>
                                  <w14:prstDash w14:val="solid"/>
                                  <w14:round/>
                                </w14:textOutline>
                                <w14:textFill>
                                  <w14:gradFill>
                                    <w14:gsLst>
                                      <w14:gs w14:pos="100000">
                                        <w14:srgbClr w14:val="FE4444"/>
                                      </w14:gs>
                                      <w14:gs w14:pos="100000">
                                        <w14:srgbClr w14:val="832B2B"/>
                                      </w14:gs>
                                    </w14:gsLst>
                                    <w14:lin w14:ang="5400000" w14:scaled="0"/>
                                  </w14:gradFill>
                                </w14:textFill>
                              </w:rPr>
                            </w:pPr>
                            <w:r>
                              <w:rPr>
                                <w:rFonts w:hint="eastAsia"/>
                                <w:b/>
                                <w:bCs/>
                                <w:color w:val="00B050"/>
                                <w14:textOutline w14:w="12700" w14:cap="flat" w14:cmpd="sng" w14:algn="ctr">
                                  <w14:solidFill>
                                    <w14:srgbClr w14:val="FF0000"/>
                                  </w14:solidFill>
                                  <w14:prstDash w14:val="solid"/>
                                  <w14:round/>
                                </w14:textOutline>
                                <w14:textFill>
                                  <w14:gradFill>
                                    <w14:gsLst>
                                      <w14:gs w14:pos="100000">
                                        <w14:srgbClr w14:val="FE4444"/>
                                      </w14:gs>
                                      <w14:gs w14:pos="100000">
                                        <w14:srgbClr w14:val="832B2B"/>
                                      </w14:gs>
                                    </w14:gsLst>
                                    <w14:lin w14:ang="5400000" w14:scaled="0"/>
                                  </w14:gra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19.7pt;margin-top:256pt;height:24.9pt;width:56.4pt;z-index:251671552;v-text-anchor:middle;mso-width-relative:page;mso-height-relative:page;" fillcolor="#FFFF00" filled="t" stroked="t" coordsize="21600,21600" o:gfxdata="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WHVkq2QAAAAsBAAAPAAAAAAAAAAEA&#10;IAAAACIAAABkcnMvZG93bnJldi54bWxQSwECFAAUAAAACACHTuJAbbtu7rkCAABzBQAADgAAAAAA&#10;AAABACAAAAAoAQAAZHJzL2Uyb0RvYy54bWxQSwUGAAAAAAYABgBZAQAAUwYAAAAA&#10;" adj="-5175,36627">
                <v:fill on="t" focussize="0,0"/>
                <v:stroke weight="1pt" color="#FFFF00 [3204]" miterlimit="8" joinstyle="miter"/>
                <v:imagedata o:title=""/>
                <o:lock v:ext="edit" aspectratio="f"/>
                <v:textbox>
                  <w:txbxContent>
                    <w:p w14:paraId="30E4E8EE">
                      <w:pPr>
                        <w:jc w:val="center"/>
                        <w:rPr>
                          <w:b/>
                          <w:bCs/>
                          <w:color w:val="00B050"/>
                          <w14:textOutline w14:w="12700" w14:cap="flat" w14:cmpd="sng" w14:algn="ctr">
                            <w14:solidFill>
                              <w14:srgbClr w14:val="FF0000"/>
                            </w14:solidFill>
                            <w14:prstDash w14:val="solid"/>
                            <w14:round/>
                          </w14:textOutline>
                          <w14:textFill>
                            <w14:gradFill>
                              <w14:gsLst>
                                <w14:gs w14:pos="100000">
                                  <w14:srgbClr w14:val="FE4444"/>
                                </w14:gs>
                                <w14:gs w14:pos="100000">
                                  <w14:srgbClr w14:val="832B2B"/>
                                </w14:gs>
                              </w14:gsLst>
                              <w14:lin w14:ang="5400000" w14:scaled="0"/>
                            </w14:gradFill>
                          </w14:textFill>
                        </w:rPr>
                      </w:pPr>
                      <w:r>
                        <w:rPr>
                          <w:rFonts w:hint="eastAsia"/>
                          <w:b/>
                          <w:bCs/>
                          <w:color w:val="00B050"/>
                          <w14:textOutline w14:w="12700" w14:cap="flat" w14:cmpd="sng" w14:algn="ctr">
                            <w14:solidFill>
                              <w14:srgbClr w14:val="FF0000"/>
                            </w14:solidFill>
                            <w14:prstDash w14:val="solid"/>
                            <w14:round/>
                          </w14:textOutline>
                          <w14:textFill>
                            <w14:gradFill>
                              <w14:gsLst>
                                <w14:gs w14:pos="100000">
                                  <w14:srgbClr w14:val="FE4444"/>
                                </w14:gs>
                                <w14:gs w14:pos="100000">
                                  <w14:srgbClr w14:val="832B2B"/>
                                </w14:gs>
                              </w14:gsLst>
                              <w14:lin w14:ang="5400000" w14:scaled="0"/>
                            </w14:gradFill>
                          </w14:textFill>
                        </w:rPr>
                        <w:t>本项目</w:t>
                      </w:r>
                    </w:p>
                  </w:txbxContent>
                </v:textbox>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2505075</wp:posOffset>
                </wp:positionH>
                <wp:positionV relativeFrom="paragraph">
                  <wp:posOffset>3709035</wp:posOffset>
                </wp:positionV>
                <wp:extent cx="186690" cy="154940"/>
                <wp:effectExtent l="21590" t="18415" r="39370" b="17145"/>
                <wp:wrapNone/>
                <wp:docPr id="199" name="五角星 199"/>
                <wp:cNvGraphicFramePr/>
                <a:graphic xmlns:a="http://schemas.openxmlformats.org/drawingml/2006/main">
                  <a:graphicData uri="http://schemas.microsoft.com/office/word/2010/wordprocessingShape">
                    <wps:wsp>
                      <wps:cNvSpPr/>
                      <wps:spPr>
                        <a:xfrm>
                          <a:off x="4242435" y="5054600"/>
                          <a:ext cx="186690" cy="15494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E7D9D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97.25pt;margin-top:292.05pt;height:12.2pt;width:14.7pt;z-index:251672576;v-text-anchor:middle;mso-width-relative:page;mso-height-relative:page;" fillcolor="#FF0000" filled="t" stroked="t" coordsize="186690,154940" o:gfxdata="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UN4gg2gAAAAsBAAAP&#10;AAAAAAAAAAEAIAAAACIAAABkcnMvZG93bnJldi54bWxQSwECFAAUAAAACACHTuJAmLXNSogCAAAS&#10;BQAADgAAAAAAAAABACAAAAApAQAAZHJzL2Uyb0RvYy54bWxQSwUGAAAAAAYABgBZAQAAIwYAAAAA&#10;" path="m0,59181l71309,59182,93345,0,115380,59182,186689,59181,128998,95757,151035,154939,93345,118362,35654,154939,57691,95757xe">
                <v:path textboxrect="0,0,186690,154940" o:connectlocs="93345,0;0,59181;35654,154939;151035,154939;186689,59181" o:connectangles="247,164,82,82,0"/>
                <v:fill on="t" focussize="0,0"/>
                <v:stroke weight="1pt" color="#FF0000 [3204]" miterlimit="8" joinstyle="miter"/>
                <v:imagedata o:title=""/>
                <o:lock v:ext="edit" aspectratio="f"/>
                <v:textbox>
                  <w:txbxContent>
                    <w:p w14:paraId="1DE7D9D3">
                      <w:pPr>
                        <w:jc w:val="center"/>
                      </w:pPr>
                    </w:p>
                  </w:txbxContent>
                </v:textbox>
              </v:shape>
            </w:pict>
          </mc:Fallback>
        </mc:AlternateContent>
      </w:r>
      <w:r>
        <w:rPr>
          <w:sz w:val="20"/>
        </w:rPr>
        <w:drawing>
          <wp:anchor distT="0" distB="0" distL="114300" distR="114300" simplePos="0" relativeHeight="251677696" behindDoc="0" locked="0" layoutInCell="1" allowOverlap="1">
            <wp:simplePos x="0" y="0"/>
            <wp:positionH relativeFrom="column">
              <wp:posOffset>7208520</wp:posOffset>
            </wp:positionH>
            <wp:positionV relativeFrom="paragraph">
              <wp:posOffset>2540</wp:posOffset>
            </wp:positionV>
            <wp:extent cx="853440" cy="853440"/>
            <wp:effectExtent l="9525" t="9525" r="13335" b="13335"/>
            <wp:wrapNone/>
            <wp:docPr id="10" name="图片 22" descr="E:\丹丹\克东牧原公司项目\来回\风向玫瑰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2" descr="E:\丹丹\克东牧原公司项目\来回\风向玫瑰图.png"/>
                    <pic:cNvPicPr>
                      <a:picLocks noChangeAspect="1"/>
                    </pic:cNvPicPr>
                  </pic:nvPicPr>
                  <pic:blipFill>
                    <a:blip r:embed="rId61"/>
                    <a:stretch>
                      <a:fillRect/>
                    </a:stretch>
                  </pic:blipFill>
                  <pic:spPr>
                    <a:xfrm>
                      <a:off x="0" y="0"/>
                      <a:ext cx="853440" cy="853440"/>
                    </a:xfrm>
                    <a:prstGeom prst="rect">
                      <a:avLst/>
                    </a:prstGeom>
                    <a:noFill/>
                    <a:ln w="9525" cap="flat" cmpd="sng">
                      <a:solidFill>
                        <a:srgbClr val="000000"/>
                      </a:solidFill>
                      <a:prstDash val="solid"/>
                      <a:round/>
                      <a:headEnd type="none" w="med" len="med"/>
                      <a:tailEnd type="none" w="med" len="med"/>
                    </a:ln>
                  </pic:spPr>
                </pic:pic>
              </a:graphicData>
            </a:graphic>
          </wp:anchor>
        </w:drawing>
      </w:r>
      <w:r>
        <w:drawing>
          <wp:inline distT="0" distB="0" distL="114300" distR="114300">
            <wp:extent cx="7306310" cy="5045710"/>
            <wp:effectExtent l="0" t="0" r="8890" b="2540"/>
            <wp:docPr id="16" name="图片 16" descr="讷河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讷河图"/>
                    <pic:cNvPicPr>
                      <a:picLocks noChangeAspect="1"/>
                    </pic:cNvPicPr>
                  </pic:nvPicPr>
                  <pic:blipFill>
                    <a:blip r:embed="rId62"/>
                    <a:stretch>
                      <a:fillRect/>
                    </a:stretch>
                  </pic:blipFill>
                  <pic:spPr>
                    <a:xfrm>
                      <a:off x="0" y="0"/>
                      <a:ext cx="7306310" cy="5045710"/>
                    </a:xfrm>
                    <a:prstGeom prst="rect">
                      <a:avLst/>
                    </a:prstGeom>
                  </pic:spPr>
                </pic:pic>
              </a:graphicData>
            </a:graphic>
          </wp:inline>
        </w:drawing>
      </w:r>
    </w:p>
    <w:p w14:paraId="169ACAA3">
      <w:pPr>
        <w:jc w:val="center"/>
      </w:pPr>
      <w:r>
        <w:rPr>
          <w:b/>
          <w:sz w:val="21"/>
        </w:rPr>
        <w:t>图</w:t>
      </w:r>
      <w:r>
        <w:rPr>
          <w:rFonts w:eastAsia="Times New Roman"/>
          <w:b/>
          <w:sz w:val="21"/>
        </w:rPr>
        <w:t>4.1-1</w:t>
      </w:r>
      <w:r>
        <w:rPr>
          <w:b/>
          <w:sz w:val="21"/>
        </w:rPr>
        <w:t xml:space="preserve">  </w:t>
      </w:r>
      <w:r>
        <w:rPr>
          <w:rFonts w:hint="eastAsia"/>
          <w:b/>
          <w:sz w:val="21"/>
          <w:lang w:val="en-US" w:eastAsia="zh-CN"/>
        </w:rPr>
        <w:t>本项目区域位</w:t>
      </w:r>
      <w:r>
        <w:rPr>
          <w:b/>
          <w:sz w:val="21"/>
        </w:rPr>
        <w:t>置图</w:t>
      </w:r>
    </w:p>
    <w:p w14:paraId="43EBE00B">
      <w:pPr>
        <w:pStyle w:val="20"/>
        <w:spacing w:before="5"/>
        <w:rPr>
          <w:sz w:val="5"/>
        </w:rPr>
      </w:pPr>
    </w:p>
    <w:p w14:paraId="4B654216">
      <w:pPr>
        <w:spacing w:line="360" w:lineRule="auto"/>
        <w:jc w:val="center"/>
        <w:sectPr>
          <w:pgSz w:w="16838" w:h="11906" w:orient="landscape"/>
          <w:pgMar w:top="1803" w:right="1440" w:bottom="1803" w:left="1440" w:header="851" w:footer="992" w:gutter="0"/>
          <w:pgBorders>
            <w:top w:val="none" w:sz="0" w:space="0"/>
            <w:left w:val="none" w:sz="0" w:space="0"/>
            <w:bottom w:val="none" w:sz="0" w:space="0"/>
            <w:right w:val="none" w:sz="0" w:space="0"/>
          </w:pgBorders>
          <w:cols w:space="0" w:num="1"/>
          <w:docGrid w:linePitch="312" w:charSpace="0"/>
        </w:sectPr>
      </w:pPr>
    </w:p>
    <w:p w14:paraId="73434A2C">
      <w:pPr>
        <w:pStyle w:val="4"/>
      </w:pPr>
      <w:r>
        <w:t>4.1.3水文</w:t>
      </w:r>
      <w:r>
        <w:rPr>
          <w:rFonts w:hint="eastAsia"/>
        </w:rPr>
        <w:t>水系</w:t>
      </w:r>
    </w:p>
    <w:p w14:paraId="74CF46DF">
      <w:pPr>
        <w:spacing w:line="360" w:lineRule="auto"/>
        <w:ind w:firstLine="480" w:firstLineChars="200"/>
      </w:pPr>
      <w:r>
        <w:t>（1）水文地质</w:t>
      </w:r>
    </w:p>
    <w:p w14:paraId="09747CA4">
      <w:pPr>
        <w:spacing w:line="360" w:lineRule="auto"/>
        <w:ind w:firstLine="480" w:firstLineChars="200"/>
      </w:pPr>
      <w:r>
        <w:t>本区地形总的趋势是西北高，东南低，水网密布，因此为地下水循环与排泄创造了有利条件。按地质、地貌、地下水的成因类型及埋藏条件分区描述如下。</w:t>
      </w:r>
    </w:p>
    <w:p w14:paraId="5BDD048E">
      <w:pPr>
        <w:spacing w:line="360" w:lineRule="auto"/>
        <w:ind w:firstLine="480" w:firstLineChars="200"/>
      </w:pPr>
      <w:r>
        <w:t>1、白垩系上统四方台组孔隙水：含水层厚度2~5m，埋深不定，涌水量极其微小。</w:t>
      </w:r>
    </w:p>
    <w:p w14:paraId="6C62F1DA">
      <w:pPr>
        <w:spacing w:line="360" w:lineRule="auto"/>
        <w:ind w:firstLine="480" w:firstLineChars="200"/>
      </w:pPr>
      <w:r>
        <w:t>2、上第三系依安组，砂岩夹薄层砂砾岩孔隙承压水，埋深由东向西逐渐增加，局部有所出露，沿裂隙有泉水流出，涌水量5×10</w:t>
      </w:r>
      <w:r>
        <w:rPr>
          <w:vertAlign w:val="superscript"/>
        </w:rPr>
        <w:t>-3</w:t>
      </w:r>
      <w:r>
        <w:t>m</w:t>
      </w:r>
      <w:r>
        <w:rPr>
          <w:vertAlign w:val="superscript"/>
        </w:rPr>
        <w:t>3</w:t>
      </w:r>
      <w:r>
        <w:t>/s。</w:t>
      </w:r>
    </w:p>
    <w:p w14:paraId="4A71E3F8">
      <w:pPr>
        <w:spacing w:line="360" w:lineRule="auto"/>
        <w:ind w:firstLine="480" w:firstLineChars="200"/>
      </w:pPr>
      <w:r>
        <w:t>3、上第三系孙吴组中粗砂岩砂砾岩孔隙水，厚度30~50m，上覆5~30m厚黄土状土，多呈承压性。</w:t>
      </w:r>
    </w:p>
    <w:p w14:paraId="251B3AE5">
      <w:pPr>
        <w:spacing w:line="360" w:lineRule="auto"/>
        <w:ind w:firstLine="480" w:firstLineChars="200"/>
      </w:pPr>
      <w:r>
        <w:t>4、第四系下更新统洪积砂砾石孔隙承压水，由于该岩层分布较高，沟谷剧烈的切割，含水性极为不均，局部地段蓄有丰富的地下水，埋深10~30m，含水层厚度5~10m。</w:t>
      </w:r>
    </w:p>
    <w:p w14:paraId="13D5E429">
      <w:pPr>
        <w:spacing w:line="360" w:lineRule="auto"/>
        <w:ind w:firstLine="480" w:firstLineChars="200"/>
      </w:pPr>
      <w:r>
        <w:t>5、第四中更新统冲洪积黄土状亚粘土孔隙裂隙水，分布较广，黄土状亚粘土裂隙，大孔隙极发育，地下水埋藏深度2~5m，厚度5~30m，由于受气候、岩性控制，其水位水量变化较大。</w:t>
      </w:r>
    </w:p>
    <w:p w14:paraId="421B92D2">
      <w:pPr>
        <w:spacing w:line="360" w:lineRule="auto"/>
        <w:ind w:firstLine="480" w:firstLineChars="200"/>
      </w:pPr>
      <w:r>
        <w:t>6、第四系上更新统冲积砂砾潜水及承压水，上覆2~6m黄土状亚粘土，含水层厚度由东向西加厚，为透水良好含水丰富的岩层，主要靠大气降水及高级阶地补给。</w:t>
      </w:r>
    </w:p>
    <w:p w14:paraId="3A6FE67A">
      <w:pPr>
        <w:spacing w:line="360" w:lineRule="auto"/>
        <w:ind w:firstLine="480" w:firstLineChars="200"/>
      </w:pPr>
      <w:r>
        <w:t>7、第四系全新统冲积砂砾石孔隙水，分布于讷谟尔河高低漫滩上，上覆薄层的亚粘土、亚砂土，含水层厚度由东向西增厚10~12m，地下水埋深0.1~2m，离河床越远越深，为透水良好，含水丰富的岩层。靠大气降水及河水补给。</w:t>
      </w:r>
    </w:p>
    <w:p w14:paraId="68942BBD">
      <w:pPr>
        <w:spacing w:line="360" w:lineRule="auto"/>
        <w:ind w:firstLine="480" w:firstLineChars="200"/>
      </w:pPr>
      <w:r>
        <w:t>8、第四系全新统冲积沼泽化沉积亚粘土冲坡积亚粘土夹砂砾孔隙水，分布宽谷宽沟中，含水层厚度不一，1~5m地下埋深，往往与沼泽化水体相联，渗透不好，靠降雨补给。</w:t>
      </w:r>
    </w:p>
    <w:p w14:paraId="765D4643">
      <w:pPr>
        <w:spacing w:line="360" w:lineRule="auto"/>
        <w:ind w:firstLine="480" w:firstLineChars="200"/>
      </w:pPr>
      <w:r>
        <w:t>（2）地表水</w:t>
      </w:r>
    </w:p>
    <w:p w14:paraId="71762CFA">
      <w:pPr>
        <w:spacing w:line="360" w:lineRule="auto"/>
        <w:ind w:firstLine="480" w:firstLineChars="200"/>
      </w:pPr>
      <w:r>
        <w:t>讷河市地表水丰富，境内有一江四河。即嫩江、讷谟尔河、老莱河、南阳河、石底河。老莱河、南阳河、石底河均系嫩江的二级支流，汇入讷谟尔河，讷谟尔河汇入嫩江。讷谟尔河为讷河市境内的主要河流，自东向西从市区南缘穿过，在西部汇入嫩江。嫩江在讷河境内流长150km，平时江宽100～460m，水深2.5～4m，正常流量600m3/s；讷谟尔河在境内流长83.5km，平均流量50m3/s，最大流量4800m3/s，50年一遇最高洪水位为193.9m，最低水位190.9 m，平时水深2m，宽60m，夏秋汛期水深3～4m。由于处于河流的上游区域，所以讷河市境内一江四河水质均较好。境内由上述江河在讷河市域形成泡沼169个，水面8405亩，占全市总水面的11.2%。</w:t>
      </w:r>
    </w:p>
    <w:p w14:paraId="3580C1A9">
      <w:pPr>
        <w:spacing w:line="360" w:lineRule="auto"/>
        <w:ind w:firstLine="480" w:firstLineChars="200"/>
      </w:pPr>
      <w:r>
        <w:t>（3）地下水</w:t>
      </w:r>
    </w:p>
    <w:p w14:paraId="43C43FF1">
      <w:pPr>
        <w:spacing w:line="360" w:lineRule="auto"/>
        <w:ind w:firstLine="480" w:firstLineChars="200"/>
      </w:pPr>
      <w:r>
        <w:t>a地下水赋存条件</w:t>
      </w:r>
    </w:p>
    <w:p w14:paraId="508CF257">
      <w:pPr>
        <w:spacing w:line="360" w:lineRule="auto"/>
        <w:ind w:firstLine="480" w:firstLineChars="200"/>
      </w:pPr>
      <w:r>
        <w:t>该区中生代以来沉积了较厚的以泥质砂岩、砂砾岩、砂岩、泥岩等为主的白垩系、第三系陆相碎屑沉积物，其含水层岩性特征为具有裂隙孔隙性，单层薄、多层次，为碎屑岩累裂隙孔隙水的赋存提供了良好的空间。白垩纪以后，受小兴安岭隆起的影响，在依安凹陷沉积了较厚的以砂岩、砂砾岩、泥岩、泥质砂岩为主的第三系依安组碎屑岩，地层由北向南逐渐增厚，主要分布于讷谟尔河以南。第三纪以来，白垩系、第三系地层之上沉积了厚薄不均的第四系松散堆积物，为地下水的赋存创造了有利条件，因其含水层岩性主要为砂砾岩、含砾砂、砂。区内较大河谷普遍分布有较厚的第四系全新统砂、砂砾石层，有利于河谷平原区松散岩类孔隙潜水的赋存。</w:t>
      </w:r>
    </w:p>
    <w:p w14:paraId="4F48687F">
      <w:pPr>
        <w:spacing w:line="360" w:lineRule="auto"/>
        <w:ind w:firstLine="480" w:firstLineChars="200"/>
      </w:pPr>
      <w:r>
        <w:t>b地下水补给、径流、排泄条件</w:t>
      </w:r>
    </w:p>
    <w:p w14:paraId="19E5784C">
      <w:pPr>
        <w:spacing w:line="360" w:lineRule="auto"/>
        <w:ind w:firstLine="480" w:firstLineChars="200"/>
      </w:pPr>
      <w:r>
        <w:t>老莱河、讷谟尔河、嫩江等河谷平原孔隙潜水，大部分地区含水层出露地表，颗粒粗，透水性好，局部含水层上覆薄层亚砂土、亚粘土。区域除了接受上游及高平原地下径流补给以外，还有洪水期河水补给，才外大气降水补给也较为强烈。另外一种地下水补给的方式，是在宜农区引地表水渠灌的灌区渗漏，该区水位深度为1.1~2.0m，因含水层透水性好，地下径流畅通，除蒸发造成潜水垂向排泄外，多以地下径流方式排泄于区外。此外，在高平原区，第四系下更新统泰康组含水层分布较稳定，异接受大气降水渗入补给及区外潜水侧向径流补给，因其上覆薄层亚粘土、亚砂土、局部砂砾石出露。地形陡，水力坡度大，径流条件好，该层潜水总的流向为东北至西南方向，排泄于讷谟尔河。</w:t>
      </w:r>
    </w:p>
    <w:p w14:paraId="3CC2B9E6">
      <w:pPr>
        <w:pStyle w:val="4"/>
      </w:pPr>
      <w:r>
        <w:t>4.1.4</w:t>
      </w:r>
      <w:r>
        <w:rPr>
          <w:rFonts w:hint="eastAsia"/>
        </w:rPr>
        <w:t>地质构造与区域稳定性</w:t>
      </w:r>
    </w:p>
    <w:p w14:paraId="01E97926">
      <w:pPr>
        <w:spacing w:line="360" w:lineRule="auto"/>
        <w:ind w:firstLine="480" w:firstLineChars="200"/>
      </w:pPr>
      <w:r>
        <w:t>区域大部分由第四系松散岩层组成，仅西北部丘陵区露有花岗岩，火山岩及变质岩，现将区域地层由老至新描述如下：</w:t>
      </w:r>
    </w:p>
    <w:p w14:paraId="05478EB6">
      <w:pPr>
        <w:spacing w:line="360" w:lineRule="auto"/>
        <w:ind w:firstLine="480" w:firstLineChars="200"/>
      </w:pPr>
      <w:r>
        <w:t>1、前第四系地层</w:t>
      </w:r>
    </w:p>
    <w:p w14:paraId="207E3E4C">
      <w:pPr>
        <w:spacing w:line="360" w:lineRule="auto"/>
        <w:ind w:firstLine="480" w:firstLineChars="200"/>
      </w:pPr>
      <w:r>
        <w:t>（1）前古生界结晶岩组：花岗片麻岩及眼球状花岗片麻岩；灰黑色及肉红色片麻状及眼球状结构清楚。</w:t>
      </w:r>
    </w:p>
    <w:p w14:paraId="0D7DE573">
      <w:pPr>
        <w:spacing w:line="360" w:lineRule="auto"/>
        <w:ind w:firstLine="480" w:firstLineChars="200"/>
      </w:pPr>
      <w:r>
        <w:t>（2）下古生界志留-泥盆系变质岩组：板岩为主，夹各种片岩及大理岩角质岩灰黑、深黑色，质地致密，片理化结构明显接触变质现象清楚，厚度1000m。</w:t>
      </w:r>
    </w:p>
    <w:p w14:paraId="748242FB">
      <w:pPr>
        <w:spacing w:line="360" w:lineRule="auto"/>
        <w:ind w:firstLine="480" w:firstLineChars="200"/>
      </w:pPr>
      <w:r>
        <w:t>（3）上白垩系四方台组：为灰绿色与猪肝相间粉砂质泥岩泥质粉砂岩，粉砂岩互层，层理不清、致密、块状、性软、单层厚3~20m，含白色钙质结核中夹薄层灰岩。</w:t>
      </w:r>
    </w:p>
    <w:p w14:paraId="4945BB49">
      <w:pPr>
        <w:spacing w:line="360" w:lineRule="auto"/>
        <w:ind w:firstLine="480" w:firstLineChars="200"/>
      </w:pPr>
      <w:r>
        <w:t>（4）上第三系中新统依安组：下为细砂岩夹多层钙质砂砾岩，薄层，其上为粉砂岩砂质泥岩及泥岩，夹薄层褐煤、棕红、灰黑、灰黄色、块状致密、性软，含植物化石碎片及锥形螺。呈平行不正合复于上白垩系四方台组之上，厚度250m。</w:t>
      </w:r>
    </w:p>
    <w:p w14:paraId="497428A1">
      <w:pPr>
        <w:spacing w:line="360" w:lineRule="auto"/>
        <w:ind w:firstLine="480" w:firstLineChars="200"/>
      </w:pPr>
      <w:r>
        <w:t>（5）上第三系上新统孙吴组：中细砂岩、砾质砂岩，夹灰绿色泥岩透镜体，呈灰白灰黄，浅黄色含铁质砂岩结核，微胶结，砾石呈半棱角状，成分石英长石中酸性为火山岩，厚度60m，埋于地下10~40m。</w:t>
      </w:r>
    </w:p>
    <w:p w14:paraId="3BF50354">
      <w:pPr>
        <w:spacing w:line="360" w:lineRule="auto"/>
        <w:ind w:firstLine="480" w:firstLineChars="200"/>
      </w:pPr>
      <w:r>
        <w:t>2、第四系地层</w:t>
      </w:r>
    </w:p>
    <w:p w14:paraId="213A19DD">
      <w:pPr>
        <w:spacing w:line="360" w:lineRule="auto"/>
        <w:ind w:firstLine="480" w:firstLineChars="200"/>
      </w:pPr>
      <w:r>
        <w:t>（1）下更新统洪积层：砂砾石，夹粘土透镜体棕红，黄褐色，分选不好，呈半棱角状，颗粒直径10~40cm，具急流相交错层以，成分矽质岩，火山岩及变质岩类，厚度40m。上覆亚粘土厚度0~10m。不正合覆于较老地层之上。</w:t>
      </w:r>
    </w:p>
    <w:p w14:paraId="06B4FF88">
      <w:pPr>
        <w:spacing w:line="360" w:lineRule="auto"/>
        <w:ind w:firstLine="480" w:firstLineChars="200"/>
      </w:pPr>
      <w:r>
        <w:t>（2）中更新统冲积-洪积层：黄土状亚粘土，黄褐色及褐色，具有大孔隙，垂直节理发育，湿度中等，局部含Fe、Mn结核，厚度2~30m，广布于二级阶地面上。</w:t>
      </w:r>
    </w:p>
    <w:p w14:paraId="3DBE64A4">
      <w:pPr>
        <w:spacing w:line="360" w:lineRule="auto"/>
        <w:ind w:firstLine="480" w:firstLineChars="200"/>
      </w:pPr>
      <w:r>
        <w:t>（3）上更新统冲积层：上部黄土状亚粘土，黄褐色，具有大孔隙，呈块状，含少量Ca质及Fe、Mn结核，厚度2~7m，下部为灰黄色砂砾与中细砂互层，饱含水，分布于嫩江、讷谟尔河一级阶地上，厚度33m左右。</w:t>
      </w:r>
    </w:p>
    <w:p w14:paraId="4968AAE4">
      <w:pPr>
        <w:spacing w:line="360" w:lineRule="auto"/>
        <w:ind w:firstLine="480" w:firstLineChars="200"/>
      </w:pPr>
      <w:r>
        <w:t>（4）上更新统-全新统冲积层：顶部黄土状亚粘土，具大也孔隙厚度2~5m。下部为砂砾石，厚度40m。</w:t>
      </w:r>
    </w:p>
    <w:p w14:paraId="383F4377">
      <w:pPr>
        <w:spacing w:line="360" w:lineRule="auto"/>
        <w:ind w:firstLine="480" w:firstLineChars="200"/>
      </w:pPr>
      <w:r>
        <w:t>（5）全新统冲积沼泽化沉积层：上为灰黑，棕黑色薄层于泥质亚粘土，含大量腐植质及植物根，下部为亚粘土夹砂砾石，浅灰黑、其上覆有薄层泥炭。厚度3~5m。分布于洪积阶地。</w:t>
      </w:r>
    </w:p>
    <w:p w14:paraId="67204161">
      <w:pPr>
        <w:spacing w:line="360" w:lineRule="auto"/>
        <w:ind w:firstLine="480" w:firstLineChars="200"/>
      </w:pPr>
      <w:r>
        <w:t>（6）全新统坡积层：亚粘土夹砂，砾石或角砾，厚度不一，1~5m。分布于洪积阶地。</w:t>
      </w:r>
    </w:p>
    <w:p w14:paraId="4C1EB5B1">
      <w:pPr>
        <w:spacing w:line="360" w:lineRule="auto"/>
        <w:ind w:firstLine="480" w:firstLineChars="200"/>
      </w:pPr>
      <w:r>
        <w:t>（7）全新统近代冲积层：上部为细砂，亚粘土，局部地区已沼泽化，覆有薄层泥炭。下为砂砾石，砂卵石，中夹亚粘土透镜体，淡黄，灰黄色，分选不佳，半棱角状，颗粒直径0.3~10cm。成分石英及中酸性火成岩。厚度7~10m。分布于讷谟尔河高漫滩上。</w:t>
      </w:r>
    </w:p>
    <w:p w14:paraId="1809E98F">
      <w:pPr>
        <w:spacing w:line="360" w:lineRule="auto"/>
        <w:ind w:firstLine="480" w:firstLineChars="200"/>
      </w:pPr>
      <w:r>
        <w:t>（8）全新统现代冲积层：上部覆薄层于泥质亚粘土，下为砂砾石，分选不好，颗粒直径0.2~2cm，半棱角状，成分为石英中酸性火山岩，厚度4~10m。分布于讷谟尔河低漫滩上。</w:t>
      </w:r>
    </w:p>
    <w:p w14:paraId="13AC033F">
      <w:pPr>
        <w:pStyle w:val="4"/>
      </w:pPr>
      <w:r>
        <w:t>4.1.</w:t>
      </w:r>
      <w:r>
        <w:rPr>
          <w:rFonts w:hint="eastAsia"/>
        </w:rPr>
        <w:t>5 气候气象</w:t>
      </w:r>
    </w:p>
    <w:p w14:paraId="712B3851">
      <w:pPr>
        <w:spacing w:line="360" w:lineRule="auto"/>
        <w:ind w:firstLine="480" w:firstLineChars="200"/>
      </w:pPr>
      <w:r>
        <w:t>本区域属寒温带大陆性季风气候，其特点是冬季长而严寒少雪，春季干旱风大，夏季温湿多雨，秋早霜气候变化明显低温早霜。本区域属寒温带大陆性季风气候，其特点是冬季长而严寒少雪，春季干旱风大，夏季温湿多雨，秋早霜气候变化明显低温早霜。根据多年气象资料统计，主要气象要素如下：</w:t>
      </w:r>
    </w:p>
    <w:p w14:paraId="4E286ECC">
      <w:pPr>
        <w:spacing w:line="360" w:lineRule="auto"/>
        <w:ind w:firstLine="480" w:firstLineChars="200"/>
      </w:pPr>
      <w:r>
        <w:t>（1）气温</w:t>
      </w:r>
    </w:p>
    <w:p w14:paraId="6D963863">
      <w:pPr>
        <w:spacing w:line="360" w:lineRule="auto"/>
        <w:ind w:firstLine="480" w:firstLineChars="200"/>
      </w:pPr>
      <w:r>
        <w:t>平均气温：2.6℃</w:t>
      </w:r>
    </w:p>
    <w:p w14:paraId="3BB4D7A9">
      <w:pPr>
        <w:spacing w:line="360" w:lineRule="auto"/>
        <w:ind w:firstLine="480" w:firstLineChars="200"/>
      </w:pPr>
      <w:r>
        <w:t>极端最低气温:  -34.7℃</w:t>
      </w:r>
    </w:p>
    <w:p w14:paraId="738245F1">
      <w:pPr>
        <w:spacing w:line="360" w:lineRule="auto"/>
        <w:ind w:firstLine="480" w:firstLineChars="200"/>
      </w:pPr>
      <w:r>
        <w:t>极端最高气温:  35.3℃</w:t>
      </w:r>
    </w:p>
    <w:p w14:paraId="2CD9D7E7">
      <w:pPr>
        <w:spacing w:line="360" w:lineRule="auto"/>
        <w:ind w:firstLine="480" w:firstLineChars="200"/>
      </w:pPr>
      <w:r>
        <w:t>多年主导风向：NNE，风向频率8.4%。</w:t>
      </w:r>
    </w:p>
    <w:p w14:paraId="519DA656">
      <w:pPr>
        <w:spacing w:line="360" w:lineRule="auto"/>
        <w:ind w:firstLine="480" w:firstLineChars="200"/>
      </w:pPr>
      <w:r>
        <w:t>（2）其它</w:t>
      </w:r>
    </w:p>
    <w:p w14:paraId="72CD7000">
      <w:pPr>
        <w:spacing w:line="360" w:lineRule="auto"/>
        <w:ind w:firstLine="480" w:firstLineChars="200"/>
      </w:pPr>
      <w:r>
        <w:t>多年平均气压989.0hPa</w:t>
      </w:r>
    </w:p>
    <w:p w14:paraId="4D5785B0">
      <w:pPr>
        <w:spacing w:line="360" w:lineRule="auto"/>
        <w:ind w:firstLine="480" w:firstLineChars="200"/>
      </w:pPr>
      <w:r>
        <w:t>多年平均水汽压7.4hPa</w:t>
      </w:r>
    </w:p>
    <w:p w14:paraId="7CCD6288">
      <w:pPr>
        <w:spacing w:line="360" w:lineRule="auto"/>
        <w:ind w:firstLine="480" w:firstLineChars="200"/>
      </w:pPr>
      <w:r>
        <w:t>多年平均相对湿度64.3%</w:t>
      </w:r>
    </w:p>
    <w:p w14:paraId="0F773CAC">
      <w:pPr>
        <w:spacing w:line="360" w:lineRule="auto"/>
        <w:ind w:firstLine="480" w:firstLineChars="200"/>
      </w:pPr>
      <w:r>
        <w:t>多年平均降雨量477.7mm</w:t>
      </w:r>
    </w:p>
    <w:p w14:paraId="727736B0">
      <w:pPr>
        <w:spacing w:line="360" w:lineRule="auto"/>
        <w:ind w:firstLine="480" w:firstLineChars="200"/>
      </w:pPr>
      <w:r>
        <w:t>讷河气象站5月平均风速最大（3.6m/s），1月风速最小（0.9m/s）。</w:t>
      </w:r>
    </w:p>
    <w:p w14:paraId="2B7E35AC">
      <w:pPr>
        <w:spacing w:line="360" w:lineRule="auto"/>
        <w:ind w:firstLine="480" w:firstLineChars="200"/>
      </w:pPr>
      <w:r>
        <w:t>近20年（</w:t>
      </w:r>
      <w:r>
        <w:rPr>
          <w:rFonts w:hint="eastAsia"/>
        </w:rPr>
        <w:t>2001</w:t>
      </w:r>
      <w:r>
        <w:t>-20</w:t>
      </w:r>
      <w:r>
        <w:rPr>
          <w:rFonts w:hint="eastAsia"/>
        </w:rPr>
        <w:t>20</w:t>
      </w:r>
      <w:r>
        <w:t>年）资料分析讷河气象站主要风向为NNE和NE、C、WSW，站31.8%，其中以NNE为主导风向，占到全年8.4%左右。</w:t>
      </w:r>
    </w:p>
    <w:p w14:paraId="4B644D14">
      <w:pPr>
        <w:pStyle w:val="3"/>
      </w:pPr>
      <w:bookmarkStart w:id="256" w:name="_Toc31252"/>
      <w:r>
        <w:t>4.2环境保护目标调查</w:t>
      </w:r>
      <w:bookmarkEnd w:id="256"/>
    </w:p>
    <w:p w14:paraId="365568CE">
      <w:pPr>
        <w:spacing w:line="360" w:lineRule="auto"/>
        <w:ind w:firstLine="480" w:firstLineChars="200"/>
      </w:pPr>
      <w:bookmarkStart w:id="257" w:name="_Toc18083"/>
      <w:bookmarkStart w:id="258" w:name="_Toc32391"/>
      <w:bookmarkStart w:id="259" w:name="_Toc490466467"/>
      <w:bookmarkStart w:id="260" w:name="_Toc10145"/>
      <w:bookmarkStart w:id="261" w:name="_Toc490466468"/>
      <w:bookmarkStart w:id="262" w:name="_Toc3559"/>
      <w:r>
        <w:rPr>
          <w:rFonts w:hint="eastAsia"/>
        </w:rPr>
        <w:t>1、保护区</w:t>
      </w:r>
    </w:p>
    <w:p w14:paraId="61EED262">
      <w:pPr>
        <w:spacing w:line="360" w:lineRule="auto"/>
        <w:ind w:firstLine="480" w:firstLineChars="200"/>
      </w:pPr>
      <w:r>
        <w:rPr>
          <w:rFonts w:hint="eastAsia"/>
          <w:lang w:val="en-US" w:eastAsia="zh-CN"/>
        </w:rPr>
        <w:t>本项目</w:t>
      </w:r>
      <w:r>
        <w:t>位于黑龙江省齐齐哈尔市讷河市拉哈生物技术与化学制药产业园区内。</w:t>
      </w:r>
      <w:r>
        <w:rPr>
          <w:rFonts w:hint="eastAsia"/>
        </w:rPr>
        <w:t>排污口入嫩江口距离中引取水口75km，距离齐齐哈尔市浏园水厂饮用水水源保护区二级区上游约130km，距离一级保护区边界最近距离约144km，距离取水口最近距离约145km。</w:t>
      </w:r>
      <w:r>
        <w:t>本项目入河排污口位于黑龙江讷谟尔河湿地自然保护区实验区下游13.5km。黑龙江乌裕尔河自然保护区实验区未延伸至嫩江干流。距离黑龙江乌裕尔河自然保护区”实验区上边界70km。</w:t>
      </w:r>
    </w:p>
    <w:p w14:paraId="7A3F7ABD">
      <w:pPr>
        <w:snapToGrid w:val="0"/>
        <w:jc w:val="center"/>
        <w:rPr>
          <w:rFonts w:eastAsia="仿宋_GB2312"/>
          <w:sz w:val="28"/>
          <w:szCs w:val="28"/>
        </w:rPr>
      </w:pPr>
      <w:r>
        <w:rPr>
          <w:rFonts w:eastAsia="仿宋_GB2312"/>
          <w:sz w:val="28"/>
          <w:szCs w:val="28"/>
        </w:rPr>
        <w:drawing>
          <wp:inline distT="0" distB="0" distL="0" distR="0">
            <wp:extent cx="5038725" cy="3133725"/>
            <wp:effectExtent l="0" t="0" r="9525" b="9525"/>
            <wp:docPr id="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038725" cy="3133725"/>
                    </a:xfrm>
                    <a:prstGeom prst="rect">
                      <a:avLst/>
                    </a:prstGeom>
                    <a:noFill/>
                    <a:ln>
                      <a:noFill/>
                    </a:ln>
                  </pic:spPr>
                </pic:pic>
              </a:graphicData>
            </a:graphic>
          </wp:inline>
        </w:drawing>
      </w:r>
    </w:p>
    <w:p w14:paraId="20F73D56">
      <w:pPr>
        <w:jc w:val="center"/>
        <w:rPr>
          <w:b/>
          <w:sz w:val="21"/>
        </w:rPr>
      </w:pPr>
      <w:r>
        <w:rPr>
          <w:b/>
          <w:sz w:val="21"/>
        </w:rPr>
        <w:t>图4</w:t>
      </w:r>
      <w:r>
        <w:rPr>
          <w:rFonts w:hint="eastAsia"/>
          <w:b/>
          <w:sz w:val="21"/>
          <w:lang w:val="en-US" w:eastAsia="zh-CN"/>
        </w:rPr>
        <w:t>.</w:t>
      </w:r>
      <w:r>
        <w:rPr>
          <w:b/>
          <w:sz w:val="21"/>
        </w:rPr>
        <w:t>2-</w:t>
      </w:r>
      <w:r>
        <w:rPr>
          <w:rFonts w:hint="eastAsia"/>
          <w:b/>
          <w:sz w:val="21"/>
          <w:lang w:val="en-US" w:eastAsia="zh-CN"/>
        </w:rPr>
        <w:t>2</w:t>
      </w:r>
      <w:r>
        <w:rPr>
          <w:b/>
          <w:sz w:val="21"/>
        </w:rPr>
        <w:t xml:space="preserve"> 排污口与保护区位置关系图</w:t>
      </w:r>
    </w:p>
    <w:p w14:paraId="4860E555">
      <w:pPr>
        <w:spacing w:line="360" w:lineRule="auto"/>
        <w:ind w:firstLine="480" w:firstLineChars="200"/>
      </w:pPr>
      <w:r>
        <w:rPr>
          <w:rFonts w:hint="eastAsia"/>
        </w:rPr>
        <w:t>2、嫩江流域三场一通道</w:t>
      </w:r>
    </w:p>
    <w:p w14:paraId="0460295F">
      <w:pPr>
        <w:spacing w:line="360" w:lineRule="auto"/>
        <w:ind w:firstLine="480" w:firstLineChars="200"/>
      </w:pPr>
      <w:r>
        <w:rPr>
          <w:rFonts w:hint="eastAsia"/>
        </w:rPr>
        <w:t>（1）产卵场分布</w:t>
      </w:r>
    </w:p>
    <w:p w14:paraId="214F3CB1">
      <w:pPr>
        <w:spacing w:line="360" w:lineRule="auto"/>
        <w:ind w:firstLine="480" w:firstLineChars="200"/>
      </w:pPr>
      <w:r>
        <w:rPr>
          <w:rFonts w:hint="eastAsia"/>
        </w:rPr>
        <w:t>珍稀冷水性鱼类产卵场：由于水域环境特点，主要分布于嫩江上游卧都河以上江段及诺敏河、绰尔河、甘河等支流的中上游。</w:t>
      </w:r>
    </w:p>
    <w:p w14:paraId="5F54F2FA">
      <w:pPr>
        <w:spacing w:line="360" w:lineRule="auto"/>
        <w:ind w:firstLine="480" w:firstLineChars="200"/>
      </w:pPr>
      <w:r>
        <w:rPr>
          <w:rFonts w:hint="eastAsia"/>
        </w:rPr>
        <w:t>日本七鳃鳗、乌苏里白鲑产卵场:由于松花江大顶子山航电枢纽的修建，阻断了这2个物种的洄游通道，所以嫩江干流已经没有这2个物种的产卵场。</w:t>
      </w:r>
    </w:p>
    <w:p w14:paraId="15BCAC42">
      <w:pPr>
        <w:spacing w:line="360" w:lineRule="auto"/>
        <w:ind w:firstLine="480" w:firstLineChars="200"/>
      </w:pPr>
      <w:r>
        <w:rPr>
          <w:rFonts w:hint="eastAsia"/>
        </w:rPr>
        <w:t>雷氏七鳃鳗产卵场: 嫩江干流雷氏七鳃鳗产卵场较多，主要分布于多宝山、尼尔基、莫呼公路桥、光荣村、月亮泡和三岔河口等江段。</w:t>
      </w:r>
    </w:p>
    <w:p w14:paraId="58CF1DA3">
      <w:pPr>
        <w:spacing w:line="360" w:lineRule="auto"/>
        <w:ind w:firstLine="480" w:firstLineChars="200"/>
      </w:pPr>
      <w:r>
        <w:rPr>
          <w:rFonts w:hint="eastAsia"/>
        </w:rPr>
        <w:t>黑龙江茴鱼产卵场: 主要分布于嫩江上游卧都河以上江段。</w:t>
      </w:r>
    </w:p>
    <w:p w14:paraId="121CE9CA">
      <w:pPr>
        <w:spacing w:line="360" w:lineRule="auto"/>
        <w:ind w:firstLine="480" w:firstLineChars="200"/>
      </w:pPr>
      <w:r>
        <w:rPr>
          <w:rFonts w:hint="eastAsia"/>
        </w:rPr>
        <w:t>怀头鲇产卵场:目前其种群数量急剧下降，其在嫩江干流仅存的产卵场主要分布于肇源县三岔河口江段。</w:t>
      </w:r>
    </w:p>
    <w:p w14:paraId="67A43793">
      <w:pPr>
        <w:spacing w:line="360" w:lineRule="auto"/>
        <w:ind w:firstLine="480" w:firstLineChars="200"/>
      </w:pPr>
      <w:r>
        <w:rPr>
          <w:rFonts w:hint="eastAsia"/>
        </w:rPr>
        <w:t>粘性卵鱼类的产卵场：嫩江产粘性卵的鱼类有鲤、银鲫等。这一类鱼类产卵场较多，主要分布在嫩江江湾、江汊，水浅、水草繁茂的河段。</w:t>
      </w:r>
    </w:p>
    <w:p w14:paraId="0F1E79A5">
      <w:pPr>
        <w:spacing w:line="360" w:lineRule="auto"/>
        <w:ind w:firstLine="480" w:firstLineChars="200"/>
      </w:pPr>
      <w:r>
        <w:rPr>
          <w:rFonts w:hint="eastAsia"/>
        </w:rPr>
        <w:t>漂流性鱼类产卵场：嫩江干流产漂浮性鱼类产卵场有两处，即从内蒙扎赉特旗喇嘛湾至黑龙江省杜蒙县石人沟；杜蒙的石人沟到肇源的三岔河口；是产漂流性卵鱼类的产卵场，如鲢、鳙、草鱼及部分鲤科鱼类。</w:t>
      </w:r>
    </w:p>
    <w:p w14:paraId="17FC75A7">
      <w:pPr>
        <w:spacing w:line="360" w:lineRule="auto"/>
        <w:ind w:firstLine="480" w:firstLineChars="200"/>
      </w:pPr>
      <w:r>
        <w:rPr>
          <w:rFonts w:hint="eastAsia"/>
        </w:rPr>
        <w:t>（2）鱼类育肥场分布</w:t>
      </w:r>
    </w:p>
    <w:p w14:paraId="09DB656D">
      <w:pPr>
        <w:spacing w:line="360" w:lineRule="auto"/>
        <w:ind w:firstLine="480" w:firstLineChars="200"/>
      </w:pPr>
      <w:r>
        <w:rPr>
          <w:rFonts w:hint="eastAsia"/>
        </w:rPr>
        <w:t>水深较浅的沿岸带，水流较缓的河湾处，水温较高，透明度较高，光合作用剧烈的水域，是水生生物生长的最佳区域，其生物量高于其它水域几倍或十几倍，为鱼类的生长、繁殖提供了丰富的饵料基础。因此，在嫩江河中这些水域，即饵料丰富，水质良好的水域都可作为鱼类的育肥场加以保护。</w:t>
      </w:r>
    </w:p>
    <w:p w14:paraId="4347F35B">
      <w:pPr>
        <w:spacing w:line="360" w:lineRule="auto"/>
        <w:ind w:firstLine="480" w:firstLineChars="200"/>
      </w:pPr>
      <w:r>
        <w:rPr>
          <w:rFonts w:hint="eastAsia"/>
        </w:rPr>
        <w:t>（3）鱼类越冬场分布</w:t>
      </w:r>
    </w:p>
    <w:p w14:paraId="7B2A50AD">
      <w:pPr>
        <w:spacing w:line="360" w:lineRule="auto"/>
        <w:ind w:firstLine="480" w:firstLineChars="200"/>
      </w:pPr>
      <w:r>
        <w:rPr>
          <w:rFonts w:hint="eastAsia"/>
        </w:rPr>
        <w:t>嫩江地处高寒、高纬度地区，冰封期长达150-180天，对于生存在此水域的鱼类越冬是致关重要的，尤其，对需氧量高、喜流水的珍稀、名贵冷水性鱼类显得更为重要。作为鱼类越冬场应当具备水深在3-5m，有一定的水流，面积较大，水质优良的水域。从嫩江鱼类组成来看，大部分珍稀鱼类属于冷水性鱼类，对越冬场要求较高，本次调查及资料记载，嫩江鱼类的越冬场主要集中在干流，分布在水较深的中游码头、三岔河等处。这些水域水质清澈，底质多为砂底，水深在3-5 m左右，冬季冰下水深保持在5-8m，并且有一定的水流，是鱼类主要的越冬场。应当给予高度的重视，保护好水域生态环境，为鱼类越冬创造一个良好的环境。</w:t>
      </w:r>
    </w:p>
    <w:p w14:paraId="74038129">
      <w:pPr>
        <w:spacing w:line="360" w:lineRule="auto"/>
        <w:ind w:firstLine="480" w:firstLineChars="200"/>
      </w:pPr>
      <w:r>
        <w:rPr>
          <w:rFonts w:hint="eastAsia"/>
        </w:rPr>
        <w:t>（4）鱼类洄游通道分布</w:t>
      </w:r>
    </w:p>
    <w:p w14:paraId="1436D1AF">
      <w:pPr>
        <w:spacing w:line="360" w:lineRule="auto"/>
        <w:ind w:firstLine="480" w:firstLineChars="200"/>
      </w:pPr>
      <w:r>
        <w:rPr>
          <w:rFonts w:hint="eastAsia"/>
        </w:rPr>
        <w:t>鱼类具有自主游泳能力，因此，所有的鱼类都有洄游的特性。洄游有生殖洄游、索饵洄游、越冬洄游等，洄游的距离有长有短，大麻哈鱼的降海洄游长达近万公里，施氏鲟、鳇洄游达到几千公里，而一些小型鱼类洄游的距离则很短，仅为几十公里或更短的距离，鱼类洄游只不过是游泳的距离长短而已。从这个意义而言，所有的河流水域都应列为鱼类洄游通道。因此，嫩江及其支流不但是鱼类的生活的水域也是鱼类的洄游通道。</w:t>
      </w:r>
    </w:p>
    <w:p w14:paraId="53459C2E">
      <w:pPr>
        <w:spacing w:line="360" w:lineRule="auto"/>
        <w:ind w:firstLine="480" w:firstLineChars="200"/>
      </w:pPr>
      <w:r>
        <w:rPr>
          <w:rFonts w:hint="eastAsia"/>
        </w:rPr>
        <w:t>本项目地表水评价范围内不存在鱼类产卵场、育肥场和越冬场，评价范围内不存在重要水生生物。故本项目不涉及鱼类的三场一通道。</w:t>
      </w:r>
    </w:p>
    <w:p w14:paraId="64C09C9A">
      <w:pPr>
        <w:spacing w:line="360" w:lineRule="auto"/>
        <w:ind w:firstLine="480" w:firstLineChars="200"/>
      </w:pPr>
      <w:r>
        <w:t>本项目评价范围内不存在依法设立的各级各类自然、文化保护地，以及对建设项目的某类污染因子或者生态影响因子特别敏感的区域：（一）自然保护区、风景名胜区、世界文化和自然遗产地、饮用水水源保护区；（二）基本农田保护区、基本草原、森林公园、地质公园、重要湿地、天然林、珍稀濒危野生动植物天然集中分布区、重要水生生物的自然产卵场、索饵场、越冬场和洄游通道、天然渔场、资源性缺水地区、水土流失重点防治区、沙化土地封禁保护区、封闭及半封闭海域、富营养化水域等。</w:t>
      </w:r>
    </w:p>
    <w:p w14:paraId="49CC7993">
      <w:pPr>
        <w:pStyle w:val="4"/>
      </w:pPr>
      <w:r>
        <w:t>4.2.1 环境功能区划</w:t>
      </w:r>
      <w:bookmarkEnd w:id="257"/>
      <w:bookmarkEnd w:id="258"/>
      <w:bookmarkEnd w:id="259"/>
    </w:p>
    <w:p w14:paraId="3A3FF316">
      <w:pPr>
        <w:spacing w:line="360" w:lineRule="auto"/>
        <w:ind w:firstLine="480" w:firstLineChars="200"/>
      </w:pPr>
      <w:bookmarkStart w:id="263" w:name="bookmark137"/>
      <w:r>
        <w:t>1</w:t>
      </w:r>
      <w:bookmarkEnd w:id="263"/>
      <w:r>
        <w:t>、</w:t>
      </w:r>
      <w:r>
        <w:rPr>
          <w:rFonts w:hint="eastAsia"/>
          <w:lang w:val="en-US" w:eastAsia="zh-CN"/>
        </w:rPr>
        <w:t>地表</w:t>
      </w:r>
      <w:r>
        <w:t>水环境：根据《全国重要江河湖泊水功能区划(2011-2030年)》，</w:t>
      </w:r>
      <w:r>
        <w:rPr>
          <w:rFonts w:hint="eastAsia"/>
          <w:lang w:eastAsia="zh-CN"/>
        </w:rPr>
        <w:t>本项目</w:t>
      </w:r>
      <w:r>
        <w:rPr>
          <w:rFonts w:hint="eastAsia"/>
          <w:lang w:val="en-US" w:eastAsia="zh-CN"/>
        </w:rPr>
        <w:t>直</w:t>
      </w:r>
      <w:r>
        <w:t>接纳污水体为</w:t>
      </w:r>
      <w:r>
        <w:rPr>
          <w:rFonts w:hint="eastAsia"/>
          <w:lang w:val="en-US" w:eastAsia="zh-CN"/>
        </w:rPr>
        <w:t>嫩江</w:t>
      </w:r>
      <w:r>
        <w:t>，执行《地表水环境质量标准》(GB3838-2002)中的</w:t>
      </w:r>
      <w:r>
        <w:rPr>
          <w:bCs/>
        </w:rPr>
        <w:fldChar w:fldCharType="begin"/>
      </w:r>
      <w:r>
        <w:rPr>
          <w:bCs/>
        </w:rPr>
        <w:instrText xml:space="preserve"> = 3 \* ROMAN \* MERGEFORMAT </w:instrText>
      </w:r>
      <w:r>
        <w:rPr>
          <w:bCs/>
        </w:rPr>
        <w:fldChar w:fldCharType="separate"/>
      </w:r>
      <w:r>
        <w:rPr>
          <w:bCs/>
        </w:rPr>
        <w:t>III</w:t>
      </w:r>
      <w:r>
        <w:rPr>
          <w:bCs/>
        </w:rPr>
        <w:fldChar w:fldCharType="end"/>
      </w:r>
      <w:r>
        <w:t>类标准。</w:t>
      </w:r>
    </w:p>
    <w:p w14:paraId="46C14301">
      <w:pPr>
        <w:spacing w:line="360" w:lineRule="auto"/>
        <w:ind w:firstLine="480" w:firstLineChars="200"/>
        <w:rPr>
          <w:rFonts w:hint="default"/>
          <w:lang w:val="en-US" w:eastAsia="zh-CN"/>
        </w:rPr>
      </w:pPr>
      <w:bookmarkStart w:id="264" w:name="bookmark138"/>
      <w:r>
        <w:t>2</w:t>
      </w:r>
      <w:bookmarkEnd w:id="264"/>
      <w:r>
        <w:t>、</w:t>
      </w:r>
      <w:r>
        <w:rPr>
          <w:rFonts w:hint="eastAsia"/>
          <w:lang w:val="en-US" w:eastAsia="zh-CN"/>
        </w:rPr>
        <w:t>地下水环境：地下水执行《地下水质量标准》（GB/T14848-2017）中</w:t>
      </w:r>
      <w:r>
        <w:rPr>
          <w:bCs/>
        </w:rPr>
        <w:fldChar w:fldCharType="begin"/>
      </w:r>
      <w:r>
        <w:rPr>
          <w:bCs/>
        </w:rPr>
        <w:instrText xml:space="preserve"> = 3 \* ROMAN \* MERGEFORMAT </w:instrText>
      </w:r>
      <w:r>
        <w:rPr>
          <w:bCs/>
        </w:rPr>
        <w:fldChar w:fldCharType="separate"/>
      </w:r>
      <w:r>
        <w:rPr>
          <w:bCs/>
        </w:rPr>
        <w:t>III</w:t>
      </w:r>
      <w:r>
        <w:rPr>
          <w:bCs/>
        </w:rPr>
        <w:fldChar w:fldCharType="end"/>
      </w:r>
      <w:r>
        <w:rPr>
          <w:rFonts w:hint="eastAsia"/>
          <w:lang w:val="en-US" w:eastAsia="zh-CN"/>
        </w:rPr>
        <w:t>类标准。</w:t>
      </w:r>
    </w:p>
    <w:p w14:paraId="5DB08DBC">
      <w:pPr>
        <w:spacing w:line="360" w:lineRule="auto"/>
        <w:ind w:firstLine="480" w:firstLineChars="200"/>
      </w:pPr>
      <w:r>
        <w:rPr>
          <w:rFonts w:hint="eastAsia"/>
          <w:lang w:val="en-US" w:eastAsia="zh-CN"/>
        </w:rPr>
        <w:t>3、</w:t>
      </w:r>
      <w:r>
        <w:t>环境空气：根据《黑龙江省环境空气质量功能区划》(DB23/486-1998)，</w:t>
      </w:r>
      <w:r>
        <w:rPr>
          <w:rFonts w:hint="eastAsia"/>
          <w:lang w:eastAsia="zh-CN"/>
        </w:rPr>
        <w:t>本项目</w:t>
      </w:r>
      <w:r>
        <w:t>所在区域为二类功能区，评价区环境空气质量标准执行国家《环境空气质量标准》(GB3095-2012)中二级标准</w:t>
      </w:r>
      <w:r>
        <w:rPr>
          <w:rFonts w:hint="eastAsia"/>
          <w:lang w:eastAsia="zh-CN"/>
        </w:rPr>
        <w:t>，</w:t>
      </w:r>
      <w:r>
        <w:t>本评价区为非二氧化硫控制区和酸雨控制区。</w:t>
      </w:r>
    </w:p>
    <w:p w14:paraId="467C1AE0">
      <w:pPr>
        <w:spacing w:line="360" w:lineRule="auto"/>
        <w:ind w:firstLine="480" w:firstLineChars="200"/>
        <w:rPr>
          <w:rFonts w:hint="eastAsia" w:eastAsia="宋体"/>
          <w:lang w:eastAsia="zh-CN"/>
        </w:rPr>
      </w:pPr>
      <w:r>
        <w:rPr>
          <w:rFonts w:hint="eastAsia"/>
          <w:lang w:val="en-US" w:eastAsia="zh-CN"/>
        </w:rPr>
        <w:t>4</w:t>
      </w:r>
      <w:r>
        <w:t>、声环境：</w:t>
      </w:r>
      <w:r>
        <w:rPr>
          <w:rFonts w:hint="eastAsia"/>
          <w:lang w:eastAsia="zh-CN"/>
        </w:rPr>
        <w:t>本项目</w:t>
      </w:r>
      <w:r>
        <w:t>位于《声环境质量标准》(GB3096-2008)中划分的</w:t>
      </w:r>
      <w:r>
        <w:rPr>
          <w:rFonts w:hint="eastAsia"/>
          <w:lang w:eastAsia="zh-CN"/>
        </w:rPr>
        <w:t>3类</w:t>
      </w:r>
      <w:r>
        <w:t>声环境功能区，项目厂界执行《声环境质量标准》(GB3096-2008)中</w:t>
      </w:r>
      <w:r>
        <w:rPr>
          <w:rFonts w:hint="eastAsia"/>
          <w:lang w:eastAsia="zh-CN"/>
        </w:rPr>
        <w:t>3类</w:t>
      </w:r>
      <w:r>
        <w:t>区标准</w:t>
      </w:r>
      <w:r>
        <w:rPr>
          <w:rFonts w:hint="eastAsia"/>
          <w:lang w:eastAsia="zh-CN"/>
        </w:rPr>
        <w:t>。</w:t>
      </w:r>
    </w:p>
    <w:p w14:paraId="56310388">
      <w:pPr>
        <w:pStyle w:val="20"/>
        <w:jc w:val="center"/>
        <w:rPr>
          <w:b/>
          <w:bCs/>
        </w:rPr>
      </w:pPr>
      <w:r>
        <w:rPr>
          <w:b/>
          <w:bCs/>
        </w:rPr>
        <w:t>表4.2-1  环境功能区划一览表</w:t>
      </w:r>
    </w:p>
    <w:tbl>
      <w:tblPr>
        <w:tblStyle w:val="5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1392"/>
        <w:gridCol w:w="1677"/>
        <w:gridCol w:w="1232"/>
        <w:gridCol w:w="3989"/>
      </w:tblGrid>
      <w:tr w14:paraId="7BCB5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blHeader/>
        </w:trPr>
        <w:tc>
          <w:tcPr>
            <w:tcW w:w="383" w:type="pct"/>
            <w:tcBorders>
              <w:tl2br w:val="nil"/>
              <w:tr2bl w:val="nil"/>
            </w:tcBorders>
            <w:vAlign w:val="center"/>
          </w:tcPr>
          <w:p w14:paraId="2A8E836C">
            <w:pPr>
              <w:snapToGrid w:val="0"/>
              <w:jc w:val="center"/>
              <w:rPr>
                <w:b/>
                <w:bCs/>
                <w:sz w:val="21"/>
                <w:szCs w:val="21"/>
              </w:rPr>
            </w:pPr>
            <w:r>
              <w:rPr>
                <w:b/>
                <w:bCs/>
                <w:sz w:val="21"/>
                <w:szCs w:val="21"/>
              </w:rPr>
              <w:t>序号</w:t>
            </w:r>
          </w:p>
        </w:tc>
        <w:tc>
          <w:tcPr>
            <w:tcW w:w="775" w:type="pct"/>
            <w:tcBorders>
              <w:tl2br w:val="nil"/>
              <w:tr2bl w:val="nil"/>
            </w:tcBorders>
            <w:vAlign w:val="center"/>
          </w:tcPr>
          <w:p w14:paraId="3E55C43D">
            <w:pPr>
              <w:snapToGrid w:val="0"/>
              <w:jc w:val="center"/>
              <w:rPr>
                <w:b/>
                <w:bCs/>
                <w:sz w:val="21"/>
                <w:szCs w:val="21"/>
              </w:rPr>
            </w:pPr>
            <w:r>
              <w:rPr>
                <w:b/>
                <w:bCs/>
                <w:sz w:val="21"/>
                <w:szCs w:val="21"/>
              </w:rPr>
              <w:t>环境要素</w:t>
            </w:r>
          </w:p>
        </w:tc>
        <w:tc>
          <w:tcPr>
            <w:tcW w:w="934" w:type="pct"/>
            <w:tcBorders>
              <w:tl2br w:val="nil"/>
              <w:tr2bl w:val="nil"/>
            </w:tcBorders>
            <w:vAlign w:val="center"/>
          </w:tcPr>
          <w:p w14:paraId="0219B5E2">
            <w:pPr>
              <w:snapToGrid w:val="0"/>
              <w:jc w:val="center"/>
              <w:rPr>
                <w:b/>
                <w:bCs/>
                <w:sz w:val="21"/>
                <w:szCs w:val="21"/>
              </w:rPr>
            </w:pPr>
            <w:r>
              <w:rPr>
                <w:b/>
                <w:bCs/>
                <w:sz w:val="21"/>
                <w:szCs w:val="21"/>
              </w:rPr>
              <w:t>所属区域</w:t>
            </w:r>
          </w:p>
        </w:tc>
        <w:tc>
          <w:tcPr>
            <w:tcW w:w="686" w:type="pct"/>
            <w:tcBorders>
              <w:tl2br w:val="nil"/>
              <w:tr2bl w:val="nil"/>
            </w:tcBorders>
            <w:vAlign w:val="center"/>
          </w:tcPr>
          <w:p w14:paraId="2D99A49F">
            <w:pPr>
              <w:snapToGrid w:val="0"/>
              <w:jc w:val="center"/>
              <w:rPr>
                <w:b/>
                <w:bCs/>
                <w:sz w:val="21"/>
                <w:szCs w:val="21"/>
              </w:rPr>
            </w:pPr>
            <w:r>
              <w:rPr>
                <w:b/>
                <w:bCs/>
                <w:sz w:val="21"/>
                <w:szCs w:val="21"/>
              </w:rPr>
              <w:t>功能区划</w:t>
            </w:r>
          </w:p>
        </w:tc>
        <w:tc>
          <w:tcPr>
            <w:tcW w:w="2221" w:type="pct"/>
            <w:tcBorders>
              <w:tl2br w:val="nil"/>
              <w:tr2bl w:val="nil"/>
            </w:tcBorders>
            <w:vAlign w:val="center"/>
          </w:tcPr>
          <w:p w14:paraId="3D1F86D8">
            <w:pPr>
              <w:snapToGrid w:val="0"/>
              <w:jc w:val="center"/>
              <w:rPr>
                <w:b/>
                <w:bCs/>
                <w:sz w:val="21"/>
                <w:szCs w:val="21"/>
              </w:rPr>
            </w:pPr>
            <w:r>
              <w:rPr>
                <w:b/>
                <w:bCs/>
                <w:sz w:val="21"/>
                <w:szCs w:val="21"/>
              </w:rPr>
              <w:t>执行标准</w:t>
            </w:r>
          </w:p>
        </w:tc>
      </w:tr>
      <w:tr w14:paraId="5D180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83" w:type="pct"/>
            <w:tcBorders>
              <w:tl2br w:val="nil"/>
              <w:tr2bl w:val="nil"/>
            </w:tcBorders>
            <w:vAlign w:val="center"/>
          </w:tcPr>
          <w:p w14:paraId="0A033CEC">
            <w:pPr>
              <w:snapToGrid w:val="0"/>
              <w:jc w:val="center"/>
              <w:rPr>
                <w:bCs/>
                <w:sz w:val="21"/>
                <w:szCs w:val="21"/>
              </w:rPr>
            </w:pPr>
            <w:r>
              <w:rPr>
                <w:bCs/>
                <w:sz w:val="21"/>
                <w:szCs w:val="21"/>
              </w:rPr>
              <w:t>1</w:t>
            </w:r>
          </w:p>
        </w:tc>
        <w:tc>
          <w:tcPr>
            <w:tcW w:w="775" w:type="pct"/>
            <w:tcBorders>
              <w:tl2br w:val="nil"/>
              <w:tr2bl w:val="nil"/>
            </w:tcBorders>
            <w:vAlign w:val="center"/>
          </w:tcPr>
          <w:p w14:paraId="5171D885">
            <w:pPr>
              <w:snapToGrid w:val="0"/>
              <w:jc w:val="center"/>
              <w:rPr>
                <w:bCs/>
                <w:sz w:val="21"/>
                <w:szCs w:val="21"/>
              </w:rPr>
            </w:pPr>
            <w:r>
              <w:rPr>
                <w:bCs/>
                <w:sz w:val="21"/>
                <w:szCs w:val="21"/>
              </w:rPr>
              <w:t>地表水</w:t>
            </w:r>
          </w:p>
        </w:tc>
        <w:tc>
          <w:tcPr>
            <w:tcW w:w="934" w:type="pct"/>
            <w:tcBorders>
              <w:tl2br w:val="nil"/>
              <w:tr2bl w:val="nil"/>
            </w:tcBorders>
            <w:vAlign w:val="center"/>
          </w:tcPr>
          <w:p w14:paraId="45C48E80">
            <w:pPr>
              <w:snapToGrid w:val="0"/>
              <w:jc w:val="center"/>
              <w:rPr>
                <w:rFonts w:hint="eastAsia" w:eastAsia="宋体"/>
                <w:bCs/>
                <w:sz w:val="21"/>
                <w:szCs w:val="21"/>
                <w:lang w:eastAsia="zh-CN"/>
              </w:rPr>
            </w:pPr>
            <w:r>
              <w:rPr>
                <w:rFonts w:hint="eastAsia"/>
                <w:sz w:val="21"/>
                <w:szCs w:val="21"/>
                <w:lang w:val="en-US" w:eastAsia="zh-CN"/>
              </w:rPr>
              <w:t>嫩江</w:t>
            </w:r>
          </w:p>
        </w:tc>
        <w:tc>
          <w:tcPr>
            <w:tcW w:w="686" w:type="pct"/>
            <w:tcBorders>
              <w:tl2br w:val="nil"/>
              <w:tr2bl w:val="nil"/>
            </w:tcBorders>
            <w:vAlign w:val="center"/>
          </w:tcPr>
          <w:p w14:paraId="24C7C046">
            <w:pPr>
              <w:snapToGrid w:val="0"/>
              <w:jc w:val="center"/>
              <w:rPr>
                <w:bCs/>
                <w:sz w:val="21"/>
                <w:szCs w:val="21"/>
              </w:rPr>
            </w:pPr>
            <w:r>
              <w:rPr>
                <w:bCs/>
                <w:sz w:val="21"/>
                <w:szCs w:val="21"/>
              </w:rPr>
              <w:fldChar w:fldCharType="begin"/>
            </w:r>
            <w:r>
              <w:rPr>
                <w:bCs/>
                <w:sz w:val="21"/>
                <w:szCs w:val="21"/>
              </w:rPr>
              <w:instrText xml:space="preserve"> = 3 \* ROMAN \* MERGEFORMAT </w:instrText>
            </w:r>
            <w:r>
              <w:rPr>
                <w:bCs/>
                <w:sz w:val="21"/>
                <w:szCs w:val="21"/>
              </w:rPr>
              <w:fldChar w:fldCharType="separate"/>
            </w:r>
            <w:r>
              <w:rPr>
                <w:bCs/>
                <w:sz w:val="21"/>
                <w:szCs w:val="21"/>
              </w:rPr>
              <w:t>III</w:t>
            </w:r>
            <w:r>
              <w:rPr>
                <w:bCs/>
                <w:sz w:val="21"/>
                <w:szCs w:val="21"/>
              </w:rPr>
              <w:fldChar w:fldCharType="end"/>
            </w:r>
            <w:r>
              <w:rPr>
                <w:sz w:val="21"/>
                <w:szCs w:val="21"/>
              </w:rPr>
              <w:t>类</w:t>
            </w:r>
          </w:p>
        </w:tc>
        <w:tc>
          <w:tcPr>
            <w:tcW w:w="2221" w:type="pct"/>
            <w:tcBorders>
              <w:tl2br w:val="nil"/>
              <w:tr2bl w:val="nil"/>
            </w:tcBorders>
            <w:vAlign w:val="center"/>
          </w:tcPr>
          <w:p w14:paraId="174B1440">
            <w:pPr>
              <w:snapToGrid w:val="0"/>
              <w:jc w:val="center"/>
              <w:rPr>
                <w:bCs/>
                <w:sz w:val="21"/>
                <w:szCs w:val="21"/>
              </w:rPr>
            </w:pPr>
            <w:r>
              <w:rPr>
                <w:sz w:val="21"/>
                <w:szCs w:val="21"/>
              </w:rPr>
              <w:t>《地表水环境质量标准》（GB3838-2002）</w:t>
            </w:r>
          </w:p>
        </w:tc>
      </w:tr>
      <w:tr w14:paraId="0E7C5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83" w:type="pct"/>
            <w:tcBorders>
              <w:tl2br w:val="nil"/>
              <w:tr2bl w:val="nil"/>
            </w:tcBorders>
            <w:vAlign w:val="center"/>
          </w:tcPr>
          <w:p w14:paraId="593186D6">
            <w:pPr>
              <w:snapToGrid w:val="0"/>
              <w:jc w:val="center"/>
              <w:rPr>
                <w:bCs/>
                <w:sz w:val="21"/>
                <w:szCs w:val="21"/>
              </w:rPr>
            </w:pPr>
            <w:r>
              <w:rPr>
                <w:bCs/>
                <w:sz w:val="21"/>
                <w:szCs w:val="21"/>
              </w:rPr>
              <w:t>2</w:t>
            </w:r>
          </w:p>
        </w:tc>
        <w:tc>
          <w:tcPr>
            <w:tcW w:w="775" w:type="pct"/>
            <w:tcBorders>
              <w:tl2br w:val="nil"/>
              <w:tr2bl w:val="nil"/>
            </w:tcBorders>
            <w:vAlign w:val="center"/>
          </w:tcPr>
          <w:p w14:paraId="57387F65">
            <w:pPr>
              <w:snapToGrid w:val="0"/>
              <w:jc w:val="center"/>
              <w:rPr>
                <w:bCs/>
                <w:sz w:val="21"/>
                <w:szCs w:val="21"/>
              </w:rPr>
            </w:pPr>
            <w:r>
              <w:rPr>
                <w:bCs/>
                <w:sz w:val="21"/>
                <w:szCs w:val="21"/>
              </w:rPr>
              <w:t>地下水</w:t>
            </w:r>
          </w:p>
        </w:tc>
        <w:tc>
          <w:tcPr>
            <w:tcW w:w="934" w:type="pct"/>
            <w:tcBorders>
              <w:tl2br w:val="nil"/>
              <w:tr2bl w:val="nil"/>
            </w:tcBorders>
            <w:vAlign w:val="center"/>
          </w:tcPr>
          <w:p w14:paraId="2A6CC8BE">
            <w:pPr>
              <w:snapToGrid w:val="0"/>
              <w:jc w:val="center"/>
              <w:rPr>
                <w:bCs/>
                <w:sz w:val="21"/>
                <w:szCs w:val="21"/>
              </w:rPr>
            </w:pPr>
            <w:r>
              <w:rPr>
                <w:bCs/>
                <w:sz w:val="21"/>
                <w:szCs w:val="21"/>
              </w:rPr>
              <w:t>Ⅲ类区</w:t>
            </w:r>
          </w:p>
        </w:tc>
        <w:tc>
          <w:tcPr>
            <w:tcW w:w="686" w:type="pct"/>
            <w:tcBorders>
              <w:tl2br w:val="nil"/>
              <w:tr2bl w:val="nil"/>
            </w:tcBorders>
            <w:vAlign w:val="center"/>
          </w:tcPr>
          <w:p w14:paraId="4A156A46">
            <w:pPr>
              <w:snapToGrid w:val="0"/>
              <w:jc w:val="center"/>
              <w:rPr>
                <w:bCs/>
                <w:sz w:val="21"/>
                <w:szCs w:val="21"/>
              </w:rPr>
            </w:pPr>
            <w:r>
              <w:rPr>
                <w:bCs/>
                <w:sz w:val="21"/>
                <w:szCs w:val="21"/>
              </w:rPr>
              <w:t>Ⅲ类</w:t>
            </w:r>
          </w:p>
        </w:tc>
        <w:tc>
          <w:tcPr>
            <w:tcW w:w="2221" w:type="pct"/>
            <w:tcBorders>
              <w:tl2br w:val="nil"/>
              <w:tr2bl w:val="nil"/>
            </w:tcBorders>
            <w:vAlign w:val="center"/>
          </w:tcPr>
          <w:p w14:paraId="515FF897">
            <w:pPr>
              <w:snapToGrid w:val="0"/>
              <w:jc w:val="center"/>
              <w:rPr>
                <w:sz w:val="21"/>
                <w:szCs w:val="21"/>
              </w:rPr>
            </w:pPr>
            <w:r>
              <w:rPr>
                <w:sz w:val="21"/>
                <w:szCs w:val="21"/>
              </w:rPr>
              <w:t>《地下水质量标准》（GB/T14848-2017）</w:t>
            </w:r>
          </w:p>
        </w:tc>
      </w:tr>
      <w:tr w14:paraId="373D6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383" w:type="pct"/>
            <w:tcBorders>
              <w:tl2br w:val="nil"/>
              <w:tr2bl w:val="nil"/>
            </w:tcBorders>
            <w:vAlign w:val="center"/>
          </w:tcPr>
          <w:p w14:paraId="38B2996B">
            <w:pPr>
              <w:snapToGrid w:val="0"/>
              <w:jc w:val="center"/>
              <w:rPr>
                <w:bCs/>
                <w:sz w:val="21"/>
                <w:szCs w:val="21"/>
              </w:rPr>
            </w:pPr>
            <w:r>
              <w:rPr>
                <w:bCs/>
                <w:sz w:val="21"/>
                <w:szCs w:val="21"/>
              </w:rPr>
              <w:t>3</w:t>
            </w:r>
          </w:p>
        </w:tc>
        <w:tc>
          <w:tcPr>
            <w:tcW w:w="775" w:type="pct"/>
            <w:tcBorders>
              <w:tl2br w:val="nil"/>
              <w:tr2bl w:val="nil"/>
            </w:tcBorders>
            <w:vAlign w:val="center"/>
          </w:tcPr>
          <w:p w14:paraId="103794DD">
            <w:pPr>
              <w:snapToGrid w:val="0"/>
              <w:jc w:val="center"/>
              <w:rPr>
                <w:bCs/>
                <w:sz w:val="21"/>
                <w:szCs w:val="21"/>
              </w:rPr>
            </w:pPr>
            <w:r>
              <w:rPr>
                <w:bCs/>
                <w:sz w:val="21"/>
                <w:szCs w:val="21"/>
              </w:rPr>
              <w:t>环境空气</w:t>
            </w:r>
          </w:p>
        </w:tc>
        <w:tc>
          <w:tcPr>
            <w:tcW w:w="934" w:type="pct"/>
            <w:tcBorders>
              <w:tl2br w:val="nil"/>
              <w:tr2bl w:val="nil"/>
            </w:tcBorders>
            <w:vAlign w:val="center"/>
          </w:tcPr>
          <w:p w14:paraId="4AEAB94A">
            <w:pPr>
              <w:jc w:val="center"/>
              <w:rPr>
                <w:bCs/>
                <w:sz w:val="21"/>
                <w:szCs w:val="21"/>
              </w:rPr>
            </w:pPr>
            <w:r>
              <w:rPr>
                <w:bCs/>
                <w:sz w:val="21"/>
                <w:szCs w:val="21"/>
              </w:rPr>
              <w:t>二类区</w:t>
            </w:r>
          </w:p>
        </w:tc>
        <w:tc>
          <w:tcPr>
            <w:tcW w:w="686" w:type="pct"/>
            <w:tcBorders>
              <w:tl2br w:val="nil"/>
              <w:tr2bl w:val="nil"/>
            </w:tcBorders>
            <w:vAlign w:val="center"/>
          </w:tcPr>
          <w:p w14:paraId="7B90F366">
            <w:pPr>
              <w:jc w:val="center"/>
              <w:rPr>
                <w:bCs/>
                <w:sz w:val="21"/>
                <w:szCs w:val="21"/>
              </w:rPr>
            </w:pPr>
            <w:r>
              <w:rPr>
                <w:bCs/>
                <w:sz w:val="21"/>
                <w:szCs w:val="21"/>
              </w:rPr>
              <w:t>二类区</w:t>
            </w:r>
          </w:p>
        </w:tc>
        <w:tc>
          <w:tcPr>
            <w:tcW w:w="2221" w:type="pct"/>
            <w:tcBorders>
              <w:tl2br w:val="nil"/>
              <w:tr2bl w:val="nil"/>
            </w:tcBorders>
            <w:vAlign w:val="center"/>
          </w:tcPr>
          <w:p w14:paraId="0E85F040">
            <w:pPr>
              <w:jc w:val="center"/>
              <w:rPr>
                <w:rFonts w:hint="eastAsia" w:eastAsia="宋体"/>
                <w:bCs/>
                <w:sz w:val="21"/>
                <w:szCs w:val="21"/>
                <w:lang w:eastAsia="zh-CN"/>
              </w:rPr>
            </w:pPr>
            <w:r>
              <w:rPr>
                <w:rFonts w:hint="eastAsia"/>
                <w:bCs/>
                <w:sz w:val="21"/>
                <w:szCs w:val="21"/>
                <w:lang w:eastAsia="zh-CN"/>
              </w:rPr>
              <w:t>《环境空气质量标准》（GB3095-2026）</w:t>
            </w:r>
          </w:p>
        </w:tc>
      </w:tr>
      <w:tr w14:paraId="415EC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383" w:type="pct"/>
            <w:tcBorders>
              <w:tl2br w:val="nil"/>
              <w:tr2bl w:val="nil"/>
            </w:tcBorders>
            <w:vAlign w:val="center"/>
          </w:tcPr>
          <w:p w14:paraId="6A5714B0">
            <w:pPr>
              <w:snapToGrid w:val="0"/>
              <w:jc w:val="center"/>
              <w:rPr>
                <w:bCs/>
                <w:sz w:val="21"/>
                <w:szCs w:val="21"/>
              </w:rPr>
            </w:pPr>
            <w:r>
              <w:rPr>
                <w:bCs/>
                <w:sz w:val="21"/>
                <w:szCs w:val="21"/>
              </w:rPr>
              <w:t>4</w:t>
            </w:r>
          </w:p>
        </w:tc>
        <w:tc>
          <w:tcPr>
            <w:tcW w:w="775" w:type="pct"/>
            <w:tcBorders>
              <w:tl2br w:val="nil"/>
              <w:tr2bl w:val="nil"/>
            </w:tcBorders>
            <w:vAlign w:val="center"/>
          </w:tcPr>
          <w:p w14:paraId="57588EB3">
            <w:pPr>
              <w:snapToGrid w:val="0"/>
              <w:jc w:val="center"/>
              <w:rPr>
                <w:bCs/>
                <w:sz w:val="21"/>
                <w:szCs w:val="21"/>
              </w:rPr>
            </w:pPr>
            <w:r>
              <w:rPr>
                <w:bCs/>
                <w:sz w:val="21"/>
                <w:szCs w:val="21"/>
              </w:rPr>
              <w:t>噪声</w:t>
            </w:r>
          </w:p>
        </w:tc>
        <w:tc>
          <w:tcPr>
            <w:tcW w:w="934" w:type="pct"/>
            <w:tcBorders>
              <w:tl2br w:val="nil"/>
              <w:tr2bl w:val="nil"/>
            </w:tcBorders>
            <w:vAlign w:val="center"/>
          </w:tcPr>
          <w:p w14:paraId="4C95147F">
            <w:pPr>
              <w:jc w:val="center"/>
              <w:rPr>
                <w:bCs/>
                <w:sz w:val="21"/>
                <w:szCs w:val="21"/>
              </w:rPr>
            </w:pPr>
            <w:r>
              <w:rPr>
                <w:bCs/>
                <w:sz w:val="21"/>
                <w:szCs w:val="21"/>
              </w:rPr>
              <w:t>厂界</w:t>
            </w:r>
          </w:p>
        </w:tc>
        <w:tc>
          <w:tcPr>
            <w:tcW w:w="686" w:type="pct"/>
            <w:tcBorders>
              <w:tl2br w:val="nil"/>
              <w:tr2bl w:val="nil"/>
            </w:tcBorders>
            <w:vAlign w:val="center"/>
          </w:tcPr>
          <w:p w14:paraId="76718DE3">
            <w:pPr>
              <w:jc w:val="center"/>
              <w:rPr>
                <w:rFonts w:hint="eastAsia" w:eastAsia="宋体"/>
                <w:bCs/>
                <w:sz w:val="21"/>
                <w:szCs w:val="21"/>
                <w:lang w:eastAsia="zh-CN"/>
              </w:rPr>
            </w:pPr>
            <w:r>
              <w:rPr>
                <w:rFonts w:hint="eastAsia"/>
                <w:bCs/>
                <w:sz w:val="21"/>
                <w:szCs w:val="21"/>
                <w:lang w:eastAsia="zh-CN"/>
              </w:rPr>
              <w:t>3类</w:t>
            </w:r>
          </w:p>
        </w:tc>
        <w:tc>
          <w:tcPr>
            <w:tcW w:w="2221" w:type="pct"/>
            <w:tcBorders>
              <w:tl2br w:val="nil"/>
              <w:tr2bl w:val="nil"/>
            </w:tcBorders>
            <w:vAlign w:val="center"/>
          </w:tcPr>
          <w:p w14:paraId="51F027FF">
            <w:pPr>
              <w:jc w:val="center"/>
              <w:rPr>
                <w:bCs/>
                <w:sz w:val="21"/>
                <w:szCs w:val="21"/>
              </w:rPr>
            </w:pPr>
            <w:r>
              <w:rPr>
                <w:bCs/>
                <w:sz w:val="21"/>
                <w:szCs w:val="21"/>
              </w:rPr>
              <w:t>《声环境质量标准》（GB3096-2008）</w:t>
            </w:r>
          </w:p>
        </w:tc>
      </w:tr>
    </w:tbl>
    <w:p w14:paraId="0BABE27B">
      <w:pPr>
        <w:pStyle w:val="4"/>
      </w:pPr>
      <w:r>
        <w:t>4.2.2环境保护目标</w:t>
      </w:r>
      <w:bookmarkEnd w:id="260"/>
      <w:bookmarkEnd w:id="261"/>
      <w:bookmarkEnd w:id="262"/>
    </w:p>
    <w:p w14:paraId="0892773D">
      <w:pPr>
        <w:pStyle w:val="132"/>
        <w:autoSpaceDE w:val="0"/>
        <w:autoSpaceDN w:val="0"/>
        <w:spacing w:line="360" w:lineRule="auto"/>
        <w:ind w:firstLine="480"/>
        <w:jc w:val="both"/>
        <w:rPr>
          <w:rFonts w:ascii="Times New Roman" w:hAnsi="Times New Roman"/>
        </w:rPr>
      </w:pPr>
      <w:r>
        <w:rPr>
          <w:rFonts w:hint="eastAsia" w:ascii="Times New Roman" w:hAnsi="Times New Roman"/>
          <w:lang w:eastAsia="zh-CN"/>
        </w:rPr>
        <w:t>厂址北侧</w:t>
      </w:r>
      <w:r>
        <w:rPr>
          <w:rFonts w:hint="eastAsia" w:ascii="Times New Roman" w:hAnsi="Times New Roman"/>
          <w:lang w:val="en-US" w:eastAsia="zh-CN"/>
        </w:rPr>
        <w:t>为鸿展仓储物流项目，</w:t>
      </w:r>
      <w:r>
        <w:rPr>
          <w:rFonts w:hint="eastAsia" w:ascii="Times New Roman" w:hAnsi="Times New Roman"/>
          <w:lang w:eastAsia="zh-CN"/>
        </w:rPr>
        <w:t>东北侧为前屯，东南侧为齐齐哈尔鹏程北方糖业股份有限公司，南侧为示范场村，西侧为空地。</w:t>
      </w:r>
      <w:r>
        <w:rPr>
          <w:rFonts w:ascii="Times New Roman" w:hAnsi="Times New Roman"/>
        </w:rPr>
        <w:t>环境敏感目标见表4.2-2</w:t>
      </w:r>
      <w:r>
        <w:rPr>
          <w:rFonts w:hint="eastAsia" w:ascii="Times New Roman" w:hAnsi="Times New Roman"/>
        </w:rPr>
        <w:t>，4.2-3</w:t>
      </w:r>
      <w:r>
        <w:rPr>
          <w:rFonts w:ascii="Times New Roman" w:hAnsi="Times New Roman"/>
        </w:rPr>
        <w:t>。</w:t>
      </w:r>
    </w:p>
    <w:p w14:paraId="080E2A05">
      <w:pPr>
        <w:jc w:val="center"/>
        <w:rPr>
          <w:b/>
        </w:rPr>
      </w:pPr>
      <w:bookmarkStart w:id="265" w:name="_Toc8643"/>
      <w:bookmarkStart w:id="266" w:name="_Toc433890788"/>
      <w:bookmarkStart w:id="267" w:name="_Toc461079339"/>
      <w:r>
        <w:rPr>
          <w:b/>
        </w:rPr>
        <w:t>表</w:t>
      </w:r>
      <w:r>
        <w:rPr>
          <w:rFonts w:hint="eastAsia"/>
          <w:b/>
          <w:lang w:val="en-US" w:eastAsia="zh-CN"/>
        </w:rPr>
        <w:t>4.2-2</w:t>
      </w:r>
      <w:r>
        <w:rPr>
          <w:b/>
        </w:rPr>
        <w:t xml:space="preserve">    环境空气敏感目标一览表</w:t>
      </w:r>
    </w:p>
    <w:tbl>
      <w:tblPr>
        <w:tblStyle w:val="54"/>
        <w:tblW w:w="89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262"/>
        <w:gridCol w:w="1115"/>
        <w:gridCol w:w="667"/>
        <w:gridCol w:w="979"/>
        <w:gridCol w:w="712"/>
        <w:gridCol w:w="965"/>
        <w:gridCol w:w="1143"/>
        <w:gridCol w:w="1087"/>
      </w:tblGrid>
      <w:tr w14:paraId="76F0A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063" w:type="dxa"/>
            <w:vMerge w:val="restart"/>
            <w:tcBorders>
              <w:tl2br w:val="nil"/>
              <w:tr2bl w:val="nil"/>
            </w:tcBorders>
            <w:vAlign w:val="center"/>
          </w:tcPr>
          <w:p w14:paraId="4B3C1CDE">
            <w:pPr>
              <w:widowControl w:val="0"/>
              <w:jc w:val="center"/>
              <w:rPr>
                <w:b/>
                <w:bCs/>
                <w:sz w:val="21"/>
                <w:szCs w:val="21"/>
              </w:rPr>
            </w:pPr>
            <w:r>
              <w:rPr>
                <w:b/>
                <w:bCs/>
                <w:sz w:val="21"/>
                <w:szCs w:val="21"/>
              </w:rPr>
              <w:t>名称</w:t>
            </w:r>
          </w:p>
        </w:tc>
        <w:tc>
          <w:tcPr>
            <w:tcW w:w="2377" w:type="dxa"/>
            <w:gridSpan w:val="2"/>
            <w:tcBorders>
              <w:tl2br w:val="nil"/>
              <w:tr2bl w:val="nil"/>
            </w:tcBorders>
            <w:vAlign w:val="center"/>
          </w:tcPr>
          <w:p w14:paraId="01B38F27">
            <w:pPr>
              <w:widowControl w:val="0"/>
              <w:jc w:val="center"/>
              <w:rPr>
                <w:b/>
                <w:bCs/>
                <w:sz w:val="21"/>
                <w:szCs w:val="21"/>
              </w:rPr>
            </w:pPr>
            <w:r>
              <w:rPr>
                <w:b/>
                <w:bCs/>
                <w:sz w:val="21"/>
                <w:szCs w:val="21"/>
              </w:rPr>
              <w:t>坐标/m</w:t>
            </w:r>
          </w:p>
        </w:tc>
        <w:tc>
          <w:tcPr>
            <w:tcW w:w="667" w:type="dxa"/>
            <w:vMerge w:val="restart"/>
            <w:tcBorders>
              <w:tl2br w:val="nil"/>
              <w:tr2bl w:val="nil"/>
            </w:tcBorders>
            <w:vAlign w:val="center"/>
          </w:tcPr>
          <w:p w14:paraId="07CD11AA">
            <w:pPr>
              <w:widowControl w:val="0"/>
              <w:jc w:val="center"/>
              <w:rPr>
                <w:b/>
                <w:bCs/>
                <w:sz w:val="21"/>
                <w:szCs w:val="21"/>
              </w:rPr>
            </w:pPr>
            <w:r>
              <w:rPr>
                <w:b/>
                <w:bCs/>
                <w:sz w:val="21"/>
                <w:szCs w:val="21"/>
              </w:rPr>
              <w:t>保护对象</w:t>
            </w:r>
          </w:p>
        </w:tc>
        <w:tc>
          <w:tcPr>
            <w:tcW w:w="979" w:type="dxa"/>
            <w:vMerge w:val="restart"/>
            <w:tcBorders>
              <w:tl2br w:val="nil"/>
              <w:tr2bl w:val="nil"/>
            </w:tcBorders>
            <w:vAlign w:val="center"/>
          </w:tcPr>
          <w:p w14:paraId="5C0D6D69">
            <w:pPr>
              <w:widowControl w:val="0"/>
              <w:jc w:val="center"/>
              <w:rPr>
                <w:b/>
                <w:bCs/>
                <w:sz w:val="21"/>
                <w:szCs w:val="21"/>
              </w:rPr>
            </w:pPr>
            <w:r>
              <w:rPr>
                <w:b/>
                <w:bCs/>
                <w:sz w:val="21"/>
                <w:szCs w:val="21"/>
              </w:rPr>
              <w:t>保护内容</w:t>
            </w:r>
          </w:p>
        </w:tc>
        <w:tc>
          <w:tcPr>
            <w:tcW w:w="712" w:type="dxa"/>
            <w:vMerge w:val="restart"/>
            <w:tcBorders>
              <w:tl2br w:val="nil"/>
              <w:tr2bl w:val="nil"/>
            </w:tcBorders>
            <w:vAlign w:val="center"/>
          </w:tcPr>
          <w:p w14:paraId="527B9B83">
            <w:pPr>
              <w:widowControl w:val="0"/>
              <w:jc w:val="center"/>
              <w:rPr>
                <w:b/>
                <w:bCs/>
                <w:sz w:val="21"/>
                <w:szCs w:val="21"/>
              </w:rPr>
            </w:pPr>
            <w:r>
              <w:rPr>
                <w:b/>
                <w:bCs/>
                <w:sz w:val="21"/>
                <w:szCs w:val="21"/>
              </w:rPr>
              <w:t>环境</w:t>
            </w:r>
          </w:p>
          <w:p w14:paraId="0BB2CE62">
            <w:pPr>
              <w:widowControl w:val="0"/>
              <w:jc w:val="center"/>
              <w:rPr>
                <w:b/>
                <w:bCs/>
                <w:sz w:val="21"/>
                <w:szCs w:val="21"/>
              </w:rPr>
            </w:pPr>
            <w:r>
              <w:rPr>
                <w:b/>
                <w:bCs/>
                <w:sz w:val="21"/>
                <w:szCs w:val="21"/>
              </w:rPr>
              <w:t>功能区</w:t>
            </w:r>
          </w:p>
        </w:tc>
        <w:tc>
          <w:tcPr>
            <w:tcW w:w="965" w:type="dxa"/>
            <w:vMerge w:val="restart"/>
            <w:tcBorders>
              <w:tl2br w:val="nil"/>
              <w:tr2bl w:val="nil"/>
            </w:tcBorders>
            <w:vAlign w:val="center"/>
          </w:tcPr>
          <w:p w14:paraId="658F9551">
            <w:pPr>
              <w:widowControl w:val="0"/>
              <w:jc w:val="center"/>
              <w:rPr>
                <w:b/>
                <w:bCs/>
                <w:sz w:val="21"/>
                <w:szCs w:val="21"/>
              </w:rPr>
            </w:pPr>
            <w:r>
              <w:rPr>
                <w:b/>
                <w:bCs/>
                <w:sz w:val="21"/>
                <w:szCs w:val="21"/>
              </w:rPr>
              <w:t>相对厂址方位</w:t>
            </w:r>
          </w:p>
        </w:tc>
        <w:tc>
          <w:tcPr>
            <w:tcW w:w="1143" w:type="dxa"/>
            <w:vMerge w:val="restart"/>
            <w:tcBorders>
              <w:tl2br w:val="nil"/>
              <w:tr2bl w:val="nil"/>
            </w:tcBorders>
            <w:vAlign w:val="center"/>
          </w:tcPr>
          <w:p w14:paraId="1362294C">
            <w:pPr>
              <w:widowControl w:val="0"/>
              <w:jc w:val="center"/>
              <w:rPr>
                <w:b/>
                <w:bCs/>
                <w:sz w:val="21"/>
                <w:szCs w:val="21"/>
              </w:rPr>
            </w:pPr>
            <w:r>
              <w:rPr>
                <w:b/>
                <w:bCs/>
                <w:sz w:val="21"/>
                <w:szCs w:val="21"/>
              </w:rPr>
              <w:t>相对厂界距离范围/</w:t>
            </w:r>
            <w:r>
              <w:rPr>
                <w:rFonts w:hint="eastAsia"/>
                <w:b/>
                <w:bCs/>
                <w:sz w:val="21"/>
                <w:szCs w:val="21"/>
              </w:rPr>
              <w:t>k</w:t>
            </w:r>
            <w:r>
              <w:rPr>
                <w:b/>
                <w:bCs/>
                <w:sz w:val="21"/>
                <w:szCs w:val="21"/>
              </w:rPr>
              <w:t>m</w:t>
            </w:r>
          </w:p>
        </w:tc>
        <w:tc>
          <w:tcPr>
            <w:tcW w:w="1087" w:type="dxa"/>
            <w:vMerge w:val="restart"/>
            <w:tcBorders>
              <w:tl2br w:val="nil"/>
              <w:tr2bl w:val="nil"/>
            </w:tcBorders>
            <w:vAlign w:val="center"/>
          </w:tcPr>
          <w:p w14:paraId="041A96C6">
            <w:pPr>
              <w:widowControl w:val="0"/>
              <w:jc w:val="center"/>
              <w:rPr>
                <w:b/>
                <w:bCs/>
                <w:sz w:val="21"/>
                <w:szCs w:val="21"/>
              </w:rPr>
            </w:pPr>
            <w:r>
              <w:rPr>
                <w:b/>
                <w:bCs/>
                <w:sz w:val="21"/>
                <w:szCs w:val="21"/>
              </w:rPr>
              <w:t>执行标准</w:t>
            </w:r>
          </w:p>
        </w:tc>
      </w:tr>
      <w:tr w14:paraId="1A172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063" w:type="dxa"/>
            <w:vMerge w:val="continue"/>
            <w:tcBorders>
              <w:tl2br w:val="nil"/>
              <w:tr2bl w:val="nil"/>
            </w:tcBorders>
            <w:vAlign w:val="center"/>
          </w:tcPr>
          <w:p w14:paraId="20C8053C">
            <w:pPr>
              <w:widowControl w:val="0"/>
              <w:jc w:val="center"/>
              <w:rPr>
                <w:sz w:val="21"/>
                <w:szCs w:val="21"/>
              </w:rPr>
            </w:pPr>
          </w:p>
        </w:tc>
        <w:tc>
          <w:tcPr>
            <w:tcW w:w="1262" w:type="dxa"/>
            <w:tcBorders>
              <w:tl2br w:val="nil"/>
              <w:tr2bl w:val="nil"/>
            </w:tcBorders>
            <w:vAlign w:val="center"/>
          </w:tcPr>
          <w:p w14:paraId="4F708B56">
            <w:pPr>
              <w:widowControl w:val="0"/>
              <w:jc w:val="center"/>
              <w:rPr>
                <w:b/>
                <w:bCs/>
                <w:sz w:val="21"/>
                <w:szCs w:val="21"/>
              </w:rPr>
            </w:pPr>
            <w:r>
              <w:rPr>
                <w:b/>
                <w:bCs/>
                <w:sz w:val="21"/>
                <w:szCs w:val="21"/>
              </w:rPr>
              <w:t>X</w:t>
            </w:r>
          </w:p>
        </w:tc>
        <w:tc>
          <w:tcPr>
            <w:tcW w:w="1115" w:type="dxa"/>
            <w:tcBorders>
              <w:tl2br w:val="nil"/>
              <w:tr2bl w:val="nil"/>
            </w:tcBorders>
            <w:vAlign w:val="center"/>
          </w:tcPr>
          <w:p w14:paraId="34D33877">
            <w:pPr>
              <w:widowControl w:val="0"/>
              <w:jc w:val="center"/>
              <w:rPr>
                <w:b/>
                <w:bCs/>
                <w:sz w:val="21"/>
                <w:szCs w:val="21"/>
              </w:rPr>
            </w:pPr>
            <w:r>
              <w:rPr>
                <w:b/>
                <w:bCs/>
                <w:sz w:val="21"/>
                <w:szCs w:val="21"/>
              </w:rPr>
              <w:t>Y</w:t>
            </w:r>
          </w:p>
        </w:tc>
        <w:tc>
          <w:tcPr>
            <w:tcW w:w="667" w:type="dxa"/>
            <w:vMerge w:val="continue"/>
            <w:tcBorders>
              <w:tl2br w:val="nil"/>
              <w:tr2bl w:val="nil"/>
            </w:tcBorders>
            <w:vAlign w:val="center"/>
          </w:tcPr>
          <w:p w14:paraId="6A799BF5">
            <w:pPr>
              <w:widowControl w:val="0"/>
              <w:jc w:val="center"/>
              <w:rPr>
                <w:sz w:val="21"/>
                <w:szCs w:val="21"/>
              </w:rPr>
            </w:pPr>
          </w:p>
        </w:tc>
        <w:tc>
          <w:tcPr>
            <w:tcW w:w="979" w:type="dxa"/>
            <w:vMerge w:val="continue"/>
            <w:tcBorders>
              <w:tl2br w:val="nil"/>
              <w:tr2bl w:val="nil"/>
            </w:tcBorders>
            <w:vAlign w:val="center"/>
          </w:tcPr>
          <w:p w14:paraId="3E35A449">
            <w:pPr>
              <w:widowControl w:val="0"/>
              <w:jc w:val="center"/>
              <w:rPr>
                <w:sz w:val="21"/>
                <w:szCs w:val="21"/>
              </w:rPr>
            </w:pPr>
          </w:p>
        </w:tc>
        <w:tc>
          <w:tcPr>
            <w:tcW w:w="712" w:type="dxa"/>
            <w:vMerge w:val="continue"/>
            <w:tcBorders>
              <w:tl2br w:val="nil"/>
              <w:tr2bl w:val="nil"/>
            </w:tcBorders>
            <w:vAlign w:val="center"/>
          </w:tcPr>
          <w:p w14:paraId="7A2E9CD3">
            <w:pPr>
              <w:widowControl w:val="0"/>
              <w:jc w:val="center"/>
              <w:rPr>
                <w:sz w:val="21"/>
                <w:szCs w:val="21"/>
              </w:rPr>
            </w:pPr>
          </w:p>
        </w:tc>
        <w:tc>
          <w:tcPr>
            <w:tcW w:w="965" w:type="dxa"/>
            <w:vMerge w:val="continue"/>
            <w:tcBorders>
              <w:tl2br w:val="nil"/>
              <w:tr2bl w:val="nil"/>
            </w:tcBorders>
            <w:vAlign w:val="center"/>
          </w:tcPr>
          <w:p w14:paraId="6A139348">
            <w:pPr>
              <w:widowControl w:val="0"/>
              <w:jc w:val="center"/>
              <w:rPr>
                <w:sz w:val="21"/>
                <w:szCs w:val="21"/>
              </w:rPr>
            </w:pPr>
          </w:p>
        </w:tc>
        <w:tc>
          <w:tcPr>
            <w:tcW w:w="1143" w:type="dxa"/>
            <w:vMerge w:val="continue"/>
            <w:tcBorders>
              <w:tl2br w:val="nil"/>
              <w:tr2bl w:val="nil"/>
            </w:tcBorders>
            <w:vAlign w:val="center"/>
          </w:tcPr>
          <w:p w14:paraId="0F76F115">
            <w:pPr>
              <w:widowControl w:val="0"/>
              <w:jc w:val="center"/>
              <w:rPr>
                <w:sz w:val="21"/>
                <w:szCs w:val="21"/>
              </w:rPr>
            </w:pPr>
          </w:p>
        </w:tc>
        <w:tc>
          <w:tcPr>
            <w:tcW w:w="1087" w:type="dxa"/>
            <w:vMerge w:val="continue"/>
            <w:tcBorders>
              <w:tl2br w:val="nil"/>
              <w:tr2bl w:val="nil"/>
            </w:tcBorders>
            <w:vAlign w:val="center"/>
          </w:tcPr>
          <w:p w14:paraId="487E0240">
            <w:pPr>
              <w:widowControl w:val="0"/>
              <w:jc w:val="center"/>
              <w:rPr>
                <w:sz w:val="21"/>
                <w:szCs w:val="21"/>
              </w:rPr>
            </w:pPr>
          </w:p>
        </w:tc>
      </w:tr>
      <w:tr w14:paraId="79631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4BBBCA9C">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前屯</w:t>
            </w:r>
          </w:p>
        </w:tc>
        <w:tc>
          <w:tcPr>
            <w:tcW w:w="1262" w:type="dxa"/>
            <w:tcBorders>
              <w:tl2br w:val="nil"/>
              <w:tr2bl w:val="nil"/>
            </w:tcBorders>
            <w:vAlign w:val="center"/>
          </w:tcPr>
          <w:p w14:paraId="79126D67">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124.61699</w:t>
            </w:r>
          </w:p>
        </w:tc>
        <w:tc>
          <w:tcPr>
            <w:tcW w:w="1115" w:type="dxa"/>
            <w:tcBorders>
              <w:tl2br w:val="nil"/>
              <w:tr2bl w:val="nil"/>
            </w:tcBorders>
            <w:vAlign w:val="center"/>
          </w:tcPr>
          <w:p w14:paraId="241C4DCB">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48.21989</w:t>
            </w:r>
          </w:p>
        </w:tc>
        <w:tc>
          <w:tcPr>
            <w:tcW w:w="667" w:type="dxa"/>
            <w:vMerge w:val="restart"/>
            <w:tcBorders>
              <w:tl2br w:val="nil"/>
              <w:tr2bl w:val="nil"/>
            </w:tcBorders>
            <w:vAlign w:val="center"/>
          </w:tcPr>
          <w:p w14:paraId="473FAB0F">
            <w:pPr>
              <w:pStyle w:val="262"/>
              <w:autoSpaceDE w:val="0"/>
              <w:autoSpaceDN w:val="0"/>
              <w:spacing w:line="320" w:lineRule="exact"/>
              <w:ind w:left="0" w:leftChars="0" w:firstLine="0" w:firstLineChars="0"/>
              <w:jc w:val="center"/>
              <w:textAlignment w:val="bottom"/>
              <w:rPr>
                <w:rFonts w:hint="eastAsia" w:ascii="Times New Roman"/>
                <w:sz w:val="21"/>
                <w:szCs w:val="21"/>
                <w:lang w:eastAsia="zh-CN"/>
              </w:rPr>
            </w:pPr>
            <w:r>
              <w:rPr>
                <w:rFonts w:hint="eastAsia" w:ascii="Times New Roman"/>
                <w:sz w:val="21"/>
                <w:szCs w:val="21"/>
                <w:lang w:val="en-US" w:eastAsia="zh-CN"/>
              </w:rPr>
              <w:t>居民</w:t>
            </w:r>
          </w:p>
        </w:tc>
        <w:tc>
          <w:tcPr>
            <w:tcW w:w="979" w:type="dxa"/>
            <w:vMerge w:val="restart"/>
            <w:tcBorders>
              <w:tl2br w:val="nil"/>
              <w:tr2bl w:val="nil"/>
            </w:tcBorders>
            <w:vAlign w:val="center"/>
          </w:tcPr>
          <w:p w14:paraId="6F821A85">
            <w:pPr>
              <w:pStyle w:val="262"/>
              <w:autoSpaceDE w:val="0"/>
              <w:autoSpaceDN w:val="0"/>
              <w:spacing w:line="320" w:lineRule="exact"/>
              <w:ind w:left="0" w:leftChars="0" w:firstLine="0" w:firstLineChars="0"/>
              <w:jc w:val="center"/>
              <w:textAlignment w:val="bottom"/>
              <w:rPr>
                <w:rFonts w:ascii="Times New Roman"/>
                <w:sz w:val="21"/>
                <w:szCs w:val="21"/>
              </w:rPr>
            </w:pPr>
            <w:r>
              <w:rPr>
                <w:rFonts w:ascii="Times New Roman"/>
                <w:sz w:val="21"/>
                <w:szCs w:val="21"/>
              </w:rPr>
              <w:t>环境空气</w:t>
            </w:r>
          </w:p>
        </w:tc>
        <w:tc>
          <w:tcPr>
            <w:tcW w:w="712" w:type="dxa"/>
            <w:vMerge w:val="restart"/>
            <w:tcBorders>
              <w:tl2br w:val="nil"/>
              <w:tr2bl w:val="nil"/>
            </w:tcBorders>
            <w:vAlign w:val="center"/>
          </w:tcPr>
          <w:p w14:paraId="11212FDA">
            <w:pPr>
              <w:pStyle w:val="262"/>
              <w:autoSpaceDE w:val="0"/>
              <w:autoSpaceDN w:val="0"/>
              <w:spacing w:line="320" w:lineRule="exact"/>
              <w:ind w:left="0" w:leftChars="0" w:firstLine="0" w:firstLineChars="0"/>
              <w:jc w:val="center"/>
              <w:textAlignment w:val="bottom"/>
              <w:rPr>
                <w:rFonts w:ascii="Times New Roman"/>
                <w:sz w:val="21"/>
                <w:szCs w:val="21"/>
              </w:rPr>
            </w:pPr>
            <w:r>
              <w:rPr>
                <w:rFonts w:ascii="Times New Roman"/>
                <w:sz w:val="21"/>
                <w:szCs w:val="21"/>
              </w:rPr>
              <w:t>二类</w:t>
            </w:r>
          </w:p>
        </w:tc>
        <w:tc>
          <w:tcPr>
            <w:tcW w:w="965" w:type="dxa"/>
            <w:tcBorders>
              <w:tl2br w:val="nil"/>
              <w:tr2bl w:val="nil"/>
            </w:tcBorders>
            <w:vAlign w:val="center"/>
          </w:tcPr>
          <w:p w14:paraId="685ACBE2">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NE</w:t>
            </w:r>
          </w:p>
        </w:tc>
        <w:tc>
          <w:tcPr>
            <w:tcW w:w="1143" w:type="dxa"/>
            <w:tcBorders>
              <w:tl2br w:val="nil"/>
              <w:tr2bl w:val="nil"/>
            </w:tcBorders>
            <w:vAlign w:val="center"/>
          </w:tcPr>
          <w:p w14:paraId="632D263F">
            <w:pPr>
              <w:pStyle w:val="262"/>
              <w:autoSpaceDE w:val="0"/>
              <w:autoSpaceDN w:val="0"/>
              <w:spacing w:line="320" w:lineRule="exact"/>
              <w:ind w:left="0" w:leftChars="0" w:firstLine="0" w:firstLineChars="0"/>
              <w:jc w:val="center"/>
              <w:textAlignment w:val="bottom"/>
              <w:rPr>
                <w:rFonts w:hint="default" w:ascii="Times New Roman"/>
                <w:sz w:val="21"/>
                <w:szCs w:val="21"/>
                <w:lang w:val="en-US"/>
              </w:rPr>
            </w:pPr>
            <w:r>
              <w:rPr>
                <w:rFonts w:hint="eastAsia" w:ascii="Times New Roman"/>
                <w:sz w:val="21"/>
                <w:szCs w:val="21"/>
                <w:lang w:val="en-US" w:eastAsia="zh-CN"/>
              </w:rPr>
              <w:t>0.03</w:t>
            </w:r>
          </w:p>
        </w:tc>
        <w:tc>
          <w:tcPr>
            <w:tcW w:w="1087" w:type="dxa"/>
            <w:vMerge w:val="restart"/>
            <w:tcBorders>
              <w:tl2br w:val="nil"/>
              <w:tr2bl w:val="nil"/>
            </w:tcBorders>
            <w:vAlign w:val="center"/>
          </w:tcPr>
          <w:p w14:paraId="097FD39B">
            <w:pPr>
              <w:widowControl w:val="0"/>
              <w:jc w:val="center"/>
              <w:rPr>
                <w:sz w:val="21"/>
                <w:szCs w:val="21"/>
              </w:rPr>
            </w:pPr>
            <w:r>
              <w:rPr>
                <w:sz w:val="21"/>
                <w:szCs w:val="21"/>
              </w:rPr>
              <w:t>《环</w:t>
            </w:r>
          </w:p>
          <w:p w14:paraId="522D436C">
            <w:pPr>
              <w:widowControl w:val="0"/>
              <w:jc w:val="center"/>
            </w:pPr>
            <w:r>
              <w:rPr>
                <w:sz w:val="21"/>
                <w:szCs w:val="21"/>
              </w:rPr>
              <w:t>境空气质量标准》</w:t>
            </w:r>
            <w:r>
              <w:rPr>
                <w:rFonts w:hint="eastAsia"/>
                <w:sz w:val="21"/>
                <w:szCs w:val="21"/>
                <w:lang w:eastAsia="zh-CN"/>
              </w:rPr>
              <w:t>（GB3095</w:t>
            </w:r>
            <w:r>
              <w:rPr>
                <w:rFonts w:hint="eastAsia"/>
                <w:sz w:val="21"/>
                <w:szCs w:val="21"/>
                <w:lang w:val="en-US" w:eastAsia="zh-CN"/>
              </w:rPr>
              <w:t>-</w:t>
            </w:r>
            <w:r>
              <w:rPr>
                <w:rFonts w:hint="eastAsia"/>
                <w:sz w:val="21"/>
                <w:szCs w:val="21"/>
                <w:lang w:eastAsia="zh-CN"/>
              </w:rPr>
              <w:t>2026）</w:t>
            </w:r>
            <w:r>
              <w:rPr>
                <w:sz w:val="21"/>
                <w:szCs w:val="21"/>
              </w:rPr>
              <w:t>二级标准</w:t>
            </w:r>
          </w:p>
        </w:tc>
      </w:tr>
      <w:tr w14:paraId="3D909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22AA53F5">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大桥口</w:t>
            </w:r>
          </w:p>
        </w:tc>
        <w:tc>
          <w:tcPr>
            <w:tcW w:w="1262" w:type="dxa"/>
            <w:tcBorders>
              <w:tl2br w:val="nil"/>
              <w:tr2bl w:val="nil"/>
            </w:tcBorders>
            <w:vAlign w:val="center"/>
          </w:tcPr>
          <w:p w14:paraId="56655678">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124.64199</w:t>
            </w:r>
          </w:p>
        </w:tc>
        <w:tc>
          <w:tcPr>
            <w:tcW w:w="1115" w:type="dxa"/>
            <w:tcBorders>
              <w:tl2br w:val="nil"/>
              <w:tr2bl w:val="nil"/>
            </w:tcBorders>
            <w:vAlign w:val="center"/>
          </w:tcPr>
          <w:p w14:paraId="2A2D7A5A">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48.23580</w:t>
            </w:r>
          </w:p>
        </w:tc>
        <w:tc>
          <w:tcPr>
            <w:tcW w:w="667" w:type="dxa"/>
            <w:vMerge w:val="continue"/>
            <w:tcBorders>
              <w:tl2br w:val="nil"/>
              <w:tr2bl w:val="nil"/>
            </w:tcBorders>
            <w:vAlign w:val="center"/>
          </w:tcPr>
          <w:p w14:paraId="20C6E0BF">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5CC38F86">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2947AEF9">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735BB152">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NE</w:t>
            </w:r>
          </w:p>
        </w:tc>
        <w:tc>
          <w:tcPr>
            <w:tcW w:w="1143" w:type="dxa"/>
            <w:tcBorders>
              <w:tl2br w:val="nil"/>
              <w:tr2bl w:val="nil"/>
            </w:tcBorders>
            <w:vAlign w:val="center"/>
          </w:tcPr>
          <w:p w14:paraId="5E54B30F">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3.43</w:t>
            </w:r>
          </w:p>
        </w:tc>
        <w:tc>
          <w:tcPr>
            <w:tcW w:w="1087" w:type="dxa"/>
            <w:vMerge w:val="continue"/>
            <w:tcBorders>
              <w:tl2br w:val="nil"/>
              <w:tr2bl w:val="nil"/>
            </w:tcBorders>
            <w:vAlign w:val="center"/>
          </w:tcPr>
          <w:p w14:paraId="2711DF78">
            <w:pPr>
              <w:widowControl w:val="0"/>
              <w:jc w:val="center"/>
              <w:rPr>
                <w:sz w:val="21"/>
                <w:szCs w:val="21"/>
              </w:rPr>
            </w:pPr>
          </w:p>
        </w:tc>
      </w:tr>
      <w:tr w14:paraId="56F5B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726244B5">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后屯</w:t>
            </w:r>
          </w:p>
        </w:tc>
        <w:tc>
          <w:tcPr>
            <w:tcW w:w="1262" w:type="dxa"/>
            <w:tcBorders>
              <w:tl2br w:val="nil"/>
              <w:tr2bl w:val="nil"/>
            </w:tcBorders>
            <w:vAlign w:val="center"/>
          </w:tcPr>
          <w:p w14:paraId="0E14410B">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124.61199</w:t>
            </w:r>
          </w:p>
        </w:tc>
        <w:tc>
          <w:tcPr>
            <w:tcW w:w="1115" w:type="dxa"/>
            <w:tcBorders>
              <w:tl2br w:val="nil"/>
              <w:tr2bl w:val="nil"/>
            </w:tcBorders>
            <w:vAlign w:val="center"/>
          </w:tcPr>
          <w:p w14:paraId="709E473E">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48.23009</w:t>
            </w:r>
          </w:p>
        </w:tc>
        <w:tc>
          <w:tcPr>
            <w:tcW w:w="667" w:type="dxa"/>
            <w:vMerge w:val="continue"/>
            <w:tcBorders>
              <w:tl2br w:val="nil"/>
              <w:tr2bl w:val="nil"/>
            </w:tcBorders>
            <w:vAlign w:val="center"/>
          </w:tcPr>
          <w:p w14:paraId="7A899FAC">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76001F1F">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50BB0E05">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02E187A6">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N</w:t>
            </w:r>
          </w:p>
        </w:tc>
        <w:tc>
          <w:tcPr>
            <w:tcW w:w="1143" w:type="dxa"/>
            <w:tcBorders>
              <w:tl2br w:val="nil"/>
              <w:tr2bl w:val="nil"/>
            </w:tcBorders>
            <w:vAlign w:val="center"/>
          </w:tcPr>
          <w:p w14:paraId="0367D771">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1.74</w:t>
            </w:r>
          </w:p>
        </w:tc>
        <w:tc>
          <w:tcPr>
            <w:tcW w:w="1087" w:type="dxa"/>
            <w:vMerge w:val="continue"/>
            <w:tcBorders>
              <w:tl2br w:val="nil"/>
              <w:tr2bl w:val="nil"/>
            </w:tcBorders>
            <w:vAlign w:val="center"/>
          </w:tcPr>
          <w:p w14:paraId="6BE70D09">
            <w:pPr>
              <w:widowControl w:val="0"/>
              <w:jc w:val="center"/>
              <w:rPr>
                <w:sz w:val="21"/>
                <w:szCs w:val="21"/>
              </w:rPr>
            </w:pPr>
          </w:p>
        </w:tc>
      </w:tr>
      <w:tr w14:paraId="7438F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63" w:type="dxa"/>
            <w:tcBorders>
              <w:tl2br w:val="nil"/>
              <w:tr2bl w:val="nil"/>
            </w:tcBorders>
            <w:vAlign w:val="center"/>
          </w:tcPr>
          <w:p w14:paraId="198A2541">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示范场村</w:t>
            </w:r>
          </w:p>
        </w:tc>
        <w:tc>
          <w:tcPr>
            <w:tcW w:w="1262" w:type="dxa"/>
            <w:tcBorders>
              <w:tl2br w:val="nil"/>
              <w:tr2bl w:val="nil"/>
            </w:tcBorders>
            <w:vAlign w:val="center"/>
          </w:tcPr>
          <w:p w14:paraId="0F580035">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124.60700</w:t>
            </w:r>
          </w:p>
        </w:tc>
        <w:tc>
          <w:tcPr>
            <w:tcW w:w="1115" w:type="dxa"/>
            <w:tcBorders>
              <w:tl2br w:val="nil"/>
              <w:tr2bl w:val="nil"/>
            </w:tcBorders>
            <w:vAlign w:val="center"/>
          </w:tcPr>
          <w:p w14:paraId="368FA312">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48.21319</w:t>
            </w:r>
          </w:p>
        </w:tc>
        <w:tc>
          <w:tcPr>
            <w:tcW w:w="667" w:type="dxa"/>
            <w:vMerge w:val="continue"/>
            <w:tcBorders>
              <w:tl2br w:val="nil"/>
              <w:tr2bl w:val="nil"/>
            </w:tcBorders>
            <w:vAlign w:val="center"/>
          </w:tcPr>
          <w:p w14:paraId="73EB620A">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65A037CF">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33E9B030">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55A8706B">
            <w:pPr>
              <w:pStyle w:val="262"/>
              <w:autoSpaceDE w:val="0"/>
              <w:autoSpaceDN w:val="0"/>
              <w:spacing w:line="320" w:lineRule="exact"/>
              <w:ind w:left="0" w:leftChars="0" w:firstLine="0" w:firstLineChars="0"/>
              <w:jc w:val="center"/>
              <w:textAlignment w:val="bottom"/>
              <w:rPr>
                <w:rFonts w:hint="eastAsia" w:ascii="Times New Roman"/>
                <w:sz w:val="21"/>
                <w:szCs w:val="21"/>
              </w:rPr>
            </w:pPr>
            <w:r>
              <w:rPr>
                <w:rFonts w:hint="eastAsia" w:ascii="Times New Roman"/>
                <w:sz w:val="21"/>
                <w:szCs w:val="21"/>
                <w:lang w:val="en-US" w:eastAsia="zh-CN"/>
              </w:rPr>
              <w:t>SW</w:t>
            </w:r>
          </w:p>
        </w:tc>
        <w:tc>
          <w:tcPr>
            <w:tcW w:w="1143" w:type="dxa"/>
            <w:tcBorders>
              <w:tl2br w:val="nil"/>
              <w:tr2bl w:val="nil"/>
            </w:tcBorders>
            <w:vAlign w:val="center"/>
          </w:tcPr>
          <w:p w14:paraId="544901AF">
            <w:pPr>
              <w:pStyle w:val="262"/>
              <w:autoSpaceDE w:val="0"/>
              <w:autoSpaceDN w:val="0"/>
              <w:spacing w:line="320" w:lineRule="exact"/>
              <w:ind w:left="0" w:leftChars="0" w:firstLine="0" w:firstLineChars="0"/>
              <w:jc w:val="center"/>
              <w:textAlignment w:val="bottom"/>
              <w:rPr>
                <w:rFonts w:hint="default" w:ascii="Times New Roman"/>
                <w:sz w:val="21"/>
                <w:szCs w:val="21"/>
                <w:lang w:val="en-US"/>
              </w:rPr>
            </w:pPr>
            <w:r>
              <w:rPr>
                <w:rFonts w:hint="eastAsia" w:ascii="Times New Roman"/>
                <w:sz w:val="21"/>
                <w:szCs w:val="21"/>
                <w:lang w:val="en-US" w:eastAsia="zh-CN"/>
              </w:rPr>
              <w:t>0.18</w:t>
            </w:r>
          </w:p>
        </w:tc>
        <w:tc>
          <w:tcPr>
            <w:tcW w:w="1087" w:type="dxa"/>
            <w:vMerge w:val="continue"/>
            <w:tcBorders>
              <w:tl2br w:val="nil"/>
              <w:tr2bl w:val="nil"/>
            </w:tcBorders>
            <w:vAlign w:val="center"/>
          </w:tcPr>
          <w:p w14:paraId="5B5A7836">
            <w:pPr>
              <w:widowControl w:val="0"/>
              <w:jc w:val="center"/>
              <w:rPr>
                <w:sz w:val="21"/>
                <w:szCs w:val="21"/>
              </w:rPr>
            </w:pPr>
          </w:p>
        </w:tc>
      </w:tr>
      <w:tr w14:paraId="63AC3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1063" w:type="dxa"/>
            <w:tcBorders>
              <w:tl2br w:val="nil"/>
              <w:tr2bl w:val="nil"/>
            </w:tcBorders>
            <w:vAlign w:val="center"/>
          </w:tcPr>
          <w:p w14:paraId="507D2126">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永富村</w:t>
            </w:r>
          </w:p>
        </w:tc>
        <w:tc>
          <w:tcPr>
            <w:tcW w:w="1262" w:type="dxa"/>
            <w:tcBorders>
              <w:tl2br w:val="nil"/>
              <w:tr2bl w:val="nil"/>
            </w:tcBorders>
            <w:vAlign w:val="center"/>
          </w:tcPr>
          <w:p w14:paraId="1CE6E09D">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124.59600</w:t>
            </w:r>
          </w:p>
        </w:tc>
        <w:tc>
          <w:tcPr>
            <w:tcW w:w="1115" w:type="dxa"/>
            <w:tcBorders>
              <w:tl2br w:val="nil"/>
              <w:tr2bl w:val="nil"/>
            </w:tcBorders>
            <w:vAlign w:val="center"/>
          </w:tcPr>
          <w:p w14:paraId="633B2DB3">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48.19319</w:t>
            </w:r>
          </w:p>
        </w:tc>
        <w:tc>
          <w:tcPr>
            <w:tcW w:w="667" w:type="dxa"/>
            <w:vMerge w:val="continue"/>
            <w:tcBorders>
              <w:tl2br w:val="nil"/>
              <w:tr2bl w:val="nil"/>
            </w:tcBorders>
            <w:vAlign w:val="center"/>
          </w:tcPr>
          <w:p w14:paraId="75D339F1">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79" w:type="dxa"/>
            <w:vMerge w:val="continue"/>
            <w:tcBorders>
              <w:tl2br w:val="nil"/>
              <w:tr2bl w:val="nil"/>
            </w:tcBorders>
            <w:vAlign w:val="center"/>
          </w:tcPr>
          <w:p w14:paraId="176B07DA">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712" w:type="dxa"/>
            <w:vMerge w:val="continue"/>
            <w:tcBorders>
              <w:tl2br w:val="nil"/>
              <w:tr2bl w:val="nil"/>
            </w:tcBorders>
            <w:vAlign w:val="center"/>
          </w:tcPr>
          <w:p w14:paraId="4BA33A13">
            <w:pPr>
              <w:pStyle w:val="262"/>
              <w:autoSpaceDE w:val="0"/>
              <w:autoSpaceDN w:val="0"/>
              <w:spacing w:line="320" w:lineRule="exact"/>
              <w:ind w:left="0" w:leftChars="0" w:firstLine="0" w:firstLineChars="0"/>
              <w:jc w:val="center"/>
              <w:textAlignment w:val="bottom"/>
              <w:rPr>
                <w:rFonts w:ascii="Times New Roman"/>
                <w:sz w:val="21"/>
                <w:szCs w:val="21"/>
              </w:rPr>
            </w:pPr>
          </w:p>
        </w:tc>
        <w:tc>
          <w:tcPr>
            <w:tcW w:w="965" w:type="dxa"/>
            <w:tcBorders>
              <w:tl2br w:val="nil"/>
              <w:tr2bl w:val="nil"/>
            </w:tcBorders>
            <w:vAlign w:val="center"/>
          </w:tcPr>
          <w:p w14:paraId="0B936496">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SSW</w:t>
            </w:r>
          </w:p>
        </w:tc>
        <w:tc>
          <w:tcPr>
            <w:tcW w:w="1143" w:type="dxa"/>
            <w:tcBorders>
              <w:tl2br w:val="nil"/>
              <w:tr2bl w:val="nil"/>
            </w:tcBorders>
            <w:vAlign w:val="center"/>
          </w:tcPr>
          <w:p w14:paraId="365C0CB1">
            <w:pPr>
              <w:pStyle w:val="262"/>
              <w:autoSpaceDE w:val="0"/>
              <w:autoSpaceDN w:val="0"/>
              <w:spacing w:line="320" w:lineRule="exact"/>
              <w:ind w:left="0" w:leftChars="0" w:firstLine="0" w:firstLineChars="0"/>
              <w:jc w:val="center"/>
              <w:textAlignment w:val="bottom"/>
              <w:rPr>
                <w:rFonts w:ascii="Times New Roman"/>
                <w:sz w:val="21"/>
                <w:szCs w:val="21"/>
              </w:rPr>
            </w:pPr>
            <w:r>
              <w:rPr>
                <w:rFonts w:hint="eastAsia" w:ascii="Times New Roman"/>
                <w:sz w:val="21"/>
                <w:szCs w:val="21"/>
                <w:lang w:val="en-US" w:eastAsia="zh-CN"/>
              </w:rPr>
              <w:t>2.55</w:t>
            </w:r>
          </w:p>
        </w:tc>
        <w:tc>
          <w:tcPr>
            <w:tcW w:w="1087" w:type="dxa"/>
            <w:vMerge w:val="continue"/>
            <w:tcBorders>
              <w:tl2br w:val="nil"/>
              <w:tr2bl w:val="nil"/>
            </w:tcBorders>
            <w:vAlign w:val="center"/>
          </w:tcPr>
          <w:p w14:paraId="0C64D2C5">
            <w:pPr>
              <w:widowControl w:val="0"/>
              <w:jc w:val="center"/>
              <w:rPr>
                <w:sz w:val="21"/>
                <w:szCs w:val="21"/>
              </w:rPr>
            </w:pPr>
          </w:p>
        </w:tc>
      </w:tr>
    </w:tbl>
    <w:p w14:paraId="4213A7CE">
      <w:pPr>
        <w:pStyle w:val="42"/>
        <w:ind w:left="0"/>
        <w:jc w:val="center"/>
        <w:rPr>
          <w:b/>
          <w:bCs/>
          <w:szCs w:val="22"/>
        </w:rPr>
      </w:pPr>
    </w:p>
    <w:p w14:paraId="22B240EA">
      <w:pPr>
        <w:pStyle w:val="42"/>
        <w:ind w:left="0"/>
        <w:jc w:val="center"/>
        <w:rPr>
          <w:b/>
          <w:bCs/>
          <w:color w:val="auto"/>
          <w:szCs w:val="22"/>
        </w:rPr>
      </w:pPr>
    </w:p>
    <w:p w14:paraId="18CA2965">
      <w:pPr>
        <w:pStyle w:val="42"/>
        <w:ind w:left="0"/>
        <w:jc w:val="center"/>
        <w:rPr>
          <w:b/>
          <w:bCs/>
          <w:color w:val="auto"/>
          <w:szCs w:val="22"/>
        </w:rPr>
      </w:pPr>
    </w:p>
    <w:p w14:paraId="6C47D9F9">
      <w:pPr>
        <w:pStyle w:val="42"/>
        <w:ind w:left="0"/>
        <w:jc w:val="center"/>
        <w:rPr>
          <w:b/>
          <w:bCs/>
          <w:color w:val="auto"/>
          <w:szCs w:val="22"/>
        </w:rPr>
      </w:pPr>
    </w:p>
    <w:p w14:paraId="6E17F71D">
      <w:pPr>
        <w:pStyle w:val="42"/>
        <w:ind w:left="0"/>
        <w:jc w:val="center"/>
        <w:rPr>
          <w:b/>
          <w:bCs/>
          <w:color w:val="auto"/>
          <w:szCs w:val="22"/>
        </w:rPr>
      </w:pPr>
    </w:p>
    <w:p w14:paraId="54670589">
      <w:pPr>
        <w:pStyle w:val="42"/>
        <w:ind w:left="0"/>
        <w:jc w:val="center"/>
        <w:rPr>
          <w:b/>
          <w:bCs/>
          <w:color w:val="auto"/>
          <w:szCs w:val="22"/>
        </w:rPr>
      </w:pPr>
    </w:p>
    <w:p w14:paraId="61818E59">
      <w:pPr>
        <w:pStyle w:val="42"/>
        <w:ind w:left="0"/>
        <w:jc w:val="center"/>
        <w:rPr>
          <w:b/>
          <w:bCs/>
          <w:color w:val="auto"/>
        </w:rPr>
      </w:pPr>
      <w:r>
        <w:rPr>
          <w:b/>
          <w:bCs/>
          <w:color w:val="auto"/>
          <w:szCs w:val="22"/>
        </w:rPr>
        <w:t>表</w:t>
      </w:r>
      <w:r>
        <w:rPr>
          <w:rFonts w:hint="eastAsia"/>
          <w:b/>
          <w:bCs/>
          <w:color w:val="auto"/>
          <w:szCs w:val="22"/>
          <w:lang w:val="en-US" w:eastAsia="zh-CN"/>
        </w:rPr>
        <w:t>4.2-3</w:t>
      </w:r>
      <w:r>
        <w:rPr>
          <w:b/>
          <w:bCs/>
          <w:color w:val="auto"/>
          <w:szCs w:val="22"/>
        </w:rPr>
        <w:t xml:space="preserve">  环境敏感目标一览表</w:t>
      </w:r>
    </w:p>
    <w:tbl>
      <w:tblPr>
        <w:tblStyle w:val="53"/>
        <w:tblW w:w="49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1965"/>
        <w:gridCol w:w="708"/>
        <w:gridCol w:w="789"/>
        <w:gridCol w:w="1198"/>
        <w:gridCol w:w="3312"/>
      </w:tblGrid>
      <w:tr w14:paraId="690AA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480" w:type="pct"/>
            <w:tcBorders>
              <w:tl2br w:val="nil"/>
              <w:tr2bl w:val="nil"/>
            </w:tcBorders>
            <w:vAlign w:val="center"/>
          </w:tcPr>
          <w:p w14:paraId="7E352D71">
            <w:pPr>
              <w:jc w:val="center"/>
              <w:rPr>
                <w:b/>
                <w:bCs/>
                <w:color w:val="auto"/>
                <w:sz w:val="21"/>
                <w:szCs w:val="21"/>
              </w:rPr>
            </w:pPr>
            <w:r>
              <w:rPr>
                <w:b/>
                <w:bCs/>
                <w:color w:val="auto"/>
                <w:sz w:val="21"/>
                <w:szCs w:val="21"/>
              </w:rPr>
              <w:t>环境要素</w:t>
            </w:r>
          </w:p>
        </w:tc>
        <w:tc>
          <w:tcPr>
            <w:tcW w:w="1113" w:type="pct"/>
            <w:tcBorders>
              <w:tl2br w:val="nil"/>
              <w:tr2bl w:val="nil"/>
            </w:tcBorders>
            <w:vAlign w:val="center"/>
          </w:tcPr>
          <w:p w14:paraId="4AA9F01D">
            <w:pPr>
              <w:jc w:val="center"/>
              <w:rPr>
                <w:b/>
                <w:bCs/>
                <w:color w:val="auto"/>
                <w:sz w:val="21"/>
                <w:szCs w:val="21"/>
              </w:rPr>
            </w:pPr>
            <w:r>
              <w:rPr>
                <w:b/>
                <w:bCs/>
                <w:color w:val="auto"/>
                <w:sz w:val="21"/>
                <w:szCs w:val="21"/>
              </w:rPr>
              <w:t>保护对象</w:t>
            </w:r>
          </w:p>
        </w:tc>
        <w:tc>
          <w:tcPr>
            <w:tcW w:w="401" w:type="pct"/>
            <w:tcBorders>
              <w:tl2br w:val="nil"/>
              <w:tr2bl w:val="nil"/>
            </w:tcBorders>
            <w:vAlign w:val="center"/>
          </w:tcPr>
          <w:p w14:paraId="53A7E5C7">
            <w:pPr>
              <w:jc w:val="center"/>
              <w:rPr>
                <w:b/>
                <w:bCs/>
                <w:color w:val="auto"/>
                <w:sz w:val="21"/>
                <w:szCs w:val="21"/>
              </w:rPr>
            </w:pPr>
            <w:r>
              <w:rPr>
                <w:b/>
                <w:bCs/>
                <w:color w:val="auto"/>
                <w:sz w:val="21"/>
                <w:szCs w:val="21"/>
              </w:rPr>
              <w:t>方位</w:t>
            </w:r>
          </w:p>
        </w:tc>
        <w:tc>
          <w:tcPr>
            <w:tcW w:w="447" w:type="pct"/>
            <w:tcBorders>
              <w:tl2br w:val="nil"/>
              <w:tr2bl w:val="nil"/>
            </w:tcBorders>
            <w:vAlign w:val="center"/>
          </w:tcPr>
          <w:p w14:paraId="0C2CDDE1">
            <w:pPr>
              <w:jc w:val="center"/>
              <w:rPr>
                <w:b/>
                <w:bCs/>
                <w:color w:val="auto"/>
                <w:sz w:val="21"/>
                <w:szCs w:val="21"/>
              </w:rPr>
            </w:pPr>
            <w:r>
              <w:rPr>
                <w:b/>
                <w:bCs/>
                <w:color w:val="auto"/>
                <w:sz w:val="21"/>
                <w:szCs w:val="21"/>
              </w:rPr>
              <w:t>距离（m）</w:t>
            </w:r>
          </w:p>
        </w:tc>
        <w:tc>
          <w:tcPr>
            <w:tcW w:w="679" w:type="pct"/>
            <w:tcBorders>
              <w:tl2br w:val="nil"/>
              <w:tr2bl w:val="nil"/>
            </w:tcBorders>
            <w:vAlign w:val="center"/>
          </w:tcPr>
          <w:p w14:paraId="611F339F">
            <w:pPr>
              <w:jc w:val="center"/>
              <w:rPr>
                <w:b/>
                <w:bCs/>
                <w:color w:val="auto"/>
                <w:sz w:val="21"/>
                <w:szCs w:val="21"/>
              </w:rPr>
            </w:pPr>
            <w:r>
              <w:rPr>
                <w:b/>
                <w:bCs/>
                <w:color w:val="auto"/>
                <w:sz w:val="21"/>
                <w:szCs w:val="21"/>
              </w:rPr>
              <w:t>受影响人数（人）</w:t>
            </w:r>
          </w:p>
        </w:tc>
        <w:tc>
          <w:tcPr>
            <w:tcW w:w="1877" w:type="pct"/>
            <w:tcBorders>
              <w:tl2br w:val="nil"/>
              <w:tr2bl w:val="nil"/>
            </w:tcBorders>
            <w:vAlign w:val="center"/>
          </w:tcPr>
          <w:p w14:paraId="5F2FD63B">
            <w:pPr>
              <w:jc w:val="center"/>
              <w:rPr>
                <w:b/>
                <w:bCs/>
                <w:color w:val="auto"/>
                <w:sz w:val="21"/>
                <w:szCs w:val="21"/>
              </w:rPr>
            </w:pPr>
            <w:r>
              <w:rPr>
                <w:b/>
                <w:bCs/>
                <w:color w:val="auto"/>
                <w:sz w:val="21"/>
                <w:szCs w:val="21"/>
              </w:rPr>
              <w:t>执行标准</w:t>
            </w:r>
          </w:p>
        </w:tc>
      </w:tr>
      <w:tr w14:paraId="3802B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480" w:type="pct"/>
            <w:vMerge w:val="restart"/>
            <w:tcBorders>
              <w:tl2br w:val="nil"/>
              <w:tr2bl w:val="nil"/>
            </w:tcBorders>
            <w:vAlign w:val="center"/>
          </w:tcPr>
          <w:p w14:paraId="1789BF66">
            <w:pPr>
              <w:jc w:val="center"/>
              <w:rPr>
                <w:b/>
                <w:bCs/>
                <w:color w:val="auto"/>
                <w:sz w:val="21"/>
                <w:szCs w:val="21"/>
              </w:rPr>
            </w:pPr>
            <w:r>
              <w:rPr>
                <w:color w:val="auto"/>
                <w:sz w:val="21"/>
                <w:szCs w:val="21"/>
              </w:rPr>
              <w:t>声环境</w:t>
            </w:r>
          </w:p>
        </w:tc>
        <w:tc>
          <w:tcPr>
            <w:tcW w:w="1113" w:type="pct"/>
            <w:tcBorders>
              <w:tl2br w:val="nil"/>
              <w:tr2bl w:val="nil"/>
            </w:tcBorders>
            <w:vAlign w:val="center"/>
          </w:tcPr>
          <w:p w14:paraId="3AE216C1">
            <w:pPr>
              <w:pStyle w:val="262"/>
              <w:autoSpaceDE w:val="0"/>
              <w:autoSpaceDN w:val="0"/>
              <w:spacing w:line="320" w:lineRule="exact"/>
              <w:ind w:left="0" w:leftChars="0" w:firstLine="0" w:firstLineChars="0"/>
              <w:jc w:val="center"/>
              <w:textAlignment w:val="bottom"/>
              <w:rPr>
                <w:rFonts w:hint="eastAsia" w:eastAsia="宋体"/>
                <w:color w:val="auto"/>
                <w:sz w:val="21"/>
                <w:szCs w:val="21"/>
                <w:lang w:eastAsia="zh-CN"/>
              </w:rPr>
            </w:pPr>
            <w:r>
              <w:rPr>
                <w:rFonts w:hint="eastAsia" w:ascii="Times New Roman"/>
                <w:color w:val="auto"/>
                <w:sz w:val="21"/>
                <w:szCs w:val="21"/>
                <w:lang w:eastAsia="zh-CN"/>
              </w:rPr>
              <w:t>前屯</w:t>
            </w:r>
          </w:p>
        </w:tc>
        <w:tc>
          <w:tcPr>
            <w:tcW w:w="401" w:type="pct"/>
            <w:tcBorders>
              <w:tl2br w:val="nil"/>
              <w:tr2bl w:val="nil"/>
            </w:tcBorders>
            <w:vAlign w:val="center"/>
          </w:tcPr>
          <w:p w14:paraId="35B447F3">
            <w:pPr>
              <w:pStyle w:val="262"/>
              <w:autoSpaceDE w:val="0"/>
              <w:autoSpaceDN w:val="0"/>
              <w:spacing w:line="320" w:lineRule="exact"/>
              <w:ind w:left="0" w:leftChars="0" w:firstLine="0" w:firstLineChars="0"/>
              <w:jc w:val="center"/>
              <w:textAlignment w:val="bottom"/>
              <w:rPr>
                <w:color w:val="auto"/>
                <w:sz w:val="21"/>
                <w:szCs w:val="21"/>
              </w:rPr>
            </w:pPr>
            <w:r>
              <w:rPr>
                <w:rFonts w:hint="default" w:ascii="Times New Roman"/>
                <w:color w:val="auto"/>
                <w:sz w:val="21"/>
                <w:szCs w:val="21"/>
              </w:rPr>
              <w:t>NE</w:t>
            </w:r>
          </w:p>
        </w:tc>
        <w:tc>
          <w:tcPr>
            <w:tcW w:w="447" w:type="pct"/>
            <w:tcBorders>
              <w:tl2br w:val="nil"/>
              <w:tr2bl w:val="nil"/>
            </w:tcBorders>
            <w:vAlign w:val="center"/>
          </w:tcPr>
          <w:p w14:paraId="4878F1BF">
            <w:pPr>
              <w:pStyle w:val="262"/>
              <w:autoSpaceDE w:val="0"/>
              <w:autoSpaceDN w:val="0"/>
              <w:spacing w:line="320" w:lineRule="exact"/>
              <w:ind w:left="0" w:leftChars="0" w:firstLine="0" w:firstLineChars="0"/>
              <w:jc w:val="center"/>
              <w:textAlignment w:val="bottom"/>
              <w:rPr>
                <w:color w:val="auto"/>
                <w:sz w:val="21"/>
                <w:szCs w:val="21"/>
              </w:rPr>
            </w:pPr>
            <w:r>
              <w:rPr>
                <w:rFonts w:hint="eastAsia" w:ascii="Times New Roman"/>
                <w:color w:val="auto"/>
                <w:sz w:val="21"/>
                <w:szCs w:val="21"/>
                <w:lang w:val="en-US" w:eastAsia="zh-CN"/>
              </w:rPr>
              <w:t>3</w:t>
            </w:r>
            <w:r>
              <w:rPr>
                <w:rFonts w:ascii="Times New Roman"/>
                <w:color w:val="auto"/>
                <w:sz w:val="21"/>
                <w:szCs w:val="21"/>
              </w:rPr>
              <w:t>0</w:t>
            </w:r>
          </w:p>
        </w:tc>
        <w:tc>
          <w:tcPr>
            <w:tcW w:w="679" w:type="pct"/>
            <w:tcBorders>
              <w:tl2br w:val="nil"/>
              <w:tr2bl w:val="nil"/>
            </w:tcBorders>
            <w:vAlign w:val="center"/>
          </w:tcPr>
          <w:p w14:paraId="09DC37A2">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500</w:t>
            </w:r>
          </w:p>
        </w:tc>
        <w:tc>
          <w:tcPr>
            <w:tcW w:w="1877" w:type="pct"/>
            <w:vMerge w:val="restart"/>
            <w:tcBorders>
              <w:tl2br w:val="nil"/>
              <w:tr2bl w:val="nil"/>
            </w:tcBorders>
            <w:vAlign w:val="center"/>
          </w:tcPr>
          <w:p w14:paraId="71A80C58">
            <w:pPr>
              <w:jc w:val="center"/>
              <w:rPr>
                <w:b/>
                <w:bCs/>
                <w:color w:val="auto"/>
                <w:sz w:val="21"/>
                <w:szCs w:val="21"/>
              </w:rPr>
            </w:pPr>
            <w:r>
              <w:rPr>
                <w:color w:val="auto"/>
                <w:sz w:val="21"/>
                <w:szCs w:val="21"/>
              </w:rPr>
              <w:t>《声环境质量标准》(GB3096-2008)</w:t>
            </w:r>
            <w:r>
              <w:rPr>
                <w:rFonts w:hint="eastAsia"/>
                <w:color w:val="auto"/>
                <w:sz w:val="21"/>
                <w:szCs w:val="21"/>
                <w:lang w:val="en-US" w:eastAsia="zh-CN"/>
              </w:rPr>
              <w:t>2</w:t>
            </w:r>
            <w:r>
              <w:rPr>
                <w:rFonts w:hint="eastAsia"/>
                <w:color w:val="auto"/>
                <w:sz w:val="21"/>
                <w:szCs w:val="21"/>
                <w:lang w:eastAsia="zh-CN"/>
              </w:rPr>
              <w:t>类</w:t>
            </w:r>
            <w:r>
              <w:rPr>
                <w:color w:val="auto"/>
                <w:sz w:val="21"/>
                <w:szCs w:val="21"/>
              </w:rPr>
              <w:t>区标准</w:t>
            </w:r>
          </w:p>
        </w:tc>
      </w:tr>
      <w:tr w14:paraId="5DE32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480" w:type="pct"/>
            <w:vMerge w:val="continue"/>
            <w:tcBorders>
              <w:tl2br w:val="nil"/>
              <w:tr2bl w:val="nil"/>
            </w:tcBorders>
            <w:vAlign w:val="center"/>
          </w:tcPr>
          <w:p w14:paraId="50FB0D1C">
            <w:pPr>
              <w:jc w:val="center"/>
              <w:rPr>
                <w:color w:val="auto"/>
                <w:sz w:val="21"/>
                <w:szCs w:val="21"/>
              </w:rPr>
            </w:pPr>
          </w:p>
        </w:tc>
        <w:tc>
          <w:tcPr>
            <w:tcW w:w="1113" w:type="pct"/>
            <w:tcBorders>
              <w:tl2br w:val="nil"/>
              <w:tr2bl w:val="nil"/>
            </w:tcBorders>
            <w:vAlign w:val="center"/>
          </w:tcPr>
          <w:p w14:paraId="2D32D2E5">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示范场村</w:t>
            </w:r>
          </w:p>
        </w:tc>
        <w:tc>
          <w:tcPr>
            <w:tcW w:w="401" w:type="pct"/>
            <w:tcBorders>
              <w:tl2br w:val="nil"/>
              <w:tr2bl w:val="nil"/>
            </w:tcBorders>
            <w:vAlign w:val="center"/>
          </w:tcPr>
          <w:p w14:paraId="62BF6D13">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S</w:t>
            </w:r>
          </w:p>
        </w:tc>
        <w:tc>
          <w:tcPr>
            <w:tcW w:w="447" w:type="pct"/>
            <w:tcBorders>
              <w:tl2br w:val="nil"/>
              <w:tr2bl w:val="nil"/>
            </w:tcBorders>
            <w:vAlign w:val="center"/>
          </w:tcPr>
          <w:p w14:paraId="07FBDA87">
            <w:pPr>
              <w:pStyle w:val="262"/>
              <w:autoSpaceDE w:val="0"/>
              <w:autoSpaceDN w:val="0"/>
              <w:spacing w:line="320" w:lineRule="exact"/>
              <w:ind w:left="0" w:leftChars="0" w:firstLine="0" w:firstLineChars="0"/>
              <w:jc w:val="center"/>
              <w:textAlignment w:val="bottom"/>
              <w:rPr>
                <w:color w:val="auto"/>
                <w:sz w:val="21"/>
                <w:szCs w:val="21"/>
              </w:rPr>
            </w:pPr>
            <w:r>
              <w:rPr>
                <w:rFonts w:hint="eastAsia" w:ascii="Times New Roman"/>
                <w:color w:val="auto"/>
                <w:sz w:val="21"/>
                <w:szCs w:val="21"/>
                <w:lang w:val="en-US" w:eastAsia="zh-CN"/>
              </w:rPr>
              <w:t>5</w:t>
            </w:r>
            <w:r>
              <w:rPr>
                <w:rFonts w:ascii="Times New Roman"/>
                <w:color w:val="auto"/>
                <w:sz w:val="21"/>
                <w:szCs w:val="21"/>
              </w:rPr>
              <w:t>0</w:t>
            </w:r>
          </w:p>
        </w:tc>
        <w:tc>
          <w:tcPr>
            <w:tcW w:w="679" w:type="pct"/>
            <w:tcBorders>
              <w:tl2br w:val="nil"/>
              <w:tr2bl w:val="nil"/>
            </w:tcBorders>
            <w:vAlign w:val="center"/>
          </w:tcPr>
          <w:p w14:paraId="72DE85E9">
            <w:pPr>
              <w:pStyle w:val="262"/>
              <w:autoSpaceDE w:val="0"/>
              <w:autoSpaceDN w:val="0"/>
              <w:spacing w:line="320" w:lineRule="exact"/>
              <w:ind w:left="0" w:leftChars="0" w:firstLine="0" w:firstLineChars="0"/>
              <w:jc w:val="center"/>
              <w:textAlignment w:val="bottom"/>
              <w:rPr>
                <w:color w:val="auto"/>
                <w:sz w:val="21"/>
                <w:szCs w:val="21"/>
              </w:rPr>
            </w:pPr>
            <w:r>
              <w:rPr>
                <w:rFonts w:ascii="Times New Roman"/>
                <w:color w:val="auto"/>
                <w:sz w:val="21"/>
                <w:szCs w:val="21"/>
              </w:rPr>
              <w:t>100</w:t>
            </w:r>
          </w:p>
        </w:tc>
        <w:tc>
          <w:tcPr>
            <w:tcW w:w="1877" w:type="pct"/>
            <w:vMerge w:val="continue"/>
            <w:tcBorders>
              <w:tl2br w:val="nil"/>
              <w:tr2bl w:val="nil"/>
            </w:tcBorders>
            <w:vAlign w:val="center"/>
          </w:tcPr>
          <w:p w14:paraId="5CF00799">
            <w:pPr>
              <w:jc w:val="center"/>
              <w:rPr>
                <w:color w:val="auto"/>
                <w:sz w:val="21"/>
                <w:szCs w:val="21"/>
              </w:rPr>
            </w:pPr>
          </w:p>
        </w:tc>
      </w:tr>
      <w:tr w14:paraId="78300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8" w:hRule="atLeast"/>
          <w:jc w:val="center"/>
        </w:trPr>
        <w:tc>
          <w:tcPr>
            <w:tcW w:w="480" w:type="pct"/>
            <w:tcBorders>
              <w:tl2br w:val="nil"/>
              <w:tr2bl w:val="nil"/>
            </w:tcBorders>
            <w:vAlign w:val="center"/>
          </w:tcPr>
          <w:p w14:paraId="21B42BED">
            <w:pPr>
              <w:jc w:val="center"/>
              <w:rPr>
                <w:color w:val="auto"/>
                <w:sz w:val="21"/>
                <w:szCs w:val="21"/>
              </w:rPr>
            </w:pPr>
            <w:r>
              <w:rPr>
                <w:color w:val="auto"/>
                <w:sz w:val="21"/>
                <w:szCs w:val="21"/>
              </w:rPr>
              <w:t>地表水</w:t>
            </w:r>
          </w:p>
        </w:tc>
        <w:tc>
          <w:tcPr>
            <w:tcW w:w="1113" w:type="pct"/>
            <w:tcBorders>
              <w:tl2br w:val="nil"/>
              <w:tr2bl w:val="nil"/>
            </w:tcBorders>
            <w:vAlign w:val="center"/>
          </w:tcPr>
          <w:p w14:paraId="5C8C6959">
            <w:pPr>
              <w:tabs>
                <w:tab w:val="left" w:leader="middleDot" w:pos="0"/>
              </w:tabs>
              <w:jc w:val="center"/>
              <w:rPr>
                <w:rFonts w:hint="eastAsia" w:eastAsia="宋体"/>
                <w:color w:val="auto"/>
                <w:sz w:val="21"/>
                <w:szCs w:val="21"/>
                <w:lang w:eastAsia="zh-CN"/>
              </w:rPr>
            </w:pPr>
            <w:r>
              <w:rPr>
                <w:rFonts w:hint="eastAsia"/>
                <w:color w:val="auto"/>
                <w:sz w:val="21"/>
                <w:szCs w:val="21"/>
                <w:lang w:val="en-US" w:eastAsia="zh-CN"/>
              </w:rPr>
              <w:t>嫩江</w:t>
            </w:r>
          </w:p>
        </w:tc>
        <w:tc>
          <w:tcPr>
            <w:tcW w:w="401" w:type="pct"/>
            <w:tcBorders>
              <w:tl2br w:val="nil"/>
              <w:tr2bl w:val="nil"/>
            </w:tcBorders>
            <w:vAlign w:val="center"/>
          </w:tcPr>
          <w:p w14:paraId="7E1AEC95">
            <w:pPr>
              <w:tabs>
                <w:tab w:val="left" w:leader="middleDot" w:pos="0"/>
              </w:tabs>
              <w:jc w:val="center"/>
              <w:rPr>
                <w:rFonts w:hint="eastAsia" w:eastAsia="宋体"/>
                <w:color w:val="auto"/>
                <w:sz w:val="21"/>
                <w:szCs w:val="21"/>
                <w:lang w:eastAsia="zh-CN"/>
              </w:rPr>
            </w:pPr>
            <w:r>
              <w:rPr>
                <w:rFonts w:hint="eastAsia"/>
                <w:color w:val="auto"/>
                <w:sz w:val="21"/>
                <w:szCs w:val="21"/>
                <w:lang w:val="en-US" w:eastAsia="zh-CN"/>
              </w:rPr>
              <w:t>W</w:t>
            </w:r>
          </w:p>
        </w:tc>
        <w:tc>
          <w:tcPr>
            <w:tcW w:w="447" w:type="pct"/>
            <w:tcBorders>
              <w:tl2br w:val="nil"/>
              <w:tr2bl w:val="nil"/>
            </w:tcBorders>
            <w:vAlign w:val="center"/>
          </w:tcPr>
          <w:p w14:paraId="2B851C39">
            <w:pPr>
              <w:tabs>
                <w:tab w:val="left" w:leader="middleDot" w:pos="0"/>
              </w:tabs>
              <w:jc w:val="center"/>
              <w:rPr>
                <w:rFonts w:hint="default" w:eastAsia="宋体"/>
                <w:color w:val="auto"/>
                <w:sz w:val="21"/>
                <w:szCs w:val="21"/>
                <w:lang w:val="en-US" w:eastAsia="zh-CN"/>
              </w:rPr>
            </w:pPr>
            <w:r>
              <w:rPr>
                <w:rFonts w:hint="eastAsia"/>
                <w:color w:val="auto"/>
                <w:sz w:val="21"/>
                <w:szCs w:val="21"/>
                <w:lang w:val="en-US" w:eastAsia="zh-CN"/>
              </w:rPr>
              <w:t>3000</w:t>
            </w:r>
          </w:p>
        </w:tc>
        <w:tc>
          <w:tcPr>
            <w:tcW w:w="679" w:type="pct"/>
            <w:tcBorders>
              <w:tl2br w:val="nil"/>
              <w:tr2bl w:val="nil"/>
            </w:tcBorders>
            <w:vAlign w:val="center"/>
          </w:tcPr>
          <w:p w14:paraId="70B7812E">
            <w:pPr>
              <w:tabs>
                <w:tab w:val="left" w:leader="middleDot" w:pos="0"/>
              </w:tabs>
              <w:jc w:val="center"/>
              <w:rPr>
                <w:color w:val="auto"/>
                <w:sz w:val="21"/>
                <w:szCs w:val="21"/>
              </w:rPr>
            </w:pPr>
            <w:r>
              <w:rPr>
                <w:color w:val="auto"/>
                <w:sz w:val="21"/>
                <w:szCs w:val="21"/>
              </w:rPr>
              <w:t>/</w:t>
            </w:r>
          </w:p>
        </w:tc>
        <w:tc>
          <w:tcPr>
            <w:tcW w:w="1877" w:type="pct"/>
            <w:tcBorders>
              <w:tl2br w:val="nil"/>
              <w:tr2bl w:val="nil"/>
            </w:tcBorders>
            <w:vAlign w:val="center"/>
          </w:tcPr>
          <w:p w14:paraId="590DD189">
            <w:pPr>
              <w:jc w:val="center"/>
              <w:rPr>
                <w:color w:val="auto"/>
                <w:sz w:val="21"/>
                <w:szCs w:val="21"/>
              </w:rPr>
            </w:pPr>
            <w:r>
              <w:rPr>
                <w:color w:val="auto"/>
                <w:sz w:val="21"/>
                <w:szCs w:val="21"/>
              </w:rPr>
              <w:t>《地表水环境质量标准》（GB3838-2002）</w:t>
            </w:r>
            <w:r>
              <w:rPr>
                <w:rFonts w:hint="eastAsia"/>
                <w:color w:val="auto"/>
                <w:spacing w:val="-38"/>
                <w:sz w:val="21"/>
                <w:szCs w:val="21"/>
              </w:rPr>
              <w:t xml:space="preserve"> </w:t>
            </w:r>
            <w:r>
              <w:rPr>
                <w:rFonts w:hint="eastAsia"/>
                <w:color w:val="auto"/>
                <w:sz w:val="21"/>
                <w:szCs w:val="21"/>
              </w:rPr>
              <w:t>III</w:t>
            </w:r>
            <w:r>
              <w:rPr>
                <w:color w:val="auto"/>
                <w:sz w:val="21"/>
                <w:szCs w:val="21"/>
              </w:rPr>
              <w:t>类标准</w:t>
            </w:r>
          </w:p>
        </w:tc>
      </w:tr>
      <w:tr w14:paraId="2B422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480" w:type="pct"/>
            <w:vMerge w:val="restart"/>
            <w:tcBorders>
              <w:tl2br w:val="nil"/>
              <w:tr2bl w:val="nil"/>
            </w:tcBorders>
            <w:vAlign w:val="center"/>
          </w:tcPr>
          <w:p w14:paraId="0D34B71D">
            <w:pPr>
              <w:jc w:val="center"/>
              <w:rPr>
                <w:rFonts w:hint="eastAsia" w:eastAsia="宋体"/>
                <w:color w:val="auto"/>
                <w:sz w:val="21"/>
                <w:szCs w:val="21"/>
                <w:lang w:val="en-US" w:eastAsia="zh-CN"/>
              </w:rPr>
            </w:pPr>
            <w:r>
              <w:rPr>
                <w:rFonts w:hint="eastAsia"/>
                <w:color w:val="auto"/>
                <w:sz w:val="21"/>
                <w:szCs w:val="21"/>
                <w:lang w:val="en-US" w:eastAsia="zh-CN"/>
              </w:rPr>
              <w:t>地下水</w:t>
            </w:r>
          </w:p>
        </w:tc>
        <w:tc>
          <w:tcPr>
            <w:tcW w:w="1113" w:type="pct"/>
            <w:tcBorders>
              <w:tl2br w:val="nil"/>
              <w:tr2bl w:val="nil"/>
            </w:tcBorders>
            <w:vAlign w:val="center"/>
          </w:tcPr>
          <w:p w14:paraId="3F07FEC2">
            <w:pPr>
              <w:pStyle w:val="262"/>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拉哈镇集中式水井</w:t>
            </w:r>
            <w:r>
              <w:rPr>
                <w:rFonts w:hint="eastAsia" w:ascii="Times New Roman" w:cs="Times New Roman"/>
                <w:color w:val="auto"/>
                <w:sz w:val="21"/>
                <w:szCs w:val="21"/>
                <w:lang w:val="en-US" w:eastAsia="zh-CN"/>
              </w:rPr>
              <w:t>1</w:t>
            </w:r>
          </w:p>
        </w:tc>
        <w:tc>
          <w:tcPr>
            <w:tcW w:w="401" w:type="pct"/>
            <w:tcBorders>
              <w:tl2br w:val="nil"/>
              <w:tr2bl w:val="nil"/>
            </w:tcBorders>
            <w:vAlign w:val="center"/>
          </w:tcPr>
          <w:p w14:paraId="2CBB9BF3">
            <w:pPr>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S</w:t>
            </w:r>
          </w:p>
        </w:tc>
        <w:tc>
          <w:tcPr>
            <w:tcW w:w="447" w:type="pct"/>
            <w:tcBorders>
              <w:tl2br w:val="nil"/>
              <w:tr2bl w:val="nil"/>
            </w:tcBorders>
            <w:vAlign w:val="center"/>
          </w:tcPr>
          <w:p w14:paraId="7060DD2D">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1500</w:t>
            </w:r>
          </w:p>
        </w:tc>
        <w:tc>
          <w:tcPr>
            <w:tcW w:w="679" w:type="pct"/>
            <w:tcBorders>
              <w:tl2br w:val="nil"/>
              <w:tr2bl w:val="nil"/>
            </w:tcBorders>
            <w:vAlign w:val="center"/>
          </w:tcPr>
          <w:p w14:paraId="0CA2D658">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20000</w:t>
            </w:r>
          </w:p>
        </w:tc>
        <w:tc>
          <w:tcPr>
            <w:tcW w:w="1877" w:type="pct"/>
            <w:vMerge w:val="restart"/>
            <w:tcBorders>
              <w:tl2br w:val="nil"/>
              <w:tr2bl w:val="nil"/>
            </w:tcBorders>
            <w:vAlign w:val="center"/>
          </w:tcPr>
          <w:p w14:paraId="39FE3DC5">
            <w:pPr>
              <w:pStyle w:val="262"/>
              <w:autoSpaceDE w:val="0"/>
              <w:autoSpaceDN w:val="0"/>
              <w:spacing w:line="320" w:lineRule="exact"/>
              <w:ind w:left="0" w:leftChars="0" w:firstLine="0" w:firstLineChars="0"/>
              <w:jc w:val="center"/>
              <w:textAlignment w:val="bottom"/>
              <w:rPr>
                <w:rFonts w:ascii="Times New Roman" w:hAnsi="宋体" w:eastAsia="宋体" w:cs="Times New Roman"/>
                <w:color w:val="auto"/>
                <w:sz w:val="21"/>
                <w:szCs w:val="21"/>
              </w:rPr>
            </w:pPr>
            <w:r>
              <w:rPr>
                <w:rFonts w:hint="default" w:ascii="Times New Roman" w:hAnsi="Times New Roman" w:eastAsia="宋体" w:cs="Times New Roman"/>
                <w:color w:val="auto"/>
                <w:spacing w:val="-2"/>
                <w:sz w:val="21"/>
                <w:szCs w:val="21"/>
              </w:rPr>
              <w:t>《地下水</w:t>
            </w:r>
            <w:r>
              <w:rPr>
                <w:rFonts w:hint="default" w:ascii="Times New Roman" w:hAnsi="Times New Roman" w:eastAsia="宋体" w:cs="Times New Roman"/>
                <w:color w:val="auto"/>
                <w:spacing w:val="-2"/>
                <w:sz w:val="21"/>
                <w:szCs w:val="21"/>
                <w:lang w:val="en-US" w:eastAsia="zh-CN"/>
              </w:rPr>
              <w:t>环境</w:t>
            </w:r>
            <w:r>
              <w:rPr>
                <w:rFonts w:hint="default" w:ascii="Times New Roman" w:hAnsi="Times New Roman" w:eastAsia="宋体" w:cs="Times New Roman"/>
                <w:color w:val="auto"/>
                <w:spacing w:val="-2"/>
                <w:sz w:val="21"/>
                <w:szCs w:val="21"/>
              </w:rPr>
              <w:t>质量标准》</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pacing w:val="-1"/>
                <w:sz w:val="21"/>
                <w:szCs w:val="21"/>
              </w:rPr>
              <w:t>（</w:t>
            </w:r>
            <w:r>
              <w:rPr>
                <w:rFonts w:hint="default" w:ascii="Times New Roman" w:hAnsi="Times New Roman" w:eastAsia="Times New Roman" w:cs="Times New Roman"/>
                <w:color w:val="auto"/>
                <w:spacing w:val="-1"/>
                <w:sz w:val="21"/>
                <w:szCs w:val="21"/>
              </w:rPr>
              <w:t>GB/T14848-2017</w:t>
            </w:r>
            <w:r>
              <w:rPr>
                <w:rFonts w:hint="default" w:ascii="Times New Roman" w:hAnsi="Times New Roman" w:eastAsia="宋体" w:cs="Times New Roman"/>
                <w:color w:val="auto"/>
                <w:spacing w:val="-1"/>
                <w:sz w:val="21"/>
                <w:szCs w:val="21"/>
              </w:rPr>
              <w:t>）Ⅲ类</w:t>
            </w:r>
          </w:p>
        </w:tc>
      </w:tr>
      <w:tr w14:paraId="3E63A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480" w:type="pct"/>
            <w:vMerge w:val="continue"/>
            <w:tcBorders>
              <w:tl2br w:val="nil"/>
              <w:tr2bl w:val="nil"/>
            </w:tcBorders>
            <w:vAlign w:val="center"/>
          </w:tcPr>
          <w:p w14:paraId="7510BEDB">
            <w:pPr>
              <w:jc w:val="center"/>
              <w:rPr>
                <w:color w:val="auto"/>
                <w:sz w:val="21"/>
                <w:szCs w:val="21"/>
              </w:rPr>
            </w:pPr>
          </w:p>
        </w:tc>
        <w:tc>
          <w:tcPr>
            <w:tcW w:w="1113" w:type="pct"/>
            <w:tcBorders>
              <w:tl2br w:val="nil"/>
              <w:tr2bl w:val="nil"/>
            </w:tcBorders>
            <w:vAlign w:val="center"/>
          </w:tcPr>
          <w:p w14:paraId="25EE259F">
            <w:pPr>
              <w:pStyle w:val="262"/>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拉哈镇集中式水井</w:t>
            </w:r>
            <w:r>
              <w:rPr>
                <w:rFonts w:hint="eastAsia" w:ascii="Times New Roman" w:cs="Times New Roman"/>
                <w:color w:val="auto"/>
                <w:sz w:val="21"/>
                <w:szCs w:val="21"/>
                <w:lang w:val="en-US" w:eastAsia="zh-CN"/>
              </w:rPr>
              <w:t>2</w:t>
            </w:r>
          </w:p>
        </w:tc>
        <w:tc>
          <w:tcPr>
            <w:tcW w:w="401" w:type="pct"/>
            <w:tcBorders>
              <w:tl2br w:val="nil"/>
              <w:tr2bl w:val="nil"/>
            </w:tcBorders>
            <w:vAlign w:val="center"/>
          </w:tcPr>
          <w:p w14:paraId="5A9570AB">
            <w:pPr>
              <w:autoSpaceDE w:val="0"/>
              <w:autoSpaceDN w:val="0"/>
              <w:spacing w:line="320" w:lineRule="exact"/>
              <w:ind w:left="0" w:leftChars="0" w:firstLine="0" w:firstLineChars="0"/>
              <w:jc w:val="center"/>
              <w:textAlignment w:val="bottom"/>
              <w:rPr>
                <w:rFonts w:hint="eastAsia" w:ascii="Times New Roman" w:hAnsi="宋体" w:eastAsia="宋体" w:cs="Times New Roman"/>
                <w:color w:val="auto"/>
                <w:sz w:val="21"/>
                <w:szCs w:val="21"/>
                <w:lang w:val="en-US" w:eastAsia="zh-CN"/>
              </w:rPr>
            </w:pPr>
            <w:r>
              <w:rPr>
                <w:rFonts w:hint="eastAsia" w:ascii="Times New Roman" w:hAnsi="宋体" w:eastAsia="宋体" w:cs="Times New Roman"/>
                <w:color w:val="auto"/>
                <w:sz w:val="21"/>
                <w:szCs w:val="21"/>
              </w:rPr>
              <w:t>S</w:t>
            </w:r>
          </w:p>
        </w:tc>
        <w:tc>
          <w:tcPr>
            <w:tcW w:w="447" w:type="pct"/>
            <w:tcBorders>
              <w:tl2br w:val="nil"/>
              <w:tr2bl w:val="nil"/>
            </w:tcBorders>
            <w:vAlign w:val="center"/>
          </w:tcPr>
          <w:p w14:paraId="3038CCE5">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1800</w:t>
            </w:r>
          </w:p>
        </w:tc>
        <w:tc>
          <w:tcPr>
            <w:tcW w:w="679" w:type="pct"/>
            <w:tcBorders>
              <w:tl2br w:val="nil"/>
              <w:tr2bl w:val="nil"/>
            </w:tcBorders>
            <w:vAlign w:val="center"/>
          </w:tcPr>
          <w:p w14:paraId="669D95DB">
            <w:pPr>
              <w:pStyle w:val="262"/>
              <w:autoSpaceDE w:val="0"/>
              <w:autoSpaceDN w:val="0"/>
              <w:spacing w:line="320" w:lineRule="exact"/>
              <w:ind w:left="0" w:leftChars="0" w:firstLine="0" w:firstLineChars="0"/>
              <w:jc w:val="center"/>
              <w:textAlignment w:val="bottom"/>
              <w:rPr>
                <w:rFonts w:hint="default" w:ascii="Times New Roman" w:hAnsi="宋体" w:eastAsia="宋体" w:cs="Times New Roman"/>
                <w:color w:val="auto"/>
                <w:sz w:val="21"/>
                <w:szCs w:val="21"/>
                <w:lang w:val="en-US" w:eastAsia="zh-CN"/>
              </w:rPr>
            </w:pPr>
            <w:r>
              <w:rPr>
                <w:rFonts w:hint="eastAsia" w:ascii="Times New Roman" w:cs="Times New Roman"/>
                <w:color w:val="auto"/>
                <w:sz w:val="21"/>
                <w:szCs w:val="21"/>
                <w:lang w:val="en-US" w:eastAsia="zh-CN"/>
              </w:rPr>
              <w:t>20000</w:t>
            </w:r>
          </w:p>
        </w:tc>
        <w:tc>
          <w:tcPr>
            <w:tcW w:w="1877" w:type="pct"/>
            <w:vMerge w:val="continue"/>
            <w:tcBorders>
              <w:tl2br w:val="nil"/>
              <w:tr2bl w:val="nil"/>
            </w:tcBorders>
            <w:vAlign w:val="center"/>
          </w:tcPr>
          <w:p w14:paraId="3495C9B7">
            <w:pPr>
              <w:pStyle w:val="262"/>
              <w:autoSpaceDE w:val="0"/>
              <w:autoSpaceDN w:val="0"/>
              <w:spacing w:line="320" w:lineRule="exact"/>
              <w:ind w:left="0" w:leftChars="0" w:firstLine="0" w:firstLineChars="0"/>
              <w:jc w:val="center"/>
              <w:textAlignment w:val="bottom"/>
              <w:rPr>
                <w:rFonts w:ascii="Times New Roman" w:hAnsi="宋体" w:eastAsia="宋体" w:cs="Times New Roman"/>
                <w:color w:val="auto"/>
                <w:sz w:val="21"/>
                <w:szCs w:val="21"/>
              </w:rPr>
            </w:pPr>
          </w:p>
        </w:tc>
      </w:tr>
      <w:tr w14:paraId="7CD7E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480" w:type="pct"/>
            <w:tcBorders>
              <w:tl2br w:val="nil"/>
              <w:tr2bl w:val="nil"/>
            </w:tcBorders>
            <w:vAlign w:val="center"/>
          </w:tcPr>
          <w:p w14:paraId="4B92B9FC">
            <w:pPr>
              <w:pStyle w:val="99"/>
              <w:jc w:val="center"/>
              <w:textAlignment w:val="auto"/>
              <w:rPr>
                <w:rFonts w:ascii="Times New Roman" w:hAnsi="Times New Roman"/>
                <w:color w:val="auto"/>
                <w:sz w:val="21"/>
                <w:szCs w:val="21"/>
              </w:rPr>
            </w:pPr>
            <w:r>
              <w:rPr>
                <w:rFonts w:ascii="Times New Roman" w:hAnsi="Times New Roman" w:eastAsia="宋体"/>
                <w:color w:val="auto"/>
                <w:spacing w:val="0"/>
                <w:kern w:val="2"/>
                <w:sz w:val="21"/>
                <w:szCs w:val="21"/>
              </w:rPr>
              <w:t>生态</w:t>
            </w:r>
          </w:p>
        </w:tc>
        <w:tc>
          <w:tcPr>
            <w:tcW w:w="2641" w:type="pct"/>
            <w:gridSpan w:val="4"/>
            <w:tcBorders>
              <w:tl2br w:val="nil"/>
              <w:tr2bl w:val="nil"/>
            </w:tcBorders>
            <w:vAlign w:val="center"/>
          </w:tcPr>
          <w:p w14:paraId="154F25BE">
            <w:pPr>
              <w:tabs>
                <w:tab w:val="left" w:leader="middleDot" w:pos="0"/>
              </w:tabs>
              <w:jc w:val="center"/>
              <w:rPr>
                <w:color w:val="auto"/>
                <w:sz w:val="21"/>
                <w:szCs w:val="21"/>
              </w:rPr>
            </w:pPr>
            <w:r>
              <w:rPr>
                <w:color w:val="auto"/>
                <w:sz w:val="21"/>
                <w:szCs w:val="21"/>
              </w:rPr>
              <w:t>建设场地</w:t>
            </w:r>
          </w:p>
        </w:tc>
        <w:tc>
          <w:tcPr>
            <w:tcW w:w="1877" w:type="pct"/>
            <w:tcBorders>
              <w:tl2br w:val="nil"/>
              <w:tr2bl w:val="nil"/>
            </w:tcBorders>
            <w:vAlign w:val="center"/>
          </w:tcPr>
          <w:p w14:paraId="3E12DB58">
            <w:pPr>
              <w:jc w:val="center"/>
              <w:rPr>
                <w:color w:val="auto"/>
                <w:sz w:val="21"/>
                <w:szCs w:val="21"/>
              </w:rPr>
            </w:pPr>
            <w:r>
              <w:rPr>
                <w:color w:val="auto"/>
                <w:sz w:val="21"/>
                <w:szCs w:val="21"/>
              </w:rPr>
              <w:t>——</w:t>
            </w:r>
          </w:p>
        </w:tc>
      </w:tr>
      <w:tr w14:paraId="75838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8" w:hRule="atLeast"/>
          <w:jc w:val="center"/>
        </w:trPr>
        <w:tc>
          <w:tcPr>
            <w:tcW w:w="480" w:type="pct"/>
            <w:tcBorders>
              <w:tl2br w:val="nil"/>
              <w:tr2bl w:val="nil"/>
            </w:tcBorders>
            <w:vAlign w:val="center"/>
          </w:tcPr>
          <w:p w14:paraId="6CBD255B">
            <w:pPr>
              <w:pStyle w:val="99"/>
              <w:jc w:val="center"/>
              <w:textAlignment w:val="auto"/>
              <w:rPr>
                <w:rFonts w:ascii="Times New Roman" w:hAnsi="Times New Roman" w:eastAsia="宋体"/>
                <w:color w:val="auto"/>
                <w:spacing w:val="0"/>
                <w:kern w:val="2"/>
                <w:sz w:val="21"/>
                <w:szCs w:val="21"/>
              </w:rPr>
            </w:pPr>
            <w:r>
              <w:rPr>
                <w:rFonts w:ascii="Times New Roman" w:hAnsi="Times New Roman" w:eastAsia="宋体"/>
                <w:color w:val="auto"/>
                <w:spacing w:val="0"/>
                <w:kern w:val="2"/>
                <w:sz w:val="21"/>
                <w:szCs w:val="21"/>
              </w:rPr>
              <w:t>土壤</w:t>
            </w:r>
          </w:p>
        </w:tc>
        <w:tc>
          <w:tcPr>
            <w:tcW w:w="2641" w:type="pct"/>
            <w:gridSpan w:val="4"/>
            <w:tcBorders>
              <w:tl2br w:val="nil"/>
              <w:tr2bl w:val="nil"/>
            </w:tcBorders>
            <w:vAlign w:val="center"/>
          </w:tcPr>
          <w:p w14:paraId="2A4A4D5A">
            <w:pPr>
              <w:tabs>
                <w:tab w:val="left" w:leader="middleDot" w:pos="0"/>
              </w:tabs>
              <w:jc w:val="center"/>
              <w:rPr>
                <w:color w:val="auto"/>
                <w:sz w:val="21"/>
                <w:szCs w:val="21"/>
              </w:rPr>
            </w:pPr>
            <w:r>
              <w:rPr>
                <w:color w:val="auto"/>
                <w:sz w:val="21"/>
                <w:szCs w:val="21"/>
              </w:rPr>
              <w:t>厂界外</w:t>
            </w:r>
            <w:r>
              <w:rPr>
                <w:rFonts w:hint="eastAsia"/>
                <w:color w:val="auto"/>
                <w:sz w:val="21"/>
                <w:szCs w:val="21"/>
                <w:lang w:val="en-US" w:eastAsia="zh-CN"/>
              </w:rPr>
              <w:t>200</w:t>
            </w:r>
            <w:r>
              <w:rPr>
                <w:color w:val="auto"/>
                <w:sz w:val="21"/>
                <w:szCs w:val="21"/>
                <w:lang w:eastAsia="en-US"/>
              </w:rPr>
              <w:t>m</w:t>
            </w:r>
          </w:p>
        </w:tc>
        <w:tc>
          <w:tcPr>
            <w:tcW w:w="1877" w:type="pct"/>
            <w:tcBorders>
              <w:tl2br w:val="nil"/>
              <w:tr2bl w:val="nil"/>
            </w:tcBorders>
            <w:vAlign w:val="center"/>
          </w:tcPr>
          <w:p w14:paraId="7FD66BD4">
            <w:pPr>
              <w:jc w:val="center"/>
              <w:rPr>
                <w:color w:val="auto"/>
                <w:sz w:val="21"/>
                <w:szCs w:val="21"/>
              </w:rPr>
            </w:pPr>
            <w:r>
              <w:rPr>
                <w:color w:val="auto"/>
                <w:sz w:val="21"/>
                <w:szCs w:val="21"/>
              </w:rPr>
              <w:t>《土壤环境质量 建设用地土壤污染风险管控标准（试行）》（GB 36600-2018）中第二类建设用地风险筛选值限值</w:t>
            </w:r>
          </w:p>
        </w:tc>
      </w:tr>
    </w:tbl>
    <w:p w14:paraId="78471198">
      <w:pPr>
        <w:pStyle w:val="3"/>
      </w:pPr>
      <w:bookmarkStart w:id="268" w:name="_Toc20881"/>
      <w:r>
        <w:t>4.3环境质量现状调查与评价</w:t>
      </w:r>
      <w:bookmarkEnd w:id="265"/>
      <w:bookmarkEnd w:id="268"/>
    </w:p>
    <w:p w14:paraId="3875F0BF">
      <w:pPr>
        <w:pStyle w:val="4"/>
      </w:pPr>
      <w:r>
        <w:t>4.3.1地表水环境现状</w:t>
      </w:r>
    </w:p>
    <w:p w14:paraId="57FEE0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lang w:val="en-US" w:eastAsia="zh-CN"/>
        </w:rPr>
      </w:pPr>
      <w:r>
        <w:rPr>
          <w:rFonts w:hint="eastAsia"/>
          <w:lang w:val="en-US" w:eastAsia="zh-CN"/>
        </w:rPr>
        <w:t>采用评价范围内近3年与项目排放的其他污染物有关的历史监测资料，</w:t>
      </w:r>
      <w:r>
        <w:rPr>
          <w:rFonts w:hint="eastAsia" w:ascii="Times New Roman" w:hAnsi="Times New Roman" w:eastAsia="宋体" w:cs="Times New Roman"/>
          <w:lang w:val="en-US" w:eastAsia="zh-CN"/>
        </w:rPr>
        <w:t>为黑龙江纳河经济开发区管理委员会对园区例行监测。</w:t>
      </w:r>
    </w:p>
    <w:p w14:paraId="594D74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（1）监测断面布设</w:t>
      </w:r>
    </w:p>
    <w:p w14:paraId="5672D01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在</w:t>
      </w:r>
      <w:r>
        <w:rPr>
          <w:rFonts w:hint="eastAsia" w:cs="Times New Roman"/>
          <w:color w:val="auto"/>
          <w:lang w:val="en-US" w:eastAsia="zh-CN"/>
        </w:rPr>
        <w:t>嫩江</w:t>
      </w:r>
      <w:r>
        <w:rPr>
          <w:rFonts w:hint="eastAsia" w:ascii="Times New Roman" w:hAnsi="Times New Roman" w:cs="Times New Roman"/>
          <w:color w:val="auto"/>
          <w:lang w:val="en-US" w:eastAsia="zh-CN"/>
        </w:rPr>
        <w:t>上设置2个监测断面，见表3-2和图3-1。</w:t>
      </w:r>
    </w:p>
    <w:p w14:paraId="1B94DAA8">
      <w:pPr>
        <w:widowControl w:val="0"/>
        <w:adjustRightInd w:val="0"/>
        <w:spacing w:before="0" w:beforeLines="0" w:after="0" w:line="360" w:lineRule="atLeast"/>
        <w:jc w:val="center"/>
        <w:textAlignment w:val="baseline"/>
        <w:rPr>
          <w:rFonts w:ascii="Times New Roman" w:hAnsi="Times New Roman" w:eastAsia="宋体" w:cs="Times New Roman"/>
          <w:b/>
          <w:bCs/>
          <w:color w:val="auto"/>
          <w:spacing w:val="10"/>
          <w:kern w:val="0"/>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表3-2  地表水监测断面布设情况</w:t>
      </w:r>
    </w:p>
    <w:tbl>
      <w:tblPr>
        <w:tblStyle w:val="53"/>
        <w:tblW w:w="847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Layout w:type="fixed"/>
        <w:tblCellMar>
          <w:top w:w="0" w:type="dxa"/>
          <w:left w:w="28" w:type="dxa"/>
          <w:bottom w:w="0" w:type="dxa"/>
          <w:right w:w="28" w:type="dxa"/>
        </w:tblCellMar>
      </w:tblPr>
      <w:tblGrid>
        <w:gridCol w:w="761"/>
        <w:gridCol w:w="3324"/>
        <w:gridCol w:w="2200"/>
        <w:gridCol w:w="2193"/>
      </w:tblGrid>
      <w:tr w14:paraId="00A32E1D">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28" w:type="dxa"/>
            <w:bottom w:w="0" w:type="dxa"/>
            <w:right w:w="28" w:type="dxa"/>
          </w:tblCellMar>
        </w:tblPrEx>
        <w:trPr>
          <w:trHeight w:val="373" w:hRule="atLeast"/>
          <w:jc w:val="center"/>
        </w:trPr>
        <w:tc>
          <w:tcPr>
            <w:tcW w:w="4085" w:type="dxa"/>
            <w:gridSpan w:val="2"/>
            <w:tcBorders>
              <w:tl2br w:val="nil"/>
              <w:tr2bl w:val="nil"/>
            </w:tcBorders>
            <w:noWrap w:val="0"/>
            <w:vAlign w:val="center"/>
          </w:tcPr>
          <w:p w14:paraId="55EF3039">
            <w:pPr>
              <w:widowControl w:val="0"/>
              <w:snapToGrid w:val="0"/>
              <w:spacing w:line="240" w:lineRule="auto"/>
              <w:jc w:val="center"/>
              <w:rPr>
                <w:rFonts w:ascii="Times New Roman" w:hAnsi="Times New Roman" w:eastAsia="宋体" w:cs="Times New Roman"/>
                <w:snapToGrid w:val="0"/>
                <w:color w:val="auto"/>
                <w:kern w:val="0"/>
                <w:position w:val="-24"/>
                <w:sz w:val="21"/>
                <w:szCs w:val="21"/>
                <w:lang w:val="en-US" w:eastAsia="zh-CN" w:bidi="ar-SA"/>
              </w:rPr>
            </w:pPr>
            <w:r>
              <w:rPr>
                <w:rFonts w:ascii="Times New Roman" w:hAnsi="宋体" w:eastAsia="宋体" w:cs="Times New Roman"/>
                <w:snapToGrid w:val="0"/>
                <w:color w:val="auto"/>
                <w:kern w:val="0"/>
                <w:position w:val="-24"/>
                <w:sz w:val="21"/>
                <w:szCs w:val="21"/>
                <w:lang w:val="en-US" w:eastAsia="zh-CN" w:bidi="ar-SA"/>
              </w:rPr>
              <w:t>监测</w:t>
            </w:r>
            <w:r>
              <w:rPr>
                <w:rFonts w:hint="eastAsia" w:ascii="Times New Roman" w:hAnsi="宋体" w:eastAsia="宋体" w:cs="Times New Roman"/>
                <w:snapToGrid w:val="0"/>
                <w:color w:val="auto"/>
                <w:kern w:val="0"/>
                <w:position w:val="-24"/>
                <w:sz w:val="21"/>
                <w:szCs w:val="21"/>
                <w:lang w:val="en-US" w:eastAsia="zh-CN" w:bidi="ar-SA"/>
              </w:rPr>
              <w:t>断面</w:t>
            </w:r>
          </w:p>
        </w:tc>
        <w:tc>
          <w:tcPr>
            <w:tcW w:w="2200" w:type="dxa"/>
            <w:tcBorders>
              <w:tl2br w:val="nil"/>
              <w:tr2bl w:val="nil"/>
            </w:tcBorders>
            <w:noWrap w:val="0"/>
            <w:vAlign w:val="center"/>
          </w:tcPr>
          <w:p w14:paraId="207190A9">
            <w:pPr>
              <w:widowControl w:val="0"/>
              <w:snapToGrid w:val="0"/>
              <w:spacing w:line="240" w:lineRule="auto"/>
              <w:jc w:val="center"/>
              <w:rPr>
                <w:rFonts w:ascii="Times New Roman" w:hAnsi="Times New Roman" w:eastAsia="宋体" w:cs="Times New Roman"/>
                <w:snapToGrid w:val="0"/>
                <w:color w:val="auto"/>
                <w:kern w:val="0"/>
                <w:position w:val="-24"/>
                <w:sz w:val="21"/>
                <w:szCs w:val="21"/>
                <w:lang w:val="en-US" w:eastAsia="zh-CN" w:bidi="ar-SA"/>
              </w:rPr>
            </w:pPr>
            <w:r>
              <w:rPr>
                <w:rFonts w:hint="eastAsia" w:ascii="Times New Roman" w:hAnsi="宋体" w:eastAsia="宋体" w:cs="Times New Roman"/>
                <w:snapToGrid w:val="0"/>
                <w:color w:val="auto"/>
                <w:kern w:val="0"/>
                <w:position w:val="-24"/>
                <w:sz w:val="21"/>
                <w:szCs w:val="21"/>
                <w:lang w:val="en-US" w:eastAsia="zh-CN" w:bidi="ar-SA"/>
              </w:rPr>
              <w:t>环境功能区划</w:t>
            </w:r>
          </w:p>
        </w:tc>
        <w:tc>
          <w:tcPr>
            <w:tcW w:w="2193" w:type="dxa"/>
            <w:tcBorders>
              <w:tl2br w:val="nil"/>
              <w:tr2bl w:val="nil"/>
            </w:tcBorders>
            <w:noWrap w:val="0"/>
            <w:vAlign w:val="center"/>
          </w:tcPr>
          <w:p w14:paraId="1F11058B">
            <w:pPr>
              <w:widowControl w:val="0"/>
              <w:snapToGrid w:val="0"/>
              <w:spacing w:line="240" w:lineRule="auto"/>
              <w:jc w:val="center"/>
              <w:rPr>
                <w:rFonts w:hint="default" w:ascii="Times New Roman" w:hAnsi="Times New Roman" w:eastAsia="宋体" w:cs="Times New Roman"/>
                <w:snapToGrid w:val="0"/>
                <w:color w:val="auto"/>
                <w:kern w:val="0"/>
                <w:position w:val="-24"/>
                <w:sz w:val="21"/>
                <w:szCs w:val="21"/>
                <w:lang w:val="en-US" w:eastAsia="zh-CN" w:bidi="ar-SA"/>
              </w:rPr>
            </w:pPr>
            <w:r>
              <w:rPr>
                <w:rFonts w:hint="eastAsia" w:ascii="Times New Roman" w:hAnsi="Times New Roman" w:eastAsia="宋体" w:cs="Times New Roman"/>
                <w:snapToGrid w:val="0"/>
                <w:color w:val="auto"/>
                <w:kern w:val="0"/>
                <w:position w:val="-24"/>
                <w:sz w:val="21"/>
                <w:szCs w:val="21"/>
                <w:lang w:val="en-US" w:eastAsia="zh-CN" w:bidi="ar-SA"/>
              </w:rPr>
              <w:t>备注</w:t>
            </w:r>
          </w:p>
        </w:tc>
      </w:tr>
      <w:tr w14:paraId="52975CE1">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28" w:type="dxa"/>
            <w:bottom w:w="0" w:type="dxa"/>
            <w:right w:w="28" w:type="dxa"/>
          </w:tblCellMar>
        </w:tblPrEx>
        <w:trPr>
          <w:trHeight w:val="368" w:hRule="atLeast"/>
          <w:jc w:val="center"/>
        </w:trPr>
        <w:tc>
          <w:tcPr>
            <w:tcW w:w="761" w:type="dxa"/>
            <w:tcBorders>
              <w:tl2br w:val="nil"/>
              <w:tr2bl w:val="nil"/>
            </w:tcBorders>
            <w:noWrap w:val="0"/>
            <w:vAlign w:val="center"/>
          </w:tcPr>
          <w:p w14:paraId="420F4EC3">
            <w:pPr>
              <w:widowControl w:val="0"/>
              <w:snapToGrid w:val="0"/>
              <w:spacing w:line="240" w:lineRule="auto"/>
              <w:jc w:val="center"/>
              <w:rPr>
                <w:rFonts w:ascii="Times New Roman" w:hAnsi="Times New Roman" w:eastAsia="宋体" w:cs="Times New Roman"/>
                <w:snapToGrid w:val="0"/>
                <w:color w:val="auto"/>
                <w:spacing w:val="-10"/>
                <w:kern w:val="0"/>
                <w:position w:val="-24"/>
                <w:sz w:val="21"/>
                <w:szCs w:val="21"/>
                <w:lang w:val="en-US" w:eastAsia="zh-CN" w:bidi="ar-SA"/>
              </w:rPr>
            </w:pPr>
            <w:r>
              <w:rPr>
                <w:rFonts w:ascii="Times New Roman" w:hAnsi="Times New Roman" w:eastAsia="宋体" w:cs="Times New Roman"/>
                <w:snapToGrid w:val="0"/>
                <w:color w:val="auto"/>
                <w:kern w:val="0"/>
                <w:position w:val="-24"/>
                <w:sz w:val="21"/>
                <w:szCs w:val="21"/>
                <w:lang w:val="en-US" w:eastAsia="zh-CN" w:bidi="ar-SA"/>
              </w:rPr>
              <w:t>1</w:t>
            </w:r>
            <w:r>
              <w:rPr>
                <w:rFonts w:hint="eastAsia" w:ascii="Times New Roman" w:hAnsi="Times New Roman" w:eastAsia="宋体" w:cs="Times New Roman"/>
                <w:snapToGrid w:val="0"/>
                <w:color w:val="auto"/>
                <w:kern w:val="0"/>
                <w:position w:val="-24"/>
                <w:sz w:val="21"/>
                <w:szCs w:val="21"/>
                <w:lang w:val="en-US" w:eastAsia="zh-CN" w:bidi="ar-SA"/>
              </w:rPr>
              <w:t>#</w:t>
            </w:r>
          </w:p>
        </w:tc>
        <w:tc>
          <w:tcPr>
            <w:tcW w:w="3324" w:type="dxa"/>
            <w:tcBorders>
              <w:tl2br w:val="nil"/>
              <w:tr2bl w:val="nil"/>
            </w:tcBorders>
            <w:noWrap w:val="0"/>
            <w:vAlign w:val="center"/>
          </w:tcPr>
          <w:p w14:paraId="51D9A3C9">
            <w:pPr>
              <w:widowControl w:val="0"/>
              <w:snapToGrid w:val="0"/>
              <w:spacing w:line="240" w:lineRule="auto"/>
              <w:jc w:val="center"/>
              <w:rPr>
                <w:rFonts w:hint="default" w:ascii="Times New Roman" w:hAnsi="Times New Roman" w:eastAsia="宋体" w:cs="Times New Roman"/>
                <w:snapToGrid w:val="0"/>
                <w:color w:val="auto"/>
                <w:kern w:val="0"/>
                <w:position w:val="-24"/>
                <w:sz w:val="21"/>
                <w:szCs w:val="21"/>
                <w:lang w:val="en-US" w:eastAsia="zh-CN" w:bidi="ar-SA"/>
              </w:rPr>
            </w:pPr>
            <w:r>
              <w:rPr>
                <w:rFonts w:hint="eastAsia" w:ascii="Times New Roman" w:hAnsi="Times New Roman" w:eastAsia="宋体" w:cs="Times New Roman"/>
                <w:snapToGrid w:val="0"/>
                <w:color w:val="auto"/>
                <w:kern w:val="0"/>
                <w:position w:val="-24"/>
                <w:sz w:val="21"/>
                <w:szCs w:val="21"/>
                <w:lang w:val="en-US" w:eastAsia="zh-CN" w:bidi="ar-SA"/>
              </w:rPr>
              <w:t>东侧明渠入雅鲁河口上游500m</w:t>
            </w:r>
          </w:p>
        </w:tc>
        <w:tc>
          <w:tcPr>
            <w:tcW w:w="2200" w:type="dxa"/>
            <w:tcBorders>
              <w:tl2br w:val="nil"/>
              <w:tr2bl w:val="nil"/>
            </w:tcBorders>
            <w:noWrap w:val="0"/>
            <w:vAlign w:val="center"/>
          </w:tcPr>
          <w:p w14:paraId="049831CD">
            <w:pPr>
              <w:widowControl w:val="0"/>
              <w:snapToGrid w:val="0"/>
              <w:spacing w:line="240" w:lineRule="auto"/>
              <w:jc w:val="center"/>
              <w:rPr>
                <w:rFonts w:hint="eastAsia" w:ascii="宋体" w:hAnsi="宋体" w:eastAsia="宋体" w:cs="Times New Roman"/>
                <w:snapToGrid w:val="0"/>
                <w:color w:val="auto"/>
                <w:kern w:val="0"/>
                <w:position w:val="-24"/>
                <w:sz w:val="24"/>
                <w:szCs w:val="21"/>
                <w:lang w:val="en-US" w:eastAsia="zh-CN" w:bidi="ar-SA"/>
              </w:rPr>
            </w:pPr>
            <w:r>
              <w:rPr>
                <w:rFonts w:hint="eastAsia" w:ascii="宋体" w:hAnsi="宋体" w:eastAsia="宋体" w:cs="Times New Roman"/>
                <w:snapToGrid w:val="0"/>
                <w:color w:val="auto"/>
                <w:kern w:val="0"/>
                <w:position w:val="-24"/>
                <w:sz w:val="21"/>
                <w:szCs w:val="21"/>
                <w:lang w:val="en-US" w:eastAsia="zh-CN" w:bidi="ar-SA"/>
              </w:rPr>
              <w:t>Ⅲ类</w:t>
            </w:r>
          </w:p>
        </w:tc>
        <w:tc>
          <w:tcPr>
            <w:tcW w:w="2193" w:type="dxa"/>
            <w:tcBorders>
              <w:tl2br w:val="nil"/>
              <w:tr2bl w:val="nil"/>
            </w:tcBorders>
            <w:noWrap w:val="0"/>
            <w:vAlign w:val="center"/>
          </w:tcPr>
          <w:p w14:paraId="3FF91A9C">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对照断面</w:t>
            </w:r>
          </w:p>
        </w:tc>
      </w:tr>
      <w:tr w14:paraId="2E10DBD3">
        <w:tblPrEx>
          <w:tblBorders>
            <w:top w:val="single" w:color="auto" w:sz="4" w:space="0"/>
            <w:left w:val="single" w:color="auto" w:sz="4" w:space="0"/>
            <w:bottom w:val="single" w:color="auto" w:sz="4" w:space="0"/>
            <w:right w:val="single" w:color="auto" w:sz="4" w:space="0"/>
            <w:insideH w:val="single" w:color="auto" w:sz="6" w:space="0"/>
            <w:insideV w:val="single" w:color="auto" w:sz="4" w:space="0"/>
          </w:tblBorders>
          <w:tblCellMar>
            <w:top w:w="0" w:type="dxa"/>
            <w:left w:w="28" w:type="dxa"/>
            <w:bottom w:w="0" w:type="dxa"/>
            <w:right w:w="28" w:type="dxa"/>
          </w:tblCellMar>
        </w:tblPrEx>
        <w:trPr>
          <w:trHeight w:val="408" w:hRule="atLeast"/>
          <w:jc w:val="center"/>
        </w:trPr>
        <w:tc>
          <w:tcPr>
            <w:tcW w:w="761" w:type="dxa"/>
            <w:tcBorders>
              <w:tl2br w:val="nil"/>
              <w:tr2bl w:val="nil"/>
            </w:tcBorders>
            <w:noWrap w:val="0"/>
            <w:vAlign w:val="center"/>
          </w:tcPr>
          <w:p w14:paraId="13F78E0E">
            <w:pPr>
              <w:widowControl w:val="0"/>
              <w:snapToGrid w:val="0"/>
              <w:spacing w:line="240" w:lineRule="auto"/>
              <w:jc w:val="center"/>
              <w:rPr>
                <w:rFonts w:ascii="Times New Roman" w:hAnsi="Times New Roman" w:eastAsia="宋体" w:cs="Times New Roman"/>
                <w:snapToGrid w:val="0"/>
                <w:color w:val="auto"/>
                <w:spacing w:val="-10"/>
                <w:kern w:val="0"/>
                <w:position w:val="-24"/>
                <w:sz w:val="21"/>
                <w:szCs w:val="21"/>
                <w:lang w:val="en-US" w:eastAsia="zh-CN" w:bidi="ar-SA"/>
              </w:rPr>
            </w:pPr>
            <w:r>
              <w:rPr>
                <w:rFonts w:ascii="Times New Roman" w:hAnsi="Times New Roman" w:eastAsia="宋体" w:cs="Times New Roman"/>
                <w:snapToGrid w:val="0"/>
                <w:color w:val="auto"/>
                <w:kern w:val="0"/>
                <w:position w:val="-24"/>
                <w:sz w:val="21"/>
                <w:szCs w:val="21"/>
                <w:lang w:val="en-US" w:eastAsia="zh-CN" w:bidi="ar-SA"/>
              </w:rPr>
              <w:t>2</w:t>
            </w:r>
            <w:r>
              <w:rPr>
                <w:rFonts w:hint="eastAsia" w:ascii="Times New Roman" w:hAnsi="Times New Roman" w:eastAsia="宋体" w:cs="Times New Roman"/>
                <w:snapToGrid w:val="0"/>
                <w:color w:val="auto"/>
                <w:kern w:val="0"/>
                <w:position w:val="-24"/>
                <w:sz w:val="21"/>
                <w:szCs w:val="21"/>
                <w:lang w:val="en-US" w:eastAsia="zh-CN" w:bidi="ar-SA"/>
              </w:rPr>
              <w:t>#</w:t>
            </w:r>
          </w:p>
        </w:tc>
        <w:tc>
          <w:tcPr>
            <w:tcW w:w="3324" w:type="dxa"/>
            <w:tcBorders>
              <w:tl2br w:val="nil"/>
              <w:tr2bl w:val="nil"/>
            </w:tcBorders>
            <w:noWrap w:val="0"/>
            <w:vAlign w:val="center"/>
          </w:tcPr>
          <w:p w14:paraId="419E1477">
            <w:pPr>
              <w:widowControl w:val="0"/>
              <w:snapToGrid w:val="0"/>
              <w:spacing w:line="240" w:lineRule="auto"/>
              <w:jc w:val="center"/>
              <w:rPr>
                <w:rFonts w:hint="eastAsia" w:ascii="Times New Roman" w:hAnsi="Times New Roman" w:eastAsia="宋体" w:cs="Times New Roman"/>
                <w:snapToGrid w:val="0"/>
                <w:color w:val="auto"/>
                <w:kern w:val="0"/>
                <w:position w:val="-24"/>
                <w:sz w:val="21"/>
                <w:szCs w:val="21"/>
                <w:lang w:val="en-US" w:eastAsia="zh-CN" w:bidi="ar-SA"/>
              </w:rPr>
            </w:pPr>
            <w:r>
              <w:rPr>
                <w:rFonts w:hint="eastAsia" w:ascii="Times New Roman" w:hAnsi="Times New Roman" w:eastAsia="宋体" w:cs="Times New Roman"/>
                <w:snapToGrid w:val="0"/>
                <w:color w:val="auto"/>
                <w:kern w:val="0"/>
                <w:position w:val="-24"/>
                <w:sz w:val="21"/>
                <w:szCs w:val="21"/>
                <w:lang w:val="en-US" w:eastAsia="zh-CN" w:bidi="ar-SA"/>
              </w:rPr>
              <w:t>东侧明渠入雅鲁河口下游</w:t>
            </w:r>
            <w:r>
              <w:rPr>
                <w:rFonts w:hint="eastAsia" w:cs="Times New Roman"/>
                <w:snapToGrid w:val="0"/>
                <w:color w:val="auto"/>
                <w:kern w:val="0"/>
                <w:position w:val="-24"/>
                <w:sz w:val="21"/>
                <w:szCs w:val="21"/>
                <w:lang w:val="en-US" w:eastAsia="zh-CN" w:bidi="ar-SA"/>
              </w:rPr>
              <w:t>2</w:t>
            </w:r>
            <w:r>
              <w:rPr>
                <w:rFonts w:hint="eastAsia" w:ascii="Times New Roman" w:hAnsi="Times New Roman" w:eastAsia="宋体" w:cs="Times New Roman"/>
                <w:snapToGrid w:val="0"/>
                <w:color w:val="auto"/>
                <w:kern w:val="0"/>
                <w:position w:val="-24"/>
                <w:sz w:val="21"/>
                <w:szCs w:val="21"/>
                <w:lang w:val="en-US" w:eastAsia="zh-CN" w:bidi="ar-SA"/>
              </w:rPr>
              <w:t>500m</w:t>
            </w:r>
          </w:p>
        </w:tc>
        <w:tc>
          <w:tcPr>
            <w:tcW w:w="2200" w:type="dxa"/>
            <w:tcBorders>
              <w:tl2br w:val="nil"/>
              <w:tr2bl w:val="nil"/>
            </w:tcBorders>
            <w:noWrap w:val="0"/>
            <w:vAlign w:val="center"/>
          </w:tcPr>
          <w:p w14:paraId="3C0E4270">
            <w:pPr>
              <w:widowControl w:val="0"/>
              <w:snapToGrid w:val="0"/>
              <w:spacing w:line="240" w:lineRule="auto"/>
              <w:jc w:val="center"/>
              <w:rPr>
                <w:rFonts w:hint="eastAsia" w:ascii="Times New Roman" w:hAnsi="宋体" w:eastAsia="宋体" w:cs="Times New Roman"/>
                <w:snapToGrid w:val="0"/>
                <w:color w:val="auto"/>
                <w:spacing w:val="-10"/>
                <w:kern w:val="0"/>
                <w:position w:val="-24"/>
                <w:sz w:val="21"/>
                <w:szCs w:val="21"/>
                <w:lang w:val="en-US" w:eastAsia="zh-CN" w:bidi="ar-SA"/>
              </w:rPr>
            </w:pPr>
            <w:r>
              <w:rPr>
                <w:rFonts w:hint="eastAsia" w:ascii="宋体" w:hAnsi="宋体" w:eastAsia="宋体" w:cs="Times New Roman"/>
                <w:snapToGrid w:val="0"/>
                <w:color w:val="auto"/>
                <w:kern w:val="0"/>
                <w:position w:val="-24"/>
                <w:sz w:val="21"/>
                <w:szCs w:val="21"/>
                <w:lang w:val="en-US" w:eastAsia="zh-CN" w:bidi="ar-SA"/>
              </w:rPr>
              <w:t>Ⅲ类</w:t>
            </w:r>
          </w:p>
        </w:tc>
        <w:tc>
          <w:tcPr>
            <w:tcW w:w="2193" w:type="dxa"/>
            <w:tcBorders>
              <w:tl2br w:val="nil"/>
              <w:tr2bl w:val="nil"/>
            </w:tcBorders>
            <w:noWrap w:val="0"/>
            <w:vAlign w:val="center"/>
          </w:tcPr>
          <w:p w14:paraId="38E0DF21">
            <w:pPr>
              <w:spacing w:line="240" w:lineRule="auto"/>
              <w:jc w:val="center"/>
              <w:rPr>
                <w:rFonts w:hint="default" w:ascii="Times New Roman" w:hAnsi="宋体" w:eastAsia="宋体" w:cs="Times New Roman"/>
                <w:color w:val="auto"/>
                <w:sz w:val="21"/>
                <w:szCs w:val="21"/>
                <w:lang w:val="en-US" w:eastAsia="zh-CN"/>
              </w:rPr>
            </w:pPr>
            <w:r>
              <w:rPr>
                <w:rFonts w:hint="eastAsia" w:ascii="Times New Roman" w:hAnsi="宋体" w:cs="Times New Roman"/>
                <w:color w:val="auto"/>
                <w:sz w:val="21"/>
                <w:szCs w:val="21"/>
                <w:lang w:val="en-US" w:eastAsia="zh-CN"/>
              </w:rPr>
              <w:t>控制断面</w:t>
            </w:r>
          </w:p>
        </w:tc>
      </w:tr>
    </w:tbl>
    <w:p w14:paraId="353D074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lang w:val="en-US" w:eastAsia="zh-CN"/>
        </w:rPr>
      </w:pPr>
    </w:p>
    <w:p w14:paraId="239CEC4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eastAsia="宋体"/>
          <w:b/>
          <w:color w:val="auto"/>
          <w:szCs w:val="24"/>
          <w:highlight w:val="none"/>
          <w:lang w:eastAsia="zh-CN"/>
        </w:rPr>
      </w:pPr>
      <w:r>
        <w:rPr>
          <w:color w:val="auto"/>
          <w:sz w:val="21"/>
        </w:rPr>
        <mc:AlternateContent>
          <mc:Choice Requires="wps">
            <w:drawing>
              <wp:anchor distT="0" distB="0" distL="114300" distR="114300" simplePos="0" relativeHeight="251707392" behindDoc="0" locked="0" layoutInCell="1" allowOverlap="1">
                <wp:simplePos x="0" y="0"/>
                <wp:positionH relativeFrom="column">
                  <wp:posOffset>2548890</wp:posOffset>
                </wp:positionH>
                <wp:positionV relativeFrom="paragraph">
                  <wp:posOffset>3447415</wp:posOffset>
                </wp:positionV>
                <wp:extent cx="528320" cy="272415"/>
                <wp:effectExtent l="0" t="0" r="0" b="0"/>
                <wp:wrapNone/>
                <wp:docPr id="1" name="文本框 1"/>
                <wp:cNvGraphicFramePr/>
                <a:graphic xmlns:a="http://schemas.openxmlformats.org/drawingml/2006/main">
                  <a:graphicData uri="http://schemas.microsoft.com/office/word/2010/wordprocessingShape">
                    <wps:wsp>
                      <wps:cNvSpPr txBox="1"/>
                      <wps:spPr>
                        <a:xfrm>
                          <a:off x="0" y="0"/>
                          <a:ext cx="528320" cy="272415"/>
                        </a:xfrm>
                        <a:prstGeom prst="rect">
                          <a:avLst/>
                        </a:prstGeom>
                        <a:noFill/>
                        <a:ln>
                          <a:noFill/>
                        </a:ln>
                      </wps:spPr>
                      <wps:txbx>
                        <w:txbxContent>
                          <w:p w14:paraId="0B3853BE">
                            <w:pPr>
                              <w:rPr>
                                <w:rFonts w:hint="default" w:eastAsia="宋体"/>
                                <w:color w:val="FF0000"/>
                                <w:lang w:val="en-US" w:eastAsia="zh-CN"/>
                              </w:rPr>
                            </w:pPr>
                            <w:r>
                              <w:rPr>
                                <w:rFonts w:hint="eastAsia"/>
                                <w:color w:val="FF0000"/>
                                <w:lang w:val="en-US" w:eastAsia="zh-CN"/>
                              </w:rPr>
                              <w:t>2#</w:t>
                            </w:r>
                          </w:p>
                        </w:txbxContent>
                      </wps:txbx>
                      <wps:bodyPr upright="1"/>
                    </wps:wsp>
                  </a:graphicData>
                </a:graphic>
              </wp:anchor>
            </w:drawing>
          </mc:Choice>
          <mc:Fallback>
            <w:pict>
              <v:shape id="_x0000_s1026" o:spid="_x0000_s1026" o:spt="202" type="#_x0000_t202" style="position:absolute;left:0pt;margin-left:200.7pt;margin-top:271.45pt;height:21.45pt;width:41.6pt;z-index:251707392;mso-width-relative:page;mso-height-relative:page;" filled="f" stroked="f" coordsize="21600,21600" o:gfxdata="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lW3NdcAAAAL&#10;AQAADwAAAAAAAAABACAAAAAiAAAAZHJzL2Rvd25yZXYueG1sUEsBAhQAFAAAAAgAh07iQPtrVeSr&#10;AQAATQMAAA4AAAAAAAAAAQAgAAAAJgEAAGRycy9lMm9Eb2MueG1sUEsFBgAAAAAGAAYAWQEAAEMF&#10;AAAAAA==&#10;">
                <v:fill on="f" focussize="0,0"/>
                <v:stroke on="f"/>
                <v:imagedata o:title=""/>
                <o:lock v:ext="edit" aspectratio="f"/>
                <v:textbox>
                  <w:txbxContent>
                    <w:p w14:paraId="0B3853BE">
                      <w:pPr>
                        <w:rPr>
                          <w:rFonts w:hint="default" w:eastAsia="宋体"/>
                          <w:color w:val="FF0000"/>
                          <w:lang w:val="en-US" w:eastAsia="zh-CN"/>
                        </w:rPr>
                      </w:pPr>
                      <w:r>
                        <w:rPr>
                          <w:rFonts w:hint="eastAsia"/>
                          <w:color w:val="FF0000"/>
                          <w:lang w:val="en-US" w:eastAsia="zh-CN"/>
                        </w:rPr>
                        <w:t>2#</w:t>
                      </w:r>
                    </w:p>
                  </w:txbxContent>
                </v:textbox>
              </v:shape>
            </w:pict>
          </mc:Fallback>
        </mc:AlternateContent>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2417445</wp:posOffset>
                </wp:positionH>
                <wp:positionV relativeFrom="paragraph">
                  <wp:posOffset>2092960</wp:posOffset>
                </wp:positionV>
                <wp:extent cx="528320" cy="27241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528320" cy="272415"/>
                        </a:xfrm>
                        <a:prstGeom prst="rect">
                          <a:avLst/>
                        </a:prstGeom>
                        <a:noFill/>
                        <a:ln>
                          <a:noFill/>
                        </a:ln>
                      </wps:spPr>
                      <wps:txbx>
                        <w:txbxContent>
                          <w:p w14:paraId="3E78CEDD">
                            <w:pPr>
                              <w:rPr>
                                <w:rFonts w:hint="default" w:eastAsia="宋体"/>
                                <w:color w:val="FF0000"/>
                                <w:lang w:val="en-US" w:eastAsia="zh-CN"/>
                              </w:rPr>
                            </w:pPr>
                            <w:r>
                              <w:rPr>
                                <w:rFonts w:hint="eastAsia"/>
                                <w:color w:val="FF0000"/>
                                <w:lang w:val="en-US" w:eastAsia="zh-CN"/>
                              </w:rPr>
                              <w:t>1#</w:t>
                            </w:r>
                          </w:p>
                        </w:txbxContent>
                      </wps:txbx>
                      <wps:bodyPr upright="1"/>
                    </wps:wsp>
                  </a:graphicData>
                </a:graphic>
              </wp:anchor>
            </w:drawing>
          </mc:Choice>
          <mc:Fallback>
            <w:pict>
              <v:shape id="_x0000_s1026" o:spid="_x0000_s1026" o:spt="202" type="#_x0000_t202" style="position:absolute;left:0pt;margin-left:190.35pt;margin-top:164.8pt;height:21.45pt;width:41.6pt;z-index:251706368;mso-width-relative:page;mso-height-relative:page;" filled="f" stroked="f" coordsize="21600,21600" o:gfxdata="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aWXGnZ&#10;AAAACwEAAA8AAAAAAAAAAQAgAAAAIgAAAGRycy9kb3ducmV2LnhtbFBLAQIUABQAAAAIAIdO4kBu&#10;REdnrQEAAE8DAAAOAAAAAAAAAAEAIAAAACgBAABkcnMvZTJvRG9jLnhtbFBLBQYAAAAABgAGAFkB&#10;AABHBQAAAAA=&#10;">
                <v:fill on="f" focussize="0,0"/>
                <v:stroke on="f"/>
                <v:imagedata o:title=""/>
                <o:lock v:ext="edit" aspectratio="f"/>
                <v:textbox>
                  <w:txbxContent>
                    <w:p w14:paraId="3E78CEDD">
                      <w:pPr>
                        <w:rPr>
                          <w:rFonts w:hint="default" w:eastAsia="宋体"/>
                          <w:color w:val="FF0000"/>
                          <w:lang w:val="en-US" w:eastAsia="zh-CN"/>
                        </w:rPr>
                      </w:pPr>
                      <w:r>
                        <w:rPr>
                          <w:rFonts w:hint="eastAsia"/>
                          <w:color w:val="FF0000"/>
                          <w:lang w:val="en-US" w:eastAsia="zh-CN"/>
                        </w:rPr>
                        <w:t>1#</w:t>
                      </w:r>
                    </w:p>
                  </w:txbxContent>
                </v:textbox>
              </v:shape>
            </w:pict>
          </mc:Fallback>
        </mc:AlternateContent>
      </w:r>
      <w:r>
        <w:drawing>
          <wp:inline distT="0" distB="0" distL="114300" distR="114300">
            <wp:extent cx="5728970" cy="5586730"/>
            <wp:effectExtent l="0" t="0" r="5080" b="13970"/>
            <wp:docPr id="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
                    <pic:cNvPicPr>
                      <a:picLocks noChangeAspect="1"/>
                    </pic:cNvPicPr>
                  </pic:nvPicPr>
                  <pic:blipFill>
                    <a:blip r:embed="rId64"/>
                    <a:stretch>
                      <a:fillRect/>
                    </a:stretch>
                  </pic:blipFill>
                  <pic:spPr>
                    <a:xfrm>
                      <a:off x="0" y="0"/>
                      <a:ext cx="5728970" cy="5586730"/>
                    </a:xfrm>
                    <a:prstGeom prst="rect">
                      <a:avLst/>
                    </a:prstGeom>
                    <a:noFill/>
                    <a:ln>
                      <a:noFill/>
                    </a:ln>
                  </pic:spPr>
                </pic:pic>
              </a:graphicData>
            </a:graphic>
          </wp:inline>
        </w:drawing>
      </w:r>
    </w:p>
    <w:p w14:paraId="1A4CE8BC">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图3-1  地表水环境质量现状补充监测断面布置图</w:t>
      </w:r>
    </w:p>
    <w:p w14:paraId="6CD2F68C">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（2）监测项目</w:t>
      </w:r>
    </w:p>
    <w:p w14:paraId="4B91BFF6">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化学需氧量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氨氮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五日生化需氧量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总磷</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高锰酸盐指数</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pH</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挥发酚</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氰化物</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铜</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硫酸盐</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氯化物</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溶解氧，共计1</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项。</w:t>
      </w:r>
    </w:p>
    <w:p w14:paraId="188AD1EF">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（3）监测时间及频次</w:t>
      </w:r>
    </w:p>
    <w:p w14:paraId="1C05E659">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202</w:t>
      </w:r>
      <w:r>
        <w:rPr>
          <w:rFonts w:hint="eastAsia" w:cs="Times New Roman"/>
          <w:color w:val="auto"/>
          <w:sz w:val="24"/>
          <w:highlight w:val="none"/>
          <w:lang w:val="en-US" w:eastAsia="zh-CN"/>
        </w:rPr>
        <w:t>6</w:t>
      </w:r>
      <w:r>
        <w:rPr>
          <w:rFonts w:hint="eastAsia" w:ascii="Times New Roman" w:hAnsi="Times New Roman" w:eastAsia="宋体" w:cs="Times New Roman"/>
          <w:color w:val="auto"/>
          <w:sz w:val="24"/>
          <w:highlight w:val="none"/>
          <w:lang w:val="en-US" w:eastAsia="zh-CN"/>
        </w:rPr>
        <w:t>年</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月</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4日</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202</w:t>
      </w:r>
      <w:r>
        <w:rPr>
          <w:rFonts w:hint="eastAsia" w:cs="Times New Roman"/>
          <w:color w:val="auto"/>
          <w:sz w:val="24"/>
          <w:highlight w:val="none"/>
          <w:lang w:val="en-US" w:eastAsia="zh-CN"/>
        </w:rPr>
        <w:t>6</w:t>
      </w:r>
      <w:r>
        <w:rPr>
          <w:rFonts w:hint="eastAsia" w:ascii="Times New Roman" w:hAnsi="Times New Roman" w:eastAsia="宋体" w:cs="Times New Roman"/>
          <w:color w:val="auto"/>
          <w:sz w:val="24"/>
          <w:highlight w:val="none"/>
          <w:lang w:val="en-US" w:eastAsia="zh-CN"/>
        </w:rPr>
        <w:t>年</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月</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6日，连续监测3天，每天1次。</w:t>
      </w:r>
    </w:p>
    <w:p w14:paraId="088B1D40">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（4）监测结果</w:t>
      </w:r>
    </w:p>
    <w:p w14:paraId="37C78BD7">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p>
    <w:p w14:paraId="4BEAE478">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p>
    <w:p w14:paraId="31138ED2">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p>
    <w:p w14:paraId="7E9EAC62">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p>
    <w:p w14:paraId="719E4540">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p>
    <w:p w14:paraId="7D7DB84B">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表3-3  地表水监测结果统计表</w:t>
      </w:r>
    </w:p>
    <w:tbl>
      <w:tblPr>
        <w:tblStyle w:val="53"/>
        <w:tblW w:w="8994"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23" w:type="dxa"/>
          <w:bottom w:w="0" w:type="dxa"/>
          <w:right w:w="23" w:type="dxa"/>
        </w:tblCellMar>
      </w:tblPr>
      <w:tblGrid>
        <w:gridCol w:w="1336"/>
        <w:gridCol w:w="869"/>
        <w:gridCol w:w="871"/>
        <w:gridCol w:w="878"/>
        <w:gridCol w:w="873"/>
        <w:gridCol w:w="873"/>
        <w:gridCol w:w="978"/>
        <w:gridCol w:w="920"/>
        <w:gridCol w:w="1396"/>
      </w:tblGrid>
      <w:tr w14:paraId="290A893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vMerge w:val="restart"/>
            <w:tcBorders>
              <w:tl2br w:val="nil"/>
              <w:tr2bl w:val="nil"/>
            </w:tcBorders>
            <w:noWrap w:val="0"/>
            <w:vAlign w:val="center"/>
          </w:tcPr>
          <w:p w14:paraId="7B3A6AC8">
            <w:pPr>
              <w:spacing w:line="240" w:lineRule="auto"/>
              <w:jc w:val="center"/>
              <w:rPr>
                <w:rFonts w:hint="eastAsia" w:eastAsia="宋体"/>
                <w:bCs/>
                <w:color w:val="auto"/>
                <w:sz w:val="21"/>
                <w:szCs w:val="21"/>
                <w:lang w:eastAsia="zh-CN"/>
              </w:rPr>
            </w:pPr>
            <w:r>
              <w:rPr>
                <w:rFonts w:hint="eastAsia"/>
                <w:bCs/>
                <w:color w:val="auto"/>
                <w:sz w:val="21"/>
                <w:szCs w:val="21"/>
                <w:lang w:eastAsia="zh-CN"/>
              </w:rPr>
              <w:t>监测</w:t>
            </w:r>
          </w:p>
          <w:p w14:paraId="28AE095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bCs/>
                <w:color w:val="auto"/>
                <w:sz w:val="21"/>
                <w:szCs w:val="21"/>
              </w:rPr>
              <w:t>项目</w:t>
            </w:r>
          </w:p>
        </w:tc>
        <w:tc>
          <w:tcPr>
            <w:tcW w:w="5342" w:type="dxa"/>
            <w:gridSpan w:val="6"/>
            <w:tcBorders>
              <w:tl2br w:val="nil"/>
              <w:tr2bl w:val="nil"/>
            </w:tcBorders>
            <w:noWrap w:val="0"/>
            <w:vAlign w:val="center"/>
          </w:tcPr>
          <w:p w14:paraId="2454377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color w:val="auto"/>
                <w:sz w:val="21"/>
                <w:szCs w:val="21"/>
              </w:rPr>
              <w:t>检测结果</w:t>
            </w:r>
          </w:p>
        </w:tc>
        <w:tc>
          <w:tcPr>
            <w:tcW w:w="920" w:type="dxa"/>
            <w:vMerge w:val="restart"/>
            <w:tcBorders>
              <w:tl2br w:val="nil"/>
              <w:tr2bl w:val="nil"/>
            </w:tcBorders>
            <w:noWrap w:val="0"/>
            <w:vAlign w:val="center"/>
          </w:tcPr>
          <w:p w14:paraId="1FED07BF">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bCs/>
                <w:color w:val="auto"/>
                <w:sz w:val="21"/>
                <w:szCs w:val="21"/>
              </w:rPr>
              <w:t>单位</w:t>
            </w:r>
          </w:p>
        </w:tc>
        <w:tc>
          <w:tcPr>
            <w:tcW w:w="1396" w:type="dxa"/>
            <w:vMerge w:val="restart"/>
            <w:tcBorders>
              <w:tl2br w:val="nil"/>
              <w:tr2bl w:val="nil"/>
            </w:tcBorders>
            <w:noWrap w:val="0"/>
            <w:vAlign w:val="center"/>
          </w:tcPr>
          <w:p w14:paraId="6446653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宋体" w:hAnsi="宋体" w:cs="宋体"/>
                <w:bCs/>
                <w:color w:val="auto"/>
                <w:sz w:val="21"/>
                <w:szCs w:val="21"/>
              </w:rPr>
              <w:t>Ⅲ</w:t>
            </w:r>
            <w:r>
              <w:rPr>
                <w:rFonts w:hint="eastAsia"/>
                <w:bCs/>
                <w:color w:val="auto"/>
                <w:sz w:val="21"/>
                <w:szCs w:val="21"/>
              </w:rPr>
              <w:t>类水质标准</w:t>
            </w:r>
          </w:p>
        </w:tc>
      </w:tr>
      <w:tr w14:paraId="41A757D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vMerge w:val="continue"/>
            <w:tcBorders>
              <w:tl2br w:val="nil"/>
              <w:tr2bl w:val="nil"/>
            </w:tcBorders>
            <w:noWrap w:val="0"/>
            <w:vAlign w:val="center"/>
          </w:tcPr>
          <w:p w14:paraId="2E68604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2618" w:type="dxa"/>
            <w:gridSpan w:val="3"/>
            <w:tcBorders>
              <w:tl2br w:val="nil"/>
              <w:tr2bl w:val="nil"/>
            </w:tcBorders>
            <w:noWrap w:val="0"/>
            <w:vAlign w:val="center"/>
          </w:tcPr>
          <w:p w14:paraId="6E8EEAA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lang w:val="en-US" w:eastAsia="zh-CN"/>
              </w:rPr>
              <w:t>1#</w:t>
            </w:r>
            <w:r>
              <w:rPr>
                <w:rFonts w:hint="eastAsia" w:cs="Times New Roman"/>
                <w:bCs/>
                <w:color w:val="auto"/>
                <w:kern w:val="0"/>
                <w:sz w:val="21"/>
                <w:szCs w:val="21"/>
                <w:lang w:val="en-US" w:eastAsia="zh-CN"/>
              </w:rPr>
              <w:t>排污口</w:t>
            </w:r>
            <w:r>
              <w:rPr>
                <w:rFonts w:hint="default" w:ascii="Times New Roman" w:hAnsi="Times New Roman" w:eastAsia="宋体" w:cs="Times New Roman"/>
                <w:bCs/>
                <w:color w:val="auto"/>
                <w:kern w:val="0"/>
                <w:sz w:val="21"/>
                <w:szCs w:val="21"/>
                <w:lang w:val="en-US" w:eastAsia="zh-CN"/>
              </w:rPr>
              <w:t>上游500m</w:t>
            </w:r>
          </w:p>
        </w:tc>
        <w:tc>
          <w:tcPr>
            <w:tcW w:w="2724" w:type="dxa"/>
            <w:gridSpan w:val="3"/>
            <w:tcBorders>
              <w:tl2br w:val="nil"/>
              <w:tr2bl w:val="nil"/>
            </w:tcBorders>
            <w:noWrap w:val="0"/>
            <w:vAlign w:val="center"/>
          </w:tcPr>
          <w:p w14:paraId="1366FDA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lang w:val="en-US" w:eastAsia="zh-CN"/>
              </w:rPr>
              <w:t>2#</w:t>
            </w:r>
            <w:r>
              <w:rPr>
                <w:rFonts w:hint="eastAsia" w:cs="Times New Roman"/>
                <w:bCs/>
                <w:color w:val="auto"/>
                <w:kern w:val="0"/>
                <w:sz w:val="21"/>
                <w:szCs w:val="21"/>
                <w:lang w:val="en-US" w:eastAsia="zh-CN"/>
              </w:rPr>
              <w:t>排污口</w:t>
            </w:r>
            <w:r>
              <w:rPr>
                <w:rFonts w:hint="default" w:ascii="Times New Roman" w:hAnsi="Times New Roman" w:eastAsia="宋体" w:cs="Times New Roman"/>
                <w:bCs/>
                <w:color w:val="auto"/>
                <w:kern w:val="0"/>
                <w:sz w:val="21"/>
                <w:szCs w:val="21"/>
                <w:lang w:val="en-US" w:eastAsia="zh-CN"/>
              </w:rPr>
              <w:t>下游1500m</w:t>
            </w:r>
          </w:p>
        </w:tc>
        <w:tc>
          <w:tcPr>
            <w:tcW w:w="920" w:type="dxa"/>
            <w:vMerge w:val="continue"/>
            <w:tcBorders>
              <w:tl2br w:val="nil"/>
              <w:tr2bl w:val="nil"/>
            </w:tcBorders>
            <w:noWrap w:val="0"/>
            <w:vAlign w:val="center"/>
          </w:tcPr>
          <w:p w14:paraId="54D6171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1396" w:type="dxa"/>
            <w:vMerge w:val="continue"/>
            <w:tcBorders>
              <w:tl2br w:val="nil"/>
              <w:tr2bl w:val="nil"/>
            </w:tcBorders>
            <w:noWrap w:val="0"/>
            <w:vAlign w:val="center"/>
          </w:tcPr>
          <w:p w14:paraId="38260B1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r>
      <w:tr w14:paraId="140D44A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vMerge w:val="continue"/>
            <w:tcBorders>
              <w:tl2br w:val="nil"/>
              <w:tr2bl w:val="nil"/>
            </w:tcBorders>
            <w:noWrap w:val="0"/>
            <w:vAlign w:val="center"/>
          </w:tcPr>
          <w:p w14:paraId="6EF21AA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869" w:type="dxa"/>
            <w:tcBorders>
              <w:tl2br w:val="nil"/>
              <w:tr2bl w:val="nil"/>
            </w:tcBorders>
            <w:noWrap w:val="0"/>
            <w:vAlign w:val="center"/>
          </w:tcPr>
          <w:p w14:paraId="49DEF270">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1.14</w:t>
            </w:r>
          </w:p>
        </w:tc>
        <w:tc>
          <w:tcPr>
            <w:tcW w:w="871" w:type="dxa"/>
            <w:tcBorders>
              <w:tl2br w:val="nil"/>
              <w:tr2bl w:val="nil"/>
            </w:tcBorders>
            <w:noWrap w:val="0"/>
            <w:vAlign w:val="center"/>
          </w:tcPr>
          <w:p w14:paraId="54E92A31">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1.15</w:t>
            </w:r>
          </w:p>
        </w:tc>
        <w:tc>
          <w:tcPr>
            <w:tcW w:w="878" w:type="dxa"/>
            <w:tcBorders>
              <w:tl2br w:val="nil"/>
              <w:tr2bl w:val="nil"/>
            </w:tcBorders>
            <w:noWrap w:val="0"/>
            <w:vAlign w:val="center"/>
          </w:tcPr>
          <w:p w14:paraId="2F1135CA">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1.16</w:t>
            </w:r>
          </w:p>
        </w:tc>
        <w:tc>
          <w:tcPr>
            <w:tcW w:w="873" w:type="dxa"/>
            <w:tcBorders>
              <w:tl2br w:val="nil"/>
              <w:tr2bl w:val="nil"/>
            </w:tcBorders>
            <w:noWrap w:val="0"/>
            <w:vAlign w:val="center"/>
          </w:tcPr>
          <w:p w14:paraId="307D1BE2">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1.14</w:t>
            </w:r>
          </w:p>
        </w:tc>
        <w:tc>
          <w:tcPr>
            <w:tcW w:w="873" w:type="dxa"/>
            <w:tcBorders>
              <w:tl2br w:val="nil"/>
              <w:tr2bl w:val="nil"/>
            </w:tcBorders>
            <w:noWrap w:val="0"/>
            <w:vAlign w:val="center"/>
          </w:tcPr>
          <w:p w14:paraId="356479F7">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1.15</w:t>
            </w:r>
          </w:p>
        </w:tc>
        <w:tc>
          <w:tcPr>
            <w:tcW w:w="978" w:type="dxa"/>
            <w:tcBorders>
              <w:tl2br w:val="nil"/>
              <w:tr2bl w:val="nil"/>
            </w:tcBorders>
            <w:noWrap w:val="0"/>
            <w:vAlign w:val="center"/>
          </w:tcPr>
          <w:p w14:paraId="18799B6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1.16</w:t>
            </w:r>
          </w:p>
        </w:tc>
        <w:tc>
          <w:tcPr>
            <w:tcW w:w="920" w:type="dxa"/>
            <w:vMerge w:val="continue"/>
            <w:tcBorders>
              <w:tl2br w:val="nil"/>
              <w:tr2bl w:val="nil"/>
            </w:tcBorders>
            <w:noWrap w:val="0"/>
            <w:vAlign w:val="center"/>
          </w:tcPr>
          <w:p w14:paraId="4F8E00D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1396" w:type="dxa"/>
            <w:vMerge w:val="continue"/>
            <w:tcBorders>
              <w:tl2br w:val="nil"/>
              <w:tr2bl w:val="nil"/>
            </w:tcBorders>
            <w:noWrap w:val="0"/>
            <w:vAlign w:val="center"/>
          </w:tcPr>
          <w:p w14:paraId="1A8C442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r>
      <w:tr w14:paraId="7995FB1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25735EA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化学需氧量</w:t>
            </w:r>
          </w:p>
        </w:tc>
        <w:tc>
          <w:tcPr>
            <w:tcW w:w="869" w:type="dxa"/>
            <w:tcBorders>
              <w:tl2br w:val="nil"/>
              <w:tr2bl w:val="nil"/>
            </w:tcBorders>
            <w:noWrap w:val="0"/>
            <w:vAlign w:val="center"/>
          </w:tcPr>
          <w:p w14:paraId="46EC62A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16</w:t>
            </w:r>
          </w:p>
        </w:tc>
        <w:tc>
          <w:tcPr>
            <w:tcW w:w="871" w:type="dxa"/>
            <w:tcBorders>
              <w:tl2br w:val="nil"/>
              <w:tr2bl w:val="nil"/>
            </w:tcBorders>
            <w:noWrap w:val="0"/>
            <w:vAlign w:val="center"/>
          </w:tcPr>
          <w:p w14:paraId="2B0DB27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16</w:t>
            </w:r>
          </w:p>
        </w:tc>
        <w:tc>
          <w:tcPr>
            <w:tcW w:w="878" w:type="dxa"/>
            <w:tcBorders>
              <w:tl2br w:val="nil"/>
              <w:tr2bl w:val="nil"/>
            </w:tcBorders>
            <w:noWrap w:val="0"/>
            <w:vAlign w:val="center"/>
          </w:tcPr>
          <w:p w14:paraId="34EBD23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17</w:t>
            </w:r>
          </w:p>
        </w:tc>
        <w:tc>
          <w:tcPr>
            <w:tcW w:w="873" w:type="dxa"/>
            <w:tcBorders>
              <w:tl2br w:val="nil"/>
              <w:tr2bl w:val="nil"/>
            </w:tcBorders>
            <w:noWrap w:val="0"/>
            <w:vAlign w:val="center"/>
          </w:tcPr>
          <w:p w14:paraId="45E996E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16</w:t>
            </w:r>
          </w:p>
        </w:tc>
        <w:tc>
          <w:tcPr>
            <w:tcW w:w="873" w:type="dxa"/>
            <w:tcBorders>
              <w:tl2br w:val="nil"/>
              <w:tr2bl w:val="nil"/>
            </w:tcBorders>
            <w:noWrap w:val="0"/>
            <w:vAlign w:val="center"/>
          </w:tcPr>
          <w:p w14:paraId="7768F4A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17</w:t>
            </w:r>
          </w:p>
        </w:tc>
        <w:tc>
          <w:tcPr>
            <w:tcW w:w="978" w:type="dxa"/>
            <w:tcBorders>
              <w:tl2br w:val="nil"/>
              <w:tr2bl w:val="nil"/>
            </w:tcBorders>
            <w:noWrap w:val="0"/>
            <w:vAlign w:val="center"/>
          </w:tcPr>
          <w:p w14:paraId="3A3D8BF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17</w:t>
            </w:r>
          </w:p>
        </w:tc>
        <w:tc>
          <w:tcPr>
            <w:tcW w:w="920" w:type="dxa"/>
            <w:tcBorders>
              <w:tl2br w:val="nil"/>
              <w:tr2bl w:val="nil"/>
            </w:tcBorders>
            <w:noWrap w:val="0"/>
            <w:vAlign w:val="center"/>
          </w:tcPr>
          <w:p w14:paraId="7B71AC2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73F4CE8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20</w:t>
            </w:r>
          </w:p>
        </w:tc>
      </w:tr>
      <w:tr w14:paraId="6DBEDCF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5317246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氨氮</w:t>
            </w:r>
          </w:p>
        </w:tc>
        <w:tc>
          <w:tcPr>
            <w:tcW w:w="869" w:type="dxa"/>
            <w:tcBorders>
              <w:tl2br w:val="nil"/>
              <w:tr2bl w:val="nil"/>
            </w:tcBorders>
            <w:noWrap w:val="0"/>
            <w:vAlign w:val="center"/>
          </w:tcPr>
          <w:p w14:paraId="5C46C0C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0.158</w:t>
            </w:r>
          </w:p>
        </w:tc>
        <w:tc>
          <w:tcPr>
            <w:tcW w:w="871" w:type="dxa"/>
            <w:tcBorders>
              <w:tl2br w:val="nil"/>
              <w:tr2bl w:val="nil"/>
            </w:tcBorders>
            <w:noWrap w:val="0"/>
            <w:vAlign w:val="center"/>
          </w:tcPr>
          <w:p w14:paraId="0386C83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0.151</w:t>
            </w:r>
          </w:p>
        </w:tc>
        <w:tc>
          <w:tcPr>
            <w:tcW w:w="878" w:type="dxa"/>
            <w:tcBorders>
              <w:tl2br w:val="nil"/>
              <w:tr2bl w:val="nil"/>
            </w:tcBorders>
            <w:noWrap w:val="0"/>
            <w:vAlign w:val="center"/>
          </w:tcPr>
          <w:p w14:paraId="7922939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0.171</w:t>
            </w:r>
          </w:p>
        </w:tc>
        <w:tc>
          <w:tcPr>
            <w:tcW w:w="873" w:type="dxa"/>
            <w:tcBorders>
              <w:tl2br w:val="nil"/>
              <w:tr2bl w:val="nil"/>
            </w:tcBorders>
            <w:noWrap w:val="0"/>
            <w:vAlign w:val="center"/>
          </w:tcPr>
          <w:p w14:paraId="0F9EBE1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0.130</w:t>
            </w:r>
          </w:p>
        </w:tc>
        <w:tc>
          <w:tcPr>
            <w:tcW w:w="873" w:type="dxa"/>
            <w:tcBorders>
              <w:tl2br w:val="nil"/>
              <w:tr2bl w:val="nil"/>
            </w:tcBorders>
            <w:noWrap w:val="0"/>
            <w:vAlign w:val="center"/>
          </w:tcPr>
          <w:p w14:paraId="56FAC18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0.132</w:t>
            </w:r>
          </w:p>
        </w:tc>
        <w:tc>
          <w:tcPr>
            <w:tcW w:w="978" w:type="dxa"/>
            <w:tcBorders>
              <w:tl2br w:val="nil"/>
              <w:tr2bl w:val="nil"/>
            </w:tcBorders>
            <w:noWrap w:val="0"/>
            <w:vAlign w:val="center"/>
          </w:tcPr>
          <w:p w14:paraId="1F3D273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0.152</w:t>
            </w:r>
          </w:p>
        </w:tc>
        <w:tc>
          <w:tcPr>
            <w:tcW w:w="920" w:type="dxa"/>
            <w:tcBorders>
              <w:tl2br w:val="nil"/>
              <w:tr2bl w:val="nil"/>
            </w:tcBorders>
            <w:noWrap w:val="0"/>
            <w:vAlign w:val="center"/>
          </w:tcPr>
          <w:p w14:paraId="0DE8ABB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2142179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1.0</w:t>
            </w:r>
          </w:p>
        </w:tc>
      </w:tr>
      <w:tr w14:paraId="35A9394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21AE10B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五日生化需氧量</w:t>
            </w:r>
          </w:p>
        </w:tc>
        <w:tc>
          <w:tcPr>
            <w:tcW w:w="869" w:type="dxa"/>
            <w:tcBorders>
              <w:tl2br w:val="nil"/>
              <w:tr2bl w:val="nil"/>
            </w:tcBorders>
            <w:noWrap w:val="0"/>
            <w:vAlign w:val="center"/>
          </w:tcPr>
          <w:p w14:paraId="2DEBAD5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w:t>
            </w:r>
          </w:p>
        </w:tc>
        <w:tc>
          <w:tcPr>
            <w:tcW w:w="871" w:type="dxa"/>
            <w:tcBorders>
              <w:tl2br w:val="nil"/>
              <w:tr2bl w:val="nil"/>
            </w:tcBorders>
            <w:noWrap w:val="0"/>
            <w:vAlign w:val="center"/>
          </w:tcPr>
          <w:p w14:paraId="73E0A8D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2.7</w:t>
            </w:r>
          </w:p>
        </w:tc>
        <w:tc>
          <w:tcPr>
            <w:tcW w:w="878" w:type="dxa"/>
            <w:tcBorders>
              <w:tl2br w:val="nil"/>
              <w:tr2bl w:val="nil"/>
            </w:tcBorders>
            <w:noWrap w:val="0"/>
            <w:vAlign w:val="center"/>
          </w:tcPr>
          <w:p w14:paraId="057390C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w:t>
            </w:r>
          </w:p>
        </w:tc>
        <w:tc>
          <w:tcPr>
            <w:tcW w:w="873" w:type="dxa"/>
            <w:tcBorders>
              <w:tl2br w:val="nil"/>
              <w:tr2bl w:val="nil"/>
            </w:tcBorders>
            <w:noWrap w:val="0"/>
            <w:vAlign w:val="center"/>
          </w:tcPr>
          <w:p w14:paraId="54B612E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3.0</w:t>
            </w:r>
          </w:p>
        </w:tc>
        <w:tc>
          <w:tcPr>
            <w:tcW w:w="873" w:type="dxa"/>
            <w:tcBorders>
              <w:tl2br w:val="nil"/>
              <w:tr2bl w:val="nil"/>
            </w:tcBorders>
            <w:noWrap w:val="0"/>
            <w:vAlign w:val="center"/>
          </w:tcPr>
          <w:p w14:paraId="347A777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2.8</w:t>
            </w:r>
          </w:p>
        </w:tc>
        <w:tc>
          <w:tcPr>
            <w:tcW w:w="978" w:type="dxa"/>
            <w:tcBorders>
              <w:tl2br w:val="nil"/>
              <w:tr2bl w:val="nil"/>
            </w:tcBorders>
            <w:noWrap w:val="0"/>
            <w:vAlign w:val="center"/>
          </w:tcPr>
          <w:p w14:paraId="77E5FF3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2.9</w:t>
            </w:r>
          </w:p>
        </w:tc>
        <w:tc>
          <w:tcPr>
            <w:tcW w:w="920" w:type="dxa"/>
            <w:tcBorders>
              <w:tl2br w:val="nil"/>
              <w:tr2bl w:val="nil"/>
            </w:tcBorders>
            <w:noWrap w:val="0"/>
            <w:vAlign w:val="center"/>
          </w:tcPr>
          <w:p w14:paraId="7545539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089FAF9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4</w:t>
            </w:r>
          </w:p>
        </w:tc>
      </w:tr>
      <w:tr w14:paraId="6C2B6AD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6FBFAD8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总磷</w:t>
            </w:r>
          </w:p>
        </w:tc>
        <w:tc>
          <w:tcPr>
            <w:tcW w:w="869" w:type="dxa"/>
            <w:tcBorders>
              <w:tl2br w:val="nil"/>
              <w:tr2bl w:val="nil"/>
            </w:tcBorders>
            <w:noWrap w:val="0"/>
            <w:vAlign w:val="center"/>
          </w:tcPr>
          <w:p w14:paraId="2A21FBF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0.07</w:t>
            </w:r>
          </w:p>
        </w:tc>
        <w:tc>
          <w:tcPr>
            <w:tcW w:w="871" w:type="dxa"/>
            <w:tcBorders>
              <w:tl2br w:val="nil"/>
              <w:tr2bl w:val="nil"/>
            </w:tcBorders>
            <w:noWrap w:val="0"/>
            <w:vAlign w:val="center"/>
          </w:tcPr>
          <w:p w14:paraId="0D6D331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0.06</w:t>
            </w:r>
          </w:p>
        </w:tc>
        <w:tc>
          <w:tcPr>
            <w:tcW w:w="878" w:type="dxa"/>
            <w:tcBorders>
              <w:tl2br w:val="nil"/>
              <w:tr2bl w:val="nil"/>
            </w:tcBorders>
            <w:noWrap w:val="0"/>
            <w:vAlign w:val="center"/>
          </w:tcPr>
          <w:p w14:paraId="222D180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0.07</w:t>
            </w:r>
          </w:p>
        </w:tc>
        <w:tc>
          <w:tcPr>
            <w:tcW w:w="873" w:type="dxa"/>
            <w:tcBorders>
              <w:tl2br w:val="nil"/>
              <w:tr2bl w:val="nil"/>
            </w:tcBorders>
            <w:noWrap w:val="0"/>
            <w:vAlign w:val="center"/>
          </w:tcPr>
          <w:p w14:paraId="1D910BE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0.06</w:t>
            </w:r>
          </w:p>
        </w:tc>
        <w:tc>
          <w:tcPr>
            <w:tcW w:w="873" w:type="dxa"/>
            <w:tcBorders>
              <w:tl2br w:val="nil"/>
              <w:tr2bl w:val="nil"/>
            </w:tcBorders>
            <w:noWrap w:val="0"/>
            <w:vAlign w:val="center"/>
          </w:tcPr>
          <w:p w14:paraId="4F2A4B6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0.04</w:t>
            </w:r>
          </w:p>
        </w:tc>
        <w:tc>
          <w:tcPr>
            <w:tcW w:w="978" w:type="dxa"/>
            <w:tcBorders>
              <w:tl2br w:val="nil"/>
              <w:tr2bl w:val="nil"/>
            </w:tcBorders>
            <w:noWrap w:val="0"/>
            <w:vAlign w:val="center"/>
          </w:tcPr>
          <w:p w14:paraId="3CC317E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0.05</w:t>
            </w:r>
          </w:p>
        </w:tc>
        <w:tc>
          <w:tcPr>
            <w:tcW w:w="920" w:type="dxa"/>
            <w:tcBorders>
              <w:tl2br w:val="nil"/>
              <w:tr2bl w:val="nil"/>
            </w:tcBorders>
            <w:noWrap w:val="0"/>
            <w:vAlign w:val="center"/>
          </w:tcPr>
          <w:p w14:paraId="48135A5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0A86B43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0.2</w:t>
            </w:r>
          </w:p>
        </w:tc>
      </w:tr>
      <w:tr w14:paraId="4563400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4E36F7B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高锰酸盐指数</w:t>
            </w:r>
          </w:p>
        </w:tc>
        <w:tc>
          <w:tcPr>
            <w:tcW w:w="869" w:type="dxa"/>
            <w:tcBorders>
              <w:tl2br w:val="nil"/>
              <w:tr2bl w:val="nil"/>
            </w:tcBorders>
            <w:noWrap w:val="0"/>
            <w:vAlign w:val="center"/>
          </w:tcPr>
          <w:p w14:paraId="1CE20C3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4.8</w:t>
            </w:r>
          </w:p>
        </w:tc>
        <w:tc>
          <w:tcPr>
            <w:tcW w:w="871" w:type="dxa"/>
            <w:tcBorders>
              <w:tl2br w:val="nil"/>
              <w:tr2bl w:val="nil"/>
            </w:tcBorders>
            <w:noWrap w:val="0"/>
            <w:vAlign w:val="center"/>
          </w:tcPr>
          <w:p w14:paraId="121C12AF">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5.1</w:t>
            </w:r>
          </w:p>
        </w:tc>
        <w:tc>
          <w:tcPr>
            <w:tcW w:w="878" w:type="dxa"/>
            <w:tcBorders>
              <w:tl2br w:val="nil"/>
              <w:tr2bl w:val="nil"/>
            </w:tcBorders>
            <w:noWrap w:val="0"/>
            <w:vAlign w:val="center"/>
          </w:tcPr>
          <w:p w14:paraId="1B99A22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4.9</w:t>
            </w:r>
          </w:p>
        </w:tc>
        <w:tc>
          <w:tcPr>
            <w:tcW w:w="873" w:type="dxa"/>
            <w:tcBorders>
              <w:tl2br w:val="nil"/>
              <w:tr2bl w:val="nil"/>
            </w:tcBorders>
            <w:noWrap w:val="0"/>
            <w:vAlign w:val="center"/>
          </w:tcPr>
          <w:p w14:paraId="4EBE575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4.6</w:t>
            </w:r>
          </w:p>
        </w:tc>
        <w:tc>
          <w:tcPr>
            <w:tcW w:w="873" w:type="dxa"/>
            <w:tcBorders>
              <w:tl2br w:val="nil"/>
              <w:tr2bl w:val="nil"/>
            </w:tcBorders>
            <w:noWrap w:val="0"/>
            <w:vAlign w:val="center"/>
          </w:tcPr>
          <w:p w14:paraId="06AC778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w:t>
            </w:r>
          </w:p>
        </w:tc>
        <w:tc>
          <w:tcPr>
            <w:tcW w:w="978" w:type="dxa"/>
            <w:tcBorders>
              <w:tl2br w:val="nil"/>
              <w:tr2bl w:val="nil"/>
            </w:tcBorders>
            <w:noWrap w:val="0"/>
            <w:vAlign w:val="center"/>
          </w:tcPr>
          <w:p w14:paraId="56DDE33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4.7</w:t>
            </w:r>
          </w:p>
        </w:tc>
        <w:tc>
          <w:tcPr>
            <w:tcW w:w="920" w:type="dxa"/>
            <w:tcBorders>
              <w:tl2br w:val="nil"/>
              <w:tr2bl w:val="nil"/>
            </w:tcBorders>
            <w:noWrap w:val="0"/>
            <w:vAlign w:val="center"/>
          </w:tcPr>
          <w:p w14:paraId="5E0F197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4FC8C34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6</w:t>
            </w:r>
          </w:p>
        </w:tc>
      </w:tr>
      <w:tr w14:paraId="0D5DE1B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3646E8D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pH</w:t>
            </w:r>
          </w:p>
        </w:tc>
        <w:tc>
          <w:tcPr>
            <w:tcW w:w="869" w:type="dxa"/>
            <w:tcBorders>
              <w:tl2br w:val="nil"/>
              <w:tr2bl w:val="nil"/>
            </w:tcBorders>
            <w:noWrap w:val="0"/>
            <w:vAlign w:val="center"/>
          </w:tcPr>
          <w:p w14:paraId="716A83A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7.4</w:t>
            </w:r>
          </w:p>
        </w:tc>
        <w:tc>
          <w:tcPr>
            <w:tcW w:w="871" w:type="dxa"/>
            <w:tcBorders>
              <w:tl2br w:val="nil"/>
              <w:tr2bl w:val="nil"/>
            </w:tcBorders>
            <w:noWrap w:val="0"/>
            <w:vAlign w:val="center"/>
          </w:tcPr>
          <w:p w14:paraId="6ABA87A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7.3</w:t>
            </w:r>
          </w:p>
        </w:tc>
        <w:tc>
          <w:tcPr>
            <w:tcW w:w="878" w:type="dxa"/>
            <w:tcBorders>
              <w:tl2br w:val="nil"/>
              <w:tr2bl w:val="nil"/>
            </w:tcBorders>
            <w:noWrap w:val="0"/>
            <w:vAlign w:val="center"/>
          </w:tcPr>
          <w:p w14:paraId="7C2A9B9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7.4</w:t>
            </w:r>
          </w:p>
        </w:tc>
        <w:tc>
          <w:tcPr>
            <w:tcW w:w="873" w:type="dxa"/>
            <w:tcBorders>
              <w:tl2br w:val="nil"/>
              <w:tr2bl w:val="nil"/>
            </w:tcBorders>
            <w:noWrap w:val="0"/>
            <w:vAlign w:val="center"/>
          </w:tcPr>
          <w:p w14:paraId="12AE3FF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7.3</w:t>
            </w:r>
          </w:p>
        </w:tc>
        <w:tc>
          <w:tcPr>
            <w:tcW w:w="873" w:type="dxa"/>
            <w:tcBorders>
              <w:tl2br w:val="nil"/>
              <w:tr2bl w:val="nil"/>
            </w:tcBorders>
            <w:noWrap w:val="0"/>
            <w:vAlign w:val="center"/>
          </w:tcPr>
          <w:p w14:paraId="3C1FBF7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7.3</w:t>
            </w:r>
          </w:p>
        </w:tc>
        <w:tc>
          <w:tcPr>
            <w:tcW w:w="978" w:type="dxa"/>
            <w:tcBorders>
              <w:tl2br w:val="nil"/>
              <w:tr2bl w:val="nil"/>
            </w:tcBorders>
            <w:noWrap w:val="0"/>
            <w:vAlign w:val="center"/>
          </w:tcPr>
          <w:p w14:paraId="513DA9F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7.4</w:t>
            </w:r>
          </w:p>
        </w:tc>
        <w:tc>
          <w:tcPr>
            <w:tcW w:w="920" w:type="dxa"/>
            <w:tcBorders>
              <w:tl2br w:val="nil"/>
              <w:tr2bl w:val="nil"/>
            </w:tcBorders>
            <w:noWrap w:val="0"/>
            <w:vAlign w:val="center"/>
          </w:tcPr>
          <w:p w14:paraId="70198F1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无量纲</w:t>
            </w:r>
          </w:p>
        </w:tc>
        <w:tc>
          <w:tcPr>
            <w:tcW w:w="1396" w:type="dxa"/>
            <w:tcBorders>
              <w:tl2br w:val="nil"/>
              <w:tr2bl w:val="nil"/>
            </w:tcBorders>
            <w:noWrap w:val="0"/>
            <w:vAlign w:val="center"/>
          </w:tcPr>
          <w:p w14:paraId="0EE960C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6-9</w:t>
            </w:r>
          </w:p>
        </w:tc>
      </w:tr>
      <w:tr w14:paraId="73FA83F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5C0CCAF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总氮</w:t>
            </w:r>
          </w:p>
        </w:tc>
        <w:tc>
          <w:tcPr>
            <w:tcW w:w="869" w:type="dxa"/>
            <w:tcBorders>
              <w:tl2br w:val="nil"/>
              <w:tr2bl w:val="nil"/>
            </w:tcBorders>
            <w:noWrap w:val="0"/>
            <w:vAlign w:val="center"/>
          </w:tcPr>
          <w:p w14:paraId="23C40B0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0.58</w:t>
            </w:r>
          </w:p>
        </w:tc>
        <w:tc>
          <w:tcPr>
            <w:tcW w:w="871" w:type="dxa"/>
            <w:tcBorders>
              <w:tl2br w:val="nil"/>
              <w:tr2bl w:val="nil"/>
            </w:tcBorders>
            <w:noWrap w:val="0"/>
            <w:vAlign w:val="center"/>
          </w:tcPr>
          <w:p w14:paraId="355A77E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0.60</w:t>
            </w:r>
          </w:p>
        </w:tc>
        <w:tc>
          <w:tcPr>
            <w:tcW w:w="878" w:type="dxa"/>
            <w:tcBorders>
              <w:tl2br w:val="nil"/>
              <w:tr2bl w:val="nil"/>
            </w:tcBorders>
            <w:noWrap w:val="0"/>
            <w:vAlign w:val="center"/>
          </w:tcPr>
          <w:p w14:paraId="3EE3CC9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0.59</w:t>
            </w:r>
          </w:p>
        </w:tc>
        <w:tc>
          <w:tcPr>
            <w:tcW w:w="873" w:type="dxa"/>
            <w:tcBorders>
              <w:tl2br w:val="nil"/>
              <w:tr2bl w:val="nil"/>
            </w:tcBorders>
            <w:noWrap w:val="0"/>
            <w:vAlign w:val="center"/>
          </w:tcPr>
          <w:p w14:paraId="6924484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0.55</w:t>
            </w:r>
          </w:p>
        </w:tc>
        <w:tc>
          <w:tcPr>
            <w:tcW w:w="873" w:type="dxa"/>
            <w:tcBorders>
              <w:tl2br w:val="nil"/>
              <w:tr2bl w:val="nil"/>
            </w:tcBorders>
            <w:noWrap w:val="0"/>
            <w:vAlign w:val="center"/>
          </w:tcPr>
          <w:p w14:paraId="70CC69D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0.55</w:t>
            </w:r>
          </w:p>
        </w:tc>
        <w:tc>
          <w:tcPr>
            <w:tcW w:w="978" w:type="dxa"/>
            <w:tcBorders>
              <w:tl2br w:val="nil"/>
              <w:tr2bl w:val="nil"/>
            </w:tcBorders>
            <w:noWrap w:val="0"/>
            <w:vAlign w:val="center"/>
          </w:tcPr>
          <w:p w14:paraId="3B587D1F">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0.56</w:t>
            </w:r>
          </w:p>
        </w:tc>
        <w:tc>
          <w:tcPr>
            <w:tcW w:w="920" w:type="dxa"/>
            <w:tcBorders>
              <w:tl2br w:val="nil"/>
              <w:tr2bl w:val="nil"/>
            </w:tcBorders>
            <w:noWrap w:val="0"/>
            <w:vAlign w:val="center"/>
          </w:tcPr>
          <w:p w14:paraId="2E7560F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2EEC17A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1.0</w:t>
            </w:r>
          </w:p>
        </w:tc>
      </w:tr>
      <w:tr w14:paraId="0193B12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336" w:type="dxa"/>
            <w:tcBorders>
              <w:tl2br w:val="nil"/>
              <w:tr2bl w:val="nil"/>
            </w:tcBorders>
            <w:noWrap w:val="0"/>
            <w:vAlign w:val="center"/>
          </w:tcPr>
          <w:p w14:paraId="05D69A9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挥发酚</w:t>
            </w:r>
          </w:p>
        </w:tc>
        <w:tc>
          <w:tcPr>
            <w:tcW w:w="869" w:type="dxa"/>
            <w:tcBorders>
              <w:tl2br w:val="nil"/>
              <w:tr2bl w:val="nil"/>
            </w:tcBorders>
            <w:noWrap w:val="0"/>
            <w:vAlign w:val="center"/>
          </w:tcPr>
          <w:p w14:paraId="5FD536D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0.0003L</w:t>
            </w:r>
          </w:p>
        </w:tc>
        <w:tc>
          <w:tcPr>
            <w:tcW w:w="871" w:type="dxa"/>
            <w:tcBorders>
              <w:tl2br w:val="nil"/>
              <w:tr2bl w:val="nil"/>
            </w:tcBorders>
            <w:noWrap w:val="0"/>
            <w:vAlign w:val="center"/>
          </w:tcPr>
          <w:p w14:paraId="372B982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0.0003L</w:t>
            </w:r>
          </w:p>
        </w:tc>
        <w:tc>
          <w:tcPr>
            <w:tcW w:w="878" w:type="dxa"/>
            <w:tcBorders>
              <w:tl2br w:val="nil"/>
              <w:tr2bl w:val="nil"/>
            </w:tcBorders>
            <w:noWrap w:val="0"/>
            <w:vAlign w:val="center"/>
          </w:tcPr>
          <w:p w14:paraId="10CCE06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0.0003L</w:t>
            </w:r>
          </w:p>
        </w:tc>
        <w:tc>
          <w:tcPr>
            <w:tcW w:w="873" w:type="dxa"/>
            <w:tcBorders>
              <w:tl2br w:val="nil"/>
              <w:tr2bl w:val="nil"/>
            </w:tcBorders>
            <w:noWrap w:val="0"/>
            <w:vAlign w:val="center"/>
          </w:tcPr>
          <w:p w14:paraId="27FD667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0.0003L</w:t>
            </w:r>
          </w:p>
        </w:tc>
        <w:tc>
          <w:tcPr>
            <w:tcW w:w="873" w:type="dxa"/>
            <w:tcBorders>
              <w:tl2br w:val="nil"/>
              <w:tr2bl w:val="nil"/>
            </w:tcBorders>
            <w:noWrap w:val="0"/>
            <w:vAlign w:val="center"/>
          </w:tcPr>
          <w:p w14:paraId="2A408CE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0.0003L</w:t>
            </w:r>
          </w:p>
        </w:tc>
        <w:tc>
          <w:tcPr>
            <w:tcW w:w="978" w:type="dxa"/>
            <w:tcBorders>
              <w:tl2br w:val="nil"/>
              <w:tr2bl w:val="nil"/>
            </w:tcBorders>
            <w:noWrap w:val="0"/>
            <w:vAlign w:val="center"/>
          </w:tcPr>
          <w:p w14:paraId="7BBB6EE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0.0003L</w:t>
            </w:r>
          </w:p>
        </w:tc>
        <w:tc>
          <w:tcPr>
            <w:tcW w:w="920" w:type="dxa"/>
            <w:tcBorders>
              <w:tl2br w:val="nil"/>
              <w:tr2bl w:val="nil"/>
            </w:tcBorders>
            <w:noWrap w:val="0"/>
            <w:vAlign w:val="center"/>
          </w:tcPr>
          <w:p w14:paraId="6C63E86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3F23AF5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0.005</w:t>
            </w:r>
          </w:p>
        </w:tc>
      </w:tr>
      <w:tr w14:paraId="7219E9C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336" w:type="dxa"/>
            <w:tcBorders>
              <w:tl2br w:val="nil"/>
              <w:tr2bl w:val="nil"/>
            </w:tcBorders>
            <w:noWrap w:val="0"/>
            <w:vAlign w:val="center"/>
          </w:tcPr>
          <w:p w14:paraId="45EA668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氰化物</w:t>
            </w:r>
          </w:p>
        </w:tc>
        <w:tc>
          <w:tcPr>
            <w:tcW w:w="869" w:type="dxa"/>
            <w:tcBorders>
              <w:tl2br w:val="nil"/>
              <w:tr2bl w:val="nil"/>
            </w:tcBorders>
            <w:noWrap w:val="0"/>
            <w:vAlign w:val="center"/>
          </w:tcPr>
          <w:p w14:paraId="36C5512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1" w:type="dxa"/>
            <w:tcBorders>
              <w:tl2br w:val="nil"/>
              <w:tr2bl w:val="nil"/>
            </w:tcBorders>
            <w:noWrap w:val="0"/>
            <w:vAlign w:val="center"/>
          </w:tcPr>
          <w:p w14:paraId="0871E7B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8" w:type="dxa"/>
            <w:tcBorders>
              <w:tl2br w:val="nil"/>
              <w:tr2bl w:val="nil"/>
            </w:tcBorders>
            <w:noWrap w:val="0"/>
            <w:vAlign w:val="center"/>
          </w:tcPr>
          <w:p w14:paraId="537FB7D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3" w:type="dxa"/>
            <w:tcBorders>
              <w:tl2br w:val="nil"/>
              <w:tr2bl w:val="nil"/>
            </w:tcBorders>
            <w:noWrap w:val="0"/>
            <w:vAlign w:val="center"/>
          </w:tcPr>
          <w:p w14:paraId="228BFE4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3" w:type="dxa"/>
            <w:tcBorders>
              <w:tl2br w:val="nil"/>
              <w:tr2bl w:val="nil"/>
            </w:tcBorders>
            <w:noWrap w:val="0"/>
            <w:vAlign w:val="center"/>
          </w:tcPr>
          <w:p w14:paraId="2907600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978" w:type="dxa"/>
            <w:tcBorders>
              <w:tl2br w:val="nil"/>
              <w:tr2bl w:val="nil"/>
            </w:tcBorders>
            <w:noWrap w:val="0"/>
            <w:vAlign w:val="center"/>
          </w:tcPr>
          <w:p w14:paraId="73E1453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920" w:type="dxa"/>
            <w:tcBorders>
              <w:tl2br w:val="nil"/>
              <w:tr2bl w:val="nil"/>
            </w:tcBorders>
            <w:noWrap w:val="0"/>
            <w:vAlign w:val="center"/>
          </w:tcPr>
          <w:p w14:paraId="324E93D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5A49AE4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0.2</w:t>
            </w:r>
          </w:p>
        </w:tc>
      </w:tr>
      <w:tr w14:paraId="676B8B6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336" w:type="dxa"/>
            <w:tcBorders>
              <w:tl2br w:val="nil"/>
              <w:tr2bl w:val="nil"/>
            </w:tcBorders>
            <w:noWrap w:val="0"/>
            <w:vAlign w:val="center"/>
          </w:tcPr>
          <w:p w14:paraId="69E980A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铜</w:t>
            </w:r>
          </w:p>
        </w:tc>
        <w:tc>
          <w:tcPr>
            <w:tcW w:w="869" w:type="dxa"/>
            <w:tcBorders>
              <w:tl2br w:val="nil"/>
              <w:tr2bl w:val="nil"/>
            </w:tcBorders>
            <w:noWrap w:val="0"/>
            <w:vAlign w:val="center"/>
          </w:tcPr>
          <w:p w14:paraId="1A963FB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1" w:type="dxa"/>
            <w:tcBorders>
              <w:tl2br w:val="nil"/>
              <w:tr2bl w:val="nil"/>
            </w:tcBorders>
            <w:noWrap w:val="0"/>
            <w:vAlign w:val="center"/>
          </w:tcPr>
          <w:p w14:paraId="39D64B1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8" w:type="dxa"/>
            <w:tcBorders>
              <w:tl2br w:val="nil"/>
              <w:tr2bl w:val="nil"/>
            </w:tcBorders>
            <w:noWrap w:val="0"/>
            <w:vAlign w:val="center"/>
          </w:tcPr>
          <w:p w14:paraId="22CE772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3" w:type="dxa"/>
            <w:tcBorders>
              <w:tl2br w:val="nil"/>
              <w:tr2bl w:val="nil"/>
            </w:tcBorders>
            <w:noWrap w:val="0"/>
            <w:vAlign w:val="center"/>
          </w:tcPr>
          <w:p w14:paraId="5589F67F">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873" w:type="dxa"/>
            <w:tcBorders>
              <w:tl2br w:val="nil"/>
              <w:tr2bl w:val="nil"/>
            </w:tcBorders>
            <w:noWrap w:val="0"/>
            <w:vAlign w:val="center"/>
          </w:tcPr>
          <w:p w14:paraId="5C6FDAC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978" w:type="dxa"/>
            <w:tcBorders>
              <w:tl2br w:val="nil"/>
              <w:tr2bl w:val="nil"/>
            </w:tcBorders>
            <w:noWrap w:val="0"/>
            <w:vAlign w:val="center"/>
          </w:tcPr>
          <w:p w14:paraId="7E01639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920" w:type="dxa"/>
            <w:tcBorders>
              <w:tl2br w:val="nil"/>
              <w:tr2bl w:val="nil"/>
            </w:tcBorders>
            <w:noWrap w:val="0"/>
            <w:vAlign w:val="center"/>
          </w:tcPr>
          <w:p w14:paraId="782F5CA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4678A9B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1.0</w:t>
            </w:r>
          </w:p>
        </w:tc>
      </w:tr>
      <w:tr w14:paraId="0E4639A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336" w:type="dxa"/>
            <w:tcBorders>
              <w:tl2br w:val="nil"/>
              <w:tr2bl w:val="nil"/>
            </w:tcBorders>
            <w:noWrap w:val="0"/>
            <w:vAlign w:val="center"/>
          </w:tcPr>
          <w:p w14:paraId="112D12C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硫酸盐</w:t>
            </w:r>
          </w:p>
        </w:tc>
        <w:tc>
          <w:tcPr>
            <w:tcW w:w="869" w:type="dxa"/>
            <w:tcBorders>
              <w:tl2br w:val="nil"/>
              <w:tr2bl w:val="nil"/>
            </w:tcBorders>
            <w:noWrap w:val="0"/>
            <w:vAlign w:val="center"/>
          </w:tcPr>
          <w:p w14:paraId="3C834D2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6.02</w:t>
            </w:r>
          </w:p>
        </w:tc>
        <w:tc>
          <w:tcPr>
            <w:tcW w:w="871" w:type="dxa"/>
            <w:tcBorders>
              <w:tl2br w:val="nil"/>
              <w:tr2bl w:val="nil"/>
            </w:tcBorders>
            <w:noWrap w:val="0"/>
            <w:vAlign w:val="center"/>
          </w:tcPr>
          <w:p w14:paraId="5C7CEB8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5.04</w:t>
            </w:r>
          </w:p>
        </w:tc>
        <w:tc>
          <w:tcPr>
            <w:tcW w:w="878" w:type="dxa"/>
            <w:tcBorders>
              <w:tl2br w:val="nil"/>
              <w:tr2bl w:val="nil"/>
            </w:tcBorders>
            <w:noWrap w:val="0"/>
            <w:vAlign w:val="center"/>
          </w:tcPr>
          <w:p w14:paraId="1981394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5.16</w:t>
            </w:r>
          </w:p>
        </w:tc>
        <w:tc>
          <w:tcPr>
            <w:tcW w:w="873" w:type="dxa"/>
            <w:tcBorders>
              <w:tl2br w:val="nil"/>
              <w:tr2bl w:val="nil"/>
            </w:tcBorders>
            <w:noWrap w:val="0"/>
            <w:vAlign w:val="center"/>
          </w:tcPr>
          <w:p w14:paraId="129CDE9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4.52</w:t>
            </w:r>
          </w:p>
        </w:tc>
        <w:tc>
          <w:tcPr>
            <w:tcW w:w="873" w:type="dxa"/>
            <w:tcBorders>
              <w:tl2br w:val="nil"/>
              <w:tr2bl w:val="nil"/>
            </w:tcBorders>
            <w:noWrap w:val="0"/>
            <w:vAlign w:val="center"/>
          </w:tcPr>
          <w:p w14:paraId="1C22A59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5.15</w:t>
            </w:r>
          </w:p>
        </w:tc>
        <w:tc>
          <w:tcPr>
            <w:tcW w:w="978" w:type="dxa"/>
            <w:tcBorders>
              <w:tl2br w:val="nil"/>
              <w:tr2bl w:val="nil"/>
            </w:tcBorders>
            <w:noWrap w:val="0"/>
            <w:vAlign w:val="center"/>
          </w:tcPr>
          <w:p w14:paraId="7D8109F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5.46</w:t>
            </w:r>
          </w:p>
        </w:tc>
        <w:tc>
          <w:tcPr>
            <w:tcW w:w="920" w:type="dxa"/>
            <w:tcBorders>
              <w:tl2br w:val="nil"/>
              <w:tr2bl w:val="nil"/>
            </w:tcBorders>
            <w:noWrap w:val="0"/>
            <w:vAlign w:val="center"/>
          </w:tcPr>
          <w:p w14:paraId="075E32EF">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210C43D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0D5ABAB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336" w:type="dxa"/>
            <w:tcBorders>
              <w:tl2br w:val="nil"/>
              <w:tr2bl w:val="nil"/>
            </w:tcBorders>
            <w:noWrap w:val="0"/>
            <w:vAlign w:val="center"/>
          </w:tcPr>
          <w:p w14:paraId="6745F5A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氯化物</w:t>
            </w:r>
          </w:p>
        </w:tc>
        <w:tc>
          <w:tcPr>
            <w:tcW w:w="869" w:type="dxa"/>
            <w:tcBorders>
              <w:tl2br w:val="nil"/>
              <w:tr2bl w:val="nil"/>
            </w:tcBorders>
            <w:noWrap w:val="0"/>
            <w:vAlign w:val="center"/>
          </w:tcPr>
          <w:p w14:paraId="1D08E11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5.35</w:t>
            </w:r>
          </w:p>
        </w:tc>
        <w:tc>
          <w:tcPr>
            <w:tcW w:w="871" w:type="dxa"/>
            <w:tcBorders>
              <w:tl2br w:val="nil"/>
              <w:tr2bl w:val="nil"/>
            </w:tcBorders>
            <w:noWrap w:val="0"/>
            <w:vAlign w:val="center"/>
          </w:tcPr>
          <w:p w14:paraId="4C689A6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4.50</w:t>
            </w:r>
          </w:p>
        </w:tc>
        <w:tc>
          <w:tcPr>
            <w:tcW w:w="878" w:type="dxa"/>
            <w:tcBorders>
              <w:tl2br w:val="nil"/>
              <w:tr2bl w:val="nil"/>
            </w:tcBorders>
            <w:noWrap w:val="0"/>
            <w:vAlign w:val="center"/>
          </w:tcPr>
          <w:p w14:paraId="25EB12A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4.74</w:t>
            </w:r>
          </w:p>
        </w:tc>
        <w:tc>
          <w:tcPr>
            <w:tcW w:w="873" w:type="dxa"/>
            <w:tcBorders>
              <w:tl2br w:val="nil"/>
              <w:tr2bl w:val="nil"/>
            </w:tcBorders>
            <w:noWrap w:val="0"/>
            <w:vAlign w:val="center"/>
          </w:tcPr>
          <w:p w14:paraId="63E815E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4.14</w:t>
            </w:r>
          </w:p>
        </w:tc>
        <w:tc>
          <w:tcPr>
            <w:tcW w:w="873" w:type="dxa"/>
            <w:tcBorders>
              <w:tl2br w:val="nil"/>
              <w:tr2bl w:val="nil"/>
            </w:tcBorders>
            <w:noWrap w:val="0"/>
            <w:vAlign w:val="center"/>
          </w:tcPr>
          <w:p w14:paraId="488581A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4.82</w:t>
            </w:r>
          </w:p>
        </w:tc>
        <w:tc>
          <w:tcPr>
            <w:tcW w:w="978" w:type="dxa"/>
            <w:tcBorders>
              <w:tl2br w:val="nil"/>
              <w:tr2bl w:val="nil"/>
            </w:tcBorders>
            <w:noWrap w:val="0"/>
            <w:vAlign w:val="center"/>
          </w:tcPr>
          <w:p w14:paraId="16D1692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5.11</w:t>
            </w:r>
          </w:p>
        </w:tc>
        <w:tc>
          <w:tcPr>
            <w:tcW w:w="920" w:type="dxa"/>
            <w:tcBorders>
              <w:tl2br w:val="nil"/>
              <w:tr2bl w:val="nil"/>
            </w:tcBorders>
            <w:noWrap w:val="0"/>
            <w:vAlign w:val="center"/>
          </w:tcPr>
          <w:p w14:paraId="0283D56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6778DC8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w:t>
            </w:r>
          </w:p>
        </w:tc>
      </w:tr>
      <w:tr w14:paraId="25EE296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336" w:type="dxa"/>
            <w:tcBorders>
              <w:tl2br w:val="nil"/>
              <w:tr2bl w:val="nil"/>
            </w:tcBorders>
            <w:noWrap w:val="0"/>
            <w:vAlign w:val="center"/>
          </w:tcPr>
          <w:p w14:paraId="7486B5D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溶解氧</w:t>
            </w:r>
          </w:p>
        </w:tc>
        <w:tc>
          <w:tcPr>
            <w:tcW w:w="869" w:type="dxa"/>
            <w:tcBorders>
              <w:tl2br w:val="nil"/>
              <w:tr2bl w:val="nil"/>
            </w:tcBorders>
            <w:noWrap w:val="0"/>
            <w:vAlign w:val="center"/>
          </w:tcPr>
          <w:p w14:paraId="48C46B1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12.3</w:t>
            </w:r>
          </w:p>
        </w:tc>
        <w:tc>
          <w:tcPr>
            <w:tcW w:w="871" w:type="dxa"/>
            <w:tcBorders>
              <w:tl2br w:val="nil"/>
              <w:tr2bl w:val="nil"/>
            </w:tcBorders>
            <w:noWrap w:val="0"/>
            <w:vAlign w:val="center"/>
          </w:tcPr>
          <w:p w14:paraId="2D8A253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12.2</w:t>
            </w:r>
          </w:p>
        </w:tc>
        <w:tc>
          <w:tcPr>
            <w:tcW w:w="878" w:type="dxa"/>
            <w:tcBorders>
              <w:tl2br w:val="nil"/>
              <w:tr2bl w:val="nil"/>
            </w:tcBorders>
            <w:noWrap w:val="0"/>
            <w:vAlign w:val="center"/>
          </w:tcPr>
          <w:p w14:paraId="52F3329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12.4</w:t>
            </w:r>
          </w:p>
        </w:tc>
        <w:tc>
          <w:tcPr>
            <w:tcW w:w="873" w:type="dxa"/>
            <w:tcBorders>
              <w:tl2br w:val="nil"/>
              <w:tr2bl w:val="nil"/>
            </w:tcBorders>
            <w:noWrap w:val="0"/>
            <w:vAlign w:val="center"/>
          </w:tcPr>
          <w:p w14:paraId="4ABCC8B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12.6</w:t>
            </w:r>
          </w:p>
        </w:tc>
        <w:tc>
          <w:tcPr>
            <w:tcW w:w="873" w:type="dxa"/>
            <w:tcBorders>
              <w:tl2br w:val="nil"/>
              <w:tr2bl w:val="nil"/>
            </w:tcBorders>
            <w:noWrap w:val="0"/>
            <w:vAlign w:val="center"/>
          </w:tcPr>
          <w:p w14:paraId="7A090FA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12.5</w:t>
            </w:r>
          </w:p>
        </w:tc>
        <w:tc>
          <w:tcPr>
            <w:tcW w:w="978" w:type="dxa"/>
            <w:tcBorders>
              <w:tl2br w:val="nil"/>
              <w:tr2bl w:val="nil"/>
            </w:tcBorders>
            <w:noWrap w:val="0"/>
            <w:vAlign w:val="center"/>
          </w:tcPr>
          <w:p w14:paraId="19DE1A1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12.5</w:t>
            </w:r>
          </w:p>
        </w:tc>
        <w:tc>
          <w:tcPr>
            <w:tcW w:w="920" w:type="dxa"/>
            <w:tcBorders>
              <w:tl2br w:val="nil"/>
              <w:tr2bl w:val="nil"/>
            </w:tcBorders>
            <w:noWrap w:val="0"/>
            <w:vAlign w:val="center"/>
          </w:tcPr>
          <w:p w14:paraId="3CAEBF8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mg/L</w:t>
            </w:r>
          </w:p>
        </w:tc>
        <w:tc>
          <w:tcPr>
            <w:tcW w:w="1396" w:type="dxa"/>
            <w:tcBorders>
              <w:tl2br w:val="nil"/>
              <w:tr2bl w:val="nil"/>
            </w:tcBorders>
            <w:noWrap w:val="0"/>
            <w:vAlign w:val="center"/>
          </w:tcPr>
          <w:p w14:paraId="1528D3C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Arial" w:hAnsi="Arial" w:eastAsia="宋体" w:cs="Arial"/>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5</w:t>
            </w:r>
          </w:p>
        </w:tc>
      </w:tr>
    </w:tbl>
    <w:p w14:paraId="066B804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1"/>
          <w:szCs w:val="21"/>
          <w:lang w:eastAsia="zh-CN"/>
        </w:rPr>
        <w:t>注：表中</w:t>
      </w:r>
      <w:r>
        <w:rPr>
          <w:rFonts w:hint="eastAsia" w:cs="Times New Roman"/>
          <w:color w:val="auto"/>
          <w:sz w:val="21"/>
          <w:szCs w:val="21"/>
          <w:lang w:val="en-US" w:eastAsia="zh-CN"/>
        </w:rPr>
        <w:t>L</w:t>
      </w:r>
      <w:r>
        <w:rPr>
          <w:rFonts w:hint="eastAsia" w:ascii="Times New Roman" w:hAnsi="Times New Roman" w:eastAsia="宋体" w:cs="Times New Roman"/>
          <w:color w:val="auto"/>
          <w:sz w:val="21"/>
          <w:szCs w:val="21"/>
          <w:lang w:val="en-US" w:eastAsia="zh-CN"/>
        </w:rPr>
        <w:t>表示</w:t>
      </w:r>
      <w:r>
        <w:rPr>
          <w:rFonts w:hint="eastAsia" w:ascii="Times New Roman" w:hAnsi="Times New Roman" w:eastAsia="宋体" w:cs="Times New Roman"/>
          <w:color w:val="auto"/>
          <w:sz w:val="21"/>
          <w:szCs w:val="21"/>
          <w:lang w:eastAsia="zh-CN"/>
        </w:rPr>
        <w:t>低于检出限</w:t>
      </w:r>
      <w:r>
        <w:rPr>
          <w:rFonts w:hint="eastAsia" w:ascii="Times New Roman" w:hAnsi="Times New Roman" w:eastAsia="宋体" w:cs="Times New Roman"/>
          <w:color w:val="auto"/>
          <w:sz w:val="21"/>
          <w:szCs w:val="21"/>
          <w:lang w:val="en-US" w:eastAsia="zh-CN"/>
        </w:rPr>
        <w:t>。</w:t>
      </w:r>
    </w:p>
    <w:p w14:paraId="17A24B41">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3、地表水环境质量现状评价</w:t>
      </w:r>
    </w:p>
    <w:p w14:paraId="4F7CE6D7">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按照《环境影响评价技术导则-地表水环境》（HJ2.3-2018），评价方法采用水质指数法。</w:t>
      </w:r>
    </w:p>
    <w:p w14:paraId="3787A2DA">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（1）计算公式</w:t>
      </w:r>
    </w:p>
    <w:p w14:paraId="43A26727">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一般性水质因子（随着浓度增加而水质变差的水质因子）的指数计算公式：</w:t>
      </w:r>
    </w:p>
    <w:p w14:paraId="7BC79DC3">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object>
          <v:shape id="_x0000_i1026" o:spt="75" alt="" type="#_x0000_t75" style="height:36pt;width:54pt;" o:ole="t" filled="f" o:preferrelative="t" stroked="f" coordsize="21600,21600">
            <v:path/>
            <v:fill on="f" focussize="0,0"/>
            <v:stroke on="f"/>
            <v:imagedata r:id="rId66" o:title=""/>
            <o:lock v:ext="edit" aspectratio="t"/>
            <w10:wrap type="none"/>
            <w10:anchorlock/>
          </v:shape>
          <o:OLEObject Type="Embed" ProgID="Equation.3" ShapeID="_x0000_i1026" DrawAspect="Content" ObjectID="_1468075726" r:id="rId65">
            <o:LockedField>false</o:LockedField>
          </o:OLEObject>
        </w:object>
      </w:r>
    </w:p>
    <w:p w14:paraId="7EA6852B">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式中：Si,j－评价因子i的水质指数，大于1表明该水质因子超标；</w:t>
      </w:r>
    </w:p>
    <w:p w14:paraId="2A624ABC">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Ci,j－评价因子i在j点的实测统计代表值，mg/L；</w:t>
      </w:r>
    </w:p>
    <w:p w14:paraId="4616BD34">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Csi－评价因子i的水质评价标准限值，mg/L。</w:t>
      </w:r>
    </w:p>
    <w:p w14:paraId="5B545BF7">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DO的指数计算公式：</w:t>
      </w:r>
    </w:p>
    <w:p w14:paraId="1E881700">
      <w:pPr>
        <w:spacing w:line="360" w:lineRule="auto"/>
        <w:jc w:val="center"/>
        <w:rPr>
          <w:color w:val="auto"/>
          <w:sz w:val="24"/>
        </w:rPr>
      </w:pPr>
      <w:r>
        <w:rPr>
          <w:color w:val="auto"/>
        </w:rPr>
        <w:drawing>
          <wp:inline distT="0" distB="0" distL="114300" distR="114300">
            <wp:extent cx="2657475" cy="866775"/>
            <wp:effectExtent l="0" t="0" r="9525" b="9525"/>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67"/>
                    <a:stretch>
                      <a:fillRect/>
                    </a:stretch>
                  </pic:blipFill>
                  <pic:spPr>
                    <a:xfrm>
                      <a:off x="0" y="0"/>
                      <a:ext cx="2657475" cy="866775"/>
                    </a:xfrm>
                    <a:prstGeom prst="rect">
                      <a:avLst/>
                    </a:prstGeom>
                    <a:noFill/>
                    <a:ln>
                      <a:noFill/>
                    </a:ln>
                  </pic:spPr>
                </pic:pic>
              </a:graphicData>
            </a:graphic>
          </wp:inline>
        </w:drawing>
      </w:r>
    </w:p>
    <w:p w14:paraId="08886AF1">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式中：SDO，j—溶解氧的标准指数，大于1表明该水质因子超标；</w:t>
      </w:r>
    </w:p>
    <w:p w14:paraId="5DF5886F">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DOj—溶解氧在j点的实测统计代表值，mg/L；</w:t>
      </w:r>
    </w:p>
    <w:p w14:paraId="51C9B68F">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DOs—溶解氧的水质评价标准限值，mg/L；</w:t>
      </w:r>
    </w:p>
    <w:p w14:paraId="3BE22F86">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DOf—饱和溶解氧浓度，mg/L，对于河流，DOf =468/(31.6+T)</w:t>
      </w:r>
    </w:p>
    <w:p w14:paraId="20E78500">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T—水温，℃</w:t>
      </w:r>
    </w:p>
    <w:p w14:paraId="40EA435D">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pH值的指数计算公式：</w:t>
      </w:r>
    </w:p>
    <w:p w14:paraId="63C7C2AC">
      <w:pPr>
        <w:spacing w:line="360" w:lineRule="auto"/>
        <w:jc w:val="center"/>
        <w:rPr>
          <w:rFonts w:eastAsia="新宋体"/>
          <w:color w:val="auto"/>
          <w:position w:val="-28"/>
          <w:sz w:val="24"/>
          <w:szCs w:val="21"/>
        </w:rPr>
      </w:pPr>
      <w:r>
        <w:rPr>
          <w:color w:val="auto"/>
        </w:rPr>
        <w:drawing>
          <wp:inline distT="0" distB="0" distL="114300" distR="114300">
            <wp:extent cx="2896870" cy="544195"/>
            <wp:effectExtent l="0" t="0" r="17780" b="8255"/>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68"/>
                    <a:stretch>
                      <a:fillRect/>
                    </a:stretch>
                  </pic:blipFill>
                  <pic:spPr>
                    <a:xfrm>
                      <a:off x="0" y="0"/>
                      <a:ext cx="2896870" cy="544195"/>
                    </a:xfrm>
                    <a:prstGeom prst="rect">
                      <a:avLst/>
                    </a:prstGeom>
                    <a:noFill/>
                    <a:ln>
                      <a:noFill/>
                    </a:ln>
                  </pic:spPr>
                </pic:pic>
              </a:graphicData>
            </a:graphic>
          </wp:inline>
        </w:drawing>
      </w:r>
    </w:p>
    <w:p w14:paraId="623D2904">
      <w:pPr>
        <w:spacing w:line="360" w:lineRule="auto"/>
        <w:jc w:val="center"/>
        <w:rPr>
          <w:rFonts w:eastAsia="新宋体"/>
          <w:color w:val="auto"/>
          <w:position w:val="-28"/>
          <w:sz w:val="24"/>
          <w:szCs w:val="21"/>
        </w:rPr>
      </w:pPr>
      <w:r>
        <w:rPr>
          <w:color w:val="auto"/>
        </w:rPr>
        <w:drawing>
          <wp:inline distT="0" distB="0" distL="114300" distR="114300">
            <wp:extent cx="2882900" cy="544195"/>
            <wp:effectExtent l="0" t="0" r="12700" b="8255"/>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69"/>
                    <a:stretch>
                      <a:fillRect/>
                    </a:stretch>
                  </pic:blipFill>
                  <pic:spPr>
                    <a:xfrm>
                      <a:off x="0" y="0"/>
                      <a:ext cx="2882900" cy="544195"/>
                    </a:xfrm>
                    <a:prstGeom prst="rect">
                      <a:avLst/>
                    </a:prstGeom>
                    <a:noFill/>
                    <a:ln>
                      <a:noFill/>
                    </a:ln>
                  </pic:spPr>
                </pic:pic>
              </a:graphicData>
            </a:graphic>
          </wp:inline>
        </w:drawing>
      </w:r>
    </w:p>
    <w:p w14:paraId="50E348D4">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式中：SpH,j</w:t>
      </w:r>
      <w:r>
        <w:rPr>
          <w:rFonts w:hint="eastAsia" w:ascii="Times New Roman" w:hAnsi="Times New Roman" w:eastAsia="宋体" w:cs="Times New Roman"/>
          <w:color w:val="auto"/>
          <w:sz w:val="24"/>
          <w:highlight w:val="none"/>
          <w:lang w:val="en-US" w:eastAsia="zh-CN"/>
        </w:rPr>
        <w:softHyphen/>
      </w:r>
      <w:r>
        <w:rPr>
          <w:rFonts w:hint="eastAsia" w:ascii="Times New Roman" w:hAnsi="Times New Roman" w:eastAsia="宋体" w:cs="Times New Roman"/>
          <w:color w:val="auto"/>
          <w:sz w:val="24"/>
          <w:highlight w:val="none"/>
          <w:lang w:val="en-US" w:eastAsia="zh-CN"/>
        </w:rPr>
        <w:softHyphen/>
      </w:r>
      <w:r>
        <w:rPr>
          <w:rFonts w:hint="eastAsia" w:ascii="Times New Roman" w:hAnsi="Times New Roman" w:eastAsia="宋体" w:cs="Times New Roman"/>
          <w:color w:val="auto"/>
          <w:sz w:val="24"/>
          <w:highlight w:val="none"/>
          <w:lang w:val="en-US" w:eastAsia="zh-CN"/>
        </w:rPr>
        <w:t>－pH值的指数，大于1表明该水质因子超标；</w:t>
      </w:r>
    </w:p>
    <w:p w14:paraId="66B31D0E">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pHj－pH值的实测统计代表值；</w:t>
      </w:r>
    </w:p>
    <w:p w14:paraId="399DCE1B">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pHsd－评价标准中pH值的下限值；</w:t>
      </w:r>
    </w:p>
    <w:p w14:paraId="2C2557DA">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pHsu－评价标准中pH值的上限值。</w:t>
      </w:r>
    </w:p>
    <w:p w14:paraId="462C1C9B">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（2）水质评价因子</w:t>
      </w:r>
    </w:p>
    <w:p w14:paraId="64F79763">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《地表水环境质量标准》（GB3838-2002）Ⅲ类标准中无河流</w:t>
      </w:r>
      <w:r>
        <w:rPr>
          <w:rFonts w:hint="eastAsia" w:cs="Times New Roman"/>
          <w:color w:val="auto"/>
          <w:sz w:val="24"/>
          <w:highlight w:val="none"/>
          <w:lang w:val="en-US" w:eastAsia="zh-CN"/>
        </w:rPr>
        <w:t>硫酸盐、氯化物</w:t>
      </w:r>
      <w:r>
        <w:rPr>
          <w:rFonts w:hint="eastAsia" w:ascii="Times New Roman" w:hAnsi="Times New Roman" w:eastAsia="宋体" w:cs="Times New Roman"/>
          <w:color w:val="auto"/>
          <w:sz w:val="24"/>
          <w:highlight w:val="none"/>
          <w:lang w:val="en-US" w:eastAsia="zh-CN"/>
        </w:rPr>
        <w:t>标准，确定评价因子为化学需氧量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氨氮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五日生化需氧量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总磷</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高锰酸盐指数</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pH</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挥发酚</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氰化物</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铜</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溶解氧，共计</w:t>
      </w:r>
      <w:r>
        <w:rPr>
          <w:rFonts w:hint="eastAsia" w:cs="Times New Roman"/>
          <w:color w:val="auto"/>
          <w:sz w:val="24"/>
          <w:highlight w:val="none"/>
          <w:lang w:val="en-US" w:eastAsia="zh-CN"/>
        </w:rPr>
        <w:t>11</w:t>
      </w:r>
      <w:r>
        <w:rPr>
          <w:rFonts w:hint="eastAsia" w:ascii="Times New Roman" w:hAnsi="Times New Roman" w:eastAsia="宋体" w:cs="Times New Roman"/>
          <w:color w:val="auto"/>
          <w:sz w:val="24"/>
          <w:highlight w:val="none"/>
          <w:lang w:val="en-US" w:eastAsia="zh-CN"/>
        </w:rPr>
        <w:t>项。</w:t>
      </w:r>
    </w:p>
    <w:p w14:paraId="06DD9DEF">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（3）评价结果</w:t>
      </w:r>
    </w:p>
    <w:p w14:paraId="7AF42D93">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水质指数法计算结果见下表。</w:t>
      </w:r>
    </w:p>
    <w:p w14:paraId="5CB1E30B">
      <w:pPr>
        <w:widowControl w:val="0"/>
        <w:adjustRightInd w:val="0"/>
        <w:spacing w:before="0" w:beforeLines="0" w:after="0" w:line="360" w:lineRule="atLeast"/>
        <w:jc w:val="center"/>
        <w:textAlignment w:val="baseline"/>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eastAsia="宋体" w:cs="Times New Roman"/>
          <w:b/>
          <w:bCs/>
          <w:color w:val="auto"/>
          <w:kern w:val="2"/>
          <w:sz w:val="24"/>
          <w:szCs w:val="24"/>
          <w:lang w:val="en-US" w:eastAsia="zh-CN" w:bidi="ar-SA"/>
        </w:rPr>
        <w:t>表3-4  地表水监测因子水质指数计算结果</w:t>
      </w:r>
    </w:p>
    <w:tbl>
      <w:tblPr>
        <w:tblStyle w:val="53"/>
        <w:tblW w:w="8079" w:type="dxa"/>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23" w:type="dxa"/>
          <w:bottom w:w="0" w:type="dxa"/>
          <w:right w:w="23" w:type="dxa"/>
        </w:tblCellMar>
      </w:tblPr>
      <w:tblGrid>
        <w:gridCol w:w="1616"/>
        <w:gridCol w:w="1051"/>
        <w:gridCol w:w="1053"/>
        <w:gridCol w:w="1063"/>
        <w:gridCol w:w="1056"/>
        <w:gridCol w:w="1056"/>
        <w:gridCol w:w="1184"/>
      </w:tblGrid>
      <w:tr w14:paraId="46BE72A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vMerge w:val="restart"/>
            <w:tcBorders>
              <w:tl2br w:val="nil"/>
              <w:tr2bl w:val="nil"/>
            </w:tcBorders>
            <w:noWrap w:val="0"/>
            <w:vAlign w:val="center"/>
          </w:tcPr>
          <w:p w14:paraId="52FE1595">
            <w:pPr>
              <w:spacing w:line="240" w:lineRule="auto"/>
              <w:jc w:val="center"/>
              <w:rPr>
                <w:rFonts w:hint="eastAsia" w:eastAsia="宋体"/>
                <w:bCs/>
                <w:color w:val="auto"/>
                <w:sz w:val="21"/>
                <w:szCs w:val="21"/>
                <w:lang w:eastAsia="zh-CN"/>
              </w:rPr>
            </w:pPr>
            <w:r>
              <w:rPr>
                <w:rFonts w:hint="eastAsia"/>
                <w:bCs/>
                <w:color w:val="auto"/>
                <w:sz w:val="21"/>
                <w:szCs w:val="21"/>
                <w:lang w:eastAsia="zh-CN"/>
              </w:rPr>
              <w:t>监测</w:t>
            </w:r>
          </w:p>
          <w:p w14:paraId="41DFF89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bCs/>
                <w:color w:val="auto"/>
                <w:sz w:val="21"/>
                <w:szCs w:val="21"/>
              </w:rPr>
              <w:t>项目</w:t>
            </w:r>
          </w:p>
        </w:tc>
        <w:tc>
          <w:tcPr>
            <w:tcW w:w="6463" w:type="dxa"/>
            <w:gridSpan w:val="6"/>
            <w:tcBorders>
              <w:tl2br w:val="nil"/>
              <w:tr2bl w:val="nil"/>
            </w:tcBorders>
            <w:noWrap w:val="0"/>
            <w:vAlign w:val="center"/>
          </w:tcPr>
          <w:p w14:paraId="4E7366F1">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color w:val="auto"/>
                <w:sz w:val="21"/>
                <w:szCs w:val="21"/>
              </w:rPr>
              <w:t>检测结果</w:t>
            </w:r>
          </w:p>
        </w:tc>
      </w:tr>
      <w:tr w14:paraId="3763C3A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vMerge w:val="continue"/>
            <w:tcBorders>
              <w:tl2br w:val="nil"/>
              <w:tr2bl w:val="nil"/>
            </w:tcBorders>
            <w:noWrap w:val="0"/>
            <w:vAlign w:val="center"/>
          </w:tcPr>
          <w:p w14:paraId="3779A79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3167" w:type="dxa"/>
            <w:gridSpan w:val="3"/>
            <w:tcBorders>
              <w:tl2br w:val="nil"/>
              <w:tr2bl w:val="nil"/>
            </w:tcBorders>
            <w:noWrap w:val="0"/>
            <w:vAlign w:val="center"/>
          </w:tcPr>
          <w:p w14:paraId="54D93F0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lang w:val="en-US" w:eastAsia="zh-CN"/>
              </w:rPr>
              <w:t>1#</w:t>
            </w:r>
            <w:r>
              <w:rPr>
                <w:rFonts w:hint="eastAsia" w:cs="Times New Roman"/>
                <w:bCs/>
                <w:color w:val="auto"/>
                <w:kern w:val="0"/>
                <w:sz w:val="21"/>
                <w:szCs w:val="21"/>
                <w:lang w:val="en-US" w:eastAsia="zh-CN"/>
              </w:rPr>
              <w:t>排污口</w:t>
            </w:r>
            <w:r>
              <w:rPr>
                <w:rFonts w:hint="default" w:ascii="Times New Roman" w:hAnsi="Times New Roman" w:eastAsia="宋体" w:cs="Times New Roman"/>
                <w:bCs/>
                <w:color w:val="auto"/>
                <w:kern w:val="0"/>
                <w:sz w:val="21"/>
                <w:szCs w:val="21"/>
                <w:lang w:val="en-US" w:eastAsia="zh-CN"/>
              </w:rPr>
              <w:t>上游500m</w:t>
            </w:r>
          </w:p>
        </w:tc>
        <w:tc>
          <w:tcPr>
            <w:tcW w:w="3296" w:type="dxa"/>
            <w:gridSpan w:val="3"/>
            <w:tcBorders>
              <w:tl2br w:val="nil"/>
              <w:tr2bl w:val="nil"/>
            </w:tcBorders>
            <w:noWrap w:val="0"/>
            <w:vAlign w:val="center"/>
          </w:tcPr>
          <w:p w14:paraId="730B33E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Cs/>
                <w:color w:val="auto"/>
                <w:kern w:val="0"/>
                <w:sz w:val="21"/>
                <w:szCs w:val="21"/>
                <w:lang w:val="en-US" w:eastAsia="zh-CN"/>
              </w:rPr>
              <w:t>2#</w:t>
            </w:r>
            <w:r>
              <w:rPr>
                <w:rFonts w:hint="eastAsia" w:cs="Times New Roman"/>
                <w:bCs/>
                <w:color w:val="auto"/>
                <w:kern w:val="0"/>
                <w:sz w:val="21"/>
                <w:szCs w:val="21"/>
                <w:lang w:val="en-US" w:eastAsia="zh-CN"/>
              </w:rPr>
              <w:t>排污口</w:t>
            </w:r>
            <w:r>
              <w:rPr>
                <w:rFonts w:hint="default" w:ascii="Times New Roman" w:hAnsi="Times New Roman" w:eastAsia="宋体" w:cs="Times New Roman"/>
                <w:bCs/>
                <w:color w:val="auto"/>
                <w:kern w:val="0"/>
                <w:sz w:val="21"/>
                <w:szCs w:val="21"/>
                <w:lang w:val="en-US" w:eastAsia="zh-CN"/>
              </w:rPr>
              <w:t>下游1500m</w:t>
            </w:r>
          </w:p>
        </w:tc>
      </w:tr>
      <w:tr w14:paraId="766F935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vMerge w:val="continue"/>
            <w:tcBorders>
              <w:tl2br w:val="nil"/>
              <w:tr2bl w:val="nil"/>
            </w:tcBorders>
            <w:noWrap w:val="0"/>
            <w:vAlign w:val="center"/>
          </w:tcPr>
          <w:p w14:paraId="11B437E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p>
        </w:tc>
        <w:tc>
          <w:tcPr>
            <w:tcW w:w="1051" w:type="dxa"/>
            <w:tcBorders>
              <w:tl2br w:val="nil"/>
              <w:tr2bl w:val="nil"/>
            </w:tcBorders>
            <w:noWrap w:val="0"/>
            <w:vAlign w:val="center"/>
          </w:tcPr>
          <w:p w14:paraId="60E13601">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1.14</w:t>
            </w:r>
          </w:p>
        </w:tc>
        <w:tc>
          <w:tcPr>
            <w:tcW w:w="1053" w:type="dxa"/>
            <w:tcBorders>
              <w:tl2br w:val="nil"/>
              <w:tr2bl w:val="nil"/>
            </w:tcBorders>
            <w:noWrap w:val="0"/>
            <w:vAlign w:val="center"/>
          </w:tcPr>
          <w:p w14:paraId="6D5E3F54">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1.15</w:t>
            </w:r>
          </w:p>
        </w:tc>
        <w:tc>
          <w:tcPr>
            <w:tcW w:w="1063" w:type="dxa"/>
            <w:tcBorders>
              <w:tl2br w:val="nil"/>
              <w:tr2bl w:val="nil"/>
            </w:tcBorders>
            <w:noWrap w:val="0"/>
            <w:vAlign w:val="center"/>
          </w:tcPr>
          <w:p w14:paraId="312111C8">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1.16</w:t>
            </w:r>
          </w:p>
        </w:tc>
        <w:tc>
          <w:tcPr>
            <w:tcW w:w="1056" w:type="dxa"/>
            <w:tcBorders>
              <w:tl2br w:val="nil"/>
              <w:tr2bl w:val="nil"/>
            </w:tcBorders>
            <w:noWrap w:val="0"/>
            <w:vAlign w:val="center"/>
          </w:tcPr>
          <w:p w14:paraId="22FA2013">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1.14</w:t>
            </w:r>
          </w:p>
        </w:tc>
        <w:tc>
          <w:tcPr>
            <w:tcW w:w="1056" w:type="dxa"/>
            <w:tcBorders>
              <w:tl2br w:val="nil"/>
              <w:tr2bl w:val="nil"/>
            </w:tcBorders>
            <w:noWrap w:val="0"/>
            <w:vAlign w:val="center"/>
          </w:tcPr>
          <w:p w14:paraId="747ED348">
            <w:pPr>
              <w:widowControl/>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1.15</w:t>
            </w:r>
          </w:p>
        </w:tc>
        <w:tc>
          <w:tcPr>
            <w:tcW w:w="1184" w:type="dxa"/>
            <w:tcBorders>
              <w:tl2br w:val="nil"/>
              <w:tr2bl w:val="nil"/>
            </w:tcBorders>
            <w:noWrap w:val="0"/>
            <w:vAlign w:val="center"/>
          </w:tcPr>
          <w:p w14:paraId="55459EE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pacing w:val="-17"/>
                <w:kern w:val="0"/>
                <w:sz w:val="21"/>
                <w:szCs w:val="21"/>
                <w:lang w:val="en-US" w:eastAsia="zh-CN"/>
              </w:rPr>
              <w:t>1.16</w:t>
            </w:r>
          </w:p>
        </w:tc>
      </w:tr>
      <w:tr w14:paraId="4A9D46D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6A800A5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化学需氧量</w:t>
            </w:r>
          </w:p>
        </w:tc>
        <w:tc>
          <w:tcPr>
            <w:tcW w:w="1051" w:type="dxa"/>
            <w:tcBorders>
              <w:tl2br w:val="nil"/>
              <w:tr2bl w:val="nil"/>
            </w:tcBorders>
            <w:noWrap w:val="0"/>
            <w:vAlign w:val="center"/>
          </w:tcPr>
          <w:p w14:paraId="37EDC04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w:t>
            </w:r>
          </w:p>
        </w:tc>
        <w:tc>
          <w:tcPr>
            <w:tcW w:w="1053" w:type="dxa"/>
            <w:tcBorders>
              <w:tl2br w:val="nil"/>
              <w:tr2bl w:val="nil"/>
            </w:tcBorders>
            <w:noWrap w:val="0"/>
            <w:vAlign w:val="center"/>
          </w:tcPr>
          <w:p w14:paraId="373A9A7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w:t>
            </w:r>
          </w:p>
        </w:tc>
        <w:tc>
          <w:tcPr>
            <w:tcW w:w="1063" w:type="dxa"/>
            <w:tcBorders>
              <w:tl2br w:val="nil"/>
              <w:tr2bl w:val="nil"/>
            </w:tcBorders>
            <w:noWrap w:val="0"/>
            <w:vAlign w:val="center"/>
          </w:tcPr>
          <w:p w14:paraId="1C5A938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0.85</w:t>
            </w:r>
          </w:p>
        </w:tc>
        <w:tc>
          <w:tcPr>
            <w:tcW w:w="1056" w:type="dxa"/>
            <w:tcBorders>
              <w:tl2br w:val="nil"/>
              <w:tr2bl w:val="nil"/>
            </w:tcBorders>
            <w:noWrap w:val="0"/>
            <w:vAlign w:val="center"/>
          </w:tcPr>
          <w:p w14:paraId="4E26EAF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w:t>
            </w:r>
          </w:p>
        </w:tc>
        <w:tc>
          <w:tcPr>
            <w:tcW w:w="1056" w:type="dxa"/>
            <w:tcBorders>
              <w:tl2br w:val="nil"/>
              <w:tr2bl w:val="nil"/>
            </w:tcBorders>
            <w:noWrap w:val="0"/>
            <w:vAlign w:val="center"/>
          </w:tcPr>
          <w:p w14:paraId="29BFF4E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0.85</w:t>
            </w:r>
          </w:p>
        </w:tc>
        <w:tc>
          <w:tcPr>
            <w:tcW w:w="1184" w:type="dxa"/>
            <w:tcBorders>
              <w:tl2br w:val="nil"/>
              <w:tr2bl w:val="nil"/>
            </w:tcBorders>
            <w:noWrap w:val="0"/>
            <w:vAlign w:val="center"/>
          </w:tcPr>
          <w:p w14:paraId="4367A2D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0.85</w:t>
            </w:r>
          </w:p>
        </w:tc>
      </w:tr>
      <w:tr w14:paraId="0D85648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3E2B6AA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氨氮</w:t>
            </w:r>
          </w:p>
        </w:tc>
        <w:tc>
          <w:tcPr>
            <w:tcW w:w="1051" w:type="dxa"/>
            <w:tcBorders>
              <w:tl2br w:val="nil"/>
              <w:tr2bl w:val="nil"/>
            </w:tcBorders>
            <w:noWrap w:val="0"/>
            <w:vAlign w:val="center"/>
          </w:tcPr>
          <w:p w14:paraId="0CB5F38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0.158</w:t>
            </w:r>
          </w:p>
        </w:tc>
        <w:tc>
          <w:tcPr>
            <w:tcW w:w="1053" w:type="dxa"/>
            <w:tcBorders>
              <w:tl2br w:val="nil"/>
              <w:tr2bl w:val="nil"/>
            </w:tcBorders>
            <w:noWrap w:val="0"/>
            <w:vAlign w:val="center"/>
          </w:tcPr>
          <w:p w14:paraId="7CE1DF6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0.151</w:t>
            </w:r>
          </w:p>
        </w:tc>
        <w:tc>
          <w:tcPr>
            <w:tcW w:w="1063" w:type="dxa"/>
            <w:tcBorders>
              <w:tl2br w:val="nil"/>
              <w:tr2bl w:val="nil"/>
            </w:tcBorders>
            <w:noWrap w:val="0"/>
            <w:vAlign w:val="center"/>
          </w:tcPr>
          <w:p w14:paraId="1B9E63E0">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0.171</w:t>
            </w:r>
          </w:p>
        </w:tc>
        <w:tc>
          <w:tcPr>
            <w:tcW w:w="1056" w:type="dxa"/>
            <w:tcBorders>
              <w:tl2br w:val="nil"/>
              <w:tr2bl w:val="nil"/>
            </w:tcBorders>
            <w:noWrap w:val="0"/>
            <w:vAlign w:val="center"/>
          </w:tcPr>
          <w:p w14:paraId="23DE822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0.130</w:t>
            </w:r>
          </w:p>
        </w:tc>
        <w:tc>
          <w:tcPr>
            <w:tcW w:w="1056" w:type="dxa"/>
            <w:tcBorders>
              <w:tl2br w:val="nil"/>
              <w:tr2bl w:val="nil"/>
            </w:tcBorders>
            <w:noWrap w:val="0"/>
            <w:vAlign w:val="center"/>
          </w:tcPr>
          <w:p w14:paraId="0AA76E5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0.132</w:t>
            </w:r>
          </w:p>
        </w:tc>
        <w:tc>
          <w:tcPr>
            <w:tcW w:w="1184" w:type="dxa"/>
            <w:tcBorders>
              <w:tl2br w:val="nil"/>
              <w:tr2bl w:val="nil"/>
            </w:tcBorders>
            <w:noWrap w:val="0"/>
            <w:vAlign w:val="center"/>
          </w:tcPr>
          <w:p w14:paraId="566B2AD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0.152</w:t>
            </w:r>
          </w:p>
        </w:tc>
      </w:tr>
      <w:tr w14:paraId="2AC193D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6253B3E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五日生化需氧量</w:t>
            </w:r>
          </w:p>
        </w:tc>
        <w:tc>
          <w:tcPr>
            <w:tcW w:w="1051" w:type="dxa"/>
            <w:tcBorders>
              <w:tl2br w:val="nil"/>
              <w:tr2bl w:val="nil"/>
            </w:tcBorders>
            <w:noWrap w:val="0"/>
            <w:vAlign w:val="center"/>
          </w:tcPr>
          <w:p w14:paraId="5AE1905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w:t>
            </w:r>
          </w:p>
        </w:tc>
        <w:tc>
          <w:tcPr>
            <w:tcW w:w="1053" w:type="dxa"/>
            <w:tcBorders>
              <w:tl2br w:val="nil"/>
              <w:tr2bl w:val="nil"/>
            </w:tcBorders>
            <w:noWrap w:val="0"/>
            <w:vAlign w:val="center"/>
          </w:tcPr>
          <w:p w14:paraId="784625C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0.675</w:t>
            </w:r>
          </w:p>
        </w:tc>
        <w:tc>
          <w:tcPr>
            <w:tcW w:w="1063" w:type="dxa"/>
            <w:tcBorders>
              <w:tl2br w:val="nil"/>
              <w:tr2bl w:val="nil"/>
            </w:tcBorders>
            <w:noWrap w:val="0"/>
            <w:vAlign w:val="center"/>
          </w:tcPr>
          <w:p w14:paraId="7B1AFEE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0.75</w:t>
            </w:r>
          </w:p>
        </w:tc>
        <w:tc>
          <w:tcPr>
            <w:tcW w:w="1056" w:type="dxa"/>
            <w:tcBorders>
              <w:tl2br w:val="nil"/>
              <w:tr2bl w:val="nil"/>
            </w:tcBorders>
            <w:noWrap w:val="0"/>
            <w:vAlign w:val="center"/>
          </w:tcPr>
          <w:p w14:paraId="400790B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0.75</w:t>
            </w:r>
          </w:p>
        </w:tc>
        <w:tc>
          <w:tcPr>
            <w:tcW w:w="1056" w:type="dxa"/>
            <w:tcBorders>
              <w:tl2br w:val="nil"/>
              <w:tr2bl w:val="nil"/>
            </w:tcBorders>
            <w:noWrap w:val="0"/>
            <w:vAlign w:val="center"/>
          </w:tcPr>
          <w:p w14:paraId="0B4CEF2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w:t>
            </w:r>
          </w:p>
        </w:tc>
        <w:tc>
          <w:tcPr>
            <w:tcW w:w="1184" w:type="dxa"/>
            <w:tcBorders>
              <w:tl2br w:val="nil"/>
              <w:tr2bl w:val="nil"/>
            </w:tcBorders>
            <w:noWrap w:val="0"/>
            <w:vAlign w:val="center"/>
          </w:tcPr>
          <w:p w14:paraId="582CF08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0.725</w:t>
            </w:r>
          </w:p>
        </w:tc>
      </w:tr>
      <w:tr w14:paraId="643E566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0B57FF4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总磷</w:t>
            </w:r>
          </w:p>
        </w:tc>
        <w:tc>
          <w:tcPr>
            <w:tcW w:w="1051" w:type="dxa"/>
            <w:tcBorders>
              <w:tl2br w:val="nil"/>
              <w:tr2bl w:val="nil"/>
            </w:tcBorders>
            <w:noWrap w:val="0"/>
            <w:vAlign w:val="center"/>
          </w:tcPr>
          <w:p w14:paraId="000A26D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0.35</w:t>
            </w:r>
          </w:p>
        </w:tc>
        <w:tc>
          <w:tcPr>
            <w:tcW w:w="1053" w:type="dxa"/>
            <w:tcBorders>
              <w:tl2br w:val="nil"/>
              <w:tr2bl w:val="nil"/>
            </w:tcBorders>
            <w:noWrap w:val="0"/>
            <w:vAlign w:val="center"/>
          </w:tcPr>
          <w:p w14:paraId="4FB5190F">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3</w:t>
            </w:r>
          </w:p>
        </w:tc>
        <w:tc>
          <w:tcPr>
            <w:tcW w:w="1063" w:type="dxa"/>
            <w:tcBorders>
              <w:tl2br w:val="nil"/>
              <w:tr2bl w:val="nil"/>
            </w:tcBorders>
            <w:noWrap w:val="0"/>
            <w:vAlign w:val="center"/>
          </w:tcPr>
          <w:p w14:paraId="4963DE16">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35</w:t>
            </w:r>
          </w:p>
        </w:tc>
        <w:tc>
          <w:tcPr>
            <w:tcW w:w="1056" w:type="dxa"/>
            <w:tcBorders>
              <w:tl2br w:val="nil"/>
              <w:tr2bl w:val="nil"/>
            </w:tcBorders>
            <w:noWrap w:val="0"/>
            <w:vAlign w:val="center"/>
          </w:tcPr>
          <w:p w14:paraId="26DBF18D">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3</w:t>
            </w:r>
          </w:p>
        </w:tc>
        <w:tc>
          <w:tcPr>
            <w:tcW w:w="1056" w:type="dxa"/>
            <w:tcBorders>
              <w:tl2br w:val="nil"/>
              <w:tr2bl w:val="nil"/>
            </w:tcBorders>
            <w:noWrap w:val="0"/>
            <w:vAlign w:val="center"/>
          </w:tcPr>
          <w:p w14:paraId="7CF7F03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2</w:t>
            </w:r>
          </w:p>
        </w:tc>
        <w:tc>
          <w:tcPr>
            <w:tcW w:w="1184" w:type="dxa"/>
            <w:tcBorders>
              <w:tl2br w:val="nil"/>
              <w:tr2bl w:val="nil"/>
            </w:tcBorders>
            <w:noWrap w:val="0"/>
            <w:vAlign w:val="center"/>
          </w:tcPr>
          <w:p w14:paraId="4312189B">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w:t>
            </w:r>
            <w:r>
              <w:rPr>
                <w:rFonts w:hint="eastAsia" w:cs="Times New Roman"/>
                <w:color w:val="auto"/>
                <w:kern w:val="2"/>
                <w:sz w:val="21"/>
                <w:szCs w:val="21"/>
                <w:highlight w:val="none"/>
                <w:lang w:val="en-US" w:eastAsia="zh-CN" w:bidi="ar-SA"/>
              </w:rPr>
              <w:t>25</w:t>
            </w:r>
          </w:p>
        </w:tc>
      </w:tr>
      <w:tr w14:paraId="74D7C0B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29F19D2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高锰酸盐指数</w:t>
            </w:r>
          </w:p>
        </w:tc>
        <w:tc>
          <w:tcPr>
            <w:tcW w:w="1051" w:type="dxa"/>
            <w:tcBorders>
              <w:tl2br w:val="nil"/>
              <w:tr2bl w:val="nil"/>
            </w:tcBorders>
            <w:noWrap w:val="0"/>
            <w:vAlign w:val="center"/>
          </w:tcPr>
          <w:p w14:paraId="2614DA5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w:t>
            </w:r>
          </w:p>
        </w:tc>
        <w:tc>
          <w:tcPr>
            <w:tcW w:w="1053" w:type="dxa"/>
            <w:tcBorders>
              <w:tl2br w:val="nil"/>
              <w:tr2bl w:val="nil"/>
            </w:tcBorders>
            <w:noWrap w:val="0"/>
            <w:vAlign w:val="center"/>
          </w:tcPr>
          <w:p w14:paraId="5FF5592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0.85</w:t>
            </w:r>
          </w:p>
        </w:tc>
        <w:tc>
          <w:tcPr>
            <w:tcW w:w="1063" w:type="dxa"/>
            <w:tcBorders>
              <w:tl2br w:val="nil"/>
              <w:tr2bl w:val="nil"/>
            </w:tcBorders>
            <w:noWrap w:val="0"/>
            <w:vAlign w:val="center"/>
          </w:tcPr>
          <w:p w14:paraId="48DA3C5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0.817</w:t>
            </w:r>
          </w:p>
        </w:tc>
        <w:tc>
          <w:tcPr>
            <w:tcW w:w="1056" w:type="dxa"/>
            <w:tcBorders>
              <w:tl2br w:val="nil"/>
              <w:tr2bl w:val="nil"/>
            </w:tcBorders>
            <w:noWrap w:val="0"/>
            <w:vAlign w:val="center"/>
          </w:tcPr>
          <w:p w14:paraId="3C7E39AF">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0.767</w:t>
            </w:r>
          </w:p>
        </w:tc>
        <w:tc>
          <w:tcPr>
            <w:tcW w:w="1056" w:type="dxa"/>
            <w:tcBorders>
              <w:tl2br w:val="nil"/>
              <w:tr2bl w:val="nil"/>
            </w:tcBorders>
            <w:noWrap w:val="0"/>
            <w:vAlign w:val="center"/>
          </w:tcPr>
          <w:p w14:paraId="4717A56E">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0.75</w:t>
            </w:r>
          </w:p>
        </w:tc>
        <w:tc>
          <w:tcPr>
            <w:tcW w:w="1184" w:type="dxa"/>
            <w:tcBorders>
              <w:tl2br w:val="nil"/>
              <w:tr2bl w:val="nil"/>
            </w:tcBorders>
            <w:noWrap w:val="0"/>
            <w:vAlign w:val="center"/>
          </w:tcPr>
          <w:p w14:paraId="21F66E7A">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0.783</w:t>
            </w:r>
          </w:p>
        </w:tc>
      </w:tr>
      <w:tr w14:paraId="2B1FDE5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0212688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pH</w:t>
            </w:r>
          </w:p>
        </w:tc>
        <w:tc>
          <w:tcPr>
            <w:tcW w:w="1051" w:type="dxa"/>
            <w:tcBorders>
              <w:tl2br w:val="nil"/>
              <w:tr2bl w:val="nil"/>
            </w:tcBorders>
            <w:noWrap w:val="0"/>
            <w:vAlign w:val="center"/>
          </w:tcPr>
          <w:p w14:paraId="183EEA6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w:t>
            </w:r>
          </w:p>
        </w:tc>
        <w:tc>
          <w:tcPr>
            <w:tcW w:w="1053" w:type="dxa"/>
            <w:tcBorders>
              <w:tl2br w:val="nil"/>
              <w:tr2bl w:val="nil"/>
            </w:tcBorders>
            <w:noWrap w:val="0"/>
            <w:vAlign w:val="center"/>
          </w:tcPr>
          <w:p w14:paraId="54A85A72">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1063" w:type="dxa"/>
            <w:tcBorders>
              <w:tl2br w:val="nil"/>
              <w:tr2bl w:val="nil"/>
            </w:tcBorders>
            <w:noWrap w:val="0"/>
            <w:vAlign w:val="center"/>
          </w:tcPr>
          <w:p w14:paraId="36DFED4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w:t>
            </w:r>
          </w:p>
        </w:tc>
        <w:tc>
          <w:tcPr>
            <w:tcW w:w="1056" w:type="dxa"/>
            <w:tcBorders>
              <w:tl2br w:val="nil"/>
              <w:tr2bl w:val="nil"/>
            </w:tcBorders>
            <w:noWrap w:val="0"/>
            <w:vAlign w:val="center"/>
          </w:tcPr>
          <w:p w14:paraId="0D5D11F7">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1056" w:type="dxa"/>
            <w:tcBorders>
              <w:tl2br w:val="nil"/>
              <w:tr2bl w:val="nil"/>
            </w:tcBorders>
            <w:noWrap w:val="0"/>
            <w:vAlign w:val="center"/>
          </w:tcPr>
          <w:p w14:paraId="644E9CE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1184" w:type="dxa"/>
            <w:tcBorders>
              <w:tl2br w:val="nil"/>
              <w:tr2bl w:val="nil"/>
            </w:tcBorders>
            <w:noWrap w:val="0"/>
            <w:vAlign w:val="center"/>
          </w:tcPr>
          <w:p w14:paraId="130B6C38">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w:t>
            </w:r>
          </w:p>
        </w:tc>
      </w:tr>
      <w:tr w14:paraId="63A5CCE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3D3EF0C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总氮</w:t>
            </w:r>
          </w:p>
        </w:tc>
        <w:tc>
          <w:tcPr>
            <w:tcW w:w="1051" w:type="dxa"/>
            <w:tcBorders>
              <w:tl2br w:val="nil"/>
              <w:tr2bl w:val="nil"/>
            </w:tcBorders>
            <w:noWrap w:val="0"/>
            <w:vAlign w:val="center"/>
          </w:tcPr>
          <w:p w14:paraId="71865ED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0.58</w:t>
            </w:r>
          </w:p>
        </w:tc>
        <w:tc>
          <w:tcPr>
            <w:tcW w:w="1053" w:type="dxa"/>
            <w:tcBorders>
              <w:tl2br w:val="nil"/>
              <w:tr2bl w:val="nil"/>
            </w:tcBorders>
            <w:noWrap w:val="0"/>
            <w:vAlign w:val="center"/>
          </w:tcPr>
          <w:p w14:paraId="61458F19">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0.60</w:t>
            </w:r>
          </w:p>
        </w:tc>
        <w:tc>
          <w:tcPr>
            <w:tcW w:w="1063" w:type="dxa"/>
            <w:tcBorders>
              <w:tl2br w:val="nil"/>
              <w:tr2bl w:val="nil"/>
            </w:tcBorders>
            <w:noWrap w:val="0"/>
            <w:vAlign w:val="center"/>
          </w:tcPr>
          <w:p w14:paraId="060C0CDB">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0.59</w:t>
            </w:r>
          </w:p>
        </w:tc>
        <w:tc>
          <w:tcPr>
            <w:tcW w:w="1056" w:type="dxa"/>
            <w:tcBorders>
              <w:tl2br w:val="nil"/>
              <w:tr2bl w:val="nil"/>
            </w:tcBorders>
            <w:noWrap w:val="0"/>
            <w:vAlign w:val="center"/>
          </w:tcPr>
          <w:p w14:paraId="60A7BAE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0.55</w:t>
            </w:r>
          </w:p>
        </w:tc>
        <w:tc>
          <w:tcPr>
            <w:tcW w:w="1056" w:type="dxa"/>
            <w:tcBorders>
              <w:tl2br w:val="nil"/>
              <w:tr2bl w:val="nil"/>
            </w:tcBorders>
            <w:noWrap w:val="0"/>
            <w:vAlign w:val="center"/>
          </w:tcPr>
          <w:p w14:paraId="5069A2C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0.55</w:t>
            </w:r>
          </w:p>
        </w:tc>
        <w:tc>
          <w:tcPr>
            <w:tcW w:w="1184" w:type="dxa"/>
            <w:tcBorders>
              <w:tl2br w:val="nil"/>
              <w:tr2bl w:val="nil"/>
            </w:tcBorders>
            <w:noWrap w:val="0"/>
            <w:vAlign w:val="center"/>
          </w:tcPr>
          <w:p w14:paraId="3DFF938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0.56</w:t>
            </w:r>
          </w:p>
        </w:tc>
      </w:tr>
      <w:tr w14:paraId="1733CFF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26" w:hRule="atLeast"/>
          <w:jc w:val="center"/>
        </w:trPr>
        <w:tc>
          <w:tcPr>
            <w:tcW w:w="1616" w:type="dxa"/>
            <w:tcBorders>
              <w:tl2br w:val="nil"/>
              <w:tr2bl w:val="nil"/>
            </w:tcBorders>
            <w:noWrap w:val="0"/>
            <w:vAlign w:val="center"/>
          </w:tcPr>
          <w:p w14:paraId="163DF259">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挥发酚</w:t>
            </w:r>
          </w:p>
        </w:tc>
        <w:tc>
          <w:tcPr>
            <w:tcW w:w="1051" w:type="dxa"/>
            <w:tcBorders>
              <w:tl2br w:val="nil"/>
              <w:tr2bl w:val="nil"/>
            </w:tcBorders>
            <w:noWrap w:val="0"/>
            <w:vAlign w:val="center"/>
          </w:tcPr>
          <w:p w14:paraId="44C1F675">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053" w:type="dxa"/>
            <w:tcBorders>
              <w:tl2br w:val="nil"/>
              <w:tr2bl w:val="nil"/>
            </w:tcBorders>
            <w:noWrap w:val="0"/>
            <w:vAlign w:val="center"/>
          </w:tcPr>
          <w:p w14:paraId="78CC8F6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063" w:type="dxa"/>
            <w:tcBorders>
              <w:tl2br w:val="nil"/>
              <w:tr2bl w:val="nil"/>
            </w:tcBorders>
            <w:noWrap w:val="0"/>
            <w:vAlign w:val="center"/>
          </w:tcPr>
          <w:p w14:paraId="57B8524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056" w:type="dxa"/>
            <w:tcBorders>
              <w:tl2br w:val="nil"/>
              <w:tr2bl w:val="nil"/>
            </w:tcBorders>
            <w:noWrap w:val="0"/>
            <w:vAlign w:val="center"/>
          </w:tcPr>
          <w:p w14:paraId="6AEA7B5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056" w:type="dxa"/>
            <w:tcBorders>
              <w:tl2br w:val="nil"/>
              <w:tr2bl w:val="nil"/>
            </w:tcBorders>
            <w:noWrap w:val="0"/>
            <w:vAlign w:val="center"/>
          </w:tcPr>
          <w:p w14:paraId="6B90101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184" w:type="dxa"/>
            <w:tcBorders>
              <w:tl2br w:val="nil"/>
              <w:tr2bl w:val="nil"/>
            </w:tcBorders>
            <w:noWrap w:val="0"/>
            <w:vAlign w:val="center"/>
          </w:tcPr>
          <w:p w14:paraId="538AA6B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r>
      <w:tr w14:paraId="08CA2E5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616" w:type="dxa"/>
            <w:tcBorders>
              <w:tl2br w:val="nil"/>
              <w:tr2bl w:val="nil"/>
            </w:tcBorders>
            <w:noWrap w:val="0"/>
            <w:vAlign w:val="center"/>
          </w:tcPr>
          <w:p w14:paraId="16238D6A">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氰化物</w:t>
            </w:r>
          </w:p>
        </w:tc>
        <w:tc>
          <w:tcPr>
            <w:tcW w:w="1051" w:type="dxa"/>
            <w:tcBorders>
              <w:tl2br w:val="nil"/>
              <w:tr2bl w:val="nil"/>
            </w:tcBorders>
            <w:noWrap w:val="0"/>
            <w:vAlign w:val="center"/>
          </w:tcPr>
          <w:p w14:paraId="0417D7B0">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0.0025</w:t>
            </w:r>
          </w:p>
        </w:tc>
        <w:tc>
          <w:tcPr>
            <w:tcW w:w="1053" w:type="dxa"/>
            <w:tcBorders>
              <w:tl2br w:val="nil"/>
              <w:tr2bl w:val="nil"/>
            </w:tcBorders>
            <w:noWrap w:val="0"/>
            <w:vAlign w:val="center"/>
          </w:tcPr>
          <w:p w14:paraId="4E496992">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0.0025</w:t>
            </w:r>
          </w:p>
        </w:tc>
        <w:tc>
          <w:tcPr>
            <w:tcW w:w="1063" w:type="dxa"/>
            <w:tcBorders>
              <w:tl2br w:val="nil"/>
              <w:tr2bl w:val="nil"/>
            </w:tcBorders>
            <w:noWrap w:val="0"/>
            <w:vAlign w:val="center"/>
          </w:tcPr>
          <w:p w14:paraId="76A0420C">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0.0025</w:t>
            </w:r>
          </w:p>
        </w:tc>
        <w:tc>
          <w:tcPr>
            <w:tcW w:w="1056" w:type="dxa"/>
            <w:tcBorders>
              <w:tl2br w:val="nil"/>
              <w:tr2bl w:val="nil"/>
            </w:tcBorders>
            <w:noWrap w:val="0"/>
            <w:vAlign w:val="center"/>
          </w:tcPr>
          <w:p w14:paraId="393A4008">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0.0025</w:t>
            </w:r>
          </w:p>
        </w:tc>
        <w:tc>
          <w:tcPr>
            <w:tcW w:w="1056" w:type="dxa"/>
            <w:tcBorders>
              <w:tl2br w:val="nil"/>
              <w:tr2bl w:val="nil"/>
            </w:tcBorders>
            <w:noWrap w:val="0"/>
            <w:vAlign w:val="center"/>
          </w:tcPr>
          <w:p w14:paraId="2D1CFE3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0.0025</w:t>
            </w:r>
          </w:p>
        </w:tc>
        <w:tc>
          <w:tcPr>
            <w:tcW w:w="1184" w:type="dxa"/>
            <w:tcBorders>
              <w:tl2br w:val="nil"/>
              <w:tr2bl w:val="nil"/>
            </w:tcBorders>
            <w:noWrap w:val="0"/>
            <w:vAlign w:val="center"/>
          </w:tcPr>
          <w:p w14:paraId="646AD293">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0.0025</w:t>
            </w:r>
          </w:p>
        </w:tc>
      </w:tr>
      <w:tr w14:paraId="18DADA3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616" w:type="dxa"/>
            <w:tcBorders>
              <w:tl2br w:val="nil"/>
              <w:tr2bl w:val="nil"/>
            </w:tcBorders>
            <w:noWrap w:val="0"/>
            <w:vAlign w:val="center"/>
          </w:tcPr>
          <w:p w14:paraId="5FBFD5F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铜</w:t>
            </w:r>
          </w:p>
        </w:tc>
        <w:tc>
          <w:tcPr>
            <w:tcW w:w="1051" w:type="dxa"/>
            <w:tcBorders>
              <w:tl2br w:val="nil"/>
              <w:tr2bl w:val="nil"/>
            </w:tcBorders>
            <w:noWrap w:val="0"/>
            <w:vAlign w:val="center"/>
          </w:tcPr>
          <w:p w14:paraId="4C8D7F57">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1053" w:type="dxa"/>
            <w:tcBorders>
              <w:tl2br w:val="nil"/>
              <w:tr2bl w:val="nil"/>
            </w:tcBorders>
            <w:noWrap w:val="0"/>
            <w:vAlign w:val="center"/>
          </w:tcPr>
          <w:p w14:paraId="668AAED4">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1063" w:type="dxa"/>
            <w:tcBorders>
              <w:tl2br w:val="nil"/>
              <w:tr2bl w:val="nil"/>
            </w:tcBorders>
            <w:noWrap w:val="0"/>
            <w:vAlign w:val="center"/>
          </w:tcPr>
          <w:p w14:paraId="46DE78A6">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1056" w:type="dxa"/>
            <w:tcBorders>
              <w:tl2br w:val="nil"/>
              <w:tr2bl w:val="nil"/>
            </w:tcBorders>
            <w:noWrap w:val="0"/>
            <w:vAlign w:val="center"/>
          </w:tcPr>
          <w:p w14:paraId="6A88737E">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1056" w:type="dxa"/>
            <w:tcBorders>
              <w:tl2br w:val="nil"/>
              <w:tr2bl w:val="nil"/>
            </w:tcBorders>
            <w:noWrap w:val="0"/>
            <w:vAlign w:val="center"/>
          </w:tcPr>
          <w:p w14:paraId="30B7351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c>
          <w:tcPr>
            <w:tcW w:w="1184" w:type="dxa"/>
            <w:tcBorders>
              <w:tl2br w:val="nil"/>
              <w:tr2bl w:val="nil"/>
            </w:tcBorders>
            <w:noWrap w:val="0"/>
            <w:vAlign w:val="center"/>
          </w:tcPr>
          <w:p w14:paraId="0221BFF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0.001L</w:t>
            </w:r>
          </w:p>
        </w:tc>
      </w:tr>
      <w:tr w14:paraId="2EC4FD7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23" w:type="dxa"/>
            <w:bottom w:w="0" w:type="dxa"/>
            <w:right w:w="23" w:type="dxa"/>
          </w:tblCellMar>
        </w:tblPrEx>
        <w:trPr>
          <w:trHeight w:val="495" w:hRule="atLeast"/>
          <w:jc w:val="center"/>
        </w:trPr>
        <w:tc>
          <w:tcPr>
            <w:tcW w:w="1616" w:type="dxa"/>
            <w:tcBorders>
              <w:tl2br w:val="nil"/>
              <w:tr2bl w:val="nil"/>
            </w:tcBorders>
            <w:noWrap w:val="0"/>
            <w:vAlign w:val="center"/>
          </w:tcPr>
          <w:p w14:paraId="741F0EF5">
            <w:pPr>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溶解氧</w:t>
            </w:r>
          </w:p>
        </w:tc>
        <w:tc>
          <w:tcPr>
            <w:tcW w:w="1051" w:type="dxa"/>
            <w:tcBorders>
              <w:tl2br w:val="nil"/>
              <w:tr2bl w:val="nil"/>
            </w:tcBorders>
            <w:noWrap w:val="0"/>
            <w:vAlign w:val="center"/>
          </w:tcPr>
          <w:p w14:paraId="4A7B17C4">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0.41</w:t>
            </w:r>
          </w:p>
        </w:tc>
        <w:tc>
          <w:tcPr>
            <w:tcW w:w="1053" w:type="dxa"/>
            <w:tcBorders>
              <w:tl2br w:val="nil"/>
              <w:tr2bl w:val="nil"/>
            </w:tcBorders>
            <w:noWrap w:val="0"/>
            <w:vAlign w:val="center"/>
          </w:tcPr>
          <w:p w14:paraId="197A640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0.41</w:t>
            </w:r>
          </w:p>
        </w:tc>
        <w:tc>
          <w:tcPr>
            <w:tcW w:w="1063" w:type="dxa"/>
            <w:tcBorders>
              <w:tl2br w:val="nil"/>
              <w:tr2bl w:val="nil"/>
            </w:tcBorders>
            <w:noWrap w:val="0"/>
            <w:vAlign w:val="center"/>
          </w:tcPr>
          <w:p w14:paraId="00D9ED0D">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0.40</w:t>
            </w:r>
          </w:p>
        </w:tc>
        <w:tc>
          <w:tcPr>
            <w:tcW w:w="1056" w:type="dxa"/>
            <w:tcBorders>
              <w:tl2br w:val="nil"/>
              <w:tr2bl w:val="nil"/>
            </w:tcBorders>
            <w:noWrap w:val="0"/>
            <w:vAlign w:val="center"/>
          </w:tcPr>
          <w:p w14:paraId="577F385C">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0.40</w:t>
            </w:r>
          </w:p>
        </w:tc>
        <w:tc>
          <w:tcPr>
            <w:tcW w:w="1056" w:type="dxa"/>
            <w:tcBorders>
              <w:tl2br w:val="nil"/>
              <w:tr2bl w:val="nil"/>
            </w:tcBorders>
            <w:noWrap w:val="0"/>
            <w:vAlign w:val="center"/>
          </w:tcPr>
          <w:p w14:paraId="7740B29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0.40</w:t>
            </w:r>
          </w:p>
        </w:tc>
        <w:tc>
          <w:tcPr>
            <w:tcW w:w="1184" w:type="dxa"/>
            <w:tcBorders>
              <w:tl2br w:val="nil"/>
              <w:tr2bl w:val="nil"/>
            </w:tcBorders>
            <w:noWrap w:val="0"/>
            <w:vAlign w:val="center"/>
          </w:tcPr>
          <w:p w14:paraId="487AA431">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0.4</w:t>
            </w:r>
          </w:p>
        </w:tc>
      </w:tr>
    </w:tbl>
    <w:p w14:paraId="53129F8F">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outlineLvl w:val="9"/>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eastAsia="zh-CN"/>
        </w:rPr>
        <w:t>注：</w:t>
      </w:r>
      <w:r>
        <w:rPr>
          <w:rFonts w:hint="eastAsia" w:ascii="Times New Roman" w:hAnsi="Times New Roman" w:eastAsia="宋体" w:cs="Times New Roman"/>
          <w:color w:val="auto"/>
          <w:sz w:val="21"/>
          <w:szCs w:val="21"/>
          <w:lang w:eastAsia="zh-CN"/>
        </w:rPr>
        <w:t>低于检出限的污染物</w:t>
      </w:r>
      <w:r>
        <w:rPr>
          <w:rFonts w:hint="eastAsia" w:cs="Times New Roman"/>
          <w:color w:val="auto"/>
          <w:sz w:val="21"/>
          <w:szCs w:val="21"/>
          <w:lang w:eastAsia="zh-CN"/>
        </w:rPr>
        <w:t>，水质指数</w:t>
      </w:r>
      <w:r>
        <w:rPr>
          <w:rFonts w:hint="eastAsia" w:ascii="Times New Roman" w:hAnsi="Times New Roman" w:eastAsia="宋体" w:cs="Times New Roman"/>
          <w:color w:val="auto"/>
          <w:sz w:val="21"/>
          <w:szCs w:val="21"/>
          <w:lang w:eastAsia="zh-CN"/>
        </w:rPr>
        <w:t>按检出限的</w:t>
      </w:r>
      <w:r>
        <w:rPr>
          <w:rFonts w:hint="eastAsia" w:ascii="Times New Roman" w:hAnsi="Times New Roman" w:eastAsia="宋体" w:cs="Times New Roman"/>
          <w:color w:val="auto"/>
          <w:sz w:val="21"/>
          <w:szCs w:val="21"/>
          <w:lang w:val="en-US" w:eastAsia="zh-CN"/>
        </w:rPr>
        <w:t>50%计算</w:t>
      </w:r>
      <w:r>
        <w:rPr>
          <w:rFonts w:hint="eastAsia" w:cs="Times New Roman"/>
          <w:color w:val="auto"/>
          <w:sz w:val="21"/>
          <w:szCs w:val="21"/>
          <w:lang w:val="en-US" w:eastAsia="zh-CN"/>
        </w:rPr>
        <w:t>。</w:t>
      </w:r>
    </w:p>
    <w:p w14:paraId="407016C4">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计算结果表明，</w:t>
      </w:r>
      <w:r>
        <w:rPr>
          <w:rFonts w:hint="eastAsia" w:cs="Times New Roman"/>
          <w:color w:val="auto"/>
          <w:sz w:val="24"/>
          <w:highlight w:val="none"/>
          <w:lang w:val="en-US" w:eastAsia="zh-CN"/>
        </w:rPr>
        <w:t>嫩江</w:t>
      </w:r>
      <w:r>
        <w:rPr>
          <w:rFonts w:hint="eastAsia" w:ascii="Times New Roman" w:hAnsi="Times New Roman" w:eastAsia="宋体" w:cs="Times New Roman"/>
          <w:color w:val="auto"/>
          <w:sz w:val="24"/>
          <w:highlight w:val="none"/>
          <w:lang w:val="en-US" w:eastAsia="zh-CN"/>
        </w:rPr>
        <w:t>枯水期水质均较好，各监测断面化学需氧量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氨氮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五日生化需氧量</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总磷</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高锰酸盐指数</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pH</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总氮</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挥发酚</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氰化物</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铜</w:t>
      </w:r>
      <w:r>
        <w:rPr>
          <w:rFonts w:hint="eastAsia"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溶解氧均能满足《地表水环境质量标准》（GB3838-2002）Ⅲ类标准。</w:t>
      </w:r>
    </w:p>
    <w:p w14:paraId="350E358F">
      <w:pPr>
        <w:pStyle w:val="4"/>
      </w:pPr>
      <w:r>
        <w:t>4.3.2环境空气质量现状监测</w:t>
      </w:r>
    </w:p>
    <w:p w14:paraId="2AFB34C8">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bCs/>
          <w:color w:val="auto"/>
        </w:rPr>
      </w:pPr>
      <w:r>
        <w:rPr>
          <w:rFonts w:hint="default" w:ascii="Times New Roman" w:hAnsi="Times New Roman" w:cs="Times New Roman"/>
          <w:bCs/>
          <w:color w:val="auto"/>
        </w:rPr>
        <w:t>根据《环境影响评价技术导则  大气环境》（HJ2.2-2018）中6.2.1.1项目所在区域达标判定，优先采用国家或地方生态环境主管部门公开发布的评价基准年环境质量公告或环境质量报告中的数据或结论。</w:t>
      </w:r>
    </w:p>
    <w:p w14:paraId="4C07048B">
      <w:pPr>
        <w:pStyle w:val="5"/>
        <w:numPr>
          <w:ilvl w:val="0"/>
          <w:numId w:val="0"/>
        </w:numPr>
        <w:bidi w:val="0"/>
        <w:ind w:leftChars="0"/>
        <w:rPr>
          <w:rFonts w:hint="default" w:ascii="Times New Roman" w:hAnsi="Times New Roman" w:cs="Times New Roman"/>
          <w:color w:val="auto"/>
          <w:kern w:val="0"/>
        </w:rPr>
      </w:pPr>
      <w:r>
        <w:rPr>
          <w:rFonts w:hint="default" w:ascii="Times New Roman" w:hAnsi="Times New Roman" w:cs="Times New Roman"/>
          <w:lang w:val="en-US" w:eastAsia="zh-CN"/>
        </w:rPr>
        <w:t>4.3.1.1</w:t>
      </w:r>
      <w:r>
        <w:rPr>
          <w:rFonts w:hint="default" w:ascii="Times New Roman" w:hAnsi="Times New Roman" w:cs="Times New Roman"/>
        </w:rPr>
        <w:t>空气质量达标区判定</w:t>
      </w:r>
    </w:p>
    <w:p w14:paraId="34575D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rPr>
      </w:pPr>
      <w:r>
        <w:rPr>
          <w:rFonts w:hint="default" w:ascii="Times New Roman" w:hAnsi="Times New Roman" w:cs="Times New Roman"/>
        </w:rPr>
        <w:t>本</w:t>
      </w:r>
      <w:r>
        <w:rPr>
          <w:rFonts w:hint="default" w:ascii="Times New Roman" w:hAnsi="Times New Roman" w:cs="Times New Roman"/>
          <w:lang w:val="en-US" w:eastAsia="zh-CN"/>
        </w:rPr>
        <w:t>项目</w:t>
      </w:r>
      <w:r>
        <w:rPr>
          <w:rFonts w:hint="default" w:ascii="Times New Roman" w:hAnsi="Times New Roman" w:cs="Times New Roman"/>
        </w:rPr>
        <w:t>环境空气质量现状数据采用20</w:t>
      </w:r>
      <w:r>
        <w:rPr>
          <w:rFonts w:hint="default" w:ascii="Times New Roman" w:hAnsi="Times New Roman" w:cs="Times New Roman"/>
          <w:lang w:val="en-US" w:eastAsia="zh-CN"/>
        </w:rPr>
        <w:t>24</w:t>
      </w:r>
      <w:r>
        <w:rPr>
          <w:rFonts w:hint="default" w:ascii="Times New Roman" w:hAnsi="Times New Roman" w:cs="Times New Roman"/>
        </w:rPr>
        <w:t>年度《齐齐哈尔市生态环境状况公报》。</w:t>
      </w:r>
    </w:p>
    <w:p w14:paraId="5D2371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cs="Times New Roman"/>
          <w:lang w:val="en-US" w:eastAsia="zh-CN"/>
        </w:rPr>
        <w:t>根据2024年度《齐齐哈尔市生态环境状况公报》，</w:t>
      </w:r>
      <w:r>
        <w:rPr>
          <w:rFonts w:hint="default" w:ascii="Times New Roman" w:hAnsi="Times New Roman" w:cs="Times New Roman"/>
        </w:rPr>
        <w:t>城区环境空气优良天数为343天，重度污染天气2天</w:t>
      </w:r>
      <w:r>
        <w:rPr>
          <w:rFonts w:hint="default" w:ascii="Times New Roman" w:hAnsi="Times New Roman" w:cs="Times New Roman"/>
          <w:lang w:eastAsia="zh-CN"/>
        </w:rPr>
        <w:t>。</w:t>
      </w:r>
      <w:r>
        <w:rPr>
          <w:rFonts w:hint="default" w:ascii="Times New Roman" w:hAnsi="Times New Roman" w:cs="Times New Roman"/>
        </w:rPr>
        <w:t>二氧化硫、二氧化氮、PM</w:t>
      </w:r>
      <w:r>
        <w:rPr>
          <w:rFonts w:hint="default" w:ascii="Times New Roman" w:hAnsi="Times New Roman" w:cs="Times New Roman"/>
          <w:vertAlign w:val="subscript"/>
        </w:rPr>
        <w:t>10</w:t>
      </w:r>
      <w:r>
        <w:rPr>
          <w:rFonts w:hint="default" w:ascii="Times New Roman" w:hAnsi="Times New Roman" w:cs="Times New Roman"/>
        </w:rPr>
        <w:t>、PM</w:t>
      </w:r>
      <w:r>
        <w:rPr>
          <w:rFonts w:hint="default" w:ascii="Times New Roman" w:hAnsi="Times New Roman" w:cs="Times New Roman"/>
          <w:vertAlign w:val="subscript"/>
        </w:rPr>
        <w:t>2.5</w:t>
      </w:r>
      <w:r>
        <w:rPr>
          <w:rFonts w:hint="default" w:ascii="Times New Roman" w:hAnsi="Times New Roman" w:cs="Times New Roman"/>
        </w:rPr>
        <w:t>年平均浓度值分别为7μg/m</w:t>
      </w:r>
      <w:r>
        <w:rPr>
          <w:rFonts w:hint="default" w:ascii="Times New Roman" w:hAnsi="Times New Roman" w:cs="Times New Roman"/>
          <w:vertAlign w:val="superscript"/>
        </w:rPr>
        <w:t>3</w:t>
      </w:r>
      <w:r>
        <w:rPr>
          <w:rFonts w:hint="default" w:ascii="Times New Roman" w:hAnsi="Times New Roman" w:cs="Times New Roman"/>
        </w:rPr>
        <w:t>、16μg/m</w:t>
      </w:r>
      <w:r>
        <w:rPr>
          <w:rFonts w:hint="default" w:ascii="Times New Roman" w:hAnsi="Times New Roman" w:cs="Times New Roman"/>
          <w:vertAlign w:val="superscript"/>
        </w:rPr>
        <w:t>3</w:t>
      </w:r>
      <w:r>
        <w:rPr>
          <w:rFonts w:hint="default" w:ascii="Times New Roman" w:hAnsi="Times New Roman" w:cs="Times New Roman"/>
        </w:rPr>
        <w:t>、44μg/m</w:t>
      </w:r>
      <w:r>
        <w:rPr>
          <w:rFonts w:hint="default" w:ascii="Times New Roman" w:hAnsi="Times New Roman" w:cs="Times New Roman"/>
          <w:vertAlign w:val="superscript"/>
        </w:rPr>
        <w:t>3</w:t>
      </w:r>
      <w:r>
        <w:rPr>
          <w:rFonts w:hint="default" w:ascii="Times New Roman" w:hAnsi="Times New Roman" w:cs="Times New Roman"/>
        </w:rPr>
        <w:t>、24μg/m</w:t>
      </w:r>
      <w:r>
        <w:rPr>
          <w:rFonts w:hint="default" w:ascii="Times New Roman" w:hAnsi="Times New Roman" w:cs="Times New Roman"/>
          <w:vertAlign w:val="superscript"/>
        </w:rPr>
        <w:t>3</w:t>
      </w:r>
      <w:r>
        <w:rPr>
          <w:rFonts w:hint="default" w:ascii="Times New Roman" w:hAnsi="Times New Roman" w:cs="Times New Roman"/>
        </w:rPr>
        <w:t>，其中二氧化硫、二氧化氮年平均浓度与上年持平；PM</w:t>
      </w:r>
      <w:r>
        <w:rPr>
          <w:rFonts w:hint="default" w:ascii="Times New Roman" w:hAnsi="Times New Roman" w:cs="Times New Roman"/>
          <w:vertAlign w:val="subscript"/>
        </w:rPr>
        <w:t>10</w:t>
      </w:r>
      <w:r>
        <w:rPr>
          <w:rFonts w:hint="default" w:ascii="Times New Roman" w:hAnsi="Times New Roman" w:cs="Times New Roman"/>
        </w:rPr>
        <w:t>、PM</w:t>
      </w:r>
      <w:r>
        <w:rPr>
          <w:rFonts w:hint="default" w:ascii="Times New Roman" w:hAnsi="Times New Roman" w:cs="Times New Roman"/>
          <w:vertAlign w:val="subscript"/>
        </w:rPr>
        <w:t>2.5</w:t>
      </w:r>
      <w:r>
        <w:rPr>
          <w:rFonts w:hint="default" w:ascii="Times New Roman" w:hAnsi="Times New Roman" w:cs="Times New Roman"/>
        </w:rPr>
        <w:t>年平均浓度值分别比上年上升1μg/m</w:t>
      </w:r>
      <w:r>
        <w:rPr>
          <w:rFonts w:hint="default" w:ascii="Times New Roman" w:hAnsi="Times New Roman" w:cs="Times New Roman"/>
          <w:vertAlign w:val="superscript"/>
        </w:rPr>
        <w:t>3</w:t>
      </w:r>
      <w:r>
        <w:rPr>
          <w:rFonts w:hint="default" w:ascii="Times New Roman" w:hAnsi="Times New Roman" w:cs="Times New Roman"/>
        </w:rPr>
        <w:t>、2μg/m</w:t>
      </w:r>
      <w:r>
        <w:rPr>
          <w:rFonts w:hint="default" w:ascii="Times New Roman" w:hAnsi="Times New Roman" w:cs="Times New Roman"/>
          <w:vertAlign w:val="superscript"/>
        </w:rPr>
        <w:t>3</w:t>
      </w:r>
      <w:r>
        <w:rPr>
          <w:rFonts w:hint="default" w:ascii="Times New Roman" w:hAnsi="Times New Roman" w:cs="Times New Roman"/>
        </w:rPr>
        <w:t>，臭氧日最大8小时滑动平均值的第90百分位数为111μg/m</w:t>
      </w:r>
      <w:r>
        <w:rPr>
          <w:rFonts w:hint="default" w:ascii="Times New Roman" w:hAnsi="Times New Roman" w:cs="Times New Roman"/>
          <w:vertAlign w:val="superscript"/>
        </w:rPr>
        <w:t>3</w:t>
      </w:r>
      <w:r>
        <w:rPr>
          <w:rFonts w:hint="default" w:ascii="Times New Roman" w:hAnsi="Times New Roman" w:cs="Times New Roman"/>
        </w:rPr>
        <w:t>，</w:t>
      </w:r>
      <w:r>
        <w:rPr>
          <w:rFonts w:hint="default" w:ascii="Times New Roman" w:hAnsi="Times New Roman" w:cs="Times New Roman"/>
          <w:color w:val="auto"/>
        </w:rPr>
        <w:t>比上年上升2μg/m</w:t>
      </w:r>
      <w:r>
        <w:rPr>
          <w:rFonts w:hint="default" w:ascii="Times New Roman" w:hAnsi="Times New Roman" w:cs="Times New Roman"/>
          <w:color w:val="auto"/>
          <w:vertAlign w:val="superscript"/>
        </w:rPr>
        <w:t>3</w:t>
      </w:r>
      <w:r>
        <w:rPr>
          <w:rFonts w:hint="default" w:ascii="Times New Roman" w:hAnsi="Times New Roman" w:cs="Times New Roman"/>
          <w:color w:val="auto"/>
        </w:rPr>
        <w:t>，一氧化碳</w:t>
      </w:r>
      <w:r>
        <w:rPr>
          <w:rFonts w:hint="eastAsia" w:cs="Times New Roman"/>
          <w:color w:val="auto"/>
          <w:lang w:eastAsia="zh-CN"/>
        </w:rPr>
        <w:t>日平均</w:t>
      </w:r>
      <w:r>
        <w:rPr>
          <w:rFonts w:hint="default" w:ascii="Times New Roman" w:hAnsi="Times New Roman" w:cs="Times New Roman"/>
          <w:color w:val="auto"/>
        </w:rPr>
        <w:t>第95百分位数为0.8mg/m</w:t>
      </w:r>
      <w:r>
        <w:rPr>
          <w:rFonts w:hint="default" w:ascii="Times New Roman" w:hAnsi="Times New Roman" w:cs="Times New Roman"/>
          <w:color w:val="auto"/>
          <w:vertAlign w:val="superscript"/>
        </w:rPr>
        <w:t>3</w:t>
      </w:r>
      <w:r>
        <w:rPr>
          <w:rFonts w:hint="default" w:ascii="Times New Roman" w:hAnsi="Times New Roman" w:cs="Times New Roman"/>
          <w:color w:val="auto"/>
        </w:rPr>
        <w:t>，比上年降低0.1mg/m</w:t>
      </w:r>
      <w:r>
        <w:rPr>
          <w:rFonts w:hint="default" w:ascii="Times New Roman" w:hAnsi="Times New Roman" w:cs="Times New Roman"/>
          <w:color w:val="auto"/>
          <w:vertAlign w:val="superscript"/>
        </w:rPr>
        <w:t>3</w:t>
      </w:r>
      <w:r>
        <w:rPr>
          <w:rFonts w:hint="default" w:ascii="Times New Roman" w:hAnsi="Times New Roman" w:cs="Times New Roman"/>
          <w:color w:val="auto"/>
        </w:rPr>
        <w:t>。六项指标全部符合国家二级标准，城区环境空气质量达标，为达标区。</w:t>
      </w:r>
    </w:p>
    <w:p w14:paraId="5BA5BA53">
      <w:pPr>
        <w:pStyle w:val="5"/>
        <w:numPr>
          <w:ilvl w:val="0"/>
          <w:numId w:val="0"/>
        </w:numPr>
        <w:bidi w:val="0"/>
        <w:ind w:leftChars="0"/>
        <w:rPr>
          <w:rFonts w:hint="default" w:ascii="Times New Roman" w:hAnsi="Times New Roman" w:eastAsia="宋体" w:cs="Times New Roman"/>
          <w:color w:val="auto"/>
          <w:spacing w:val="1"/>
          <w:szCs w:val="24"/>
        </w:rPr>
      </w:pPr>
      <w:r>
        <w:rPr>
          <w:rFonts w:hint="default" w:ascii="Times New Roman" w:hAnsi="Times New Roman" w:cs="Times New Roman"/>
          <w:color w:val="auto"/>
          <w:lang w:val="en-US" w:eastAsia="zh-CN"/>
        </w:rPr>
        <w:t>4.3.1.2</w:t>
      </w:r>
      <w:r>
        <w:rPr>
          <w:rFonts w:hint="default" w:ascii="Times New Roman" w:hAnsi="Times New Roman" w:cs="Times New Roman"/>
          <w:color w:val="auto"/>
        </w:rPr>
        <w:t>基本污染物环境质量现状评价</w:t>
      </w:r>
    </w:p>
    <w:p w14:paraId="33649EEE">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rPr>
      </w:pPr>
      <w:r>
        <w:rPr>
          <w:rFonts w:hint="default" w:ascii="Times New Roman" w:hAnsi="Times New Roman" w:eastAsia="宋体" w:cs="Times New Roman"/>
          <w:color w:val="auto"/>
          <w:spacing w:val="1"/>
          <w:sz w:val="24"/>
          <w:szCs w:val="24"/>
        </w:rPr>
        <w:t>本次评价基本污染物现状数据来源于</w:t>
      </w:r>
      <w:r>
        <w:rPr>
          <w:rFonts w:hint="default" w:ascii="Times New Roman" w:hAnsi="Times New Roman" w:cs="Times New Roman"/>
          <w:color w:val="auto"/>
          <w:sz w:val="24"/>
          <w:szCs w:val="24"/>
        </w:rPr>
        <w:t>20</w:t>
      </w:r>
      <w:r>
        <w:rPr>
          <w:rFonts w:hint="default" w:ascii="Times New Roman" w:hAnsi="Times New Roman" w:cs="Times New Roman"/>
          <w:color w:val="auto"/>
          <w:sz w:val="24"/>
          <w:szCs w:val="24"/>
          <w:lang w:val="en-US" w:eastAsia="zh-CN"/>
        </w:rPr>
        <w:t>24</w:t>
      </w:r>
      <w:r>
        <w:rPr>
          <w:rFonts w:hint="default" w:ascii="Times New Roman" w:hAnsi="Times New Roman" w:cs="Times New Roman"/>
          <w:color w:val="auto"/>
          <w:sz w:val="24"/>
          <w:szCs w:val="24"/>
        </w:rPr>
        <w:t>年度《齐齐哈尔市生态环境状况公报》</w:t>
      </w:r>
      <w:r>
        <w:rPr>
          <w:rFonts w:hint="default" w:ascii="Times New Roman" w:hAnsi="Times New Roman" w:eastAsia="宋体" w:cs="Times New Roman"/>
          <w:color w:val="auto"/>
          <w:spacing w:val="1"/>
          <w:sz w:val="24"/>
          <w:szCs w:val="24"/>
        </w:rPr>
        <w:t>。经统计，基本污染物环境质量现状统计结果见表4</w:t>
      </w:r>
      <w:r>
        <w:rPr>
          <w:rFonts w:hint="default" w:ascii="Times New Roman" w:hAnsi="Times New Roman" w:eastAsia="宋体" w:cs="Times New Roman"/>
          <w:color w:val="auto"/>
          <w:spacing w:val="1"/>
          <w:sz w:val="24"/>
          <w:szCs w:val="24"/>
          <w:lang w:val="en-US" w:eastAsia="zh-CN"/>
        </w:rPr>
        <w:t>.</w:t>
      </w:r>
      <w:r>
        <w:rPr>
          <w:rFonts w:hint="default" w:ascii="Times New Roman" w:hAnsi="Times New Roman" w:eastAsia="宋体" w:cs="Times New Roman"/>
          <w:color w:val="auto"/>
          <w:spacing w:val="1"/>
          <w:sz w:val="24"/>
          <w:szCs w:val="24"/>
        </w:rPr>
        <w:t>3-1。</w:t>
      </w:r>
    </w:p>
    <w:p w14:paraId="6BA8E48E">
      <w:pPr>
        <w:keepNext w:val="0"/>
        <w:keepLines w:val="0"/>
        <w:pageBreakBefore w:val="0"/>
        <w:widowControl w:val="0"/>
        <w:kinsoku/>
        <w:wordWrap/>
        <w:overflowPunct/>
        <w:topLinePunct w:val="0"/>
        <w:autoSpaceDE w:val="0"/>
        <w:autoSpaceDN w:val="0"/>
        <w:bidi w:val="0"/>
        <w:adjustRightInd w:val="0"/>
        <w:snapToGrid/>
        <w:spacing w:line="360" w:lineRule="auto"/>
        <w:ind w:firstLine="0" w:firstLineChars="0"/>
        <w:jc w:val="center"/>
        <w:textAlignment w:val="auto"/>
        <w:rPr>
          <w:rFonts w:hint="default" w:ascii="Times New Roman" w:hAnsi="Times New Roman" w:cs="Times New Roman"/>
          <w:b/>
          <w:bCs/>
          <w:color w:val="auto"/>
          <w:sz w:val="24"/>
          <w:szCs w:val="24"/>
        </w:rPr>
      </w:pPr>
    </w:p>
    <w:p w14:paraId="566F3BCE">
      <w:pPr>
        <w:keepNext w:val="0"/>
        <w:keepLines w:val="0"/>
        <w:pageBreakBefore w:val="0"/>
        <w:widowControl w:val="0"/>
        <w:kinsoku/>
        <w:wordWrap/>
        <w:overflowPunct/>
        <w:topLinePunct w:val="0"/>
        <w:autoSpaceDE w:val="0"/>
        <w:autoSpaceDN w:val="0"/>
        <w:bidi w:val="0"/>
        <w:adjustRightInd w:val="0"/>
        <w:snapToGrid/>
        <w:spacing w:line="360" w:lineRule="auto"/>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b/>
          <w:bCs/>
          <w:color w:val="auto"/>
          <w:sz w:val="24"/>
          <w:szCs w:val="24"/>
        </w:rPr>
        <w:t>表</w:t>
      </w:r>
      <w:r>
        <w:rPr>
          <w:rFonts w:hint="default" w:ascii="Times New Roman" w:hAnsi="Times New Roman" w:cs="Times New Roman"/>
          <w:b/>
          <w:bCs/>
          <w:color w:val="auto"/>
          <w:sz w:val="24"/>
          <w:szCs w:val="24"/>
          <w:lang w:val="en-US" w:eastAsia="zh-CN"/>
        </w:rPr>
        <w:t>4.3-1</w:t>
      </w:r>
      <w:r>
        <w:rPr>
          <w:rFonts w:hint="default" w:ascii="Times New Roman" w:hAnsi="Times New Roman" w:cs="Times New Roman"/>
          <w:b/>
          <w:bCs/>
          <w:color w:val="auto"/>
          <w:sz w:val="24"/>
          <w:szCs w:val="24"/>
        </w:rPr>
        <w:tab/>
      </w:r>
      <w:r>
        <w:rPr>
          <w:rFonts w:hint="default" w:ascii="Times New Roman" w:hAnsi="Times New Roman" w:cs="Times New Roman"/>
          <w:b/>
          <w:bCs/>
          <w:color w:val="auto"/>
          <w:sz w:val="24"/>
          <w:szCs w:val="24"/>
          <w:lang w:val="en-US" w:eastAsia="zh-CN"/>
        </w:rPr>
        <w:t xml:space="preserve"> </w:t>
      </w:r>
      <w:r>
        <w:rPr>
          <w:rFonts w:hint="default" w:ascii="Times New Roman" w:hAnsi="Times New Roman" w:cs="Times New Roman"/>
          <w:b/>
          <w:bCs/>
          <w:color w:val="auto"/>
          <w:sz w:val="24"/>
          <w:szCs w:val="24"/>
        </w:rPr>
        <w:t>齐齐哈尔市202</w:t>
      </w:r>
      <w:r>
        <w:rPr>
          <w:rFonts w:hint="default" w:ascii="Times New Roman" w:hAnsi="Times New Roman" w:cs="Times New Roman"/>
          <w:b/>
          <w:bCs/>
          <w:color w:val="auto"/>
          <w:sz w:val="24"/>
          <w:szCs w:val="24"/>
          <w:lang w:val="en-US" w:eastAsia="zh-CN"/>
        </w:rPr>
        <w:t>4</w:t>
      </w:r>
      <w:r>
        <w:rPr>
          <w:rFonts w:hint="default" w:ascii="Times New Roman" w:hAnsi="Times New Roman" w:cs="Times New Roman"/>
          <w:b/>
          <w:bCs/>
          <w:color w:val="auto"/>
          <w:sz w:val="24"/>
          <w:szCs w:val="24"/>
        </w:rPr>
        <w:t>年区域空气质量现状评价表</w:t>
      </w:r>
    </w:p>
    <w:tbl>
      <w:tblPr>
        <w:tblStyle w:val="5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56"/>
        <w:gridCol w:w="1067"/>
        <w:gridCol w:w="2861"/>
        <w:gridCol w:w="1618"/>
        <w:gridCol w:w="1459"/>
        <w:gridCol w:w="1011"/>
      </w:tblGrid>
      <w:tr w14:paraId="7C2A0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restart"/>
            <w:tcBorders>
              <w:tl2br w:val="nil"/>
              <w:tr2bl w:val="nil"/>
            </w:tcBorders>
            <w:noWrap w:val="0"/>
            <w:vAlign w:val="center"/>
          </w:tcPr>
          <w:p w14:paraId="6C947E3C">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8"/>
                <w:sz w:val="21"/>
                <w:szCs w:val="21"/>
                <w:lang w:val="en-US" w:eastAsia="zh-CN"/>
              </w:rPr>
              <w:t>城市</w:t>
            </w:r>
          </w:p>
          <w:p w14:paraId="3480B17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8"/>
                <w:sz w:val="21"/>
                <w:szCs w:val="21"/>
                <w:lang w:val="en-US" w:eastAsia="zh-CN"/>
              </w:rPr>
              <w:t>名称</w:t>
            </w:r>
          </w:p>
        </w:tc>
        <w:tc>
          <w:tcPr>
            <w:tcW w:w="2238" w:type="pct"/>
            <w:gridSpan w:val="2"/>
            <w:vMerge w:val="restart"/>
            <w:tcBorders>
              <w:tl2br w:val="nil"/>
              <w:tr2bl w:val="nil"/>
            </w:tcBorders>
            <w:noWrap w:val="0"/>
            <w:vAlign w:val="center"/>
          </w:tcPr>
          <w:p w14:paraId="0BAB0354">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8"/>
                <w:sz w:val="21"/>
                <w:szCs w:val="21"/>
                <w:lang w:val="en-US" w:eastAsia="zh-CN"/>
              </w:rPr>
              <w:t>监测项目</w:t>
            </w:r>
          </w:p>
        </w:tc>
        <w:tc>
          <w:tcPr>
            <w:tcW w:w="2329" w:type="pct"/>
            <w:gridSpan w:val="3"/>
            <w:tcBorders>
              <w:tl2br w:val="nil"/>
              <w:tr2bl w:val="nil"/>
            </w:tcBorders>
            <w:noWrap w:val="0"/>
            <w:vAlign w:val="center"/>
          </w:tcPr>
          <w:p w14:paraId="0CC0D4FB">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8"/>
                <w:sz w:val="21"/>
                <w:szCs w:val="21"/>
                <w:lang w:val="en-US" w:eastAsia="zh-CN"/>
              </w:rPr>
              <w:t>各项指标统计结果</w:t>
            </w:r>
          </w:p>
        </w:tc>
      </w:tr>
      <w:tr w14:paraId="29B40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1897CA9C">
            <w:pPr>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pacing w:val="8"/>
                <w:sz w:val="21"/>
                <w:szCs w:val="21"/>
              </w:rPr>
            </w:pPr>
          </w:p>
        </w:tc>
        <w:tc>
          <w:tcPr>
            <w:tcW w:w="2238" w:type="pct"/>
            <w:gridSpan w:val="2"/>
            <w:vMerge w:val="continue"/>
            <w:tcBorders>
              <w:tl2br w:val="nil"/>
              <w:tr2bl w:val="nil"/>
            </w:tcBorders>
            <w:noWrap w:val="0"/>
            <w:vAlign w:val="center"/>
          </w:tcPr>
          <w:p w14:paraId="40A0F002">
            <w:pPr>
              <w:keepNext w:val="0"/>
              <w:keepLines w:val="0"/>
              <w:widowControl/>
              <w:suppressLineNumbers w:val="0"/>
              <w:spacing w:before="0" w:beforeAutospacing="0" w:after="0" w:afterAutospacing="0"/>
              <w:ind w:left="0" w:right="0"/>
              <w:rPr>
                <w:rFonts w:hint="default" w:ascii="Times New Roman" w:hAnsi="Times New Roman" w:eastAsia="宋体" w:cs="Times New Roman"/>
                <w:b/>
                <w:bCs/>
                <w:color w:val="auto"/>
                <w:spacing w:val="8"/>
                <w:sz w:val="21"/>
                <w:szCs w:val="21"/>
              </w:rPr>
            </w:pPr>
          </w:p>
        </w:tc>
        <w:tc>
          <w:tcPr>
            <w:tcW w:w="922" w:type="pct"/>
            <w:tcBorders>
              <w:tl2br w:val="nil"/>
              <w:tr2bl w:val="nil"/>
            </w:tcBorders>
            <w:noWrap w:val="0"/>
            <w:vAlign w:val="center"/>
          </w:tcPr>
          <w:p w14:paraId="6C83B0B9">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8"/>
                <w:sz w:val="21"/>
                <w:szCs w:val="21"/>
                <w:lang w:val="en-US" w:eastAsia="zh-CN"/>
              </w:rPr>
              <w:t>2024年</w:t>
            </w:r>
          </w:p>
        </w:tc>
        <w:tc>
          <w:tcPr>
            <w:tcW w:w="831" w:type="pct"/>
            <w:tcBorders>
              <w:tl2br w:val="nil"/>
              <w:tr2bl w:val="nil"/>
            </w:tcBorders>
            <w:noWrap w:val="0"/>
            <w:vAlign w:val="center"/>
          </w:tcPr>
          <w:p w14:paraId="22DA2337">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8"/>
                <w:sz w:val="21"/>
                <w:szCs w:val="21"/>
                <w:lang w:val="en-US" w:eastAsia="zh-CN"/>
              </w:rPr>
              <w:t>2023年</w:t>
            </w:r>
          </w:p>
        </w:tc>
        <w:tc>
          <w:tcPr>
            <w:tcW w:w="576" w:type="pct"/>
            <w:tcBorders>
              <w:tl2br w:val="nil"/>
              <w:tr2bl w:val="nil"/>
            </w:tcBorders>
            <w:noWrap w:val="0"/>
            <w:vAlign w:val="center"/>
          </w:tcPr>
          <w:p w14:paraId="3481B1B8">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pacing w:val="8"/>
                <w:sz w:val="21"/>
                <w:szCs w:val="21"/>
                <w:lang w:val="en-US" w:eastAsia="zh-CN"/>
              </w:rPr>
              <w:t>同比变化</w:t>
            </w:r>
          </w:p>
        </w:tc>
      </w:tr>
      <w:tr w14:paraId="68551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restart"/>
            <w:tcBorders>
              <w:tl2br w:val="nil"/>
              <w:tr2bl w:val="nil"/>
            </w:tcBorders>
            <w:noWrap w:val="0"/>
            <w:vAlign w:val="center"/>
          </w:tcPr>
          <w:p w14:paraId="4FA6D59A">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齐齐哈尔市</w:t>
            </w:r>
          </w:p>
        </w:tc>
        <w:tc>
          <w:tcPr>
            <w:tcW w:w="2238" w:type="pct"/>
            <w:gridSpan w:val="2"/>
            <w:tcBorders>
              <w:tl2br w:val="nil"/>
              <w:tr2bl w:val="nil"/>
            </w:tcBorders>
            <w:noWrap w:val="0"/>
            <w:vAlign w:val="center"/>
          </w:tcPr>
          <w:p w14:paraId="0975637C">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达标天数（优+良）</w:t>
            </w:r>
          </w:p>
        </w:tc>
        <w:tc>
          <w:tcPr>
            <w:tcW w:w="922" w:type="pct"/>
            <w:tcBorders>
              <w:tl2br w:val="nil"/>
              <w:tr2bl w:val="nil"/>
            </w:tcBorders>
            <w:noWrap w:val="0"/>
            <w:vAlign w:val="center"/>
          </w:tcPr>
          <w:p w14:paraId="3A9391C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343</w:t>
            </w:r>
          </w:p>
        </w:tc>
        <w:tc>
          <w:tcPr>
            <w:tcW w:w="831" w:type="pct"/>
            <w:tcBorders>
              <w:tl2br w:val="nil"/>
              <w:tr2bl w:val="nil"/>
            </w:tcBorders>
            <w:noWrap w:val="0"/>
            <w:vAlign w:val="center"/>
          </w:tcPr>
          <w:p w14:paraId="7A6B2ED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336</w:t>
            </w:r>
          </w:p>
        </w:tc>
        <w:tc>
          <w:tcPr>
            <w:tcW w:w="576" w:type="pct"/>
            <w:tcBorders>
              <w:tl2br w:val="nil"/>
              <w:tr2bl w:val="nil"/>
            </w:tcBorders>
            <w:noWrap w:val="0"/>
            <w:vAlign w:val="center"/>
          </w:tcPr>
          <w:p w14:paraId="611CD37E">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↑7</w:t>
            </w:r>
          </w:p>
        </w:tc>
      </w:tr>
      <w:tr w14:paraId="5D13B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502297CB">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pacing w:val="8"/>
                <w:sz w:val="21"/>
                <w:szCs w:val="21"/>
              </w:rPr>
            </w:pPr>
          </w:p>
        </w:tc>
        <w:tc>
          <w:tcPr>
            <w:tcW w:w="2238" w:type="pct"/>
            <w:gridSpan w:val="2"/>
            <w:tcBorders>
              <w:tl2br w:val="nil"/>
              <w:tr2bl w:val="nil"/>
            </w:tcBorders>
            <w:noWrap w:val="0"/>
            <w:vAlign w:val="center"/>
          </w:tcPr>
          <w:p w14:paraId="5CDC184C">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达标率（%）</w:t>
            </w:r>
          </w:p>
        </w:tc>
        <w:tc>
          <w:tcPr>
            <w:tcW w:w="922" w:type="pct"/>
            <w:tcBorders>
              <w:tl2br w:val="nil"/>
              <w:tr2bl w:val="nil"/>
            </w:tcBorders>
            <w:noWrap w:val="0"/>
            <w:vAlign w:val="center"/>
          </w:tcPr>
          <w:p w14:paraId="1B9F98C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343/366=93.7%</w:t>
            </w:r>
          </w:p>
        </w:tc>
        <w:tc>
          <w:tcPr>
            <w:tcW w:w="831" w:type="pct"/>
            <w:tcBorders>
              <w:tl2br w:val="nil"/>
              <w:tr2bl w:val="nil"/>
            </w:tcBorders>
            <w:noWrap w:val="0"/>
            <w:vAlign w:val="center"/>
          </w:tcPr>
          <w:p w14:paraId="179BC3BB">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pacing w:val="8"/>
                <w:sz w:val="21"/>
                <w:szCs w:val="21"/>
                <w:lang w:val="en-US" w:eastAsia="zh-CN"/>
              </w:rPr>
              <w:t>336/362=92.82%</w:t>
            </w:r>
          </w:p>
        </w:tc>
        <w:tc>
          <w:tcPr>
            <w:tcW w:w="576" w:type="pct"/>
            <w:tcBorders>
              <w:tl2br w:val="nil"/>
              <w:tr2bl w:val="nil"/>
            </w:tcBorders>
            <w:noWrap w:val="0"/>
            <w:vAlign w:val="center"/>
          </w:tcPr>
          <w:p w14:paraId="149530B0">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↑0.88个百分点</w:t>
            </w:r>
          </w:p>
        </w:tc>
      </w:tr>
      <w:tr w14:paraId="0AE50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29DE5232">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pacing w:val="8"/>
                <w:sz w:val="21"/>
                <w:szCs w:val="21"/>
              </w:rPr>
            </w:pPr>
          </w:p>
        </w:tc>
        <w:tc>
          <w:tcPr>
            <w:tcW w:w="608" w:type="pct"/>
            <w:tcBorders>
              <w:tl2br w:val="nil"/>
              <w:tr2bl w:val="nil"/>
            </w:tcBorders>
            <w:noWrap w:val="0"/>
            <w:vAlign w:val="center"/>
          </w:tcPr>
          <w:p w14:paraId="0346B449">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pacing w:val="8"/>
                <w:sz w:val="21"/>
                <w:szCs w:val="21"/>
                <w:vertAlign w:val="subscript"/>
                <w:lang w:val="en-US" w:eastAsia="zh-CN"/>
              </w:rPr>
            </w:pPr>
            <w:r>
              <w:rPr>
                <w:rFonts w:hint="default" w:ascii="Times New Roman" w:hAnsi="Times New Roman" w:eastAsia="宋体" w:cs="Times New Roman"/>
                <w:color w:val="auto"/>
                <w:spacing w:val="8"/>
                <w:sz w:val="21"/>
                <w:szCs w:val="21"/>
                <w:lang w:val="en-US" w:eastAsia="zh-CN"/>
              </w:rPr>
              <w:t>SO</w:t>
            </w:r>
            <w:r>
              <w:rPr>
                <w:rFonts w:hint="default" w:ascii="Times New Roman" w:hAnsi="Times New Roman" w:eastAsia="宋体" w:cs="Times New Roman"/>
                <w:color w:val="auto"/>
                <w:spacing w:val="8"/>
                <w:sz w:val="21"/>
                <w:szCs w:val="21"/>
                <w:vertAlign w:val="subscript"/>
                <w:lang w:val="en-US" w:eastAsia="zh-CN"/>
              </w:rPr>
              <w:t>2</w:t>
            </w:r>
          </w:p>
          <w:p w14:paraId="65C29F04">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(µg/m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8"/>
                <w:sz w:val="21"/>
                <w:szCs w:val="21"/>
                <w:lang w:val="en-US" w:eastAsia="zh-CN"/>
              </w:rPr>
              <w:t>)</w:t>
            </w:r>
          </w:p>
        </w:tc>
        <w:tc>
          <w:tcPr>
            <w:tcW w:w="1630" w:type="pct"/>
            <w:tcBorders>
              <w:tl2br w:val="nil"/>
              <w:tr2bl w:val="nil"/>
            </w:tcBorders>
            <w:noWrap w:val="0"/>
            <w:vAlign w:val="center"/>
          </w:tcPr>
          <w:p w14:paraId="6C394159">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年均值</w:t>
            </w:r>
          </w:p>
        </w:tc>
        <w:tc>
          <w:tcPr>
            <w:tcW w:w="922" w:type="pct"/>
            <w:tcBorders>
              <w:tl2br w:val="nil"/>
              <w:tr2bl w:val="nil"/>
            </w:tcBorders>
            <w:noWrap w:val="0"/>
            <w:vAlign w:val="center"/>
          </w:tcPr>
          <w:p w14:paraId="5DE2CDC5">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7</w:t>
            </w:r>
          </w:p>
        </w:tc>
        <w:tc>
          <w:tcPr>
            <w:tcW w:w="831" w:type="pct"/>
            <w:tcBorders>
              <w:tl2br w:val="nil"/>
              <w:tr2bl w:val="nil"/>
            </w:tcBorders>
            <w:noWrap w:val="0"/>
            <w:vAlign w:val="center"/>
          </w:tcPr>
          <w:p w14:paraId="20617FB7">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576" w:type="pct"/>
            <w:tcBorders>
              <w:tl2br w:val="nil"/>
              <w:tr2bl w:val="nil"/>
            </w:tcBorders>
            <w:noWrap w:val="0"/>
            <w:vAlign w:val="center"/>
          </w:tcPr>
          <w:p w14:paraId="18AC88D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p>
        </w:tc>
      </w:tr>
      <w:tr w14:paraId="38EF2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3B43327A">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pacing w:val="8"/>
                <w:sz w:val="21"/>
                <w:szCs w:val="21"/>
              </w:rPr>
            </w:pPr>
          </w:p>
        </w:tc>
        <w:tc>
          <w:tcPr>
            <w:tcW w:w="608" w:type="pct"/>
            <w:tcBorders>
              <w:tl2br w:val="nil"/>
              <w:tr2bl w:val="nil"/>
            </w:tcBorders>
            <w:noWrap w:val="0"/>
            <w:vAlign w:val="center"/>
          </w:tcPr>
          <w:p w14:paraId="4A1F2FEE">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pacing w:val="8"/>
                <w:sz w:val="21"/>
                <w:szCs w:val="21"/>
                <w:vertAlign w:val="subscript"/>
                <w:lang w:val="en-US" w:eastAsia="zh-CN"/>
              </w:rPr>
            </w:pPr>
            <w:r>
              <w:rPr>
                <w:rFonts w:hint="default" w:ascii="Times New Roman" w:hAnsi="Times New Roman" w:eastAsia="宋体" w:cs="Times New Roman"/>
                <w:color w:val="auto"/>
                <w:spacing w:val="8"/>
                <w:sz w:val="21"/>
                <w:szCs w:val="21"/>
                <w:lang w:val="en-US" w:eastAsia="zh-CN"/>
              </w:rPr>
              <w:t>NO</w:t>
            </w:r>
            <w:r>
              <w:rPr>
                <w:rFonts w:hint="default" w:ascii="Times New Roman" w:hAnsi="Times New Roman" w:eastAsia="宋体" w:cs="Times New Roman"/>
                <w:color w:val="auto"/>
                <w:spacing w:val="8"/>
                <w:sz w:val="21"/>
                <w:szCs w:val="21"/>
                <w:vertAlign w:val="subscript"/>
                <w:lang w:val="en-US" w:eastAsia="zh-CN"/>
              </w:rPr>
              <w:t>2</w:t>
            </w:r>
          </w:p>
          <w:p w14:paraId="4253811A">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(µg/m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8"/>
                <w:sz w:val="21"/>
                <w:szCs w:val="21"/>
                <w:lang w:val="en-US" w:eastAsia="zh-CN"/>
              </w:rPr>
              <w:t>)</w:t>
            </w:r>
          </w:p>
        </w:tc>
        <w:tc>
          <w:tcPr>
            <w:tcW w:w="1630" w:type="pct"/>
            <w:tcBorders>
              <w:tl2br w:val="nil"/>
              <w:tr2bl w:val="nil"/>
            </w:tcBorders>
            <w:noWrap w:val="0"/>
            <w:vAlign w:val="center"/>
          </w:tcPr>
          <w:p w14:paraId="438555B6">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年均值</w:t>
            </w:r>
          </w:p>
        </w:tc>
        <w:tc>
          <w:tcPr>
            <w:tcW w:w="922" w:type="pct"/>
            <w:tcBorders>
              <w:tl2br w:val="nil"/>
              <w:tr2bl w:val="nil"/>
            </w:tcBorders>
            <w:noWrap w:val="0"/>
            <w:vAlign w:val="center"/>
          </w:tcPr>
          <w:p w14:paraId="1CC47418">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16</w:t>
            </w:r>
          </w:p>
        </w:tc>
        <w:tc>
          <w:tcPr>
            <w:tcW w:w="831" w:type="pct"/>
            <w:tcBorders>
              <w:tl2br w:val="nil"/>
              <w:tr2bl w:val="nil"/>
            </w:tcBorders>
            <w:noWrap w:val="0"/>
            <w:vAlign w:val="center"/>
          </w:tcPr>
          <w:p w14:paraId="38536E8A">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16</w:t>
            </w:r>
          </w:p>
        </w:tc>
        <w:tc>
          <w:tcPr>
            <w:tcW w:w="576" w:type="pct"/>
            <w:tcBorders>
              <w:tl2br w:val="nil"/>
              <w:tr2bl w:val="nil"/>
            </w:tcBorders>
            <w:noWrap w:val="0"/>
            <w:vAlign w:val="center"/>
          </w:tcPr>
          <w:p w14:paraId="3405EBA8">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w:t>
            </w:r>
          </w:p>
        </w:tc>
      </w:tr>
      <w:tr w14:paraId="09514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0F7C6283">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pacing w:val="8"/>
                <w:sz w:val="21"/>
                <w:szCs w:val="21"/>
              </w:rPr>
            </w:pPr>
          </w:p>
        </w:tc>
        <w:tc>
          <w:tcPr>
            <w:tcW w:w="608" w:type="pct"/>
            <w:tcBorders>
              <w:tl2br w:val="nil"/>
              <w:tr2bl w:val="nil"/>
            </w:tcBorders>
            <w:noWrap w:val="0"/>
            <w:vAlign w:val="center"/>
          </w:tcPr>
          <w:p w14:paraId="2523FAF2">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pacing w:val="8"/>
                <w:sz w:val="21"/>
                <w:szCs w:val="21"/>
                <w:vertAlign w:val="subscript"/>
                <w:lang w:val="en-US" w:eastAsia="zh-CN"/>
              </w:rPr>
            </w:pPr>
            <w:r>
              <w:rPr>
                <w:rFonts w:hint="default" w:ascii="Times New Roman" w:hAnsi="Times New Roman" w:eastAsia="宋体" w:cs="Times New Roman"/>
                <w:color w:val="auto"/>
                <w:spacing w:val="8"/>
                <w:sz w:val="21"/>
                <w:szCs w:val="21"/>
                <w:lang w:val="en-US" w:eastAsia="zh-CN"/>
              </w:rPr>
              <w:t>PM</w:t>
            </w:r>
            <w:r>
              <w:rPr>
                <w:rFonts w:hint="default" w:ascii="Times New Roman" w:hAnsi="Times New Roman" w:eastAsia="宋体" w:cs="Times New Roman"/>
                <w:color w:val="auto"/>
                <w:spacing w:val="8"/>
                <w:sz w:val="21"/>
                <w:szCs w:val="21"/>
                <w:vertAlign w:val="subscript"/>
                <w:lang w:val="en-US" w:eastAsia="zh-CN"/>
              </w:rPr>
              <w:t>10</w:t>
            </w:r>
          </w:p>
          <w:p w14:paraId="3666FB9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(µg/m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8"/>
                <w:sz w:val="21"/>
                <w:szCs w:val="21"/>
                <w:lang w:val="en-US" w:eastAsia="zh-CN"/>
              </w:rPr>
              <w:t>)</w:t>
            </w:r>
          </w:p>
        </w:tc>
        <w:tc>
          <w:tcPr>
            <w:tcW w:w="1630" w:type="pct"/>
            <w:tcBorders>
              <w:tl2br w:val="nil"/>
              <w:tr2bl w:val="nil"/>
            </w:tcBorders>
            <w:noWrap w:val="0"/>
            <w:vAlign w:val="center"/>
          </w:tcPr>
          <w:p w14:paraId="63C084CA">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年均值</w:t>
            </w:r>
          </w:p>
        </w:tc>
        <w:tc>
          <w:tcPr>
            <w:tcW w:w="922" w:type="pct"/>
            <w:tcBorders>
              <w:tl2br w:val="nil"/>
              <w:tr2bl w:val="nil"/>
            </w:tcBorders>
            <w:noWrap w:val="0"/>
            <w:vAlign w:val="center"/>
          </w:tcPr>
          <w:p w14:paraId="7192800D">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44</w:t>
            </w:r>
          </w:p>
        </w:tc>
        <w:tc>
          <w:tcPr>
            <w:tcW w:w="831" w:type="pct"/>
            <w:tcBorders>
              <w:tl2br w:val="nil"/>
              <w:tr2bl w:val="nil"/>
            </w:tcBorders>
            <w:noWrap w:val="0"/>
            <w:vAlign w:val="center"/>
          </w:tcPr>
          <w:p w14:paraId="52CD431F">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43</w:t>
            </w:r>
          </w:p>
        </w:tc>
        <w:tc>
          <w:tcPr>
            <w:tcW w:w="576" w:type="pct"/>
            <w:tcBorders>
              <w:tl2br w:val="nil"/>
              <w:tr2bl w:val="nil"/>
            </w:tcBorders>
            <w:noWrap w:val="0"/>
            <w:vAlign w:val="center"/>
          </w:tcPr>
          <w:p w14:paraId="56D0BF3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↑1</w:t>
            </w:r>
          </w:p>
        </w:tc>
      </w:tr>
      <w:tr w14:paraId="77018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1A369A2E">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pacing w:val="8"/>
                <w:sz w:val="21"/>
                <w:szCs w:val="21"/>
              </w:rPr>
            </w:pPr>
          </w:p>
        </w:tc>
        <w:tc>
          <w:tcPr>
            <w:tcW w:w="608" w:type="pct"/>
            <w:tcBorders>
              <w:tl2br w:val="nil"/>
              <w:tr2bl w:val="nil"/>
            </w:tcBorders>
            <w:noWrap w:val="0"/>
            <w:vAlign w:val="center"/>
          </w:tcPr>
          <w:p w14:paraId="20D800D3">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pacing w:val="8"/>
                <w:sz w:val="21"/>
                <w:szCs w:val="21"/>
                <w:vertAlign w:val="subscript"/>
                <w:lang w:val="en-US" w:eastAsia="zh-CN"/>
              </w:rPr>
            </w:pPr>
            <w:r>
              <w:rPr>
                <w:rFonts w:hint="default" w:ascii="Times New Roman" w:hAnsi="Times New Roman" w:eastAsia="宋体" w:cs="Times New Roman"/>
                <w:color w:val="auto"/>
                <w:spacing w:val="8"/>
                <w:sz w:val="21"/>
                <w:szCs w:val="21"/>
                <w:lang w:val="en-US" w:eastAsia="zh-CN"/>
              </w:rPr>
              <w:t>PM</w:t>
            </w:r>
            <w:r>
              <w:rPr>
                <w:rFonts w:hint="default" w:ascii="Times New Roman" w:hAnsi="Times New Roman" w:eastAsia="宋体" w:cs="Times New Roman"/>
                <w:color w:val="auto"/>
                <w:spacing w:val="8"/>
                <w:sz w:val="21"/>
                <w:szCs w:val="21"/>
                <w:vertAlign w:val="subscript"/>
                <w:lang w:val="en-US" w:eastAsia="zh-CN"/>
              </w:rPr>
              <w:t>2.5</w:t>
            </w:r>
          </w:p>
          <w:p w14:paraId="49BC5CCA">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(µg/m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8"/>
                <w:sz w:val="21"/>
                <w:szCs w:val="21"/>
                <w:lang w:val="en-US" w:eastAsia="zh-CN"/>
              </w:rPr>
              <w:t>)</w:t>
            </w:r>
          </w:p>
        </w:tc>
        <w:tc>
          <w:tcPr>
            <w:tcW w:w="1630" w:type="pct"/>
            <w:tcBorders>
              <w:tl2br w:val="nil"/>
              <w:tr2bl w:val="nil"/>
            </w:tcBorders>
            <w:noWrap w:val="0"/>
            <w:vAlign w:val="center"/>
          </w:tcPr>
          <w:p w14:paraId="4FABA18F">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年均值</w:t>
            </w:r>
          </w:p>
        </w:tc>
        <w:tc>
          <w:tcPr>
            <w:tcW w:w="922" w:type="pct"/>
            <w:tcBorders>
              <w:tl2br w:val="nil"/>
              <w:tr2bl w:val="nil"/>
            </w:tcBorders>
            <w:noWrap w:val="0"/>
            <w:vAlign w:val="center"/>
          </w:tcPr>
          <w:p w14:paraId="378AA40B">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24</w:t>
            </w:r>
          </w:p>
        </w:tc>
        <w:tc>
          <w:tcPr>
            <w:tcW w:w="831" w:type="pct"/>
            <w:tcBorders>
              <w:tl2br w:val="nil"/>
              <w:tr2bl w:val="nil"/>
            </w:tcBorders>
            <w:noWrap w:val="0"/>
            <w:vAlign w:val="center"/>
          </w:tcPr>
          <w:p w14:paraId="0B90857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22</w:t>
            </w:r>
          </w:p>
        </w:tc>
        <w:tc>
          <w:tcPr>
            <w:tcW w:w="576" w:type="pct"/>
            <w:tcBorders>
              <w:tl2br w:val="nil"/>
              <w:tr2bl w:val="nil"/>
            </w:tcBorders>
            <w:noWrap w:val="0"/>
            <w:vAlign w:val="center"/>
          </w:tcPr>
          <w:p w14:paraId="5899BEA9">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↑2</w:t>
            </w:r>
          </w:p>
        </w:tc>
      </w:tr>
      <w:tr w14:paraId="43208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6F7236AA">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pacing w:val="8"/>
                <w:sz w:val="21"/>
                <w:szCs w:val="21"/>
              </w:rPr>
            </w:pPr>
          </w:p>
        </w:tc>
        <w:tc>
          <w:tcPr>
            <w:tcW w:w="608" w:type="pct"/>
            <w:tcBorders>
              <w:tl2br w:val="nil"/>
              <w:tr2bl w:val="nil"/>
            </w:tcBorders>
            <w:noWrap w:val="0"/>
            <w:vAlign w:val="center"/>
          </w:tcPr>
          <w:p w14:paraId="5179252F">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pacing w:val="8"/>
                <w:sz w:val="21"/>
                <w:szCs w:val="21"/>
                <w:lang w:val="en-US" w:eastAsia="zh-CN"/>
              </w:rPr>
            </w:pPr>
            <w:r>
              <w:rPr>
                <w:rFonts w:hint="default" w:ascii="Times New Roman" w:hAnsi="Times New Roman" w:eastAsia="宋体" w:cs="Times New Roman"/>
                <w:color w:val="auto"/>
                <w:spacing w:val="8"/>
                <w:sz w:val="21"/>
                <w:szCs w:val="21"/>
                <w:lang w:val="en-US" w:eastAsia="zh-CN"/>
              </w:rPr>
              <w:t>CO</w:t>
            </w:r>
          </w:p>
          <w:p w14:paraId="7C205EC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(mg/m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8"/>
                <w:sz w:val="21"/>
                <w:szCs w:val="21"/>
                <w:lang w:val="en-US" w:eastAsia="zh-CN"/>
              </w:rPr>
              <w:t>)</w:t>
            </w:r>
          </w:p>
        </w:tc>
        <w:tc>
          <w:tcPr>
            <w:tcW w:w="1630" w:type="pct"/>
            <w:tcBorders>
              <w:tl2br w:val="nil"/>
              <w:tr2bl w:val="nil"/>
            </w:tcBorders>
            <w:noWrap w:val="0"/>
            <w:vAlign w:val="center"/>
          </w:tcPr>
          <w:p w14:paraId="723654A6">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pacing w:val="8"/>
                <w:sz w:val="21"/>
                <w:szCs w:val="21"/>
                <w:lang w:val="en-US" w:eastAsia="zh-CN"/>
              </w:rPr>
              <w:t>日平均</w:t>
            </w:r>
            <w:r>
              <w:rPr>
                <w:rFonts w:hint="default" w:ascii="Times New Roman" w:hAnsi="Times New Roman" w:eastAsia="宋体" w:cs="Times New Roman"/>
                <w:color w:val="auto"/>
                <w:spacing w:val="8"/>
                <w:sz w:val="21"/>
                <w:szCs w:val="21"/>
                <w:lang w:val="en-US" w:eastAsia="zh-CN"/>
              </w:rPr>
              <w:t>第95百分位数</w:t>
            </w:r>
          </w:p>
        </w:tc>
        <w:tc>
          <w:tcPr>
            <w:tcW w:w="922" w:type="pct"/>
            <w:tcBorders>
              <w:tl2br w:val="nil"/>
              <w:tr2bl w:val="nil"/>
            </w:tcBorders>
            <w:noWrap w:val="0"/>
            <w:vAlign w:val="center"/>
          </w:tcPr>
          <w:p w14:paraId="14812F5B">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0.7</w:t>
            </w:r>
          </w:p>
        </w:tc>
        <w:tc>
          <w:tcPr>
            <w:tcW w:w="831" w:type="pct"/>
            <w:tcBorders>
              <w:tl2br w:val="nil"/>
              <w:tr2bl w:val="nil"/>
            </w:tcBorders>
            <w:noWrap w:val="0"/>
            <w:vAlign w:val="center"/>
          </w:tcPr>
          <w:p w14:paraId="1821F899">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0.8</w:t>
            </w:r>
          </w:p>
        </w:tc>
        <w:tc>
          <w:tcPr>
            <w:tcW w:w="576" w:type="pct"/>
            <w:tcBorders>
              <w:tl2br w:val="nil"/>
              <w:tr2bl w:val="nil"/>
            </w:tcBorders>
            <w:noWrap w:val="0"/>
            <w:vAlign w:val="center"/>
          </w:tcPr>
          <w:p w14:paraId="1DB93E94">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↓0.1</w:t>
            </w:r>
          </w:p>
        </w:tc>
      </w:tr>
      <w:tr w14:paraId="10440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31" w:type="pct"/>
            <w:vMerge w:val="continue"/>
            <w:tcBorders>
              <w:tl2br w:val="nil"/>
              <w:tr2bl w:val="nil"/>
            </w:tcBorders>
            <w:noWrap w:val="0"/>
            <w:vAlign w:val="center"/>
          </w:tcPr>
          <w:p w14:paraId="52F26666">
            <w:pPr>
              <w:keepNext w:val="0"/>
              <w:keepLines w:val="0"/>
              <w:widowControl/>
              <w:suppressLineNumbers w:val="0"/>
              <w:spacing w:before="0" w:beforeAutospacing="0" w:after="0" w:afterAutospacing="0"/>
              <w:ind w:left="0" w:right="0"/>
              <w:rPr>
                <w:rFonts w:hint="default" w:ascii="Times New Roman" w:hAnsi="Times New Roman" w:eastAsia="宋体" w:cs="Times New Roman"/>
                <w:color w:val="auto"/>
                <w:spacing w:val="8"/>
                <w:sz w:val="21"/>
                <w:szCs w:val="21"/>
              </w:rPr>
            </w:pPr>
          </w:p>
        </w:tc>
        <w:tc>
          <w:tcPr>
            <w:tcW w:w="608" w:type="pct"/>
            <w:tcBorders>
              <w:tl2br w:val="nil"/>
              <w:tr2bl w:val="nil"/>
            </w:tcBorders>
            <w:noWrap w:val="0"/>
            <w:vAlign w:val="center"/>
          </w:tcPr>
          <w:p w14:paraId="0AE8BA26">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pacing w:val="8"/>
                <w:sz w:val="21"/>
                <w:szCs w:val="21"/>
                <w:vertAlign w:val="subscript"/>
                <w:lang w:val="en-US" w:eastAsia="zh-CN"/>
              </w:rPr>
            </w:pPr>
            <w:r>
              <w:rPr>
                <w:rFonts w:hint="default" w:ascii="Times New Roman" w:hAnsi="Times New Roman" w:eastAsia="宋体" w:cs="Times New Roman"/>
                <w:color w:val="auto"/>
                <w:spacing w:val="8"/>
                <w:sz w:val="21"/>
                <w:szCs w:val="21"/>
                <w:lang w:val="en-US" w:eastAsia="zh-CN"/>
              </w:rPr>
              <w:t>O</w:t>
            </w:r>
            <w:r>
              <w:rPr>
                <w:rFonts w:hint="default" w:ascii="Times New Roman" w:hAnsi="Times New Roman" w:eastAsia="宋体" w:cs="Times New Roman"/>
                <w:color w:val="auto"/>
                <w:spacing w:val="8"/>
                <w:sz w:val="21"/>
                <w:szCs w:val="21"/>
                <w:vertAlign w:val="subscript"/>
                <w:lang w:val="en-US" w:eastAsia="zh-CN"/>
              </w:rPr>
              <w:t>3</w:t>
            </w:r>
          </w:p>
          <w:p w14:paraId="3102F179">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(µg/m</w:t>
            </w:r>
            <w:r>
              <w:rPr>
                <w:rFonts w:hint="default" w:ascii="Times New Roman" w:hAnsi="Times New Roman" w:eastAsia="宋体" w:cs="Times New Roman"/>
                <w:color w:val="auto"/>
                <w:spacing w:val="8"/>
                <w:sz w:val="21"/>
                <w:szCs w:val="21"/>
                <w:vertAlign w:val="superscript"/>
                <w:lang w:val="en-US" w:eastAsia="zh-CN"/>
              </w:rPr>
              <w:t>3</w:t>
            </w:r>
            <w:r>
              <w:rPr>
                <w:rFonts w:hint="default" w:ascii="Times New Roman" w:hAnsi="Times New Roman" w:eastAsia="宋体" w:cs="Times New Roman"/>
                <w:color w:val="auto"/>
                <w:spacing w:val="8"/>
                <w:sz w:val="21"/>
                <w:szCs w:val="21"/>
                <w:lang w:val="en-US" w:eastAsia="zh-CN"/>
              </w:rPr>
              <w:t>)</w:t>
            </w:r>
          </w:p>
        </w:tc>
        <w:tc>
          <w:tcPr>
            <w:tcW w:w="1630" w:type="pct"/>
            <w:tcBorders>
              <w:tl2br w:val="nil"/>
              <w:tr2bl w:val="nil"/>
            </w:tcBorders>
            <w:noWrap w:val="0"/>
            <w:vAlign w:val="center"/>
          </w:tcPr>
          <w:p w14:paraId="2D068245">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pacing w:val="8"/>
                <w:sz w:val="21"/>
                <w:szCs w:val="21"/>
                <w:lang w:val="en-US" w:eastAsia="zh-CN"/>
              </w:rPr>
            </w:pPr>
            <w:r>
              <w:rPr>
                <w:rFonts w:hint="default" w:ascii="Times New Roman" w:hAnsi="Times New Roman" w:eastAsia="宋体" w:cs="Times New Roman"/>
                <w:color w:val="auto"/>
                <w:spacing w:val="8"/>
                <w:sz w:val="21"/>
                <w:szCs w:val="21"/>
                <w:lang w:val="en-US" w:eastAsia="zh-CN"/>
              </w:rPr>
              <w:t>日最大8小时平均</w:t>
            </w:r>
          </w:p>
          <w:p w14:paraId="597F8946">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第90百分位数</w:t>
            </w:r>
          </w:p>
        </w:tc>
        <w:tc>
          <w:tcPr>
            <w:tcW w:w="922" w:type="pct"/>
            <w:tcBorders>
              <w:tl2br w:val="nil"/>
              <w:tr2bl w:val="nil"/>
            </w:tcBorders>
            <w:noWrap w:val="0"/>
            <w:vAlign w:val="center"/>
          </w:tcPr>
          <w:p w14:paraId="2C226C9E">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111</w:t>
            </w:r>
          </w:p>
        </w:tc>
        <w:tc>
          <w:tcPr>
            <w:tcW w:w="831" w:type="pct"/>
            <w:tcBorders>
              <w:tl2br w:val="nil"/>
              <w:tr2bl w:val="nil"/>
            </w:tcBorders>
            <w:noWrap w:val="0"/>
            <w:vAlign w:val="center"/>
          </w:tcPr>
          <w:p w14:paraId="27C9B798">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109</w:t>
            </w:r>
          </w:p>
        </w:tc>
        <w:tc>
          <w:tcPr>
            <w:tcW w:w="576" w:type="pct"/>
            <w:tcBorders>
              <w:tl2br w:val="nil"/>
              <w:tr2bl w:val="nil"/>
            </w:tcBorders>
            <w:noWrap w:val="0"/>
            <w:vAlign w:val="center"/>
          </w:tcPr>
          <w:p w14:paraId="76B1D221">
            <w:pPr>
              <w:pStyle w:val="48"/>
              <w:keepNext w:val="0"/>
              <w:keepLines w:val="0"/>
              <w:suppressLineNumbers w:val="0"/>
              <w:wordWrap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8"/>
                <w:sz w:val="21"/>
                <w:szCs w:val="21"/>
                <w:lang w:val="en-US" w:eastAsia="zh-CN"/>
              </w:rPr>
              <w:t>↑2</w:t>
            </w:r>
          </w:p>
        </w:tc>
      </w:tr>
    </w:tbl>
    <w:p w14:paraId="7BB1500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cs="Times New Roman"/>
          <w:color w:val="auto"/>
        </w:rPr>
      </w:pPr>
      <w:r>
        <w:rPr>
          <w:rFonts w:hint="default" w:ascii="Times New Roman" w:hAnsi="Times New Roman" w:cs="Times New Roman"/>
          <w:color w:val="auto"/>
          <w:kern w:val="0"/>
        </w:rPr>
        <w:t>由上表统计结果可知，基本污染物</w:t>
      </w:r>
      <w:r>
        <w:rPr>
          <w:rFonts w:hint="default" w:ascii="Times New Roman" w:hAnsi="Times New Roman" w:cs="Times New Roman"/>
          <w:color w:val="auto"/>
          <w:lang w:val="zh-CN"/>
        </w:rPr>
        <w:t>SO</w:t>
      </w:r>
      <w:r>
        <w:rPr>
          <w:rFonts w:hint="default" w:ascii="Times New Roman" w:hAnsi="Times New Roman" w:cs="Times New Roman"/>
          <w:color w:val="auto"/>
          <w:vertAlign w:val="subscript"/>
          <w:lang w:val="zh-CN"/>
        </w:rPr>
        <w:t>2</w:t>
      </w:r>
      <w:r>
        <w:rPr>
          <w:rFonts w:hint="default" w:ascii="Times New Roman" w:hAnsi="Times New Roman" w:cs="Times New Roman"/>
          <w:color w:val="auto"/>
          <w:lang w:val="zh-CN"/>
        </w:rPr>
        <w:t>、NO</w:t>
      </w:r>
      <w:r>
        <w:rPr>
          <w:rFonts w:hint="default" w:ascii="Times New Roman" w:hAnsi="Times New Roman" w:cs="Times New Roman"/>
          <w:color w:val="auto"/>
          <w:vertAlign w:val="subscript"/>
          <w:lang w:val="zh-CN"/>
        </w:rPr>
        <w:t>2</w:t>
      </w:r>
      <w:r>
        <w:rPr>
          <w:rFonts w:hint="default" w:ascii="Times New Roman" w:hAnsi="Times New Roman" w:cs="Times New Roman"/>
          <w:color w:val="auto"/>
          <w:lang w:val="zh-CN"/>
        </w:rPr>
        <w:t>、</w:t>
      </w:r>
      <w:r>
        <w:rPr>
          <w:rFonts w:hint="default" w:ascii="Times New Roman" w:hAnsi="Times New Roman" w:cs="Times New Roman"/>
          <w:color w:val="auto"/>
        </w:rPr>
        <w:t>PM</w:t>
      </w:r>
      <w:r>
        <w:rPr>
          <w:rFonts w:hint="default" w:ascii="Times New Roman" w:hAnsi="Times New Roman" w:cs="Times New Roman"/>
          <w:color w:val="auto"/>
          <w:vertAlign w:val="subscript"/>
        </w:rPr>
        <w:t>2.5</w:t>
      </w:r>
      <w:r>
        <w:rPr>
          <w:rFonts w:hint="default" w:ascii="Times New Roman" w:hAnsi="Times New Roman" w:cs="Times New Roman"/>
          <w:color w:val="auto"/>
          <w:lang w:val="zh-CN"/>
        </w:rPr>
        <w:t>、</w:t>
      </w:r>
      <w:r>
        <w:rPr>
          <w:rFonts w:hint="default" w:ascii="Times New Roman" w:hAnsi="Times New Roman" w:cs="Times New Roman"/>
          <w:color w:val="auto"/>
        </w:rPr>
        <w:t>PM</w:t>
      </w:r>
      <w:r>
        <w:rPr>
          <w:rFonts w:hint="default" w:ascii="Times New Roman" w:hAnsi="Times New Roman" w:cs="Times New Roman"/>
          <w:color w:val="auto"/>
          <w:vertAlign w:val="subscript"/>
        </w:rPr>
        <w:t>10</w:t>
      </w:r>
      <w:r>
        <w:rPr>
          <w:rFonts w:hint="default" w:ascii="Times New Roman" w:hAnsi="Times New Roman" w:cs="Times New Roman"/>
          <w:color w:val="auto"/>
          <w:kern w:val="0"/>
        </w:rPr>
        <w:t>年均浓度均满足</w:t>
      </w:r>
      <w:r>
        <w:rPr>
          <w:rFonts w:hint="eastAsia" w:ascii="Times New Roman" w:hAnsi="Times New Roman" w:eastAsia="宋体" w:cs="Times New Roman"/>
          <w:snapToGrid/>
          <w:color w:val="auto"/>
          <w:kern w:val="2"/>
          <w:sz w:val="24"/>
          <w:szCs w:val="24"/>
          <w:highlight w:val="none"/>
          <w:lang w:eastAsia="zh-CN"/>
        </w:rPr>
        <w:t>《环境空气质量标准》(GB3095-2026）过度阶段浓度限值中二级标准</w:t>
      </w:r>
      <w:r>
        <w:rPr>
          <w:rFonts w:hint="default" w:ascii="Times New Roman" w:hAnsi="Times New Roman" w:eastAsia="宋体" w:cs="Times New Roman"/>
          <w:snapToGrid/>
          <w:color w:val="auto"/>
          <w:kern w:val="2"/>
          <w:sz w:val="24"/>
          <w:szCs w:val="24"/>
          <w:highlight w:val="none"/>
          <w:lang w:eastAsia="zh-CN"/>
        </w:rPr>
        <w:t>要求</w:t>
      </w:r>
      <w:r>
        <w:rPr>
          <w:rFonts w:hint="default" w:ascii="Times New Roman" w:hAnsi="Times New Roman" w:cs="Times New Roman"/>
          <w:color w:val="auto"/>
          <w:kern w:val="0"/>
        </w:rPr>
        <w:t>，基本污染物</w:t>
      </w:r>
      <w:r>
        <w:rPr>
          <w:rFonts w:hint="default" w:ascii="Times New Roman" w:hAnsi="Times New Roman" w:cs="Times New Roman"/>
          <w:color w:val="auto"/>
        </w:rPr>
        <w:t>百分位数日平均质量浓度</w:t>
      </w:r>
      <w:r>
        <w:rPr>
          <w:rFonts w:hint="default" w:ascii="Times New Roman" w:hAnsi="Times New Roman" w:cs="Times New Roman"/>
          <w:color w:val="auto"/>
          <w:kern w:val="0"/>
        </w:rPr>
        <w:t>可以满足</w:t>
      </w:r>
      <w:r>
        <w:rPr>
          <w:rFonts w:hint="eastAsia" w:ascii="Times New Roman" w:hAnsi="Times New Roman" w:eastAsia="宋体" w:cs="Times New Roman"/>
          <w:snapToGrid/>
          <w:color w:val="auto"/>
          <w:kern w:val="2"/>
          <w:sz w:val="24"/>
          <w:szCs w:val="24"/>
          <w:highlight w:val="none"/>
          <w:lang w:eastAsia="zh-CN"/>
        </w:rPr>
        <w:t>《环境空气质量标准》(GB3095-2026）过度阶段浓度限值中二级标准</w:t>
      </w:r>
      <w:r>
        <w:rPr>
          <w:rFonts w:hint="default" w:ascii="Times New Roman" w:hAnsi="Times New Roman" w:eastAsia="宋体" w:cs="Times New Roman"/>
          <w:snapToGrid/>
          <w:color w:val="auto"/>
          <w:kern w:val="2"/>
          <w:sz w:val="24"/>
          <w:szCs w:val="24"/>
          <w:highlight w:val="none"/>
          <w:lang w:eastAsia="zh-CN"/>
        </w:rPr>
        <w:t>要求</w:t>
      </w:r>
      <w:r>
        <w:rPr>
          <w:rFonts w:hint="default" w:ascii="Times New Roman" w:hAnsi="Times New Roman" w:cs="Times New Roman"/>
          <w:color w:val="auto"/>
          <w:kern w:val="0"/>
        </w:rPr>
        <w:t>。</w:t>
      </w:r>
    </w:p>
    <w:p w14:paraId="67F04B8A">
      <w:pPr>
        <w:pStyle w:val="5"/>
      </w:pPr>
      <w:r>
        <w:t>4.3.2.</w:t>
      </w:r>
      <w:r>
        <w:rPr>
          <w:rFonts w:eastAsia="宋体"/>
        </w:rPr>
        <w:t>2其他特征污染物补充监测基本情况</w:t>
      </w:r>
    </w:p>
    <w:p w14:paraId="4E6EDA39">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snapToGrid/>
          <w:color w:val="auto"/>
          <w:kern w:val="2"/>
          <w:sz w:val="24"/>
          <w:szCs w:val="24"/>
          <w:highlight w:val="none"/>
          <w:lang w:val="en-US" w:eastAsia="zh-CN"/>
        </w:rPr>
      </w:pPr>
      <w:r>
        <w:rPr>
          <w:rFonts w:hint="default" w:ascii="Times New Roman" w:hAnsi="Times New Roman" w:eastAsia="宋体" w:cs="Times New Roman"/>
          <w:snapToGrid/>
          <w:color w:val="auto"/>
          <w:kern w:val="2"/>
          <w:sz w:val="24"/>
          <w:szCs w:val="24"/>
          <w:highlight w:val="none"/>
          <w:lang w:eastAsia="zh-CN"/>
        </w:rPr>
        <w:t>委托</w:t>
      </w:r>
      <w:r>
        <w:rPr>
          <w:rFonts w:hint="eastAsia" w:ascii="Times New Roman" w:hAnsi="Times New Roman" w:eastAsia="宋体" w:cs="Times New Roman"/>
          <w:snapToGrid/>
          <w:color w:val="auto"/>
          <w:kern w:val="2"/>
          <w:sz w:val="24"/>
          <w:szCs w:val="24"/>
          <w:highlight w:val="none"/>
          <w:lang w:eastAsia="zh-CN"/>
        </w:rPr>
        <w:t>黑龙江九实检测有限公司</w:t>
      </w:r>
      <w:r>
        <w:rPr>
          <w:rFonts w:hint="default" w:ascii="Times New Roman" w:hAnsi="Times New Roman" w:eastAsia="宋体" w:cs="Times New Roman"/>
          <w:snapToGrid/>
          <w:color w:val="auto"/>
          <w:kern w:val="2"/>
          <w:sz w:val="24"/>
          <w:szCs w:val="24"/>
          <w:highlight w:val="none"/>
          <w:lang w:eastAsia="zh-CN"/>
        </w:rPr>
        <w:t>进行现状监测，监测因子为</w:t>
      </w:r>
      <w:r>
        <w:rPr>
          <w:rFonts w:hint="default" w:ascii="Times New Roman" w:hAnsi="Times New Roman" w:eastAsia="宋体" w:cs="Times New Roman"/>
          <w:snapToGrid/>
          <w:color w:val="auto"/>
          <w:kern w:val="2"/>
          <w:sz w:val="24"/>
          <w:szCs w:val="24"/>
          <w:highlight w:val="none"/>
          <w:lang w:val="en-US" w:eastAsia="zh-CN"/>
        </w:rPr>
        <w:t>TSP、</w:t>
      </w:r>
      <w:r>
        <w:rPr>
          <w:rFonts w:hint="eastAsia" w:cs="Times New Roman"/>
          <w:snapToGrid/>
          <w:color w:val="auto"/>
          <w:kern w:val="2"/>
          <w:sz w:val="24"/>
          <w:szCs w:val="24"/>
          <w:highlight w:val="none"/>
          <w:lang w:val="en-US" w:eastAsia="zh-CN"/>
        </w:rPr>
        <w:t>非甲烷总烃、</w:t>
      </w:r>
      <w:r>
        <w:rPr>
          <w:rFonts w:hint="default" w:ascii="Times New Roman" w:hAnsi="Times New Roman" w:eastAsia="宋体" w:cs="Times New Roman"/>
          <w:snapToGrid/>
          <w:color w:val="auto"/>
          <w:kern w:val="2"/>
          <w:sz w:val="24"/>
          <w:szCs w:val="24"/>
          <w:highlight w:val="none"/>
          <w:lang w:eastAsia="zh-CN"/>
        </w:rPr>
        <w:t>氨、硫化氢。监测时间为20</w:t>
      </w:r>
      <w:r>
        <w:rPr>
          <w:rFonts w:hint="default" w:ascii="Times New Roman" w:hAnsi="Times New Roman" w:eastAsia="宋体" w:cs="Times New Roman"/>
          <w:snapToGrid/>
          <w:color w:val="auto"/>
          <w:kern w:val="2"/>
          <w:sz w:val="24"/>
          <w:szCs w:val="24"/>
          <w:highlight w:val="none"/>
          <w:lang w:val="en-US" w:eastAsia="zh-CN"/>
        </w:rPr>
        <w:t>26</w:t>
      </w:r>
      <w:r>
        <w:rPr>
          <w:rFonts w:hint="default" w:ascii="Times New Roman" w:hAnsi="Times New Roman" w:eastAsia="宋体" w:cs="Times New Roman"/>
          <w:snapToGrid/>
          <w:color w:val="auto"/>
          <w:kern w:val="2"/>
          <w:sz w:val="24"/>
          <w:szCs w:val="24"/>
          <w:highlight w:val="none"/>
          <w:lang w:eastAsia="zh-CN"/>
        </w:rPr>
        <w:t>年</w:t>
      </w:r>
      <w:r>
        <w:rPr>
          <w:rFonts w:hint="eastAsia" w:ascii="Times New Roman" w:hAnsi="Times New Roman" w:eastAsia="宋体" w:cs="Times New Roman"/>
          <w:snapToGrid/>
          <w:color w:val="auto"/>
          <w:kern w:val="2"/>
          <w:sz w:val="24"/>
          <w:szCs w:val="24"/>
          <w:highlight w:val="none"/>
          <w:lang w:val="en-US" w:eastAsia="zh-CN"/>
        </w:rPr>
        <w:t>5</w:t>
      </w:r>
      <w:r>
        <w:rPr>
          <w:rFonts w:hint="default" w:ascii="Times New Roman" w:hAnsi="Times New Roman" w:eastAsia="宋体" w:cs="Times New Roman"/>
          <w:snapToGrid/>
          <w:color w:val="auto"/>
          <w:kern w:val="2"/>
          <w:sz w:val="24"/>
          <w:szCs w:val="24"/>
          <w:highlight w:val="none"/>
          <w:lang w:eastAsia="zh-CN"/>
        </w:rPr>
        <w:t>月</w:t>
      </w:r>
      <w:r>
        <w:rPr>
          <w:rFonts w:hint="eastAsia" w:ascii="Times New Roman" w:hAnsi="Times New Roman" w:eastAsia="宋体" w:cs="Times New Roman"/>
          <w:snapToGrid/>
          <w:color w:val="auto"/>
          <w:kern w:val="2"/>
          <w:sz w:val="24"/>
          <w:szCs w:val="24"/>
          <w:highlight w:val="none"/>
          <w:lang w:val="en-US" w:eastAsia="zh-CN"/>
        </w:rPr>
        <w:t>19</w:t>
      </w:r>
      <w:r>
        <w:rPr>
          <w:rFonts w:hint="default" w:ascii="Times New Roman" w:hAnsi="Times New Roman" w:eastAsia="宋体" w:cs="Times New Roman"/>
          <w:snapToGrid/>
          <w:color w:val="auto"/>
          <w:kern w:val="2"/>
          <w:sz w:val="24"/>
          <w:szCs w:val="24"/>
          <w:highlight w:val="none"/>
          <w:lang w:eastAsia="zh-CN"/>
        </w:rPr>
        <w:t>日至20</w:t>
      </w:r>
      <w:r>
        <w:rPr>
          <w:rFonts w:hint="default" w:ascii="Times New Roman" w:hAnsi="Times New Roman" w:eastAsia="宋体" w:cs="Times New Roman"/>
          <w:snapToGrid/>
          <w:color w:val="auto"/>
          <w:kern w:val="2"/>
          <w:sz w:val="24"/>
          <w:szCs w:val="24"/>
          <w:highlight w:val="none"/>
          <w:lang w:val="en-US" w:eastAsia="zh-CN"/>
        </w:rPr>
        <w:t>26</w:t>
      </w:r>
      <w:r>
        <w:rPr>
          <w:rFonts w:hint="default" w:ascii="Times New Roman" w:hAnsi="Times New Roman" w:eastAsia="宋体" w:cs="Times New Roman"/>
          <w:snapToGrid/>
          <w:color w:val="auto"/>
          <w:kern w:val="2"/>
          <w:sz w:val="24"/>
          <w:szCs w:val="24"/>
          <w:highlight w:val="none"/>
          <w:lang w:eastAsia="zh-CN"/>
        </w:rPr>
        <w:t>年</w:t>
      </w:r>
      <w:r>
        <w:rPr>
          <w:rFonts w:hint="eastAsia" w:ascii="Times New Roman" w:hAnsi="Times New Roman" w:eastAsia="宋体" w:cs="Times New Roman"/>
          <w:snapToGrid/>
          <w:color w:val="auto"/>
          <w:kern w:val="2"/>
          <w:sz w:val="24"/>
          <w:szCs w:val="24"/>
          <w:highlight w:val="none"/>
          <w:lang w:val="en-US" w:eastAsia="zh-CN"/>
        </w:rPr>
        <w:t>5</w:t>
      </w:r>
      <w:r>
        <w:rPr>
          <w:rFonts w:hint="default" w:ascii="Times New Roman" w:hAnsi="Times New Roman" w:eastAsia="宋体" w:cs="Times New Roman"/>
          <w:snapToGrid/>
          <w:color w:val="auto"/>
          <w:kern w:val="2"/>
          <w:sz w:val="24"/>
          <w:szCs w:val="24"/>
          <w:highlight w:val="none"/>
          <w:lang w:eastAsia="zh-CN"/>
        </w:rPr>
        <w:t>月</w:t>
      </w:r>
      <w:r>
        <w:rPr>
          <w:rFonts w:hint="eastAsia" w:ascii="Times New Roman" w:hAnsi="Times New Roman" w:eastAsia="宋体" w:cs="Times New Roman"/>
          <w:snapToGrid/>
          <w:color w:val="auto"/>
          <w:kern w:val="2"/>
          <w:sz w:val="24"/>
          <w:szCs w:val="24"/>
          <w:highlight w:val="none"/>
          <w:lang w:val="en-US" w:eastAsia="zh-CN"/>
        </w:rPr>
        <w:t>25</w:t>
      </w:r>
      <w:r>
        <w:rPr>
          <w:rFonts w:hint="default" w:ascii="Times New Roman" w:hAnsi="Times New Roman" w:eastAsia="宋体" w:cs="Times New Roman"/>
          <w:snapToGrid/>
          <w:color w:val="auto"/>
          <w:kern w:val="2"/>
          <w:sz w:val="24"/>
          <w:szCs w:val="24"/>
          <w:highlight w:val="none"/>
          <w:lang w:eastAsia="zh-CN"/>
        </w:rPr>
        <w:t>日连续七天。</w:t>
      </w:r>
      <w:r>
        <w:rPr>
          <w:rFonts w:hint="eastAsia" w:cs="Times New Roman"/>
          <w:snapToGrid/>
          <w:color w:val="auto"/>
          <w:kern w:val="2"/>
          <w:sz w:val="24"/>
          <w:szCs w:val="24"/>
          <w:highlight w:val="none"/>
          <w:lang w:val="en-US" w:eastAsia="zh-CN"/>
        </w:rPr>
        <w:t>非甲烷总烃、</w:t>
      </w:r>
      <w:r>
        <w:rPr>
          <w:rFonts w:hint="default" w:ascii="Times New Roman" w:hAnsi="Times New Roman" w:eastAsia="宋体" w:cs="Times New Roman"/>
          <w:snapToGrid/>
          <w:color w:val="auto"/>
          <w:kern w:val="2"/>
          <w:sz w:val="24"/>
          <w:szCs w:val="24"/>
          <w:highlight w:val="none"/>
          <w:lang w:eastAsia="zh-CN"/>
        </w:rPr>
        <w:t>氨及硫化氢每天2、8、14、20时4个时段</w:t>
      </w:r>
      <w:r>
        <w:rPr>
          <w:rFonts w:hint="eastAsia" w:cs="Times New Roman"/>
          <w:snapToGrid/>
          <w:color w:val="auto"/>
          <w:kern w:val="2"/>
          <w:sz w:val="24"/>
          <w:szCs w:val="24"/>
          <w:highlight w:val="none"/>
          <w:lang w:eastAsia="zh-CN"/>
        </w:rPr>
        <w:t>，</w:t>
      </w:r>
      <w:r>
        <w:rPr>
          <w:rFonts w:hint="eastAsia" w:cs="Times New Roman"/>
          <w:snapToGrid/>
          <w:color w:val="auto"/>
          <w:kern w:val="2"/>
          <w:sz w:val="24"/>
          <w:szCs w:val="24"/>
          <w:highlight w:val="none"/>
          <w:lang w:val="en-US" w:eastAsia="zh-CN"/>
        </w:rPr>
        <w:t>TSP为日均值。</w:t>
      </w:r>
    </w:p>
    <w:p w14:paraId="0886E2E1">
      <w:pPr>
        <w:spacing w:line="360" w:lineRule="auto"/>
        <w:ind w:firstLine="480" w:firstLineChars="200"/>
        <w:rPr>
          <w:rFonts w:hint="default" w:ascii="Times New Roman" w:hAnsi="Times New Roman" w:eastAsia="宋体" w:cs="Times New Roman"/>
          <w:color w:val="auto"/>
          <w:szCs w:val="32"/>
        </w:rPr>
      </w:pPr>
      <w:r>
        <w:rPr>
          <w:rFonts w:hint="default" w:ascii="Times New Roman" w:hAnsi="Times New Roman" w:eastAsia="宋体" w:cs="Times New Roman"/>
          <w:color w:val="auto"/>
          <w:szCs w:val="32"/>
        </w:rPr>
        <w:t>（1）监测点位</w:t>
      </w:r>
    </w:p>
    <w:p w14:paraId="2E004E80">
      <w:pPr>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auto"/>
          <w:szCs w:val="32"/>
        </w:rPr>
      </w:pPr>
      <w:r>
        <w:rPr>
          <w:rFonts w:hint="default" w:ascii="Times New Roman" w:hAnsi="Times New Roman" w:eastAsia="宋体" w:cs="Times New Roman"/>
          <w:color w:val="auto"/>
          <w:szCs w:val="32"/>
        </w:rPr>
        <w:t>本项目环境空气质量现状补充监测点位基本信息见表4.3-2和图4.3-1。</w:t>
      </w:r>
    </w:p>
    <w:p w14:paraId="1FD259E3">
      <w:pPr>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jc w:val="center"/>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表4.3-2  其他污染物补充监测点位基本信息</w:t>
      </w:r>
    </w:p>
    <w:tbl>
      <w:tblPr>
        <w:tblStyle w:val="53"/>
        <w:tblW w:w="498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1"/>
        <w:gridCol w:w="2789"/>
        <w:gridCol w:w="897"/>
        <w:gridCol w:w="950"/>
        <w:gridCol w:w="1563"/>
        <w:gridCol w:w="2007"/>
      </w:tblGrid>
      <w:tr w14:paraId="4C020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jc w:val="center"/>
        </w:trPr>
        <w:tc>
          <w:tcPr>
            <w:tcW w:w="309" w:type="pct"/>
            <w:vMerge w:val="restart"/>
            <w:tcBorders>
              <w:tl2br w:val="nil"/>
              <w:tr2bl w:val="nil"/>
            </w:tcBorders>
            <w:noWrap w:val="0"/>
            <w:vAlign w:val="center"/>
          </w:tcPr>
          <w:p w14:paraId="12D1707C">
            <w:pPr>
              <w:pStyle w:val="196"/>
              <w:keepNext w:val="0"/>
              <w:keepLines w:val="0"/>
              <w:suppressLineNumbers w:val="0"/>
              <w:spacing w:before="0" w:beforeAutospacing="0" w:after="0" w:afterAutospacing="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594" w:type="pct"/>
            <w:vMerge w:val="restart"/>
            <w:tcBorders>
              <w:tl2br w:val="nil"/>
              <w:tr2bl w:val="nil"/>
            </w:tcBorders>
            <w:noWrap w:val="0"/>
            <w:vAlign w:val="center"/>
          </w:tcPr>
          <w:p w14:paraId="4E00FE09">
            <w:pPr>
              <w:pStyle w:val="196"/>
              <w:keepNext w:val="0"/>
              <w:keepLines w:val="0"/>
              <w:suppressLineNumbers w:val="0"/>
              <w:spacing w:before="0" w:beforeAutospacing="0" w:after="0" w:afterAutospacing="0"/>
              <w:jc w:val="center"/>
              <w:rPr>
                <w:rFonts w:hint="default" w:ascii="Times New Roman" w:hAnsi="Times New Roman" w:cs="Times New Roman"/>
                <w:b/>
                <w:bCs/>
                <w:color w:val="auto"/>
              </w:rPr>
            </w:pPr>
            <w:r>
              <w:rPr>
                <w:rFonts w:hint="default" w:ascii="Times New Roman" w:hAnsi="Times New Roman" w:cs="Times New Roman"/>
                <w:b/>
                <w:bCs/>
                <w:color w:val="auto"/>
              </w:rPr>
              <w:t>点位名称</w:t>
            </w:r>
          </w:p>
        </w:tc>
        <w:tc>
          <w:tcPr>
            <w:tcW w:w="1055" w:type="pct"/>
            <w:gridSpan w:val="2"/>
            <w:tcBorders>
              <w:tl2br w:val="nil"/>
              <w:tr2bl w:val="nil"/>
            </w:tcBorders>
            <w:noWrap w:val="0"/>
            <w:vAlign w:val="center"/>
          </w:tcPr>
          <w:p w14:paraId="096ED27E">
            <w:pPr>
              <w:pStyle w:val="196"/>
              <w:keepNext w:val="0"/>
              <w:keepLines w:val="0"/>
              <w:suppressLineNumbers w:val="0"/>
              <w:spacing w:before="0" w:beforeAutospacing="0" w:after="0" w:afterAutospacing="0"/>
              <w:jc w:val="center"/>
              <w:rPr>
                <w:rFonts w:hint="default" w:ascii="Times New Roman" w:hAnsi="Times New Roman" w:cs="Times New Roman"/>
                <w:b/>
                <w:bCs/>
                <w:color w:val="auto"/>
              </w:rPr>
            </w:pPr>
            <w:r>
              <w:rPr>
                <w:rFonts w:hint="default" w:ascii="Times New Roman" w:hAnsi="Times New Roman" w:cs="Times New Roman"/>
                <w:b/>
                <w:bCs/>
                <w:color w:val="auto"/>
              </w:rPr>
              <w:t>相对厂址</w:t>
            </w:r>
          </w:p>
        </w:tc>
        <w:tc>
          <w:tcPr>
            <w:tcW w:w="893" w:type="pct"/>
            <w:vMerge w:val="restart"/>
            <w:tcBorders>
              <w:tl2br w:val="nil"/>
              <w:tr2bl w:val="nil"/>
            </w:tcBorders>
            <w:noWrap w:val="0"/>
            <w:vAlign w:val="center"/>
          </w:tcPr>
          <w:p w14:paraId="5FDFBAB4">
            <w:pPr>
              <w:pStyle w:val="196"/>
              <w:keepNext w:val="0"/>
              <w:keepLines w:val="0"/>
              <w:suppressLineNumbers w:val="0"/>
              <w:spacing w:before="0" w:beforeAutospacing="0" w:after="0" w:afterAutospacing="0"/>
              <w:jc w:val="center"/>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1147" w:type="pct"/>
            <w:vMerge w:val="restart"/>
            <w:tcBorders>
              <w:tl2br w:val="nil"/>
              <w:tr2bl w:val="nil"/>
            </w:tcBorders>
            <w:noWrap w:val="0"/>
            <w:vAlign w:val="center"/>
          </w:tcPr>
          <w:p w14:paraId="1062EB2B">
            <w:pPr>
              <w:pStyle w:val="196"/>
              <w:keepNext w:val="0"/>
              <w:keepLines w:val="0"/>
              <w:suppressLineNumbers w:val="0"/>
              <w:spacing w:before="0" w:beforeAutospacing="0" w:after="0" w:afterAutospacing="0"/>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r>
      <w:tr w14:paraId="6A4D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jc w:val="center"/>
        </w:trPr>
        <w:tc>
          <w:tcPr>
            <w:tcW w:w="309" w:type="pct"/>
            <w:vMerge w:val="continue"/>
            <w:tcBorders>
              <w:tl2br w:val="nil"/>
              <w:tr2bl w:val="nil"/>
            </w:tcBorders>
            <w:noWrap w:val="0"/>
            <w:vAlign w:val="center"/>
          </w:tcPr>
          <w:p w14:paraId="10ABB624">
            <w:pPr>
              <w:pStyle w:val="196"/>
              <w:keepNext w:val="0"/>
              <w:keepLines w:val="0"/>
              <w:suppressLineNumbers w:val="0"/>
              <w:spacing w:before="0" w:beforeAutospacing="0" w:after="0" w:afterAutospacing="0"/>
              <w:jc w:val="center"/>
              <w:rPr>
                <w:rFonts w:hint="default" w:ascii="Times New Roman" w:hAnsi="Times New Roman" w:cs="Times New Roman"/>
                <w:color w:val="auto"/>
              </w:rPr>
            </w:pPr>
          </w:p>
        </w:tc>
        <w:tc>
          <w:tcPr>
            <w:tcW w:w="1594" w:type="pct"/>
            <w:vMerge w:val="continue"/>
            <w:tcBorders>
              <w:tl2br w:val="nil"/>
              <w:tr2bl w:val="nil"/>
            </w:tcBorders>
            <w:noWrap w:val="0"/>
            <w:vAlign w:val="center"/>
          </w:tcPr>
          <w:p w14:paraId="13965F63">
            <w:pPr>
              <w:pStyle w:val="196"/>
              <w:keepNext w:val="0"/>
              <w:keepLines w:val="0"/>
              <w:suppressLineNumbers w:val="0"/>
              <w:spacing w:before="0" w:beforeAutospacing="0" w:after="0" w:afterAutospacing="0"/>
              <w:jc w:val="center"/>
              <w:rPr>
                <w:rFonts w:hint="default" w:ascii="Times New Roman" w:hAnsi="Times New Roman" w:cs="Times New Roman"/>
                <w:color w:val="auto"/>
              </w:rPr>
            </w:pPr>
          </w:p>
        </w:tc>
        <w:tc>
          <w:tcPr>
            <w:tcW w:w="512" w:type="pct"/>
            <w:tcBorders>
              <w:tl2br w:val="nil"/>
              <w:tr2bl w:val="nil"/>
            </w:tcBorders>
            <w:noWrap w:val="0"/>
            <w:vAlign w:val="center"/>
          </w:tcPr>
          <w:p w14:paraId="3FC0CC3C">
            <w:pPr>
              <w:pStyle w:val="196"/>
              <w:keepNext w:val="0"/>
              <w:keepLines w:val="0"/>
              <w:suppressLineNumbers w:val="0"/>
              <w:spacing w:before="0" w:beforeAutospacing="0" w:after="0" w:afterAutospacing="0"/>
              <w:jc w:val="center"/>
              <w:rPr>
                <w:rFonts w:hint="default" w:ascii="Times New Roman" w:hAnsi="Times New Roman" w:cs="Times New Roman"/>
                <w:b/>
                <w:bCs/>
                <w:color w:val="auto"/>
              </w:rPr>
            </w:pPr>
            <w:r>
              <w:rPr>
                <w:rFonts w:hint="default" w:ascii="Times New Roman" w:hAnsi="Times New Roman" w:cs="Times New Roman"/>
                <w:b/>
                <w:bCs/>
                <w:color w:val="auto"/>
              </w:rPr>
              <w:t>方位</w:t>
            </w:r>
          </w:p>
        </w:tc>
        <w:tc>
          <w:tcPr>
            <w:tcW w:w="543" w:type="pct"/>
            <w:tcBorders>
              <w:tl2br w:val="nil"/>
              <w:tr2bl w:val="nil"/>
            </w:tcBorders>
            <w:noWrap w:val="0"/>
            <w:vAlign w:val="center"/>
          </w:tcPr>
          <w:p w14:paraId="11D63AB7">
            <w:pPr>
              <w:pStyle w:val="196"/>
              <w:keepNext w:val="0"/>
              <w:keepLines w:val="0"/>
              <w:suppressLineNumbers w:val="0"/>
              <w:spacing w:before="0" w:beforeAutospacing="0" w:after="0" w:afterAutospacing="0"/>
              <w:jc w:val="center"/>
              <w:rPr>
                <w:rFonts w:hint="default" w:ascii="Times New Roman" w:hAnsi="Times New Roman" w:cs="Times New Roman"/>
                <w:b/>
                <w:bCs/>
                <w:color w:val="auto"/>
              </w:rPr>
            </w:pPr>
            <w:r>
              <w:rPr>
                <w:rFonts w:hint="default" w:ascii="Times New Roman" w:hAnsi="Times New Roman" w:cs="Times New Roman"/>
                <w:b/>
                <w:bCs/>
                <w:color w:val="auto"/>
              </w:rPr>
              <w:t>距离</w:t>
            </w:r>
          </w:p>
        </w:tc>
        <w:tc>
          <w:tcPr>
            <w:tcW w:w="893" w:type="pct"/>
            <w:vMerge w:val="continue"/>
            <w:tcBorders>
              <w:tl2br w:val="nil"/>
              <w:tr2bl w:val="nil"/>
            </w:tcBorders>
            <w:noWrap w:val="0"/>
            <w:vAlign w:val="center"/>
          </w:tcPr>
          <w:p w14:paraId="75A22B10">
            <w:pPr>
              <w:pStyle w:val="196"/>
              <w:keepNext w:val="0"/>
              <w:keepLines w:val="0"/>
              <w:suppressLineNumbers w:val="0"/>
              <w:spacing w:before="0" w:beforeAutospacing="0" w:after="0" w:afterAutospacing="0"/>
              <w:jc w:val="center"/>
              <w:rPr>
                <w:rFonts w:hint="default" w:ascii="Times New Roman" w:hAnsi="Times New Roman" w:cs="Times New Roman"/>
                <w:color w:val="auto"/>
              </w:rPr>
            </w:pPr>
          </w:p>
        </w:tc>
        <w:tc>
          <w:tcPr>
            <w:tcW w:w="1147" w:type="pct"/>
            <w:vMerge w:val="continue"/>
            <w:tcBorders>
              <w:tl2br w:val="nil"/>
              <w:tr2bl w:val="nil"/>
            </w:tcBorders>
            <w:noWrap w:val="0"/>
            <w:vAlign w:val="center"/>
          </w:tcPr>
          <w:p w14:paraId="71A10FDB">
            <w:pPr>
              <w:pStyle w:val="196"/>
              <w:keepNext w:val="0"/>
              <w:keepLines w:val="0"/>
              <w:suppressLineNumbers w:val="0"/>
              <w:spacing w:before="0" w:beforeAutospacing="0" w:after="0" w:afterAutospacing="0"/>
              <w:jc w:val="center"/>
              <w:rPr>
                <w:rFonts w:hint="default" w:ascii="Times New Roman" w:hAnsi="Times New Roman" w:cs="Times New Roman"/>
                <w:color w:val="auto"/>
              </w:rPr>
            </w:pPr>
          </w:p>
        </w:tc>
      </w:tr>
      <w:tr w14:paraId="5D157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jc w:val="center"/>
        </w:trPr>
        <w:tc>
          <w:tcPr>
            <w:tcW w:w="309" w:type="pct"/>
            <w:tcBorders>
              <w:tl2br w:val="nil"/>
              <w:tr2bl w:val="nil"/>
            </w:tcBorders>
            <w:noWrap w:val="0"/>
            <w:vAlign w:val="center"/>
          </w:tcPr>
          <w:p w14:paraId="72F3F6C1">
            <w:pPr>
              <w:pStyle w:val="196"/>
              <w:keepNext w:val="0"/>
              <w:keepLines w:val="0"/>
              <w:suppressLineNumbers w:val="0"/>
              <w:spacing w:before="0" w:beforeAutospacing="0" w:after="0" w:afterAutospacing="0"/>
              <w:jc w:val="center"/>
              <w:rPr>
                <w:rFonts w:hint="default" w:ascii="Times New Roman" w:hAnsi="Times New Roman" w:cs="Times New Roman"/>
                <w:color w:val="auto"/>
              </w:rPr>
            </w:pPr>
            <w:r>
              <w:rPr>
                <w:rFonts w:hint="default" w:ascii="Times New Roman" w:hAnsi="Times New Roman" w:cs="Times New Roman"/>
                <w:color w:val="auto"/>
              </w:rPr>
              <w:t>1#</w:t>
            </w:r>
          </w:p>
        </w:tc>
        <w:tc>
          <w:tcPr>
            <w:tcW w:w="1594" w:type="pct"/>
            <w:tcBorders>
              <w:tl2br w:val="nil"/>
              <w:tr2bl w:val="nil"/>
            </w:tcBorders>
            <w:noWrap w:val="0"/>
            <w:vAlign w:val="center"/>
          </w:tcPr>
          <w:p w14:paraId="17A060F2">
            <w:pPr>
              <w:pStyle w:val="196"/>
              <w:keepNext w:val="0"/>
              <w:keepLines w:val="0"/>
              <w:suppressLineNumbers w:val="0"/>
              <w:spacing w:before="0" w:beforeAutospacing="0" w:after="0" w:afterAutospacing="0"/>
              <w:ind w:left="113" w:leftChars="0" w:right="113" w:rightChars="0"/>
              <w:jc w:val="center"/>
              <w:rPr>
                <w:rFonts w:hint="default" w:ascii="Times New Roman" w:hAnsi="Times New Roman" w:cs="Times New Roman"/>
                <w:color w:val="auto"/>
              </w:rPr>
            </w:pPr>
            <w:r>
              <w:rPr>
                <w:rFonts w:hint="eastAsia" w:cs="Times New Roman"/>
                <w:color w:val="auto"/>
                <w:lang w:val="en-US" w:eastAsia="zh-CN"/>
              </w:rPr>
              <w:t>前屯</w:t>
            </w:r>
          </w:p>
        </w:tc>
        <w:tc>
          <w:tcPr>
            <w:tcW w:w="512" w:type="pct"/>
            <w:tcBorders>
              <w:tl2br w:val="nil"/>
              <w:tr2bl w:val="nil"/>
            </w:tcBorders>
            <w:noWrap w:val="0"/>
            <w:vAlign w:val="center"/>
          </w:tcPr>
          <w:p w14:paraId="799E433B">
            <w:pPr>
              <w:pStyle w:val="196"/>
              <w:keepNext w:val="0"/>
              <w:keepLines w:val="0"/>
              <w:suppressLineNumbers w:val="0"/>
              <w:spacing w:before="0" w:beforeAutospacing="0" w:after="0" w:afterAutospacing="0"/>
              <w:ind w:left="113" w:leftChars="0" w:right="113" w:rightChars="0"/>
              <w:jc w:val="center"/>
              <w:rPr>
                <w:rFonts w:hint="default" w:ascii="Times New Roman" w:hAnsi="Times New Roman" w:cs="Times New Roman"/>
                <w:color w:val="auto"/>
              </w:rPr>
            </w:pPr>
            <w:r>
              <w:rPr>
                <w:rFonts w:hint="eastAsia" w:cs="Times New Roman"/>
                <w:color w:val="auto"/>
                <w:lang w:val="en-US" w:eastAsia="zh-CN"/>
              </w:rPr>
              <w:t>东</w:t>
            </w:r>
            <w:r>
              <w:rPr>
                <w:rFonts w:hint="eastAsia" w:ascii="Times New Roman" w:hAnsi="Times New Roman" w:eastAsia="Times New Roman" w:cs="Times New Roman"/>
                <w:color w:val="auto"/>
                <w:lang w:val="en-US" w:eastAsia="zh-CN"/>
              </w:rPr>
              <w:t>北</w:t>
            </w:r>
          </w:p>
        </w:tc>
        <w:tc>
          <w:tcPr>
            <w:tcW w:w="543" w:type="pct"/>
            <w:tcBorders>
              <w:tl2br w:val="nil"/>
              <w:tr2bl w:val="nil"/>
            </w:tcBorders>
            <w:noWrap w:val="0"/>
            <w:vAlign w:val="center"/>
          </w:tcPr>
          <w:p w14:paraId="354A85A1">
            <w:pPr>
              <w:pStyle w:val="196"/>
              <w:keepNext w:val="0"/>
              <w:keepLines w:val="0"/>
              <w:suppressLineNumbers w:val="0"/>
              <w:spacing w:before="0" w:beforeAutospacing="0" w:after="0" w:afterAutospacing="0"/>
              <w:ind w:left="113" w:leftChars="0" w:right="113" w:rightChars="0"/>
              <w:jc w:val="center"/>
              <w:rPr>
                <w:rFonts w:hint="default" w:ascii="Times New Roman" w:hAnsi="Times New Roman" w:cs="Times New Roman"/>
                <w:color w:val="auto"/>
              </w:rPr>
            </w:pPr>
            <w:r>
              <w:rPr>
                <w:rFonts w:hint="eastAsia" w:eastAsia="宋体" w:cs="Times New Roman"/>
                <w:color w:val="auto"/>
                <w:lang w:val="en-US" w:eastAsia="zh-CN"/>
              </w:rPr>
              <w:t>2</w:t>
            </w:r>
            <w:r>
              <w:rPr>
                <w:rFonts w:hint="default" w:ascii="Times New Roman" w:hAnsi="Times New Roman" w:cs="Times New Roman"/>
                <w:color w:val="auto"/>
              </w:rPr>
              <w:t>00</w:t>
            </w:r>
          </w:p>
        </w:tc>
        <w:tc>
          <w:tcPr>
            <w:tcW w:w="893" w:type="pct"/>
            <w:vMerge w:val="restart"/>
            <w:tcBorders>
              <w:tl2br w:val="nil"/>
              <w:tr2bl w:val="nil"/>
            </w:tcBorders>
            <w:noWrap w:val="0"/>
            <w:vAlign w:val="center"/>
          </w:tcPr>
          <w:p w14:paraId="1169BDAD">
            <w:pPr>
              <w:pStyle w:val="196"/>
              <w:keepNext w:val="0"/>
              <w:keepLines w:val="0"/>
              <w:suppressLineNumbers w:val="0"/>
              <w:spacing w:before="0" w:beforeAutospacing="0" w:after="0" w:afterAutospacing="0"/>
              <w:jc w:val="center"/>
              <w:rPr>
                <w:rFonts w:hint="default" w:ascii="Times New Roman" w:hAnsi="Times New Roman" w:eastAsia="宋体" w:cs="Times New Roman"/>
                <w:color w:val="auto"/>
                <w:lang w:val="en-US" w:eastAsia="zh-CN"/>
              </w:rPr>
            </w:pPr>
            <w:r>
              <w:rPr>
                <w:rFonts w:hint="eastAsia" w:eastAsia="宋体" w:cs="Times New Roman"/>
                <w:color w:val="auto"/>
                <w:lang w:val="en-US" w:eastAsia="zh-CN"/>
              </w:rPr>
              <w:t>NMHC、</w:t>
            </w: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default" w:ascii="Times New Roman" w:hAnsi="Times New Roman" w:cs="Times New Roman"/>
                <w:color w:val="auto"/>
              </w:rPr>
              <w:t>、H</w:t>
            </w:r>
            <w:r>
              <w:rPr>
                <w:rFonts w:hint="default" w:ascii="Times New Roman" w:hAnsi="Times New Roman" w:cs="Times New Roman"/>
                <w:color w:val="auto"/>
                <w:vertAlign w:val="subscript"/>
              </w:rPr>
              <w:t>2</w:t>
            </w:r>
            <w:r>
              <w:rPr>
                <w:rFonts w:hint="default" w:ascii="Times New Roman" w:hAnsi="Times New Roman" w:cs="Times New Roman"/>
                <w:color w:val="auto"/>
              </w:rPr>
              <w:t>S</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TSP</w:t>
            </w:r>
          </w:p>
        </w:tc>
        <w:tc>
          <w:tcPr>
            <w:tcW w:w="1147" w:type="pct"/>
            <w:tcBorders>
              <w:tl2br w:val="nil"/>
              <w:tr2bl w:val="nil"/>
            </w:tcBorders>
            <w:noWrap w:val="0"/>
            <w:vAlign w:val="center"/>
          </w:tcPr>
          <w:p w14:paraId="50605906">
            <w:pPr>
              <w:pStyle w:val="196"/>
              <w:keepNext w:val="0"/>
              <w:keepLines w:val="0"/>
              <w:suppressLineNumbers w:val="0"/>
              <w:spacing w:before="0" w:beforeAutospacing="0" w:after="0" w:afterAutospacing="0"/>
              <w:jc w:val="center"/>
              <w:rPr>
                <w:rFonts w:hint="default" w:ascii="Times New Roman" w:hAnsi="Times New Roman" w:eastAsia="宋体" w:cs="Times New Roman"/>
                <w:color w:val="auto"/>
                <w:lang w:val="en-US" w:eastAsia="zh-CN"/>
              </w:rPr>
            </w:pPr>
            <w:r>
              <w:rPr>
                <w:rFonts w:hint="eastAsia" w:eastAsia="宋体" w:cs="Times New Roman"/>
                <w:color w:val="auto"/>
                <w:lang w:val="en-US" w:eastAsia="zh-CN"/>
              </w:rPr>
              <w:t>最近敏感点</w:t>
            </w:r>
          </w:p>
        </w:tc>
      </w:tr>
      <w:tr w14:paraId="41506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jc w:val="center"/>
        </w:trPr>
        <w:tc>
          <w:tcPr>
            <w:tcW w:w="309" w:type="pct"/>
            <w:tcBorders>
              <w:tl2br w:val="nil"/>
              <w:tr2bl w:val="nil"/>
            </w:tcBorders>
            <w:noWrap w:val="0"/>
            <w:vAlign w:val="center"/>
          </w:tcPr>
          <w:p w14:paraId="0332407C">
            <w:pPr>
              <w:pStyle w:val="196"/>
              <w:keepNext w:val="0"/>
              <w:keepLines w:val="0"/>
              <w:suppressLineNumbers w:val="0"/>
              <w:spacing w:before="0" w:beforeAutospacing="0" w:after="0" w:afterAutospacing="0"/>
              <w:jc w:val="center"/>
              <w:rPr>
                <w:rFonts w:hint="default" w:ascii="Times New Roman" w:hAnsi="Times New Roman" w:cs="Times New Roman"/>
                <w:color w:val="auto"/>
              </w:rPr>
            </w:pPr>
            <w:r>
              <w:rPr>
                <w:rFonts w:hint="default" w:ascii="Times New Roman" w:hAnsi="Times New Roman" w:cs="Times New Roman"/>
                <w:color w:val="auto"/>
              </w:rPr>
              <w:t>2#</w:t>
            </w:r>
          </w:p>
        </w:tc>
        <w:tc>
          <w:tcPr>
            <w:tcW w:w="1594" w:type="pct"/>
            <w:tcBorders>
              <w:tl2br w:val="nil"/>
              <w:tr2bl w:val="nil"/>
            </w:tcBorders>
            <w:shd w:val="clear" w:color="auto" w:fill="auto"/>
            <w:noWrap w:val="0"/>
            <w:vAlign w:val="center"/>
          </w:tcPr>
          <w:p w14:paraId="26EE56EB">
            <w:pPr>
              <w:pStyle w:val="196"/>
              <w:keepNext w:val="0"/>
              <w:keepLines w:val="0"/>
              <w:suppressLineNumbers w:val="0"/>
              <w:spacing w:before="0" w:beforeAutospacing="0" w:after="0" w:afterAutospacing="0"/>
              <w:ind w:left="113" w:leftChars="0" w:right="113" w:rightChars="0"/>
              <w:jc w:val="center"/>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cs="Times New Roman"/>
                <w:color w:val="auto"/>
              </w:rPr>
              <w:t>厂址</w:t>
            </w:r>
          </w:p>
        </w:tc>
        <w:tc>
          <w:tcPr>
            <w:tcW w:w="512" w:type="pct"/>
            <w:tcBorders>
              <w:tl2br w:val="nil"/>
              <w:tr2bl w:val="nil"/>
            </w:tcBorders>
            <w:shd w:val="clear" w:color="auto" w:fill="auto"/>
            <w:noWrap w:val="0"/>
            <w:vAlign w:val="center"/>
          </w:tcPr>
          <w:p w14:paraId="1464CF3C">
            <w:pPr>
              <w:pStyle w:val="196"/>
              <w:keepNext w:val="0"/>
              <w:keepLines w:val="0"/>
              <w:suppressLineNumbers w:val="0"/>
              <w:spacing w:before="0" w:beforeAutospacing="0" w:after="0" w:afterAutospacing="0"/>
              <w:ind w:left="113" w:leftChars="0" w:right="113" w:rightChars="0"/>
              <w:jc w:val="center"/>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cs="Times New Roman"/>
                <w:color w:val="auto"/>
              </w:rPr>
              <w:t>—</w:t>
            </w:r>
          </w:p>
        </w:tc>
        <w:tc>
          <w:tcPr>
            <w:tcW w:w="543" w:type="pct"/>
            <w:tcBorders>
              <w:tl2br w:val="nil"/>
              <w:tr2bl w:val="nil"/>
            </w:tcBorders>
            <w:shd w:val="clear" w:color="auto" w:fill="auto"/>
            <w:noWrap w:val="0"/>
            <w:vAlign w:val="center"/>
          </w:tcPr>
          <w:p w14:paraId="2412BAA4">
            <w:pPr>
              <w:pStyle w:val="196"/>
              <w:keepNext w:val="0"/>
              <w:keepLines w:val="0"/>
              <w:suppressLineNumbers w:val="0"/>
              <w:spacing w:before="0" w:beforeAutospacing="0" w:after="0" w:afterAutospacing="0"/>
              <w:ind w:left="113" w:leftChars="0" w:right="113" w:rightChars="0"/>
              <w:jc w:val="center"/>
              <w:rPr>
                <w:rFonts w:hint="default" w:ascii="Times New Roman" w:hAnsi="Times New Roman" w:eastAsia="Times New Roman" w:cs="Times New Roman"/>
                <w:color w:val="auto"/>
                <w:kern w:val="2"/>
                <w:sz w:val="21"/>
                <w:szCs w:val="24"/>
                <w:lang w:val="en-US" w:eastAsia="zh-CN" w:bidi="ar-SA"/>
              </w:rPr>
            </w:pPr>
            <w:r>
              <w:rPr>
                <w:rFonts w:hint="default" w:ascii="Times New Roman" w:hAnsi="Times New Roman" w:cs="Times New Roman"/>
                <w:color w:val="auto"/>
              </w:rPr>
              <w:t>—</w:t>
            </w:r>
          </w:p>
        </w:tc>
        <w:tc>
          <w:tcPr>
            <w:tcW w:w="893" w:type="pct"/>
            <w:vMerge w:val="continue"/>
            <w:tcBorders>
              <w:tl2br w:val="nil"/>
              <w:tr2bl w:val="nil"/>
            </w:tcBorders>
            <w:noWrap w:val="0"/>
            <w:vAlign w:val="center"/>
          </w:tcPr>
          <w:p w14:paraId="2785CB77">
            <w:pPr>
              <w:pStyle w:val="196"/>
              <w:keepNext w:val="0"/>
              <w:keepLines w:val="0"/>
              <w:suppressLineNumbers w:val="0"/>
              <w:spacing w:before="0" w:beforeAutospacing="0" w:after="0" w:afterAutospacing="0"/>
              <w:jc w:val="center"/>
              <w:rPr>
                <w:rFonts w:hint="default" w:ascii="Times New Roman" w:hAnsi="Times New Roman" w:cs="Times New Roman"/>
                <w:color w:val="auto"/>
              </w:rPr>
            </w:pPr>
          </w:p>
        </w:tc>
        <w:tc>
          <w:tcPr>
            <w:tcW w:w="1147" w:type="pct"/>
            <w:tcBorders>
              <w:tl2br w:val="nil"/>
              <w:tr2bl w:val="nil"/>
            </w:tcBorders>
            <w:noWrap w:val="0"/>
            <w:vAlign w:val="center"/>
          </w:tcPr>
          <w:p w14:paraId="050543FA">
            <w:pPr>
              <w:pStyle w:val="196"/>
              <w:keepNext w:val="0"/>
              <w:keepLines w:val="0"/>
              <w:suppressLineNumbers w:val="0"/>
              <w:spacing w:before="0" w:beforeAutospacing="0" w:after="0" w:afterAutospacing="0"/>
              <w:jc w:val="center"/>
              <w:rPr>
                <w:rFonts w:hint="default" w:ascii="Times New Roman" w:hAnsi="Times New Roman" w:cs="Times New Roman"/>
                <w:color w:val="auto"/>
              </w:rPr>
            </w:pPr>
            <w:r>
              <w:rPr>
                <w:rFonts w:hint="default" w:ascii="Times New Roman" w:hAnsi="Times New Roman" w:cs="Times New Roman"/>
                <w:color w:val="auto"/>
              </w:rPr>
              <w:t>厂区背景值</w:t>
            </w:r>
          </w:p>
        </w:tc>
      </w:tr>
      <w:tr w14:paraId="637AD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7" w:hRule="atLeast"/>
          <w:jc w:val="center"/>
        </w:trPr>
        <w:tc>
          <w:tcPr>
            <w:tcW w:w="309" w:type="pct"/>
            <w:tcBorders>
              <w:tl2br w:val="nil"/>
              <w:tr2bl w:val="nil"/>
            </w:tcBorders>
            <w:noWrap w:val="0"/>
            <w:vAlign w:val="center"/>
          </w:tcPr>
          <w:p w14:paraId="7552E7AA">
            <w:pPr>
              <w:pStyle w:val="196"/>
              <w:keepNext w:val="0"/>
              <w:keepLines w:val="0"/>
              <w:suppressLineNumbers w:val="0"/>
              <w:spacing w:before="0" w:beforeAutospacing="0" w:after="0" w:afterAutospacing="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w:t>
            </w:r>
          </w:p>
        </w:tc>
        <w:tc>
          <w:tcPr>
            <w:tcW w:w="1594" w:type="pct"/>
            <w:tcBorders>
              <w:tl2br w:val="nil"/>
              <w:tr2bl w:val="nil"/>
            </w:tcBorders>
            <w:noWrap w:val="0"/>
            <w:vAlign w:val="center"/>
          </w:tcPr>
          <w:p w14:paraId="644246BE">
            <w:pPr>
              <w:pStyle w:val="196"/>
              <w:keepNext w:val="0"/>
              <w:keepLines w:val="0"/>
              <w:suppressLineNumbers w:val="0"/>
              <w:spacing w:before="0" w:beforeAutospacing="0" w:after="0" w:afterAutospacing="0"/>
              <w:jc w:val="center"/>
              <w:rPr>
                <w:rFonts w:hint="default" w:ascii="Times New Roman" w:hAnsi="Times New Roman" w:eastAsia="Times New Roman" w:cs="Times New Roman"/>
                <w:color w:val="auto"/>
                <w:lang w:val="en-US" w:eastAsia="zh-CN"/>
              </w:rPr>
            </w:pPr>
            <w:r>
              <w:rPr>
                <w:rFonts w:hint="eastAsia" w:cs="Times New Roman"/>
                <w:color w:val="auto"/>
                <w:lang w:val="en-US" w:eastAsia="zh-CN"/>
              </w:rPr>
              <w:t>拉哈火车站</w:t>
            </w:r>
          </w:p>
        </w:tc>
        <w:tc>
          <w:tcPr>
            <w:tcW w:w="512" w:type="pct"/>
            <w:tcBorders>
              <w:tl2br w:val="nil"/>
              <w:tr2bl w:val="nil"/>
            </w:tcBorders>
            <w:noWrap w:val="0"/>
            <w:vAlign w:val="center"/>
          </w:tcPr>
          <w:p w14:paraId="59AE2AF9">
            <w:pPr>
              <w:pStyle w:val="196"/>
              <w:keepNext w:val="0"/>
              <w:keepLines w:val="0"/>
              <w:suppressLineNumbers w:val="0"/>
              <w:spacing w:before="0" w:beforeAutospacing="0" w:after="0" w:afterAutospacing="0"/>
              <w:jc w:val="center"/>
              <w:rPr>
                <w:rFonts w:hint="eastAsia" w:ascii="Times New Roman" w:hAnsi="Times New Roman" w:eastAsia="Times New Roman" w:cs="Times New Roman"/>
                <w:color w:val="auto"/>
                <w:lang w:val="en-US" w:eastAsia="zh-CN"/>
              </w:rPr>
            </w:pPr>
            <w:r>
              <w:rPr>
                <w:rFonts w:hint="eastAsia" w:eastAsia="宋体" w:cs="Times New Roman"/>
                <w:color w:val="auto"/>
                <w:lang w:val="en-US" w:eastAsia="zh-CN"/>
              </w:rPr>
              <w:t>东</w:t>
            </w:r>
            <w:r>
              <w:rPr>
                <w:rFonts w:hint="default" w:ascii="Times New Roman" w:hAnsi="Times New Roman" w:eastAsia="Times New Roman" w:cs="Times New Roman"/>
                <w:color w:val="auto"/>
              </w:rPr>
              <w:t>南</w:t>
            </w:r>
          </w:p>
        </w:tc>
        <w:tc>
          <w:tcPr>
            <w:tcW w:w="543" w:type="pct"/>
            <w:tcBorders>
              <w:tl2br w:val="nil"/>
              <w:tr2bl w:val="nil"/>
            </w:tcBorders>
            <w:noWrap w:val="0"/>
            <w:vAlign w:val="center"/>
          </w:tcPr>
          <w:p w14:paraId="1923A676">
            <w:pPr>
              <w:pStyle w:val="196"/>
              <w:keepNext w:val="0"/>
              <w:keepLines w:val="0"/>
              <w:suppressLineNumbers w:val="0"/>
              <w:spacing w:before="0" w:beforeAutospacing="0" w:after="0" w:afterAutospacing="0"/>
              <w:ind w:left="113" w:leftChars="0" w:right="113" w:rightChars="0"/>
              <w:jc w:val="center"/>
              <w:rPr>
                <w:rFonts w:hint="default" w:ascii="Times New Roman" w:hAnsi="Times New Roman" w:eastAsia="Times New Roman" w:cs="Times New Roman"/>
                <w:color w:val="auto"/>
                <w:kern w:val="2"/>
                <w:sz w:val="21"/>
                <w:szCs w:val="24"/>
                <w:lang w:val="en-US" w:eastAsia="zh-CN" w:bidi="ar-SA"/>
              </w:rPr>
            </w:pPr>
            <w:r>
              <w:rPr>
                <w:rFonts w:hint="eastAsia" w:eastAsia="宋体" w:cs="Times New Roman"/>
                <w:color w:val="auto"/>
                <w:lang w:val="en-US" w:eastAsia="zh-CN"/>
              </w:rPr>
              <w:t>10</w:t>
            </w:r>
            <w:r>
              <w:rPr>
                <w:rFonts w:hint="default" w:ascii="Times New Roman" w:hAnsi="Times New Roman" w:cs="Times New Roman"/>
                <w:color w:val="auto"/>
              </w:rPr>
              <w:t>00</w:t>
            </w:r>
          </w:p>
        </w:tc>
        <w:tc>
          <w:tcPr>
            <w:tcW w:w="893" w:type="pct"/>
            <w:vMerge w:val="continue"/>
            <w:tcBorders>
              <w:tl2br w:val="nil"/>
              <w:tr2bl w:val="nil"/>
            </w:tcBorders>
            <w:noWrap w:val="0"/>
            <w:vAlign w:val="center"/>
          </w:tcPr>
          <w:p w14:paraId="6EF4027B">
            <w:pPr>
              <w:pStyle w:val="196"/>
              <w:keepNext w:val="0"/>
              <w:keepLines w:val="0"/>
              <w:suppressLineNumbers w:val="0"/>
              <w:spacing w:before="0" w:beforeAutospacing="0" w:after="0" w:afterAutospacing="0"/>
              <w:jc w:val="center"/>
              <w:rPr>
                <w:rFonts w:hint="default" w:ascii="Times New Roman" w:hAnsi="Times New Roman" w:cs="Times New Roman"/>
                <w:color w:val="auto"/>
              </w:rPr>
            </w:pPr>
          </w:p>
        </w:tc>
        <w:tc>
          <w:tcPr>
            <w:tcW w:w="1147" w:type="pct"/>
            <w:tcBorders>
              <w:tl2br w:val="nil"/>
              <w:tr2bl w:val="nil"/>
            </w:tcBorders>
            <w:noWrap w:val="0"/>
            <w:vAlign w:val="center"/>
          </w:tcPr>
          <w:p w14:paraId="277AC567">
            <w:pPr>
              <w:pStyle w:val="196"/>
              <w:keepNext w:val="0"/>
              <w:keepLines w:val="0"/>
              <w:suppressLineNumbers w:val="0"/>
              <w:spacing w:before="0" w:beforeAutospacing="0" w:after="0" w:afterAutospacing="0"/>
              <w:jc w:val="center"/>
              <w:rPr>
                <w:rFonts w:hint="default" w:ascii="Times New Roman" w:hAnsi="Times New Roman" w:cs="Times New Roman"/>
                <w:color w:val="auto"/>
              </w:rPr>
            </w:pPr>
            <w:r>
              <w:rPr>
                <w:rFonts w:hint="eastAsia" w:eastAsia="宋体" w:cs="Times New Roman"/>
                <w:color w:val="auto"/>
                <w:lang w:val="en-US" w:eastAsia="zh-CN"/>
              </w:rPr>
              <w:t>年</w:t>
            </w:r>
            <w:r>
              <w:rPr>
                <w:rFonts w:hint="default" w:ascii="Times New Roman" w:hAnsi="Times New Roman" w:cs="Times New Roman"/>
                <w:color w:val="auto"/>
              </w:rPr>
              <w:t>主导风向下风向</w:t>
            </w:r>
          </w:p>
        </w:tc>
      </w:tr>
    </w:tbl>
    <w:p w14:paraId="7CDF3B4E">
      <w:pPr>
        <w:spacing w:line="360" w:lineRule="auto"/>
        <w:ind w:firstLine="480" w:firstLineChars="200"/>
      </w:pPr>
      <w:r>
        <w:t>监测及分析方法按国家颁发的</w:t>
      </w:r>
      <w:r>
        <w:rPr>
          <w:rFonts w:hint="eastAsia"/>
          <w:lang w:eastAsia="zh-CN"/>
        </w:rPr>
        <w:t>《环境空气质量标准》（GB3095-2026）</w:t>
      </w:r>
      <w:r>
        <w:t>和《环境监测技术规范》中的有关规定和要求进行。环境空气监测及分析方法见附件。具体监测点位置见图4.3-1。</w:t>
      </w:r>
    </w:p>
    <w:p w14:paraId="165D6C80">
      <w:pPr>
        <w:pStyle w:val="42"/>
        <w:ind w:left="0"/>
        <w:jc w:val="center"/>
      </w:pPr>
      <w:r>
        <w:rPr>
          <w:sz w:val="21"/>
        </w:rPr>
        <mc:AlternateContent>
          <mc:Choice Requires="wps">
            <w:drawing>
              <wp:anchor distT="0" distB="0" distL="114300" distR="114300" simplePos="0" relativeHeight="251718656" behindDoc="0" locked="0" layoutInCell="1" allowOverlap="1">
                <wp:simplePos x="0" y="0"/>
                <wp:positionH relativeFrom="column">
                  <wp:posOffset>3890010</wp:posOffset>
                </wp:positionH>
                <wp:positionV relativeFrom="paragraph">
                  <wp:posOffset>3687445</wp:posOffset>
                </wp:positionV>
                <wp:extent cx="433070" cy="281305"/>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433070" cy="281305"/>
                        </a:xfrm>
                        <a:prstGeom prst="rect">
                          <a:avLst/>
                        </a:prstGeom>
                        <a:noFill/>
                        <a:ln w="15875">
                          <a:noFill/>
                        </a:ln>
                      </wps:spPr>
                      <wps:txbx>
                        <w:txbxContent>
                          <w:p w14:paraId="47F0F9B2">
                            <w:pPr>
                              <w:rPr>
                                <w:rFonts w:hint="default" w:eastAsia="宋体"/>
                                <w:color w:val="FF0000"/>
                                <w:lang w:val="en-US" w:eastAsia="zh-CN"/>
                              </w:rPr>
                            </w:pPr>
                            <w:r>
                              <w:rPr>
                                <w:rFonts w:hint="eastAsia"/>
                                <w:color w:val="FF0000"/>
                                <w:lang w:val="en-US" w:eastAsia="zh-CN"/>
                              </w:rPr>
                              <w:t>3#</w:t>
                            </w:r>
                          </w:p>
                        </w:txbxContent>
                      </wps:txbx>
                      <wps:bodyPr upright="1"/>
                    </wps:wsp>
                  </a:graphicData>
                </a:graphic>
              </wp:anchor>
            </w:drawing>
          </mc:Choice>
          <mc:Fallback>
            <w:pict>
              <v:shape id="_x0000_s1026" o:spid="_x0000_s1026" o:spt="202" type="#_x0000_t202" style="position:absolute;left:0pt;margin-left:306.3pt;margin-top:290.35pt;height:22.15pt;width:34.1pt;z-index:251718656;mso-width-relative:page;mso-height-relative:page;" filled="f" stroked="f" coordsize="21600,21600" o:gfxdata="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BvuH3cAAAACwEAAA8AAAAAAAAAAQAgAAAAIgAAAGRycy9kb3ducmV2LnhtbFBLAQIU&#10;ABQAAAAIAIdO4kBpUxYUtgEAAFsDAAAOAAAAAAAAAAEAIAAAACsBAABkcnMvZTJvRG9jLnhtbFBL&#10;BQYAAAAABgAGAFkBAABTBQAAAAA=&#10;">
                <v:fill on="f" focussize="0,0"/>
                <v:stroke on="f" weight="1.25pt"/>
                <v:imagedata o:title=""/>
                <o:lock v:ext="edit" aspectratio="f"/>
                <v:textbox>
                  <w:txbxContent>
                    <w:p w14:paraId="47F0F9B2">
                      <w:pPr>
                        <w:rPr>
                          <w:rFonts w:hint="default" w:eastAsia="宋体"/>
                          <w:color w:val="FF0000"/>
                          <w:lang w:val="en-US" w:eastAsia="zh-CN"/>
                        </w:rPr>
                      </w:pPr>
                      <w:r>
                        <w:rPr>
                          <w:rFonts w:hint="eastAsia"/>
                          <w:color w:val="FF0000"/>
                          <w:lang w:val="en-US" w:eastAsia="zh-CN"/>
                        </w:rPr>
                        <w:t>3#</w:t>
                      </w:r>
                    </w:p>
                  </w:txbxContent>
                </v:textbox>
              </v:shape>
            </w:pict>
          </mc:Fallback>
        </mc:AlternateContent>
      </w:r>
      <w:r>
        <w:rPr>
          <w:sz w:val="21"/>
        </w:rPr>
        <mc:AlternateContent>
          <mc:Choice Requires="wps">
            <w:drawing>
              <wp:anchor distT="0" distB="0" distL="114300" distR="114300" simplePos="0" relativeHeight="251716608" behindDoc="0" locked="0" layoutInCell="1" allowOverlap="1">
                <wp:simplePos x="0" y="0"/>
                <wp:positionH relativeFrom="column">
                  <wp:posOffset>4008755</wp:posOffset>
                </wp:positionH>
                <wp:positionV relativeFrom="paragraph">
                  <wp:posOffset>3592195</wp:posOffset>
                </wp:positionV>
                <wp:extent cx="111760" cy="99060"/>
                <wp:effectExtent l="7620" t="7620" r="13970" b="26670"/>
                <wp:wrapNone/>
                <wp:docPr id="141" name="椭圆 141"/>
                <wp:cNvGraphicFramePr/>
                <a:graphic xmlns:a="http://schemas.openxmlformats.org/drawingml/2006/main">
                  <a:graphicData uri="http://schemas.microsoft.com/office/word/2010/wordprocessingShape">
                    <wps:wsp>
                      <wps:cNvSpPr/>
                      <wps:spPr>
                        <a:xfrm>
                          <a:off x="0" y="0"/>
                          <a:ext cx="111760" cy="99060"/>
                        </a:xfrm>
                        <a:prstGeom prst="ellipse">
                          <a:avLst/>
                        </a:prstGeom>
                        <a:solidFill>
                          <a:srgbClr val="FF0000"/>
                        </a:solidFill>
                        <a:ln w="15875" cap="flat" cmpd="sng">
                          <a:solidFill>
                            <a:srgbClr val="739CC3"/>
                          </a:solidFill>
                          <a:prstDash val="solid"/>
                          <a:headEnd type="none" w="med" len="med"/>
                          <a:tailEnd type="none" w="med" len="med"/>
                        </a:ln>
                      </wps:spPr>
                      <wps:txbx>
                        <w:txbxContent>
                          <w:p w14:paraId="709480B2"/>
                        </w:txbxContent>
                      </wps:txbx>
                      <wps:bodyPr upright="1"/>
                    </wps:wsp>
                  </a:graphicData>
                </a:graphic>
              </wp:anchor>
            </w:drawing>
          </mc:Choice>
          <mc:Fallback>
            <w:pict>
              <v:shape id="_x0000_s1026" o:spid="_x0000_s1026" o:spt="3" type="#_x0000_t3" style="position:absolute;left:0pt;margin-left:315.65pt;margin-top:282.85pt;height:7.8pt;width:8.8pt;z-index:251716608;mso-width-relative:page;mso-height-relative:page;" fillcolor="#FF0000" filled="t" stroked="t" coordsize="21600,21600" o:gfxdata="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C7VztkAAAALAQAADwAAAAAAAAABACAAAAAiAAAAZHJz&#10;L2Rvd25yZXYueG1sUEsBAhQAFAAAAAgAh07iQO/xk6EDAgAAJQQAAA4AAAAAAAAAAQAgAAAAKAEA&#10;AGRycy9lMm9Eb2MueG1sUEsFBgAAAAAGAAYAWQEAAJ0FAAAAAA==&#10;">
                <v:fill on="t" focussize="0,0"/>
                <v:stroke weight="1.25pt" color="#739CC3" joinstyle="round"/>
                <v:imagedata o:title=""/>
                <o:lock v:ext="edit" aspectratio="f"/>
                <v:textbox>
                  <w:txbxContent>
                    <w:p w14:paraId="709480B2"/>
                  </w:txbxContent>
                </v:textbox>
              </v:shape>
            </w:pict>
          </mc:Fallback>
        </mc:AlternateContent>
      </w:r>
      <w:r>
        <w:rPr>
          <w:sz w:val="21"/>
        </w:rPr>
        <mc:AlternateContent>
          <mc:Choice Requires="wps">
            <w:drawing>
              <wp:anchor distT="0" distB="0" distL="114300" distR="114300" simplePos="0" relativeHeight="251717632" behindDoc="0" locked="0" layoutInCell="1" allowOverlap="1">
                <wp:simplePos x="0" y="0"/>
                <wp:positionH relativeFrom="column">
                  <wp:posOffset>3134360</wp:posOffset>
                </wp:positionH>
                <wp:positionV relativeFrom="paragraph">
                  <wp:posOffset>1343025</wp:posOffset>
                </wp:positionV>
                <wp:extent cx="433070" cy="281305"/>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433070" cy="281305"/>
                        </a:xfrm>
                        <a:prstGeom prst="rect">
                          <a:avLst/>
                        </a:prstGeom>
                        <a:noFill/>
                        <a:ln w="15875">
                          <a:noFill/>
                        </a:ln>
                      </wps:spPr>
                      <wps:txbx>
                        <w:txbxContent>
                          <w:p w14:paraId="64596471">
                            <w:pPr>
                              <w:rPr>
                                <w:rFonts w:hint="default" w:eastAsia="宋体"/>
                                <w:color w:val="FF0000"/>
                                <w:lang w:val="en-US" w:eastAsia="zh-CN"/>
                              </w:rPr>
                            </w:pPr>
                            <w:r>
                              <w:rPr>
                                <w:rFonts w:hint="eastAsia"/>
                                <w:color w:val="FF0000"/>
                                <w:lang w:val="en-US" w:eastAsia="zh-CN"/>
                              </w:rPr>
                              <w:t>1#</w:t>
                            </w:r>
                          </w:p>
                        </w:txbxContent>
                      </wps:txbx>
                      <wps:bodyPr upright="1"/>
                    </wps:wsp>
                  </a:graphicData>
                </a:graphic>
              </wp:anchor>
            </w:drawing>
          </mc:Choice>
          <mc:Fallback>
            <w:pict>
              <v:shape id="_x0000_s1026" o:spid="_x0000_s1026" o:spt="202" type="#_x0000_t202" style="position:absolute;left:0pt;margin-left:246.8pt;margin-top:105.75pt;height:22.15pt;width:34.1pt;z-index:251717632;mso-width-relative:page;mso-height-relative:page;" filled="f" stroked="f" coordsize="21600,21600" o:gfxdata="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gmnTg3QAAAAsBAAAPAAAAAAAAAAEAIAAAACIAAABkcnMvZG93bnJldi54bWxQSwEC&#10;FAAUAAAACACHTuJA0IC3R7YBAABbAwAADgAAAAAAAAABACAAAAAsAQAAZHJzL2Uyb0RvYy54bWxQ&#10;SwUGAAAAAAYABgBZAQAAVAUAAAAA&#10;">
                <v:fill on="f" focussize="0,0"/>
                <v:stroke on="f" weight="1.25pt"/>
                <v:imagedata o:title=""/>
                <o:lock v:ext="edit" aspectratio="f"/>
                <v:textbox>
                  <w:txbxContent>
                    <w:p w14:paraId="64596471">
                      <w:pPr>
                        <w:rPr>
                          <w:rFonts w:hint="default" w:eastAsia="宋体"/>
                          <w:color w:val="FF0000"/>
                          <w:lang w:val="en-US" w:eastAsia="zh-CN"/>
                        </w:rPr>
                      </w:pPr>
                      <w:r>
                        <w:rPr>
                          <w:rFonts w:hint="eastAsia"/>
                          <w:color w:val="FF0000"/>
                          <w:lang w:val="en-US" w:eastAsia="zh-CN"/>
                        </w:rPr>
                        <w:t>1#</w:t>
                      </w:r>
                    </w:p>
                  </w:txbxContent>
                </v:textbox>
              </v:shape>
            </w:pict>
          </mc:Fallback>
        </mc:AlternateContent>
      </w:r>
      <w:r>
        <w:rPr>
          <w:sz w:val="21"/>
        </w:rPr>
        <mc:AlternateContent>
          <mc:Choice Requires="wps">
            <w:drawing>
              <wp:anchor distT="0" distB="0" distL="114300" distR="114300" simplePos="0" relativeHeight="251715584" behindDoc="0" locked="0" layoutInCell="1" allowOverlap="1">
                <wp:simplePos x="0" y="0"/>
                <wp:positionH relativeFrom="column">
                  <wp:posOffset>3187700</wp:posOffset>
                </wp:positionH>
                <wp:positionV relativeFrom="paragraph">
                  <wp:posOffset>1261745</wp:posOffset>
                </wp:positionV>
                <wp:extent cx="111760" cy="99060"/>
                <wp:effectExtent l="7620" t="7620" r="13970" b="26670"/>
                <wp:wrapNone/>
                <wp:docPr id="140" name="椭圆 140"/>
                <wp:cNvGraphicFramePr/>
                <a:graphic xmlns:a="http://schemas.openxmlformats.org/drawingml/2006/main">
                  <a:graphicData uri="http://schemas.microsoft.com/office/word/2010/wordprocessingShape">
                    <wps:wsp>
                      <wps:cNvSpPr/>
                      <wps:spPr>
                        <a:xfrm>
                          <a:off x="0" y="0"/>
                          <a:ext cx="111760" cy="99060"/>
                        </a:xfrm>
                        <a:prstGeom prst="ellipse">
                          <a:avLst/>
                        </a:prstGeom>
                        <a:solidFill>
                          <a:srgbClr val="FF0000"/>
                        </a:solidFill>
                        <a:ln w="15875" cap="flat" cmpd="sng">
                          <a:solidFill>
                            <a:srgbClr val="739CC3"/>
                          </a:solidFill>
                          <a:prstDash val="solid"/>
                          <a:headEnd type="none" w="med" len="med"/>
                          <a:tailEnd type="none" w="med" len="med"/>
                        </a:ln>
                      </wps:spPr>
                      <wps:txbx>
                        <w:txbxContent>
                          <w:p w14:paraId="18B93B86"/>
                        </w:txbxContent>
                      </wps:txbx>
                      <wps:bodyPr upright="1"/>
                    </wps:wsp>
                  </a:graphicData>
                </a:graphic>
              </wp:anchor>
            </w:drawing>
          </mc:Choice>
          <mc:Fallback>
            <w:pict>
              <v:shape id="_x0000_s1026" o:spid="_x0000_s1026" o:spt="3" type="#_x0000_t3" style="position:absolute;left:0pt;margin-left:251pt;margin-top:99.35pt;height:7.8pt;width:8.8pt;z-index:251715584;mso-width-relative:page;mso-height-relative:page;" fillcolor="#FF0000" filled="t" stroked="t" coordsize="21600,21600" o:gfxdata="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D3kyPaAAAACwEAAA8AAAAAAAAAAQAgAAAAIgAAAGRy&#10;cy9kb3ducmV2LnhtbFBLAQIUABQAAAAIAIdO4kARktDuAwIAACUEAAAOAAAAAAAAAAEAIAAAACkB&#10;AABkcnMvZTJvRG9jLnhtbFBLBQYAAAAABgAGAFkBAACeBQAAAAA=&#10;">
                <v:fill on="t" focussize="0,0"/>
                <v:stroke weight="1.25pt" color="#739CC3" joinstyle="round"/>
                <v:imagedata o:title=""/>
                <o:lock v:ext="edit" aspectratio="f"/>
                <v:textbox>
                  <w:txbxContent>
                    <w:p w14:paraId="18B93B86"/>
                  </w:txbxContent>
                </v:textbox>
              </v:shape>
            </w:pict>
          </mc:Fallback>
        </mc:AlternateContent>
      </w:r>
      <w:r>
        <w:rPr>
          <w:sz w:val="21"/>
        </w:rPr>
        <mc:AlternateContent>
          <mc:Choice Requires="wps">
            <w:drawing>
              <wp:anchor distT="0" distB="0" distL="114300" distR="114300" simplePos="0" relativeHeight="251722752" behindDoc="0" locked="0" layoutInCell="1" allowOverlap="1">
                <wp:simplePos x="0" y="0"/>
                <wp:positionH relativeFrom="column">
                  <wp:posOffset>2579370</wp:posOffset>
                </wp:positionH>
                <wp:positionV relativeFrom="paragraph">
                  <wp:posOffset>1640205</wp:posOffset>
                </wp:positionV>
                <wp:extent cx="433070" cy="281305"/>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433070" cy="281305"/>
                        </a:xfrm>
                        <a:prstGeom prst="rect">
                          <a:avLst/>
                        </a:prstGeom>
                        <a:noFill/>
                        <a:ln w="15875">
                          <a:noFill/>
                        </a:ln>
                      </wps:spPr>
                      <wps:txbx>
                        <w:txbxContent>
                          <w:p w14:paraId="68EF6DFD">
                            <w:pPr>
                              <w:rPr>
                                <w:rFonts w:hint="default" w:eastAsia="宋体"/>
                                <w:color w:val="FF0000"/>
                                <w:lang w:val="en-US" w:eastAsia="zh-CN"/>
                              </w:rPr>
                            </w:pPr>
                            <w:r>
                              <w:rPr>
                                <w:rFonts w:hint="eastAsia"/>
                                <w:color w:val="FF0000"/>
                                <w:lang w:val="en-US" w:eastAsia="zh-CN"/>
                              </w:rPr>
                              <w:t>2#</w:t>
                            </w:r>
                          </w:p>
                        </w:txbxContent>
                      </wps:txbx>
                      <wps:bodyPr upright="1"/>
                    </wps:wsp>
                  </a:graphicData>
                </a:graphic>
              </wp:anchor>
            </w:drawing>
          </mc:Choice>
          <mc:Fallback>
            <w:pict>
              <v:shape id="_x0000_s1026" o:spid="_x0000_s1026" o:spt="202" type="#_x0000_t202" style="position:absolute;left:0pt;margin-left:203.1pt;margin-top:129.15pt;height:22.15pt;width:34.1pt;z-index:251722752;mso-width-relative:page;mso-height-relative:page;" filled="f" stroked="f" coordsize="21600,21600" o:gfxdata="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h8FpV3QAAAAsBAAAPAAAAAAAAAAEAIAAAACIAAABkcnMvZG93bnJldi54bWxQSwEC&#10;FAAUAAAACACHTuJALuaVHrYBAABZAwAADgAAAAAAAAABACAAAAAsAQAAZHJzL2Uyb0RvYy54bWxQ&#10;SwUGAAAAAAYABgBZAQAAVAUAAAAA&#10;">
                <v:fill on="f" focussize="0,0"/>
                <v:stroke on="f" weight="1.25pt"/>
                <v:imagedata o:title=""/>
                <o:lock v:ext="edit" aspectratio="f"/>
                <v:textbox>
                  <w:txbxContent>
                    <w:p w14:paraId="68EF6DFD">
                      <w:pPr>
                        <w:rPr>
                          <w:rFonts w:hint="default" w:eastAsia="宋体"/>
                          <w:color w:val="FF0000"/>
                          <w:lang w:val="en-US" w:eastAsia="zh-CN"/>
                        </w:rPr>
                      </w:pPr>
                      <w:r>
                        <w:rPr>
                          <w:rFonts w:hint="eastAsia"/>
                          <w:color w:val="FF0000"/>
                          <w:lang w:val="en-US" w:eastAsia="zh-CN"/>
                        </w:rPr>
                        <w:t>2#</w:t>
                      </w:r>
                    </w:p>
                  </w:txbxContent>
                </v:textbox>
              </v:shape>
            </w:pict>
          </mc:Fallback>
        </mc:AlternateContent>
      </w:r>
      <w:r>
        <w:rPr>
          <w:sz w:val="21"/>
        </w:rPr>
        <mc:AlternateContent>
          <mc:Choice Requires="wps">
            <w:drawing>
              <wp:anchor distT="0" distB="0" distL="114300" distR="114300" simplePos="0" relativeHeight="251721728" behindDoc="0" locked="0" layoutInCell="1" allowOverlap="1">
                <wp:simplePos x="0" y="0"/>
                <wp:positionH relativeFrom="column">
                  <wp:posOffset>2642870</wp:posOffset>
                </wp:positionH>
                <wp:positionV relativeFrom="paragraph">
                  <wp:posOffset>1551305</wp:posOffset>
                </wp:positionV>
                <wp:extent cx="111760" cy="99060"/>
                <wp:effectExtent l="7620" t="7620" r="13970" b="26670"/>
                <wp:wrapNone/>
                <wp:docPr id="69" name="椭圆 69"/>
                <wp:cNvGraphicFramePr/>
                <a:graphic xmlns:a="http://schemas.openxmlformats.org/drawingml/2006/main">
                  <a:graphicData uri="http://schemas.microsoft.com/office/word/2010/wordprocessingShape">
                    <wps:wsp>
                      <wps:cNvSpPr/>
                      <wps:spPr>
                        <a:xfrm>
                          <a:off x="0" y="0"/>
                          <a:ext cx="111760" cy="99060"/>
                        </a:xfrm>
                        <a:prstGeom prst="ellipse">
                          <a:avLst/>
                        </a:prstGeom>
                        <a:solidFill>
                          <a:srgbClr val="FF0000"/>
                        </a:solidFill>
                        <a:ln w="15875" cap="flat" cmpd="sng">
                          <a:solidFill>
                            <a:srgbClr val="739CC3"/>
                          </a:solidFill>
                          <a:prstDash val="solid"/>
                          <a:headEnd type="none" w="med" len="med"/>
                          <a:tailEnd type="none" w="med" len="med"/>
                        </a:ln>
                      </wps:spPr>
                      <wps:txbx>
                        <w:txbxContent>
                          <w:p w14:paraId="236B0467"/>
                        </w:txbxContent>
                      </wps:txbx>
                      <wps:bodyPr upright="1"/>
                    </wps:wsp>
                  </a:graphicData>
                </a:graphic>
              </wp:anchor>
            </w:drawing>
          </mc:Choice>
          <mc:Fallback>
            <w:pict>
              <v:shape id="_x0000_s1026" o:spid="_x0000_s1026" o:spt="3" type="#_x0000_t3" style="position:absolute;left:0pt;margin-left:208.1pt;margin-top:122.15pt;height:7.8pt;width:8.8pt;z-index:251721728;mso-width-relative:page;mso-height-relative:page;" fillcolor="#FF0000" filled="t" stroked="t" coordsize="21600,21600" o:gfxdata="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&#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4bHsHaAAAACwEAAA8AAAAAAAAAAQAgAAAAIgAAAGRy&#10;cy9kb3ducmV2LnhtbFBLAQIUABQAAAAIAIdO4kA++Hx5AwIAACMEAAAOAAAAAAAAAAEAIAAAACkB&#10;AABkcnMvZTJvRG9jLnhtbFBLBQYAAAAABgAGAFkBAACeBQAAAAA=&#10;">
                <v:fill on="t" focussize="0,0"/>
                <v:stroke weight="1.25pt" color="#739CC3" joinstyle="round"/>
                <v:imagedata o:title=""/>
                <o:lock v:ext="edit" aspectratio="f"/>
                <v:textbox>
                  <w:txbxContent>
                    <w:p w14:paraId="236B0467"/>
                  </w:txbxContent>
                </v:textbox>
              </v:shape>
            </w:pict>
          </mc:Fallback>
        </mc:AlternateContent>
      </w:r>
      <w:r>
        <w:drawing>
          <wp:inline distT="0" distB="0" distL="114300" distR="114300">
            <wp:extent cx="5722620" cy="4526915"/>
            <wp:effectExtent l="0" t="0" r="11430" b="6985"/>
            <wp:docPr id="1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5"/>
                    <pic:cNvPicPr>
                      <a:picLocks noChangeAspect="1"/>
                    </pic:cNvPicPr>
                  </pic:nvPicPr>
                  <pic:blipFill>
                    <a:blip r:embed="rId70"/>
                    <a:stretch>
                      <a:fillRect/>
                    </a:stretch>
                  </pic:blipFill>
                  <pic:spPr>
                    <a:xfrm>
                      <a:off x="0" y="0"/>
                      <a:ext cx="5722620" cy="4526915"/>
                    </a:xfrm>
                    <a:prstGeom prst="rect">
                      <a:avLst/>
                    </a:prstGeom>
                    <a:noFill/>
                    <a:ln>
                      <a:noFill/>
                    </a:ln>
                  </pic:spPr>
                </pic:pic>
              </a:graphicData>
            </a:graphic>
          </wp:inline>
        </w:drawing>
      </w:r>
    </w:p>
    <w:p w14:paraId="2CC3033C">
      <w:pPr>
        <w:jc w:val="center"/>
        <w:rPr>
          <w:b/>
        </w:rPr>
      </w:pPr>
      <w:r>
        <w:rPr>
          <w:b/>
          <w:bCs/>
        </w:rPr>
        <w:t xml:space="preserve">图4.3-1 </w:t>
      </w:r>
      <w:r>
        <w:t xml:space="preserve"> </w:t>
      </w:r>
      <w:r>
        <w:rPr>
          <w:b/>
        </w:rPr>
        <w:t>环境空气现状补充监测布点图</w:t>
      </w:r>
    </w:p>
    <w:p w14:paraId="5D9D33DD"/>
    <w:p w14:paraId="223090B6">
      <w:pPr>
        <w:jc w:val="center"/>
        <w:rPr>
          <w:rFonts w:hint="eastAsia"/>
          <w:b/>
          <w:bCs/>
          <w:vertAlign w:val="superscript"/>
        </w:rPr>
      </w:pPr>
      <w:r>
        <w:rPr>
          <w:rFonts w:hint="eastAsia"/>
          <w:b/>
          <w:bCs/>
          <w:lang w:val="en-US" w:eastAsia="zh-CN"/>
        </w:rPr>
        <w:t xml:space="preserve">     </w:t>
      </w:r>
      <w:r>
        <w:rPr>
          <w:b/>
          <w:bCs/>
        </w:rPr>
        <w:t xml:space="preserve">表4.3-3  </w:t>
      </w:r>
      <w:r>
        <w:rPr>
          <w:rFonts w:hint="eastAsia"/>
          <w:b/>
          <w:bCs/>
          <w:lang w:val="en-US" w:eastAsia="zh-CN"/>
        </w:rPr>
        <w:t>TSP</w:t>
      </w:r>
      <w:r>
        <w:rPr>
          <w:b/>
          <w:bCs/>
        </w:rPr>
        <w:t>污染物补充监测结果</w:t>
      </w:r>
      <w:r>
        <w:rPr>
          <w:rFonts w:hint="eastAsia"/>
          <w:b/>
          <w:bCs/>
        </w:rPr>
        <w:t xml:space="preserve">      </w:t>
      </w:r>
      <w:r>
        <w:rPr>
          <w:b/>
          <w:bCs/>
        </w:rPr>
        <w:t>单位：</w:t>
      </w:r>
      <w:r>
        <w:rPr>
          <w:rFonts w:hint="default"/>
          <w:b/>
          <w:bCs/>
          <w:lang w:val="en-US" w:eastAsia="zh-CN"/>
        </w:rPr>
        <w:t>µg</w:t>
      </w:r>
      <w:r>
        <w:rPr>
          <w:rFonts w:hint="eastAsia"/>
          <w:b/>
          <w:bCs/>
        </w:rPr>
        <w:t>/m</w:t>
      </w:r>
      <w:r>
        <w:rPr>
          <w:rFonts w:hint="eastAsia"/>
          <w:b/>
          <w:bCs/>
          <w:vertAlign w:val="superscript"/>
        </w:rPr>
        <w:t>3</w:t>
      </w:r>
    </w:p>
    <w:tbl>
      <w:tblPr>
        <w:tblStyle w:val="500"/>
        <w:tblW w:w="859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68"/>
        <w:gridCol w:w="1585"/>
        <w:gridCol w:w="1413"/>
        <w:gridCol w:w="1339"/>
        <w:gridCol w:w="1742"/>
        <w:gridCol w:w="1352"/>
      </w:tblGrid>
      <w:tr w14:paraId="602692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restart"/>
            <w:tcBorders>
              <w:bottom w:val="nil"/>
            </w:tcBorders>
            <w:vAlign w:val="center"/>
          </w:tcPr>
          <w:p w14:paraId="2390F22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检测项目</w:t>
            </w:r>
          </w:p>
        </w:tc>
        <w:tc>
          <w:tcPr>
            <w:tcW w:w="1585" w:type="dxa"/>
            <w:vMerge w:val="restart"/>
            <w:tcBorders>
              <w:bottom w:val="nil"/>
            </w:tcBorders>
            <w:vAlign w:val="center"/>
          </w:tcPr>
          <w:p w14:paraId="5775402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采样日期</w:t>
            </w:r>
          </w:p>
        </w:tc>
        <w:tc>
          <w:tcPr>
            <w:tcW w:w="4494" w:type="dxa"/>
            <w:gridSpan w:val="3"/>
            <w:vAlign w:val="center"/>
          </w:tcPr>
          <w:p w14:paraId="5842891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检测位置及结果</w:t>
            </w:r>
          </w:p>
        </w:tc>
        <w:tc>
          <w:tcPr>
            <w:tcW w:w="1352" w:type="dxa"/>
            <w:vMerge w:val="restart"/>
            <w:vAlign w:val="center"/>
          </w:tcPr>
          <w:p w14:paraId="08F96C2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标准限值</w:t>
            </w:r>
          </w:p>
        </w:tc>
      </w:tr>
      <w:tr w14:paraId="0836D5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continue"/>
            <w:tcBorders>
              <w:top w:val="nil"/>
            </w:tcBorders>
            <w:vAlign w:val="center"/>
          </w:tcPr>
          <w:p w14:paraId="2FD1B15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585" w:type="dxa"/>
            <w:vMerge w:val="continue"/>
            <w:tcBorders>
              <w:top w:val="nil"/>
            </w:tcBorders>
            <w:vAlign w:val="center"/>
          </w:tcPr>
          <w:p w14:paraId="59410A5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413" w:type="dxa"/>
            <w:vAlign w:val="center"/>
          </w:tcPr>
          <w:p w14:paraId="45424C2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1#前屯</w:t>
            </w:r>
          </w:p>
        </w:tc>
        <w:tc>
          <w:tcPr>
            <w:tcW w:w="1339" w:type="dxa"/>
            <w:vAlign w:val="center"/>
          </w:tcPr>
          <w:p w14:paraId="41DB8B9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2#厂址</w:t>
            </w:r>
          </w:p>
        </w:tc>
        <w:tc>
          <w:tcPr>
            <w:tcW w:w="1742" w:type="dxa"/>
            <w:vAlign w:val="center"/>
          </w:tcPr>
          <w:p w14:paraId="1239BD8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3#拉哈火车站</w:t>
            </w:r>
          </w:p>
        </w:tc>
        <w:tc>
          <w:tcPr>
            <w:tcW w:w="1352" w:type="dxa"/>
            <w:vMerge w:val="continue"/>
            <w:vAlign w:val="center"/>
          </w:tcPr>
          <w:p w14:paraId="57DE017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0C8FC3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restart"/>
            <w:tcBorders>
              <w:bottom w:val="nil"/>
            </w:tcBorders>
            <w:vAlign w:val="center"/>
          </w:tcPr>
          <w:p w14:paraId="61E15DE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总悬浮颗</w:t>
            </w:r>
          </w:p>
          <w:p w14:paraId="200EF9A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粒物</w:t>
            </w:r>
          </w:p>
        </w:tc>
        <w:tc>
          <w:tcPr>
            <w:tcW w:w="1585" w:type="dxa"/>
            <w:vAlign w:val="center"/>
          </w:tcPr>
          <w:p w14:paraId="11E66F1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413" w:type="dxa"/>
            <w:vAlign w:val="center"/>
          </w:tcPr>
          <w:p w14:paraId="55593DF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80</w:t>
            </w:r>
          </w:p>
        </w:tc>
        <w:tc>
          <w:tcPr>
            <w:tcW w:w="1339" w:type="dxa"/>
            <w:vAlign w:val="center"/>
          </w:tcPr>
          <w:p w14:paraId="52DD9DF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88</w:t>
            </w:r>
          </w:p>
        </w:tc>
        <w:tc>
          <w:tcPr>
            <w:tcW w:w="1742" w:type="dxa"/>
            <w:vAlign w:val="center"/>
          </w:tcPr>
          <w:p w14:paraId="00DED88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95</w:t>
            </w:r>
          </w:p>
        </w:tc>
        <w:tc>
          <w:tcPr>
            <w:tcW w:w="1352" w:type="dxa"/>
            <w:vMerge w:val="restart"/>
            <w:vAlign w:val="center"/>
          </w:tcPr>
          <w:p w14:paraId="5B1CDC5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300</w:t>
            </w:r>
          </w:p>
        </w:tc>
      </w:tr>
      <w:tr w14:paraId="43A155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continue"/>
            <w:tcBorders>
              <w:top w:val="nil"/>
              <w:bottom w:val="nil"/>
            </w:tcBorders>
            <w:vAlign w:val="center"/>
          </w:tcPr>
          <w:p w14:paraId="125817C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585" w:type="dxa"/>
            <w:vAlign w:val="center"/>
          </w:tcPr>
          <w:p w14:paraId="623544C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413" w:type="dxa"/>
            <w:vAlign w:val="center"/>
          </w:tcPr>
          <w:p w14:paraId="18C9C1A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76</w:t>
            </w:r>
          </w:p>
        </w:tc>
        <w:tc>
          <w:tcPr>
            <w:tcW w:w="1339" w:type="dxa"/>
            <w:vAlign w:val="center"/>
          </w:tcPr>
          <w:p w14:paraId="76A2D27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77</w:t>
            </w:r>
          </w:p>
        </w:tc>
        <w:tc>
          <w:tcPr>
            <w:tcW w:w="1742" w:type="dxa"/>
            <w:vAlign w:val="center"/>
          </w:tcPr>
          <w:p w14:paraId="61C5253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91</w:t>
            </w:r>
          </w:p>
        </w:tc>
        <w:tc>
          <w:tcPr>
            <w:tcW w:w="1352" w:type="dxa"/>
            <w:vMerge w:val="continue"/>
            <w:vAlign w:val="center"/>
          </w:tcPr>
          <w:p w14:paraId="7ED8A4C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32BDC7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continue"/>
            <w:tcBorders>
              <w:top w:val="nil"/>
              <w:bottom w:val="nil"/>
            </w:tcBorders>
            <w:vAlign w:val="center"/>
          </w:tcPr>
          <w:p w14:paraId="5F5EFD5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585" w:type="dxa"/>
            <w:vAlign w:val="center"/>
          </w:tcPr>
          <w:p w14:paraId="28DDC2A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413" w:type="dxa"/>
            <w:vAlign w:val="center"/>
          </w:tcPr>
          <w:p w14:paraId="3B8D1DE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82</w:t>
            </w:r>
          </w:p>
        </w:tc>
        <w:tc>
          <w:tcPr>
            <w:tcW w:w="1339" w:type="dxa"/>
            <w:vAlign w:val="center"/>
          </w:tcPr>
          <w:p w14:paraId="4633155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83</w:t>
            </w:r>
          </w:p>
        </w:tc>
        <w:tc>
          <w:tcPr>
            <w:tcW w:w="1742" w:type="dxa"/>
            <w:vAlign w:val="center"/>
          </w:tcPr>
          <w:p w14:paraId="0F5049C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79</w:t>
            </w:r>
          </w:p>
        </w:tc>
        <w:tc>
          <w:tcPr>
            <w:tcW w:w="1352" w:type="dxa"/>
            <w:vMerge w:val="continue"/>
            <w:vAlign w:val="center"/>
          </w:tcPr>
          <w:p w14:paraId="07DD12E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3E4E06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continue"/>
            <w:tcBorders>
              <w:top w:val="nil"/>
              <w:bottom w:val="nil"/>
            </w:tcBorders>
            <w:vAlign w:val="center"/>
          </w:tcPr>
          <w:p w14:paraId="598C1C3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585" w:type="dxa"/>
            <w:vAlign w:val="center"/>
          </w:tcPr>
          <w:p w14:paraId="6795A46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413" w:type="dxa"/>
            <w:vAlign w:val="center"/>
          </w:tcPr>
          <w:p w14:paraId="1AC221C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79</w:t>
            </w:r>
          </w:p>
        </w:tc>
        <w:tc>
          <w:tcPr>
            <w:tcW w:w="1339" w:type="dxa"/>
            <w:vAlign w:val="center"/>
          </w:tcPr>
          <w:p w14:paraId="0F460B9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89</w:t>
            </w:r>
          </w:p>
        </w:tc>
        <w:tc>
          <w:tcPr>
            <w:tcW w:w="1742" w:type="dxa"/>
            <w:vAlign w:val="center"/>
          </w:tcPr>
          <w:p w14:paraId="14F4BDB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77</w:t>
            </w:r>
          </w:p>
        </w:tc>
        <w:tc>
          <w:tcPr>
            <w:tcW w:w="1352" w:type="dxa"/>
            <w:vMerge w:val="continue"/>
            <w:vAlign w:val="center"/>
          </w:tcPr>
          <w:p w14:paraId="19AFE16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4DC0D7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continue"/>
            <w:tcBorders>
              <w:top w:val="nil"/>
              <w:bottom w:val="nil"/>
            </w:tcBorders>
            <w:vAlign w:val="center"/>
          </w:tcPr>
          <w:p w14:paraId="1177B54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585" w:type="dxa"/>
            <w:vAlign w:val="center"/>
          </w:tcPr>
          <w:p w14:paraId="7785CC1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413" w:type="dxa"/>
            <w:vAlign w:val="center"/>
          </w:tcPr>
          <w:p w14:paraId="5A04868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94</w:t>
            </w:r>
          </w:p>
        </w:tc>
        <w:tc>
          <w:tcPr>
            <w:tcW w:w="1339" w:type="dxa"/>
            <w:vAlign w:val="center"/>
          </w:tcPr>
          <w:p w14:paraId="2D87850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86</w:t>
            </w:r>
          </w:p>
        </w:tc>
        <w:tc>
          <w:tcPr>
            <w:tcW w:w="1742" w:type="dxa"/>
            <w:vAlign w:val="center"/>
          </w:tcPr>
          <w:p w14:paraId="641950D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81</w:t>
            </w:r>
          </w:p>
        </w:tc>
        <w:tc>
          <w:tcPr>
            <w:tcW w:w="1352" w:type="dxa"/>
            <w:vMerge w:val="continue"/>
            <w:vAlign w:val="center"/>
          </w:tcPr>
          <w:p w14:paraId="3FBB151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18A0E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22" w:hRule="atLeast"/>
          <w:jc w:val="center"/>
        </w:trPr>
        <w:tc>
          <w:tcPr>
            <w:tcW w:w="1168" w:type="dxa"/>
            <w:vMerge w:val="continue"/>
            <w:tcBorders>
              <w:top w:val="nil"/>
              <w:bottom w:val="nil"/>
            </w:tcBorders>
            <w:vAlign w:val="center"/>
          </w:tcPr>
          <w:p w14:paraId="57265B4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585" w:type="dxa"/>
            <w:vAlign w:val="center"/>
          </w:tcPr>
          <w:p w14:paraId="6F70F0F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413" w:type="dxa"/>
            <w:vAlign w:val="center"/>
          </w:tcPr>
          <w:p w14:paraId="2E41A51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90</w:t>
            </w:r>
          </w:p>
        </w:tc>
        <w:tc>
          <w:tcPr>
            <w:tcW w:w="1339" w:type="dxa"/>
            <w:vAlign w:val="center"/>
          </w:tcPr>
          <w:p w14:paraId="20099F9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91</w:t>
            </w:r>
          </w:p>
        </w:tc>
        <w:tc>
          <w:tcPr>
            <w:tcW w:w="1742" w:type="dxa"/>
            <w:vAlign w:val="center"/>
          </w:tcPr>
          <w:p w14:paraId="3EDD124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87</w:t>
            </w:r>
          </w:p>
        </w:tc>
        <w:tc>
          <w:tcPr>
            <w:tcW w:w="1352" w:type="dxa"/>
            <w:vMerge w:val="continue"/>
            <w:vAlign w:val="center"/>
          </w:tcPr>
          <w:p w14:paraId="4CC69E2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DEF57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2" w:hRule="atLeast"/>
          <w:jc w:val="center"/>
        </w:trPr>
        <w:tc>
          <w:tcPr>
            <w:tcW w:w="1168" w:type="dxa"/>
            <w:vMerge w:val="continue"/>
            <w:tcBorders>
              <w:top w:val="nil"/>
            </w:tcBorders>
            <w:vAlign w:val="center"/>
          </w:tcPr>
          <w:p w14:paraId="6D33F09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585" w:type="dxa"/>
            <w:vAlign w:val="center"/>
          </w:tcPr>
          <w:p w14:paraId="24515D5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413" w:type="dxa"/>
            <w:vAlign w:val="center"/>
          </w:tcPr>
          <w:p w14:paraId="4F1EC04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83</w:t>
            </w:r>
          </w:p>
        </w:tc>
        <w:tc>
          <w:tcPr>
            <w:tcW w:w="1339" w:type="dxa"/>
            <w:vAlign w:val="center"/>
          </w:tcPr>
          <w:p w14:paraId="31073EB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89</w:t>
            </w:r>
          </w:p>
        </w:tc>
        <w:tc>
          <w:tcPr>
            <w:tcW w:w="1742" w:type="dxa"/>
            <w:vAlign w:val="center"/>
          </w:tcPr>
          <w:p w14:paraId="5B0B91D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93</w:t>
            </w:r>
          </w:p>
        </w:tc>
        <w:tc>
          <w:tcPr>
            <w:tcW w:w="1352" w:type="dxa"/>
            <w:vMerge w:val="continue"/>
            <w:vAlign w:val="center"/>
          </w:tcPr>
          <w:p w14:paraId="69D7F90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bl>
    <w:p w14:paraId="708CE2C0">
      <w:pPr>
        <w:jc w:val="center"/>
        <w:rPr>
          <w:rFonts w:hint="eastAsia"/>
          <w:b/>
          <w:bCs/>
          <w:vertAlign w:val="superscript"/>
        </w:rPr>
      </w:pPr>
      <w:r>
        <w:rPr>
          <w:b/>
          <w:bCs/>
        </w:rPr>
        <w:t>表4.3-</w:t>
      </w:r>
      <w:r>
        <w:rPr>
          <w:rFonts w:hint="eastAsia"/>
          <w:b/>
          <w:bCs/>
          <w:lang w:val="en-US" w:eastAsia="zh-CN"/>
        </w:rPr>
        <w:t>4</w:t>
      </w:r>
      <w:r>
        <w:rPr>
          <w:b/>
          <w:bCs/>
        </w:rPr>
        <w:t xml:space="preserve">  其他污染物补充监测结果</w:t>
      </w:r>
      <w:r>
        <w:rPr>
          <w:rFonts w:hint="eastAsia"/>
          <w:b/>
          <w:bCs/>
        </w:rPr>
        <w:t xml:space="preserve">      </w:t>
      </w:r>
      <w:r>
        <w:rPr>
          <w:b/>
          <w:bCs/>
        </w:rPr>
        <w:t>单位：</w:t>
      </w:r>
      <w:r>
        <w:rPr>
          <w:rFonts w:hint="default"/>
          <w:b/>
          <w:bCs/>
          <w:lang w:val="en-US" w:eastAsia="zh-CN"/>
        </w:rPr>
        <w:t>µg</w:t>
      </w:r>
      <w:r>
        <w:rPr>
          <w:rFonts w:hint="eastAsia"/>
          <w:b/>
          <w:bCs/>
        </w:rPr>
        <w:t>/m</w:t>
      </w:r>
      <w:r>
        <w:rPr>
          <w:rFonts w:hint="eastAsia"/>
          <w:b/>
          <w:bCs/>
          <w:vertAlign w:val="superscript"/>
        </w:rPr>
        <w:t>3</w:t>
      </w:r>
    </w:p>
    <w:tbl>
      <w:tblPr>
        <w:tblStyle w:val="500"/>
        <w:tblW w:w="86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105"/>
        <w:gridCol w:w="1268"/>
        <w:gridCol w:w="1319"/>
        <w:gridCol w:w="971"/>
        <w:gridCol w:w="971"/>
        <w:gridCol w:w="971"/>
        <w:gridCol w:w="996"/>
        <w:gridCol w:w="1016"/>
      </w:tblGrid>
      <w:tr w14:paraId="7D127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restart"/>
            <w:shd w:val="clear" w:color="auto" w:fill="auto"/>
            <w:vAlign w:val="center"/>
          </w:tcPr>
          <w:p w14:paraId="35C28EF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bookmarkStart w:id="269" w:name="_Toc30204"/>
            <w:bookmarkStart w:id="270" w:name="_Toc25326"/>
            <w:bookmarkStart w:id="271" w:name="_Toc2669"/>
            <w:bookmarkStart w:id="272" w:name="_Toc22868"/>
            <w:r>
              <w:rPr>
                <w:rFonts w:hint="eastAsia" w:ascii="Times New Roman" w:hAnsi="Times New Roman" w:eastAsia="宋体" w:cs="Times New Roman"/>
                <w:snapToGrid/>
                <w:kern w:val="0"/>
                <w:sz w:val="21"/>
                <w:szCs w:val="21"/>
                <w:lang w:eastAsia="zh-CN"/>
              </w:rPr>
              <w:t>检测位置</w:t>
            </w:r>
          </w:p>
        </w:tc>
        <w:tc>
          <w:tcPr>
            <w:tcW w:w="1268" w:type="dxa"/>
            <w:vMerge w:val="restart"/>
            <w:shd w:val="clear" w:color="auto" w:fill="auto"/>
            <w:vAlign w:val="center"/>
          </w:tcPr>
          <w:p w14:paraId="5FFDAC6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采样日期</w:t>
            </w:r>
          </w:p>
        </w:tc>
        <w:tc>
          <w:tcPr>
            <w:tcW w:w="1319" w:type="dxa"/>
            <w:vMerge w:val="restart"/>
            <w:shd w:val="clear" w:color="auto" w:fill="auto"/>
            <w:vAlign w:val="center"/>
          </w:tcPr>
          <w:p w14:paraId="2AC3703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检测项目</w:t>
            </w:r>
          </w:p>
        </w:tc>
        <w:tc>
          <w:tcPr>
            <w:tcW w:w="3909" w:type="dxa"/>
            <w:gridSpan w:val="4"/>
            <w:shd w:val="clear" w:color="auto" w:fill="auto"/>
            <w:vAlign w:val="center"/>
          </w:tcPr>
          <w:p w14:paraId="76D8291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检测频次及结果</w:t>
            </w:r>
          </w:p>
        </w:tc>
        <w:tc>
          <w:tcPr>
            <w:tcW w:w="1016" w:type="dxa"/>
            <w:vMerge w:val="restart"/>
            <w:shd w:val="clear" w:color="auto" w:fill="auto"/>
            <w:vAlign w:val="center"/>
          </w:tcPr>
          <w:p w14:paraId="7FFB70D9">
            <w:pPr>
              <w:pStyle w:val="517"/>
              <w:spacing w:before="65" w:line="219" w:lineRule="auto"/>
              <w:ind w:left="109"/>
              <w:jc w:val="center"/>
            </w:pPr>
            <w:r>
              <w:rPr>
                <w:spacing w:val="-2"/>
              </w:rPr>
              <w:t>标准限值</w:t>
            </w:r>
          </w:p>
        </w:tc>
      </w:tr>
      <w:tr w14:paraId="203AE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07" w:hRule="atLeast"/>
          <w:jc w:val="center"/>
        </w:trPr>
        <w:tc>
          <w:tcPr>
            <w:tcW w:w="1105" w:type="dxa"/>
            <w:vMerge w:val="continue"/>
            <w:shd w:val="clear" w:color="auto" w:fill="auto"/>
            <w:vAlign w:val="center"/>
          </w:tcPr>
          <w:p w14:paraId="1A91003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vMerge w:val="continue"/>
            <w:shd w:val="clear" w:color="auto" w:fill="auto"/>
            <w:vAlign w:val="center"/>
          </w:tcPr>
          <w:p w14:paraId="51CB5B2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319" w:type="dxa"/>
            <w:vMerge w:val="continue"/>
            <w:shd w:val="clear" w:color="auto" w:fill="auto"/>
            <w:vAlign w:val="center"/>
          </w:tcPr>
          <w:p w14:paraId="1AA63BC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7254D9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第一次</w:t>
            </w:r>
          </w:p>
          <w:p w14:paraId="06F0E52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w:t>
            </w:r>
          </w:p>
        </w:tc>
        <w:tc>
          <w:tcPr>
            <w:tcW w:w="971" w:type="dxa"/>
            <w:shd w:val="clear" w:color="auto" w:fill="auto"/>
            <w:vAlign w:val="center"/>
          </w:tcPr>
          <w:p w14:paraId="7670E03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第二次</w:t>
            </w:r>
          </w:p>
          <w:p w14:paraId="2B8F83C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(8:00)</w:t>
            </w:r>
          </w:p>
        </w:tc>
        <w:tc>
          <w:tcPr>
            <w:tcW w:w="971" w:type="dxa"/>
            <w:shd w:val="clear" w:color="auto" w:fill="auto"/>
            <w:vAlign w:val="center"/>
          </w:tcPr>
          <w:p w14:paraId="6C43A2A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第三次</w:t>
            </w:r>
          </w:p>
          <w:p w14:paraId="2133E21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(14:00)</w:t>
            </w:r>
          </w:p>
        </w:tc>
        <w:tc>
          <w:tcPr>
            <w:tcW w:w="996" w:type="dxa"/>
            <w:shd w:val="clear" w:color="auto" w:fill="auto"/>
            <w:vAlign w:val="center"/>
          </w:tcPr>
          <w:p w14:paraId="33F8300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第四次</w:t>
            </w:r>
          </w:p>
          <w:p w14:paraId="38ACA23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(20:00)</w:t>
            </w:r>
          </w:p>
        </w:tc>
        <w:tc>
          <w:tcPr>
            <w:tcW w:w="1016" w:type="dxa"/>
            <w:vMerge w:val="continue"/>
            <w:shd w:val="clear" w:color="auto" w:fill="auto"/>
            <w:vAlign w:val="center"/>
          </w:tcPr>
          <w:p w14:paraId="2F4354FE">
            <w:pPr>
              <w:jc w:val="center"/>
              <w:rPr>
                <w:rFonts w:ascii="Arial"/>
                <w:sz w:val="21"/>
              </w:rPr>
            </w:pPr>
          </w:p>
        </w:tc>
      </w:tr>
      <w:tr w14:paraId="348E3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restart"/>
            <w:shd w:val="clear" w:color="auto" w:fill="auto"/>
            <w:vAlign w:val="center"/>
          </w:tcPr>
          <w:p w14:paraId="130087C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1#前屯</w:t>
            </w:r>
          </w:p>
        </w:tc>
        <w:tc>
          <w:tcPr>
            <w:tcW w:w="1268" w:type="dxa"/>
            <w:shd w:val="clear" w:color="auto" w:fill="auto"/>
            <w:vAlign w:val="center"/>
          </w:tcPr>
          <w:p w14:paraId="47004BA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5A9A847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非甲烷总烃</w:t>
            </w:r>
          </w:p>
        </w:tc>
        <w:tc>
          <w:tcPr>
            <w:tcW w:w="971" w:type="dxa"/>
            <w:shd w:val="clear" w:color="auto" w:fill="auto"/>
            <w:vAlign w:val="center"/>
          </w:tcPr>
          <w:p w14:paraId="259B35F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1850</w:t>
            </w:r>
          </w:p>
        </w:tc>
        <w:tc>
          <w:tcPr>
            <w:tcW w:w="971" w:type="dxa"/>
            <w:shd w:val="clear" w:color="auto" w:fill="auto"/>
            <w:vAlign w:val="center"/>
          </w:tcPr>
          <w:p w14:paraId="3CBF29E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1820</w:t>
            </w:r>
          </w:p>
        </w:tc>
        <w:tc>
          <w:tcPr>
            <w:tcW w:w="971" w:type="dxa"/>
            <w:shd w:val="clear" w:color="auto" w:fill="auto"/>
            <w:vAlign w:val="center"/>
          </w:tcPr>
          <w:p w14:paraId="7C6F4D9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1820</w:t>
            </w:r>
          </w:p>
        </w:tc>
        <w:tc>
          <w:tcPr>
            <w:tcW w:w="996" w:type="dxa"/>
            <w:shd w:val="clear" w:color="auto" w:fill="auto"/>
            <w:vAlign w:val="center"/>
          </w:tcPr>
          <w:p w14:paraId="1806AC6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1940</w:t>
            </w:r>
          </w:p>
        </w:tc>
        <w:tc>
          <w:tcPr>
            <w:tcW w:w="1016" w:type="dxa"/>
            <w:vMerge w:val="restart"/>
            <w:shd w:val="clear" w:color="auto" w:fill="auto"/>
            <w:vAlign w:val="center"/>
          </w:tcPr>
          <w:p w14:paraId="492F1C0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2000</w:t>
            </w:r>
          </w:p>
        </w:tc>
      </w:tr>
      <w:tr w14:paraId="39460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34B6526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10C4375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1B8964C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04436FD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1630</w:t>
            </w:r>
          </w:p>
        </w:tc>
        <w:tc>
          <w:tcPr>
            <w:tcW w:w="971" w:type="dxa"/>
            <w:shd w:val="clear" w:color="auto" w:fill="auto"/>
            <w:vAlign w:val="center"/>
          </w:tcPr>
          <w:p w14:paraId="4271CB6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1550</w:t>
            </w:r>
          </w:p>
        </w:tc>
        <w:tc>
          <w:tcPr>
            <w:tcW w:w="971" w:type="dxa"/>
            <w:shd w:val="clear" w:color="auto" w:fill="auto"/>
            <w:vAlign w:val="center"/>
          </w:tcPr>
          <w:p w14:paraId="4FDD5FB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1640</w:t>
            </w:r>
          </w:p>
        </w:tc>
        <w:tc>
          <w:tcPr>
            <w:tcW w:w="996" w:type="dxa"/>
            <w:shd w:val="clear" w:color="auto" w:fill="auto"/>
            <w:vAlign w:val="center"/>
          </w:tcPr>
          <w:p w14:paraId="2B2CD9E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1570</w:t>
            </w:r>
          </w:p>
        </w:tc>
        <w:tc>
          <w:tcPr>
            <w:tcW w:w="1016" w:type="dxa"/>
            <w:vMerge w:val="continue"/>
            <w:shd w:val="clear" w:color="auto" w:fill="auto"/>
            <w:vAlign w:val="center"/>
          </w:tcPr>
          <w:p w14:paraId="148799D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4E209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97BCC8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7AB95A9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0B9E26E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07DA1F4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1520</w:t>
            </w:r>
          </w:p>
        </w:tc>
        <w:tc>
          <w:tcPr>
            <w:tcW w:w="971" w:type="dxa"/>
            <w:shd w:val="clear" w:color="auto" w:fill="auto"/>
            <w:vAlign w:val="center"/>
          </w:tcPr>
          <w:p w14:paraId="0B249CA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1550</w:t>
            </w:r>
          </w:p>
        </w:tc>
        <w:tc>
          <w:tcPr>
            <w:tcW w:w="971" w:type="dxa"/>
            <w:shd w:val="clear" w:color="auto" w:fill="auto"/>
            <w:vAlign w:val="center"/>
          </w:tcPr>
          <w:p w14:paraId="0D4E381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1520</w:t>
            </w:r>
          </w:p>
        </w:tc>
        <w:tc>
          <w:tcPr>
            <w:tcW w:w="996" w:type="dxa"/>
            <w:shd w:val="clear" w:color="auto" w:fill="auto"/>
            <w:vAlign w:val="center"/>
          </w:tcPr>
          <w:p w14:paraId="3CD1E83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1500</w:t>
            </w:r>
          </w:p>
        </w:tc>
        <w:tc>
          <w:tcPr>
            <w:tcW w:w="1016" w:type="dxa"/>
            <w:vMerge w:val="continue"/>
            <w:shd w:val="clear" w:color="auto" w:fill="auto"/>
            <w:vAlign w:val="center"/>
          </w:tcPr>
          <w:p w14:paraId="01BA720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48F60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E2B0A0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291B3A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65088CC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38F0F7E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1470</w:t>
            </w:r>
          </w:p>
        </w:tc>
        <w:tc>
          <w:tcPr>
            <w:tcW w:w="971" w:type="dxa"/>
            <w:shd w:val="clear" w:color="auto" w:fill="auto"/>
            <w:vAlign w:val="center"/>
          </w:tcPr>
          <w:p w14:paraId="7AED473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1410</w:t>
            </w:r>
          </w:p>
        </w:tc>
        <w:tc>
          <w:tcPr>
            <w:tcW w:w="971" w:type="dxa"/>
            <w:shd w:val="clear" w:color="auto" w:fill="auto"/>
            <w:vAlign w:val="center"/>
          </w:tcPr>
          <w:p w14:paraId="78CE426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1440</w:t>
            </w:r>
          </w:p>
        </w:tc>
        <w:tc>
          <w:tcPr>
            <w:tcW w:w="996" w:type="dxa"/>
            <w:shd w:val="clear" w:color="auto" w:fill="auto"/>
            <w:vAlign w:val="center"/>
          </w:tcPr>
          <w:p w14:paraId="5953DA4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1470</w:t>
            </w:r>
          </w:p>
        </w:tc>
        <w:tc>
          <w:tcPr>
            <w:tcW w:w="1016" w:type="dxa"/>
            <w:vMerge w:val="continue"/>
            <w:shd w:val="clear" w:color="auto" w:fill="auto"/>
            <w:vAlign w:val="center"/>
          </w:tcPr>
          <w:p w14:paraId="2BF8652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017FF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11A314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314EB41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08BEFC2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58FC5C1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1500</w:t>
            </w:r>
          </w:p>
        </w:tc>
        <w:tc>
          <w:tcPr>
            <w:tcW w:w="971" w:type="dxa"/>
            <w:shd w:val="clear" w:color="auto" w:fill="auto"/>
            <w:vAlign w:val="center"/>
          </w:tcPr>
          <w:p w14:paraId="66412D6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1400</w:t>
            </w:r>
          </w:p>
        </w:tc>
        <w:tc>
          <w:tcPr>
            <w:tcW w:w="971" w:type="dxa"/>
            <w:shd w:val="clear" w:color="auto" w:fill="auto"/>
            <w:vAlign w:val="center"/>
          </w:tcPr>
          <w:p w14:paraId="1F782CB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1380</w:t>
            </w:r>
          </w:p>
        </w:tc>
        <w:tc>
          <w:tcPr>
            <w:tcW w:w="996" w:type="dxa"/>
            <w:shd w:val="clear" w:color="auto" w:fill="auto"/>
            <w:vAlign w:val="center"/>
          </w:tcPr>
          <w:p w14:paraId="25D3888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1360</w:t>
            </w:r>
          </w:p>
        </w:tc>
        <w:tc>
          <w:tcPr>
            <w:tcW w:w="1016" w:type="dxa"/>
            <w:vMerge w:val="continue"/>
            <w:shd w:val="clear" w:color="auto" w:fill="auto"/>
            <w:vAlign w:val="center"/>
          </w:tcPr>
          <w:p w14:paraId="226C605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71E0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74C7217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47014E4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0831939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36EED28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1300</w:t>
            </w:r>
          </w:p>
        </w:tc>
        <w:tc>
          <w:tcPr>
            <w:tcW w:w="971" w:type="dxa"/>
            <w:shd w:val="clear" w:color="auto" w:fill="auto"/>
            <w:vAlign w:val="center"/>
          </w:tcPr>
          <w:p w14:paraId="7EBC4D8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1420</w:t>
            </w:r>
          </w:p>
        </w:tc>
        <w:tc>
          <w:tcPr>
            <w:tcW w:w="971" w:type="dxa"/>
            <w:shd w:val="clear" w:color="auto" w:fill="auto"/>
            <w:vAlign w:val="center"/>
          </w:tcPr>
          <w:p w14:paraId="584292D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1420</w:t>
            </w:r>
          </w:p>
        </w:tc>
        <w:tc>
          <w:tcPr>
            <w:tcW w:w="996" w:type="dxa"/>
            <w:shd w:val="clear" w:color="auto" w:fill="auto"/>
            <w:vAlign w:val="center"/>
          </w:tcPr>
          <w:p w14:paraId="432E13F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1310</w:t>
            </w:r>
          </w:p>
        </w:tc>
        <w:tc>
          <w:tcPr>
            <w:tcW w:w="1016" w:type="dxa"/>
            <w:vMerge w:val="continue"/>
            <w:shd w:val="clear" w:color="auto" w:fill="auto"/>
            <w:vAlign w:val="center"/>
          </w:tcPr>
          <w:p w14:paraId="347F15E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13E0A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7E9CFE1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D0D488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66C4E5C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807195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1610</w:t>
            </w:r>
          </w:p>
        </w:tc>
        <w:tc>
          <w:tcPr>
            <w:tcW w:w="971" w:type="dxa"/>
            <w:shd w:val="clear" w:color="auto" w:fill="auto"/>
            <w:vAlign w:val="center"/>
          </w:tcPr>
          <w:p w14:paraId="45AC0E8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1470</w:t>
            </w:r>
          </w:p>
        </w:tc>
        <w:tc>
          <w:tcPr>
            <w:tcW w:w="971" w:type="dxa"/>
            <w:shd w:val="clear" w:color="auto" w:fill="auto"/>
            <w:vAlign w:val="center"/>
          </w:tcPr>
          <w:p w14:paraId="4DCB1D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1540</w:t>
            </w:r>
          </w:p>
        </w:tc>
        <w:tc>
          <w:tcPr>
            <w:tcW w:w="996" w:type="dxa"/>
            <w:shd w:val="clear" w:color="auto" w:fill="auto"/>
            <w:vAlign w:val="center"/>
          </w:tcPr>
          <w:p w14:paraId="0A35A3B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1680</w:t>
            </w:r>
          </w:p>
        </w:tc>
        <w:tc>
          <w:tcPr>
            <w:tcW w:w="1016" w:type="dxa"/>
            <w:vMerge w:val="continue"/>
            <w:shd w:val="clear" w:color="auto" w:fill="auto"/>
            <w:vAlign w:val="center"/>
          </w:tcPr>
          <w:p w14:paraId="1FBA1A0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47A3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restart"/>
            <w:shd w:val="clear" w:color="auto" w:fill="auto"/>
            <w:vAlign w:val="center"/>
          </w:tcPr>
          <w:p w14:paraId="663DDF7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2#厂址</w:t>
            </w:r>
          </w:p>
        </w:tc>
        <w:tc>
          <w:tcPr>
            <w:tcW w:w="1268" w:type="dxa"/>
            <w:shd w:val="clear" w:color="auto" w:fill="auto"/>
            <w:vAlign w:val="center"/>
          </w:tcPr>
          <w:p w14:paraId="029713E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7273D97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非甲烷总烃</w:t>
            </w:r>
          </w:p>
        </w:tc>
        <w:tc>
          <w:tcPr>
            <w:tcW w:w="971" w:type="dxa"/>
            <w:shd w:val="clear" w:color="auto" w:fill="auto"/>
            <w:vAlign w:val="center"/>
          </w:tcPr>
          <w:p w14:paraId="4DCCF12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1880</w:t>
            </w:r>
          </w:p>
        </w:tc>
        <w:tc>
          <w:tcPr>
            <w:tcW w:w="971" w:type="dxa"/>
            <w:shd w:val="clear" w:color="auto" w:fill="auto"/>
            <w:vAlign w:val="center"/>
          </w:tcPr>
          <w:p w14:paraId="05B181E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1700</w:t>
            </w:r>
          </w:p>
        </w:tc>
        <w:tc>
          <w:tcPr>
            <w:tcW w:w="971" w:type="dxa"/>
            <w:shd w:val="clear" w:color="auto" w:fill="auto"/>
            <w:vAlign w:val="center"/>
          </w:tcPr>
          <w:p w14:paraId="0372119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1690</w:t>
            </w:r>
          </w:p>
        </w:tc>
        <w:tc>
          <w:tcPr>
            <w:tcW w:w="996" w:type="dxa"/>
            <w:shd w:val="clear" w:color="auto" w:fill="auto"/>
            <w:vAlign w:val="center"/>
          </w:tcPr>
          <w:p w14:paraId="3F25875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1770</w:t>
            </w:r>
          </w:p>
        </w:tc>
        <w:tc>
          <w:tcPr>
            <w:tcW w:w="1016" w:type="dxa"/>
            <w:vMerge w:val="restart"/>
            <w:shd w:val="clear" w:color="auto" w:fill="auto"/>
            <w:vAlign w:val="center"/>
          </w:tcPr>
          <w:p w14:paraId="7D3EA5C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2000</w:t>
            </w:r>
          </w:p>
        </w:tc>
      </w:tr>
      <w:tr w14:paraId="32B7A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81466D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334649B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7D7A01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59D4674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1500</w:t>
            </w:r>
          </w:p>
        </w:tc>
        <w:tc>
          <w:tcPr>
            <w:tcW w:w="971" w:type="dxa"/>
            <w:shd w:val="clear" w:color="auto" w:fill="auto"/>
            <w:vAlign w:val="center"/>
          </w:tcPr>
          <w:p w14:paraId="30DBDA3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1350</w:t>
            </w:r>
          </w:p>
        </w:tc>
        <w:tc>
          <w:tcPr>
            <w:tcW w:w="971" w:type="dxa"/>
            <w:shd w:val="clear" w:color="auto" w:fill="auto"/>
            <w:vAlign w:val="center"/>
          </w:tcPr>
          <w:p w14:paraId="2417E91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1310</w:t>
            </w:r>
          </w:p>
        </w:tc>
        <w:tc>
          <w:tcPr>
            <w:tcW w:w="996" w:type="dxa"/>
            <w:shd w:val="clear" w:color="auto" w:fill="auto"/>
            <w:vAlign w:val="center"/>
          </w:tcPr>
          <w:p w14:paraId="3DA1EA3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1620</w:t>
            </w:r>
          </w:p>
        </w:tc>
        <w:tc>
          <w:tcPr>
            <w:tcW w:w="1016" w:type="dxa"/>
            <w:vMerge w:val="continue"/>
            <w:shd w:val="clear" w:color="auto" w:fill="auto"/>
            <w:vAlign w:val="center"/>
          </w:tcPr>
          <w:p w14:paraId="210F2AE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7A810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54BFE3B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6F4F62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46F459F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5367521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1460</w:t>
            </w:r>
          </w:p>
        </w:tc>
        <w:tc>
          <w:tcPr>
            <w:tcW w:w="971" w:type="dxa"/>
            <w:shd w:val="clear" w:color="auto" w:fill="auto"/>
            <w:vAlign w:val="center"/>
          </w:tcPr>
          <w:p w14:paraId="3C99478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1320</w:t>
            </w:r>
          </w:p>
        </w:tc>
        <w:tc>
          <w:tcPr>
            <w:tcW w:w="971" w:type="dxa"/>
            <w:shd w:val="clear" w:color="auto" w:fill="auto"/>
            <w:vAlign w:val="center"/>
          </w:tcPr>
          <w:p w14:paraId="62A9434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1440</w:t>
            </w:r>
          </w:p>
        </w:tc>
        <w:tc>
          <w:tcPr>
            <w:tcW w:w="996" w:type="dxa"/>
            <w:shd w:val="clear" w:color="auto" w:fill="auto"/>
            <w:vAlign w:val="center"/>
          </w:tcPr>
          <w:p w14:paraId="6508675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1540</w:t>
            </w:r>
          </w:p>
        </w:tc>
        <w:tc>
          <w:tcPr>
            <w:tcW w:w="1016" w:type="dxa"/>
            <w:vMerge w:val="continue"/>
            <w:shd w:val="clear" w:color="auto" w:fill="auto"/>
            <w:vAlign w:val="center"/>
          </w:tcPr>
          <w:p w14:paraId="379D55F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064FD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10DC316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4637567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6C38ACF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1ED9C41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1400</w:t>
            </w:r>
          </w:p>
        </w:tc>
        <w:tc>
          <w:tcPr>
            <w:tcW w:w="971" w:type="dxa"/>
            <w:shd w:val="clear" w:color="auto" w:fill="auto"/>
            <w:vAlign w:val="center"/>
          </w:tcPr>
          <w:p w14:paraId="4C33839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1550</w:t>
            </w:r>
          </w:p>
        </w:tc>
        <w:tc>
          <w:tcPr>
            <w:tcW w:w="971" w:type="dxa"/>
            <w:shd w:val="clear" w:color="auto" w:fill="auto"/>
            <w:vAlign w:val="center"/>
          </w:tcPr>
          <w:p w14:paraId="25A13DF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1470</w:t>
            </w:r>
          </w:p>
        </w:tc>
        <w:tc>
          <w:tcPr>
            <w:tcW w:w="996" w:type="dxa"/>
            <w:shd w:val="clear" w:color="auto" w:fill="auto"/>
            <w:vAlign w:val="center"/>
          </w:tcPr>
          <w:p w14:paraId="41B87CC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1540</w:t>
            </w:r>
          </w:p>
        </w:tc>
        <w:tc>
          <w:tcPr>
            <w:tcW w:w="1016" w:type="dxa"/>
            <w:vMerge w:val="continue"/>
            <w:shd w:val="clear" w:color="auto" w:fill="auto"/>
            <w:vAlign w:val="center"/>
          </w:tcPr>
          <w:p w14:paraId="6E1765A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6B55F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7CCE5ED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18BE3B3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16EFF16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6B0FC2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1350</w:t>
            </w:r>
          </w:p>
        </w:tc>
        <w:tc>
          <w:tcPr>
            <w:tcW w:w="971" w:type="dxa"/>
            <w:shd w:val="clear" w:color="auto" w:fill="auto"/>
            <w:vAlign w:val="center"/>
          </w:tcPr>
          <w:p w14:paraId="49DC37F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1470</w:t>
            </w:r>
          </w:p>
        </w:tc>
        <w:tc>
          <w:tcPr>
            <w:tcW w:w="971" w:type="dxa"/>
            <w:shd w:val="clear" w:color="auto" w:fill="auto"/>
            <w:vAlign w:val="center"/>
          </w:tcPr>
          <w:p w14:paraId="75C5FC48">
            <w:pPr>
              <w:kinsoku/>
              <w:autoSpaceDE/>
              <w:autoSpaceDN/>
              <w:adjustRightInd/>
              <w:snapToGrid/>
              <w:spacing w:line="240" w:lineRule="auto"/>
              <w:jc w:val="center"/>
              <w:textAlignment w:val="auto"/>
              <w:rPr>
                <w:rFonts w:hint="default" w:ascii="Times New Roman" w:hAnsi="Times New Roman" w:eastAsia="宋体" w:cs="Times New Roman"/>
                <w:snapToGrid/>
                <w:kern w:val="0"/>
                <w:sz w:val="21"/>
                <w:szCs w:val="21"/>
                <w:lang w:val="en-US" w:eastAsia="zh-CN"/>
              </w:rPr>
            </w:pPr>
            <w:r>
              <w:rPr>
                <w:rFonts w:hint="eastAsia" w:ascii="Times New Roman" w:hAnsi="Times New Roman" w:eastAsia="宋体" w:cs="Times New Roman"/>
                <w:snapToGrid/>
                <w:kern w:val="0"/>
                <w:sz w:val="21"/>
                <w:szCs w:val="21"/>
                <w:lang w:eastAsia="zh-CN"/>
              </w:rPr>
              <w:t>13</w:t>
            </w:r>
            <w:r>
              <w:rPr>
                <w:rFonts w:hint="eastAsia" w:cs="Times New Roman"/>
                <w:snapToGrid/>
                <w:kern w:val="0"/>
                <w:sz w:val="21"/>
                <w:szCs w:val="21"/>
                <w:lang w:val="en-US" w:eastAsia="zh-CN"/>
              </w:rPr>
              <w:t>10</w:t>
            </w:r>
          </w:p>
        </w:tc>
        <w:tc>
          <w:tcPr>
            <w:tcW w:w="996" w:type="dxa"/>
            <w:shd w:val="clear" w:color="auto" w:fill="auto"/>
            <w:vAlign w:val="center"/>
          </w:tcPr>
          <w:p w14:paraId="4388A54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1380</w:t>
            </w:r>
          </w:p>
        </w:tc>
        <w:tc>
          <w:tcPr>
            <w:tcW w:w="1016" w:type="dxa"/>
            <w:vMerge w:val="continue"/>
            <w:shd w:val="clear" w:color="auto" w:fill="auto"/>
            <w:vAlign w:val="center"/>
          </w:tcPr>
          <w:p w14:paraId="307517E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004F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653111B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3FBF425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44BC22E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04E49AB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1340</w:t>
            </w:r>
          </w:p>
        </w:tc>
        <w:tc>
          <w:tcPr>
            <w:tcW w:w="971" w:type="dxa"/>
            <w:shd w:val="clear" w:color="auto" w:fill="auto"/>
            <w:vAlign w:val="center"/>
          </w:tcPr>
          <w:p w14:paraId="3FF355E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1460</w:t>
            </w:r>
          </w:p>
        </w:tc>
        <w:tc>
          <w:tcPr>
            <w:tcW w:w="971" w:type="dxa"/>
            <w:shd w:val="clear" w:color="auto" w:fill="auto"/>
            <w:vAlign w:val="center"/>
          </w:tcPr>
          <w:p w14:paraId="5B3D0A9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1410</w:t>
            </w:r>
          </w:p>
        </w:tc>
        <w:tc>
          <w:tcPr>
            <w:tcW w:w="996" w:type="dxa"/>
            <w:shd w:val="clear" w:color="auto" w:fill="auto"/>
            <w:vAlign w:val="center"/>
          </w:tcPr>
          <w:p w14:paraId="2437440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1680</w:t>
            </w:r>
          </w:p>
        </w:tc>
        <w:tc>
          <w:tcPr>
            <w:tcW w:w="1016" w:type="dxa"/>
            <w:vMerge w:val="continue"/>
            <w:shd w:val="clear" w:color="auto" w:fill="auto"/>
            <w:vAlign w:val="center"/>
          </w:tcPr>
          <w:p w14:paraId="1F63BA1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79DE2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EEE7DB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236468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2164B18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32BBDF7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1620</w:t>
            </w:r>
          </w:p>
        </w:tc>
        <w:tc>
          <w:tcPr>
            <w:tcW w:w="971" w:type="dxa"/>
            <w:shd w:val="clear" w:color="auto" w:fill="auto"/>
            <w:vAlign w:val="center"/>
          </w:tcPr>
          <w:p w14:paraId="4EDE59B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1550</w:t>
            </w:r>
          </w:p>
        </w:tc>
        <w:tc>
          <w:tcPr>
            <w:tcW w:w="971" w:type="dxa"/>
            <w:shd w:val="clear" w:color="auto" w:fill="auto"/>
            <w:vAlign w:val="center"/>
          </w:tcPr>
          <w:p w14:paraId="6EA1335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1640</w:t>
            </w:r>
          </w:p>
        </w:tc>
        <w:tc>
          <w:tcPr>
            <w:tcW w:w="996" w:type="dxa"/>
            <w:shd w:val="clear" w:color="auto" w:fill="auto"/>
            <w:vAlign w:val="center"/>
          </w:tcPr>
          <w:p w14:paraId="548DADB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1700</w:t>
            </w:r>
          </w:p>
        </w:tc>
        <w:tc>
          <w:tcPr>
            <w:tcW w:w="1016" w:type="dxa"/>
            <w:vMerge w:val="continue"/>
            <w:shd w:val="clear" w:color="auto" w:fill="auto"/>
            <w:vAlign w:val="center"/>
          </w:tcPr>
          <w:p w14:paraId="13C406E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3A79B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restart"/>
            <w:shd w:val="clear" w:color="auto" w:fill="auto"/>
            <w:vAlign w:val="center"/>
          </w:tcPr>
          <w:p w14:paraId="0C76864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3#拉哈火 车站</w:t>
            </w:r>
          </w:p>
        </w:tc>
        <w:tc>
          <w:tcPr>
            <w:tcW w:w="1268" w:type="dxa"/>
            <w:shd w:val="clear" w:color="auto" w:fill="auto"/>
            <w:vAlign w:val="center"/>
          </w:tcPr>
          <w:p w14:paraId="56386B5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32022D2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非甲烷总烃</w:t>
            </w:r>
          </w:p>
        </w:tc>
        <w:tc>
          <w:tcPr>
            <w:tcW w:w="971" w:type="dxa"/>
            <w:shd w:val="clear" w:color="auto" w:fill="auto"/>
            <w:vAlign w:val="center"/>
          </w:tcPr>
          <w:p w14:paraId="47045FB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1780</w:t>
            </w:r>
          </w:p>
        </w:tc>
        <w:tc>
          <w:tcPr>
            <w:tcW w:w="971" w:type="dxa"/>
            <w:shd w:val="clear" w:color="auto" w:fill="auto"/>
            <w:vAlign w:val="center"/>
          </w:tcPr>
          <w:p w14:paraId="543AB22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1940</w:t>
            </w:r>
          </w:p>
        </w:tc>
        <w:tc>
          <w:tcPr>
            <w:tcW w:w="971" w:type="dxa"/>
            <w:shd w:val="clear" w:color="auto" w:fill="auto"/>
            <w:vAlign w:val="center"/>
          </w:tcPr>
          <w:p w14:paraId="4793173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1900</w:t>
            </w:r>
          </w:p>
        </w:tc>
        <w:tc>
          <w:tcPr>
            <w:tcW w:w="996" w:type="dxa"/>
            <w:shd w:val="clear" w:color="auto" w:fill="auto"/>
            <w:vAlign w:val="center"/>
          </w:tcPr>
          <w:p w14:paraId="0ADB974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1980</w:t>
            </w:r>
          </w:p>
        </w:tc>
        <w:tc>
          <w:tcPr>
            <w:tcW w:w="1016" w:type="dxa"/>
            <w:vMerge w:val="restart"/>
            <w:shd w:val="clear" w:color="auto" w:fill="auto"/>
            <w:vAlign w:val="center"/>
          </w:tcPr>
          <w:p w14:paraId="59F1D65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2000</w:t>
            </w:r>
          </w:p>
        </w:tc>
      </w:tr>
      <w:tr w14:paraId="0C211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3D13627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75A236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3266A6F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089C856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1600</w:t>
            </w:r>
          </w:p>
        </w:tc>
        <w:tc>
          <w:tcPr>
            <w:tcW w:w="971" w:type="dxa"/>
            <w:shd w:val="clear" w:color="auto" w:fill="auto"/>
            <w:vAlign w:val="center"/>
          </w:tcPr>
          <w:p w14:paraId="24F5446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1630</w:t>
            </w:r>
          </w:p>
        </w:tc>
        <w:tc>
          <w:tcPr>
            <w:tcW w:w="971" w:type="dxa"/>
            <w:shd w:val="clear" w:color="auto" w:fill="auto"/>
            <w:vAlign w:val="center"/>
          </w:tcPr>
          <w:p w14:paraId="60F30E7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1620</w:t>
            </w:r>
          </w:p>
        </w:tc>
        <w:tc>
          <w:tcPr>
            <w:tcW w:w="996" w:type="dxa"/>
            <w:shd w:val="clear" w:color="auto" w:fill="auto"/>
            <w:vAlign w:val="center"/>
          </w:tcPr>
          <w:p w14:paraId="5A5A047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1190</w:t>
            </w:r>
          </w:p>
        </w:tc>
        <w:tc>
          <w:tcPr>
            <w:tcW w:w="1016" w:type="dxa"/>
            <w:vMerge w:val="continue"/>
            <w:shd w:val="clear" w:color="auto" w:fill="auto"/>
            <w:vAlign w:val="center"/>
          </w:tcPr>
          <w:p w14:paraId="1EBCD21D">
            <w:pPr>
              <w:jc w:val="center"/>
              <w:rPr>
                <w:rFonts w:ascii="Arial"/>
                <w:sz w:val="21"/>
              </w:rPr>
            </w:pPr>
          </w:p>
        </w:tc>
      </w:tr>
      <w:tr w14:paraId="3E520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40745BD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BA8E42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376761C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4592A9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1530</w:t>
            </w:r>
          </w:p>
        </w:tc>
        <w:tc>
          <w:tcPr>
            <w:tcW w:w="971" w:type="dxa"/>
            <w:shd w:val="clear" w:color="auto" w:fill="auto"/>
            <w:vAlign w:val="center"/>
          </w:tcPr>
          <w:p w14:paraId="6A33F1D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1520</w:t>
            </w:r>
          </w:p>
        </w:tc>
        <w:tc>
          <w:tcPr>
            <w:tcW w:w="971" w:type="dxa"/>
            <w:shd w:val="clear" w:color="auto" w:fill="auto"/>
            <w:vAlign w:val="center"/>
          </w:tcPr>
          <w:p w14:paraId="18C7CC1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1480</w:t>
            </w:r>
          </w:p>
        </w:tc>
        <w:tc>
          <w:tcPr>
            <w:tcW w:w="996" w:type="dxa"/>
            <w:shd w:val="clear" w:color="auto" w:fill="auto"/>
            <w:vAlign w:val="center"/>
          </w:tcPr>
          <w:p w14:paraId="1342E65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1420</w:t>
            </w:r>
          </w:p>
        </w:tc>
        <w:tc>
          <w:tcPr>
            <w:tcW w:w="1016" w:type="dxa"/>
            <w:vMerge w:val="continue"/>
            <w:shd w:val="clear" w:color="auto" w:fill="auto"/>
            <w:vAlign w:val="center"/>
          </w:tcPr>
          <w:p w14:paraId="0D713541">
            <w:pPr>
              <w:jc w:val="center"/>
              <w:rPr>
                <w:rFonts w:ascii="Arial"/>
                <w:sz w:val="21"/>
              </w:rPr>
            </w:pPr>
          </w:p>
        </w:tc>
      </w:tr>
      <w:tr w14:paraId="4C7EF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661FE9F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35C98BF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61D630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45E48CA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1480</w:t>
            </w:r>
          </w:p>
        </w:tc>
        <w:tc>
          <w:tcPr>
            <w:tcW w:w="971" w:type="dxa"/>
            <w:shd w:val="clear" w:color="auto" w:fill="auto"/>
            <w:vAlign w:val="center"/>
          </w:tcPr>
          <w:p w14:paraId="004D589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1430</w:t>
            </w:r>
          </w:p>
        </w:tc>
        <w:tc>
          <w:tcPr>
            <w:tcW w:w="971" w:type="dxa"/>
            <w:shd w:val="clear" w:color="auto" w:fill="auto"/>
            <w:vAlign w:val="center"/>
          </w:tcPr>
          <w:p w14:paraId="6784F08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1450</w:t>
            </w:r>
          </w:p>
        </w:tc>
        <w:tc>
          <w:tcPr>
            <w:tcW w:w="996" w:type="dxa"/>
            <w:shd w:val="clear" w:color="auto" w:fill="auto"/>
            <w:vAlign w:val="center"/>
          </w:tcPr>
          <w:p w14:paraId="2453B96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1530</w:t>
            </w:r>
          </w:p>
        </w:tc>
        <w:tc>
          <w:tcPr>
            <w:tcW w:w="1016" w:type="dxa"/>
            <w:vMerge w:val="continue"/>
            <w:shd w:val="clear" w:color="auto" w:fill="auto"/>
            <w:vAlign w:val="center"/>
          </w:tcPr>
          <w:p w14:paraId="4E6D2C8F">
            <w:pPr>
              <w:jc w:val="center"/>
              <w:rPr>
                <w:rFonts w:ascii="Arial"/>
                <w:sz w:val="21"/>
              </w:rPr>
            </w:pPr>
          </w:p>
        </w:tc>
      </w:tr>
      <w:tr w14:paraId="01216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298E580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58A64C2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1FF4425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395124A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1350</w:t>
            </w:r>
          </w:p>
        </w:tc>
        <w:tc>
          <w:tcPr>
            <w:tcW w:w="971" w:type="dxa"/>
            <w:shd w:val="clear" w:color="auto" w:fill="auto"/>
            <w:vAlign w:val="center"/>
          </w:tcPr>
          <w:p w14:paraId="276D31D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1410</w:t>
            </w:r>
          </w:p>
        </w:tc>
        <w:tc>
          <w:tcPr>
            <w:tcW w:w="971" w:type="dxa"/>
            <w:shd w:val="clear" w:color="auto" w:fill="auto"/>
            <w:vAlign w:val="center"/>
          </w:tcPr>
          <w:p w14:paraId="2B2AA4A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1300</w:t>
            </w:r>
          </w:p>
        </w:tc>
        <w:tc>
          <w:tcPr>
            <w:tcW w:w="996" w:type="dxa"/>
            <w:shd w:val="clear" w:color="auto" w:fill="auto"/>
            <w:vAlign w:val="center"/>
          </w:tcPr>
          <w:p w14:paraId="1A5555F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1320</w:t>
            </w:r>
          </w:p>
        </w:tc>
        <w:tc>
          <w:tcPr>
            <w:tcW w:w="1016" w:type="dxa"/>
            <w:vMerge w:val="continue"/>
            <w:shd w:val="clear" w:color="auto" w:fill="auto"/>
            <w:vAlign w:val="center"/>
          </w:tcPr>
          <w:p w14:paraId="51367EEC">
            <w:pPr>
              <w:jc w:val="center"/>
              <w:rPr>
                <w:rFonts w:ascii="Arial"/>
                <w:sz w:val="21"/>
              </w:rPr>
            </w:pPr>
          </w:p>
        </w:tc>
      </w:tr>
      <w:tr w14:paraId="64746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42976BF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308B77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611EFFC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904318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1780</w:t>
            </w:r>
          </w:p>
        </w:tc>
        <w:tc>
          <w:tcPr>
            <w:tcW w:w="971" w:type="dxa"/>
            <w:shd w:val="clear" w:color="auto" w:fill="auto"/>
            <w:vAlign w:val="center"/>
          </w:tcPr>
          <w:p w14:paraId="4C5C01D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1370</w:t>
            </w:r>
          </w:p>
        </w:tc>
        <w:tc>
          <w:tcPr>
            <w:tcW w:w="971" w:type="dxa"/>
            <w:shd w:val="clear" w:color="auto" w:fill="auto"/>
            <w:vAlign w:val="center"/>
          </w:tcPr>
          <w:p w14:paraId="7AE0D4B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1550</w:t>
            </w:r>
          </w:p>
        </w:tc>
        <w:tc>
          <w:tcPr>
            <w:tcW w:w="996" w:type="dxa"/>
            <w:shd w:val="clear" w:color="auto" w:fill="auto"/>
            <w:vAlign w:val="center"/>
          </w:tcPr>
          <w:p w14:paraId="7F07357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1450</w:t>
            </w:r>
          </w:p>
        </w:tc>
        <w:tc>
          <w:tcPr>
            <w:tcW w:w="1016" w:type="dxa"/>
            <w:vMerge w:val="continue"/>
            <w:shd w:val="clear" w:color="auto" w:fill="auto"/>
            <w:vAlign w:val="center"/>
          </w:tcPr>
          <w:p w14:paraId="1B57DD0C">
            <w:pPr>
              <w:jc w:val="center"/>
              <w:rPr>
                <w:rFonts w:ascii="Arial"/>
                <w:sz w:val="21"/>
              </w:rPr>
            </w:pPr>
          </w:p>
        </w:tc>
      </w:tr>
      <w:tr w14:paraId="79AB8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674BE3C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CFD51A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11C374F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574F24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1600</w:t>
            </w:r>
          </w:p>
        </w:tc>
        <w:tc>
          <w:tcPr>
            <w:tcW w:w="971" w:type="dxa"/>
            <w:shd w:val="clear" w:color="auto" w:fill="auto"/>
            <w:vAlign w:val="center"/>
          </w:tcPr>
          <w:p w14:paraId="704256F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1670</w:t>
            </w:r>
          </w:p>
        </w:tc>
        <w:tc>
          <w:tcPr>
            <w:tcW w:w="971" w:type="dxa"/>
            <w:shd w:val="clear" w:color="auto" w:fill="auto"/>
            <w:vAlign w:val="center"/>
          </w:tcPr>
          <w:p w14:paraId="000CFAE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1360</w:t>
            </w:r>
          </w:p>
        </w:tc>
        <w:tc>
          <w:tcPr>
            <w:tcW w:w="996" w:type="dxa"/>
            <w:shd w:val="clear" w:color="auto" w:fill="auto"/>
            <w:vAlign w:val="center"/>
          </w:tcPr>
          <w:p w14:paraId="6179AF2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1450</w:t>
            </w:r>
          </w:p>
        </w:tc>
        <w:tc>
          <w:tcPr>
            <w:tcW w:w="1016" w:type="dxa"/>
            <w:vMerge w:val="continue"/>
            <w:shd w:val="clear" w:color="auto" w:fill="auto"/>
            <w:vAlign w:val="center"/>
          </w:tcPr>
          <w:p w14:paraId="1DCF53C2">
            <w:pPr>
              <w:jc w:val="center"/>
              <w:rPr>
                <w:rFonts w:ascii="Arial"/>
                <w:sz w:val="21"/>
              </w:rPr>
            </w:pPr>
          </w:p>
        </w:tc>
      </w:tr>
      <w:tr w14:paraId="3F7A5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restart"/>
            <w:shd w:val="clear" w:color="auto" w:fill="auto"/>
            <w:vAlign w:val="center"/>
          </w:tcPr>
          <w:p w14:paraId="4293532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1#前屯</w:t>
            </w:r>
          </w:p>
        </w:tc>
        <w:tc>
          <w:tcPr>
            <w:tcW w:w="1268" w:type="dxa"/>
            <w:shd w:val="clear" w:color="auto" w:fill="auto"/>
            <w:vAlign w:val="center"/>
          </w:tcPr>
          <w:p w14:paraId="5E2221D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11B21CE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硫化氢</w:t>
            </w:r>
          </w:p>
        </w:tc>
        <w:tc>
          <w:tcPr>
            <w:tcW w:w="971" w:type="dxa"/>
            <w:shd w:val="clear" w:color="auto" w:fill="auto"/>
            <w:vAlign w:val="center"/>
          </w:tcPr>
          <w:p w14:paraId="291E3F0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50CB634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66F2CE7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1B2C953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restart"/>
            <w:shd w:val="clear" w:color="auto" w:fill="auto"/>
            <w:vAlign w:val="center"/>
          </w:tcPr>
          <w:p w14:paraId="2BFFAAF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10</w:t>
            </w:r>
          </w:p>
        </w:tc>
      </w:tr>
      <w:tr w14:paraId="0785F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16C99B7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D43293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4673BF2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1FA2F04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5A52E9C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06CF0B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2CE3110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3C182D3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EC1B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258" w:hRule="atLeast"/>
          <w:jc w:val="center"/>
        </w:trPr>
        <w:tc>
          <w:tcPr>
            <w:tcW w:w="1105" w:type="dxa"/>
            <w:vMerge w:val="continue"/>
            <w:shd w:val="clear" w:color="auto" w:fill="auto"/>
            <w:vAlign w:val="center"/>
          </w:tcPr>
          <w:p w14:paraId="58B838D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4A2656E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2CA56A1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27F920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5F29B8D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1276658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028B016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7D73F8E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10543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DA7156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B2BBCD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4DE9E5E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3AB1B13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7767EE6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425D49E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133B499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3E26846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15D4A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96700C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19904A9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0E5F493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1C00D9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AC914E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2151FB1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679B7DA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7E3DECD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33A20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1C913AE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4A38835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3A5BA63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4B7E737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BE3644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20EA4AB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36CF71C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04D938D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06426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78E0504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718E6A3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140ABB9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503938B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9ED001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6D59966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4822FE8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4EA580D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869C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restart"/>
            <w:shd w:val="clear" w:color="auto" w:fill="auto"/>
            <w:vAlign w:val="center"/>
          </w:tcPr>
          <w:p w14:paraId="7CB6658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2#厂址</w:t>
            </w:r>
          </w:p>
        </w:tc>
        <w:tc>
          <w:tcPr>
            <w:tcW w:w="1268" w:type="dxa"/>
            <w:shd w:val="clear" w:color="auto" w:fill="auto"/>
            <w:vAlign w:val="center"/>
          </w:tcPr>
          <w:p w14:paraId="4C8EE8D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3976856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硫化氢</w:t>
            </w:r>
          </w:p>
        </w:tc>
        <w:tc>
          <w:tcPr>
            <w:tcW w:w="971" w:type="dxa"/>
            <w:shd w:val="clear" w:color="auto" w:fill="auto"/>
            <w:vAlign w:val="center"/>
          </w:tcPr>
          <w:p w14:paraId="18CDD5D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7DA38F4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12C57C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269F0D2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restart"/>
            <w:shd w:val="clear" w:color="auto" w:fill="auto"/>
            <w:vAlign w:val="center"/>
          </w:tcPr>
          <w:p w14:paraId="72B4FF0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10</w:t>
            </w:r>
          </w:p>
        </w:tc>
      </w:tr>
      <w:tr w14:paraId="39648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7831FFB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0820D9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4F494CD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0E7347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8F422C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D6660F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6585D38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2093D18A">
            <w:pPr>
              <w:jc w:val="center"/>
              <w:rPr>
                <w:rFonts w:ascii="Arial"/>
                <w:sz w:val="21"/>
              </w:rPr>
            </w:pPr>
          </w:p>
        </w:tc>
      </w:tr>
      <w:tr w14:paraId="3EF5E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4592F61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FBA1EF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34A231B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EEBAAF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303BFBD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3BF6D33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02BA15D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6757878D">
            <w:pPr>
              <w:jc w:val="center"/>
              <w:rPr>
                <w:rFonts w:ascii="Arial"/>
                <w:sz w:val="21"/>
              </w:rPr>
            </w:pPr>
          </w:p>
        </w:tc>
      </w:tr>
      <w:tr w14:paraId="3BF76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2C32EA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CD5570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61E3BF6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596E856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7B50E7E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3C733F8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76A8597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7F71D0EB">
            <w:pPr>
              <w:jc w:val="center"/>
              <w:rPr>
                <w:rFonts w:ascii="Arial"/>
                <w:sz w:val="21"/>
              </w:rPr>
            </w:pPr>
          </w:p>
        </w:tc>
      </w:tr>
      <w:tr w14:paraId="57D70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388C558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FF49C0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2D70400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6F9E60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3453923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75ADE23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50550C8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56E458C3">
            <w:pPr>
              <w:jc w:val="center"/>
              <w:rPr>
                <w:rFonts w:ascii="Arial"/>
                <w:sz w:val="21"/>
              </w:rPr>
            </w:pPr>
          </w:p>
        </w:tc>
      </w:tr>
      <w:tr w14:paraId="7B592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06DBB62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B8A9D9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73156DE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1C63D1C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44B5C3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6FCF84B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7B3BB73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15B7C393">
            <w:pPr>
              <w:jc w:val="center"/>
              <w:rPr>
                <w:rFonts w:ascii="Arial"/>
                <w:sz w:val="21"/>
              </w:rPr>
            </w:pPr>
          </w:p>
        </w:tc>
      </w:tr>
      <w:tr w14:paraId="0FBC0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4" w:hRule="atLeast"/>
          <w:jc w:val="center"/>
        </w:trPr>
        <w:tc>
          <w:tcPr>
            <w:tcW w:w="1105" w:type="dxa"/>
            <w:vMerge w:val="continue"/>
            <w:shd w:val="clear" w:color="auto" w:fill="auto"/>
            <w:vAlign w:val="center"/>
          </w:tcPr>
          <w:p w14:paraId="7044A34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550A6EF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5AEEDDE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1799C91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7C19CBF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58D887F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4B22975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6A78EAB6">
            <w:pPr>
              <w:jc w:val="center"/>
              <w:rPr>
                <w:rFonts w:ascii="Arial"/>
                <w:sz w:val="21"/>
              </w:rPr>
            </w:pPr>
          </w:p>
        </w:tc>
      </w:tr>
      <w:tr w14:paraId="50DC5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restart"/>
            <w:shd w:val="clear" w:color="auto" w:fill="auto"/>
            <w:vAlign w:val="center"/>
          </w:tcPr>
          <w:p w14:paraId="07034E0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3#拉哈火 车站</w:t>
            </w:r>
          </w:p>
        </w:tc>
        <w:tc>
          <w:tcPr>
            <w:tcW w:w="1268" w:type="dxa"/>
            <w:shd w:val="clear" w:color="auto" w:fill="auto"/>
            <w:vAlign w:val="center"/>
          </w:tcPr>
          <w:p w14:paraId="0963C26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6B700BF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硫化氢</w:t>
            </w:r>
          </w:p>
        </w:tc>
        <w:tc>
          <w:tcPr>
            <w:tcW w:w="971" w:type="dxa"/>
            <w:shd w:val="clear" w:color="auto" w:fill="auto"/>
            <w:vAlign w:val="center"/>
          </w:tcPr>
          <w:p w14:paraId="31B4E58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5D130D7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34E095C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1C23A59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restart"/>
            <w:shd w:val="clear" w:color="auto" w:fill="auto"/>
            <w:vAlign w:val="center"/>
          </w:tcPr>
          <w:p w14:paraId="175DDDD7">
            <w:pPr>
              <w:kinsoku/>
              <w:autoSpaceDE/>
              <w:autoSpaceDN/>
              <w:adjustRightInd/>
              <w:snapToGrid/>
              <w:spacing w:line="240" w:lineRule="auto"/>
              <w:jc w:val="center"/>
              <w:textAlignment w:val="auto"/>
            </w:pPr>
            <w:r>
              <w:rPr>
                <w:rFonts w:hint="eastAsia" w:ascii="Times New Roman" w:hAnsi="Times New Roman" w:eastAsia="宋体" w:cs="Times New Roman"/>
                <w:snapToGrid/>
                <w:kern w:val="0"/>
                <w:sz w:val="21"/>
                <w:szCs w:val="21"/>
                <w:lang w:eastAsia="zh-CN"/>
              </w:rPr>
              <w:t>10</w:t>
            </w:r>
          </w:p>
        </w:tc>
      </w:tr>
      <w:tr w14:paraId="1688F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523CFFF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488ED36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1E0CD76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A1C04F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1580E93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5D87E18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0DD8AC6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65F920E6">
            <w:pPr>
              <w:jc w:val="center"/>
              <w:rPr>
                <w:rFonts w:ascii="Arial"/>
                <w:sz w:val="21"/>
              </w:rPr>
            </w:pPr>
          </w:p>
        </w:tc>
      </w:tr>
      <w:tr w14:paraId="1B492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560D550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11D110A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7212716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07370EF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3D48C0D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65CAF2B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098BF03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54BB4A06">
            <w:pPr>
              <w:jc w:val="center"/>
              <w:rPr>
                <w:rFonts w:ascii="Arial"/>
                <w:sz w:val="21"/>
              </w:rPr>
            </w:pPr>
          </w:p>
        </w:tc>
      </w:tr>
      <w:tr w14:paraId="1C10E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7ACD010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190A61A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386382F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53082F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01B10F9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4CC7198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18706D9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6924815B">
            <w:pPr>
              <w:jc w:val="center"/>
              <w:rPr>
                <w:rFonts w:ascii="Arial"/>
                <w:sz w:val="21"/>
              </w:rPr>
            </w:pPr>
          </w:p>
        </w:tc>
      </w:tr>
      <w:tr w14:paraId="5B56C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6D34D98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3BCC470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38D6B95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CD1472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7BF9660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6F661FE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559724E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5BEB62F9">
            <w:pPr>
              <w:jc w:val="center"/>
              <w:rPr>
                <w:rFonts w:ascii="Arial"/>
                <w:sz w:val="21"/>
              </w:rPr>
            </w:pPr>
          </w:p>
        </w:tc>
      </w:tr>
      <w:tr w14:paraId="7C7DD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5E6B05C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3CCA163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1525C4E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10F7D33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1D64325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5379C0C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306C24C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1822EA23">
            <w:pPr>
              <w:jc w:val="center"/>
              <w:rPr>
                <w:rFonts w:ascii="Arial"/>
                <w:sz w:val="21"/>
              </w:rPr>
            </w:pPr>
          </w:p>
        </w:tc>
      </w:tr>
      <w:tr w14:paraId="795F5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1105" w:type="dxa"/>
            <w:vMerge w:val="continue"/>
            <w:shd w:val="clear" w:color="auto" w:fill="auto"/>
            <w:vAlign w:val="center"/>
          </w:tcPr>
          <w:p w14:paraId="31B3766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B7CE24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34FD1A9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7FEFE4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73AEC99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71" w:type="dxa"/>
            <w:shd w:val="clear" w:color="auto" w:fill="auto"/>
            <w:vAlign w:val="center"/>
          </w:tcPr>
          <w:p w14:paraId="1209E72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996" w:type="dxa"/>
            <w:shd w:val="clear" w:color="auto" w:fill="auto"/>
            <w:vAlign w:val="center"/>
          </w:tcPr>
          <w:p w14:paraId="683F753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&lt;1</w:t>
            </w:r>
          </w:p>
        </w:tc>
        <w:tc>
          <w:tcPr>
            <w:tcW w:w="1016" w:type="dxa"/>
            <w:vMerge w:val="continue"/>
            <w:shd w:val="clear" w:color="auto" w:fill="auto"/>
            <w:vAlign w:val="center"/>
          </w:tcPr>
          <w:p w14:paraId="62B78B2F">
            <w:pPr>
              <w:jc w:val="center"/>
              <w:rPr>
                <w:rFonts w:ascii="Arial"/>
                <w:sz w:val="21"/>
              </w:rPr>
            </w:pPr>
          </w:p>
        </w:tc>
      </w:tr>
      <w:tr w14:paraId="5D499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9" w:hRule="atLeast"/>
          <w:jc w:val="center"/>
        </w:trPr>
        <w:tc>
          <w:tcPr>
            <w:tcW w:w="1105" w:type="dxa"/>
            <w:vMerge w:val="restart"/>
            <w:shd w:val="clear" w:color="auto" w:fill="auto"/>
            <w:vAlign w:val="center"/>
          </w:tcPr>
          <w:p w14:paraId="593AC49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1#前屯</w:t>
            </w:r>
          </w:p>
        </w:tc>
        <w:tc>
          <w:tcPr>
            <w:tcW w:w="1268" w:type="dxa"/>
            <w:shd w:val="clear" w:color="auto" w:fill="auto"/>
            <w:vAlign w:val="center"/>
          </w:tcPr>
          <w:p w14:paraId="0261501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62F3AD3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氨</w:t>
            </w:r>
          </w:p>
        </w:tc>
        <w:tc>
          <w:tcPr>
            <w:tcW w:w="971" w:type="dxa"/>
            <w:shd w:val="clear" w:color="auto" w:fill="auto"/>
            <w:vAlign w:val="center"/>
          </w:tcPr>
          <w:p w14:paraId="4489625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71" w:type="dxa"/>
            <w:shd w:val="clear" w:color="auto" w:fill="auto"/>
            <w:vAlign w:val="center"/>
          </w:tcPr>
          <w:p w14:paraId="278290B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7B64B61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25</w:t>
            </w:r>
          </w:p>
        </w:tc>
        <w:tc>
          <w:tcPr>
            <w:tcW w:w="996" w:type="dxa"/>
            <w:shd w:val="clear" w:color="auto" w:fill="auto"/>
            <w:vAlign w:val="center"/>
          </w:tcPr>
          <w:p w14:paraId="55BB21C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24</w:t>
            </w:r>
          </w:p>
        </w:tc>
        <w:tc>
          <w:tcPr>
            <w:tcW w:w="1016" w:type="dxa"/>
            <w:vMerge w:val="restart"/>
            <w:shd w:val="clear" w:color="auto" w:fill="auto"/>
            <w:vAlign w:val="center"/>
          </w:tcPr>
          <w:p w14:paraId="1A35BB0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w:t>
            </w:r>
          </w:p>
        </w:tc>
      </w:tr>
      <w:tr w14:paraId="5BEB2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05" w:type="dxa"/>
            <w:vMerge w:val="continue"/>
            <w:shd w:val="clear" w:color="auto" w:fill="auto"/>
            <w:vAlign w:val="center"/>
          </w:tcPr>
          <w:p w14:paraId="5DB76EF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79E5672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01F7B15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C41585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971" w:type="dxa"/>
            <w:shd w:val="clear" w:color="auto" w:fill="auto"/>
            <w:vAlign w:val="center"/>
          </w:tcPr>
          <w:p w14:paraId="0857A6D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971" w:type="dxa"/>
            <w:shd w:val="clear" w:color="auto" w:fill="auto"/>
            <w:vAlign w:val="center"/>
          </w:tcPr>
          <w:p w14:paraId="423881E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27</w:t>
            </w:r>
          </w:p>
        </w:tc>
        <w:tc>
          <w:tcPr>
            <w:tcW w:w="996" w:type="dxa"/>
            <w:shd w:val="clear" w:color="auto" w:fill="auto"/>
            <w:vAlign w:val="center"/>
          </w:tcPr>
          <w:p w14:paraId="68A3952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1016" w:type="dxa"/>
            <w:vMerge w:val="continue"/>
            <w:shd w:val="clear" w:color="auto" w:fill="auto"/>
            <w:vAlign w:val="center"/>
          </w:tcPr>
          <w:p w14:paraId="3EC6BD1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256F8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1105" w:type="dxa"/>
            <w:vMerge w:val="continue"/>
            <w:shd w:val="clear" w:color="auto" w:fill="auto"/>
            <w:vAlign w:val="center"/>
          </w:tcPr>
          <w:p w14:paraId="7C33C88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E6667C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4518258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36D326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33</w:t>
            </w:r>
          </w:p>
        </w:tc>
        <w:tc>
          <w:tcPr>
            <w:tcW w:w="971" w:type="dxa"/>
            <w:shd w:val="clear" w:color="auto" w:fill="auto"/>
            <w:vAlign w:val="center"/>
          </w:tcPr>
          <w:p w14:paraId="6BC595A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2A0E2CD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96" w:type="dxa"/>
            <w:shd w:val="clear" w:color="auto" w:fill="auto"/>
            <w:vAlign w:val="center"/>
          </w:tcPr>
          <w:p w14:paraId="46377CE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1016" w:type="dxa"/>
            <w:vMerge w:val="continue"/>
            <w:shd w:val="clear" w:color="auto" w:fill="auto"/>
            <w:vAlign w:val="center"/>
          </w:tcPr>
          <w:p w14:paraId="3E3D274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6C65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9" w:hRule="atLeast"/>
          <w:jc w:val="center"/>
        </w:trPr>
        <w:tc>
          <w:tcPr>
            <w:tcW w:w="1105" w:type="dxa"/>
            <w:vMerge w:val="continue"/>
            <w:shd w:val="clear" w:color="auto" w:fill="auto"/>
            <w:vAlign w:val="center"/>
          </w:tcPr>
          <w:p w14:paraId="3CE5D96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51BBF2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29350A7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0B72966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71" w:type="dxa"/>
            <w:shd w:val="clear" w:color="auto" w:fill="auto"/>
            <w:vAlign w:val="center"/>
          </w:tcPr>
          <w:p w14:paraId="615C3FC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24</w:t>
            </w:r>
          </w:p>
        </w:tc>
        <w:tc>
          <w:tcPr>
            <w:tcW w:w="971" w:type="dxa"/>
            <w:shd w:val="clear" w:color="auto" w:fill="auto"/>
            <w:vAlign w:val="center"/>
          </w:tcPr>
          <w:p w14:paraId="3C26758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96" w:type="dxa"/>
            <w:shd w:val="clear" w:color="auto" w:fill="auto"/>
            <w:vAlign w:val="center"/>
          </w:tcPr>
          <w:p w14:paraId="633F80E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1016" w:type="dxa"/>
            <w:vMerge w:val="continue"/>
            <w:shd w:val="clear" w:color="auto" w:fill="auto"/>
            <w:vAlign w:val="center"/>
          </w:tcPr>
          <w:p w14:paraId="324BF7F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6FDD4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3" w:hRule="atLeast"/>
          <w:jc w:val="center"/>
        </w:trPr>
        <w:tc>
          <w:tcPr>
            <w:tcW w:w="1105" w:type="dxa"/>
            <w:vMerge w:val="continue"/>
            <w:shd w:val="clear" w:color="auto" w:fill="auto"/>
            <w:vAlign w:val="center"/>
          </w:tcPr>
          <w:p w14:paraId="3F6B73A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A9390F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08BA18E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E30657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971" w:type="dxa"/>
            <w:shd w:val="clear" w:color="auto" w:fill="auto"/>
            <w:vAlign w:val="center"/>
          </w:tcPr>
          <w:p w14:paraId="055EB10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60DD409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25</w:t>
            </w:r>
          </w:p>
        </w:tc>
        <w:tc>
          <w:tcPr>
            <w:tcW w:w="996" w:type="dxa"/>
            <w:shd w:val="clear" w:color="auto" w:fill="auto"/>
            <w:vAlign w:val="center"/>
          </w:tcPr>
          <w:p w14:paraId="549E165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1016" w:type="dxa"/>
            <w:vMerge w:val="continue"/>
            <w:shd w:val="clear" w:color="auto" w:fill="auto"/>
            <w:vAlign w:val="center"/>
          </w:tcPr>
          <w:p w14:paraId="23A4C18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38D84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05" w:type="dxa"/>
            <w:vMerge w:val="continue"/>
            <w:shd w:val="clear" w:color="auto" w:fill="auto"/>
            <w:vAlign w:val="center"/>
          </w:tcPr>
          <w:p w14:paraId="6369EE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BDEEBA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615FBD2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05214E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5A635D4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71" w:type="dxa"/>
            <w:shd w:val="clear" w:color="auto" w:fill="auto"/>
            <w:vAlign w:val="center"/>
          </w:tcPr>
          <w:p w14:paraId="5CF2C3F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96" w:type="dxa"/>
            <w:shd w:val="clear" w:color="auto" w:fill="auto"/>
            <w:vAlign w:val="center"/>
          </w:tcPr>
          <w:p w14:paraId="088CAA6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1016" w:type="dxa"/>
            <w:vMerge w:val="continue"/>
            <w:shd w:val="clear" w:color="auto" w:fill="auto"/>
            <w:vAlign w:val="center"/>
          </w:tcPr>
          <w:p w14:paraId="789BA5D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22F3B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9" w:hRule="atLeast"/>
          <w:jc w:val="center"/>
        </w:trPr>
        <w:tc>
          <w:tcPr>
            <w:tcW w:w="1105" w:type="dxa"/>
            <w:vMerge w:val="continue"/>
            <w:shd w:val="clear" w:color="auto" w:fill="auto"/>
            <w:vAlign w:val="center"/>
          </w:tcPr>
          <w:p w14:paraId="33B00A7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4A1CD3C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7445907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306187D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3E3974F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971" w:type="dxa"/>
            <w:shd w:val="clear" w:color="auto" w:fill="auto"/>
            <w:vAlign w:val="center"/>
          </w:tcPr>
          <w:p w14:paraId="614E246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25</w:t>
            </w:r>
          </w:p>
        </w:tc>
        <w:tc>
          <w:tcPr>
            <w:tcW w:w="996" w:type="dxa"/>
            <w:shd w:val="clear" w:color="auto" w:fill="auto"/>
            <w:vAlign w:val="center"/>
          </w:tcPr>
          <w:p w14:paraId="3769B93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1016" w:type="dxa"/>
            <w:vMerge w:val="continue"/>
            <w:shd w:val="clear" w:color="auto" w:fill="auto"/>
            <w:vAlign w:val="center"/>
          </w:tcPr>
          <w:p w14:paraId="378F6C6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13BB6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7" w:hRule="atLeast"/>
          <w:jc w:val="center"/>
        </w:trPr>
        <w:tc>
          <w:tcPr>
            <w:tcW w:w="1105" w:type="dxa"/>
            <w:vMerge w:val="restart"/>
            <w:shd w:val="clear" w:color="auto" w:fill="auto"/>
            <w:vAlign w:val="center"/>
          </w:tcPr>
          <w:p w14:paraId="4AA2BAF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2#厂址</w:t>
            </w:r>
          </w:p>
        </w:tc>
        <w:tc>
          <w:tcPr>
            <w:tcW w:w="1268" w:type="dxa"/>
            <w:shd w:val="clear" w:color="auto" w:fill="auto"/>
            <w:vAlign w:val="center"/>
          </w:tcPr>
          <w:p w14:paraId="4154F10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2DBA6F0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氨</w:t>
            </w:r>
          </w:p>
        </w:tc>
        <w:tc>
          <w:tcPr>
            <w:tcW w:w="971" w:type="dxa"/>
            <w:shd w:val="clear" w:color="auto" w:fill="auto"/>
            <w:vAlign w:val="center"/>
          </w:tcPr>
          <w:p w14:paraId="3B40EE7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71" w:type="dxa"/>
            <w:shd w:val="clear" w:color="auto" w:fill="auto"/>
            <w:vAlign w:val="center"/>
          </w:tcPr>
          <w:p w14:paraId="08EB212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5823F16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96" w:type="dxa"/>
            <w:shd w:val="clear" w:color="auto" w:fill="auto"/>
            <w:vAlign w:val="center"/>
          </w:tcPr>
          <w:p w14:paraId="202E31A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1016" w:type="dxa"/>
            <w:vMerge w:val="restart"/>
            <w:shd w:val="clear" w:color="auto" w:fill="auto"/>
            <w:vAlign w:val="center"/>
          </w:tcPr>
          <w:p w14:paraId="529B9BD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w:t>
            </w:r>
          </w:p>
        </w:tc>
      </w:tr>
      <w:tr w14:paraId="2A690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1105" w:type="dxa"/>
            <w:vMerge w:val="continue"/>
            <w:shd w:val="clear" w:color="auto" w:fill="auto"/>
            <w:vAlign w:val="center"/>
          </w:tcPr>
          <w:p w14:paraId="3D7EB2A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EA4F24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75CE743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17076F9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33</w:t>
            </w:r>
          </w:p>
        </w:tc>
        <w:tc>
          <w:tcPr>
            <w:tcW w:w="971" w:type="dxa"/>
            <w:shd w:val="clear" w:color="auto" w:fill="auto"/>
            <w:vAlign w:val="center"/>
          </w:tcPr>
          <w:p w14:paraId="5E5CB76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18AF233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996" w:type="dxa"/>
            <w:shd w:val="clear" w:color="auto" w:fill="auto"/>
            <w:vAlign w:val="center"/>
          </w:tcPr>
          <w:p w14:paraId="1EA7743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1016" w:type="dxa"/>
            <w:vMerge w:val="continue"/>
            <w:shd w:val="clear" w:color="auto" w:fill="auto"/>
            <w:vAlign w:val="center"/>
          </w:tcPr>
          <w:p w14:paraId="72A0412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78106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7" w:hRule="atLeast"/>
          <w:jc w:val="center"/>
        </w:trPr>
        <w:tc>
          <w:tcPr>
            <w:tcW w:w="1105" w:type="dxa"/>
            <w:vMerge w:val="continue"/>
            <w:shd w:val="clear" w:color="auto" w:fill="auto"/>
            <w:vAlign w:val="center"/>
          </w:tcPr>
          <w:p w14:paraId="7A0B397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73C9DD2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62B31C5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22765F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0C666CD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71" w:type="dxa"/>
            <w:shd w:val="clear" w:color="auto" w:fill="auto"/>
            <w:vAlign w:val="center"/>
          </w:tcPr>
          <w:p w14:paraId="40A77B7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996" w:type="dxa"/>
            <w:shd w:val="clear" w:color="auto" w:fill="auto"/>
            <w:vAlign w:val="center"/>
          </w:tcPr>
          <w:p w14:paraId="7110FD2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1016" w:type="dxa"/>
            <w:vMerge w:val="continue"/>
            <w:shd w:val="clear" w:color="auto" w:fill="auto"/>
            <w:vAlign w:val="center"/>
          </w:tcPr>
          <w:p w14:paraId="4AB79BD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4058E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1105" w:type="dxa"/>
            <w:vMerge w:val="continue"/>
            <w:shd w:val="clear" w:color="auto" w:fill="auto"/>
            <w:vAlign w:val="center"/>
          </w:tcPr>
          <w:p w14:paraId="1B280FF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52B21F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75B516B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377F70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24</w:t>
            </w:r>
          </w:p>
        </w:tc>
        <w:tc>
          <w:tcPr>
            <w:tcW w:w="971" w:type="dxa"/>
            <w:shd w:val="clear" w:color="auto" w:fill="auto"/>
            <w:vAlign w:val="center"/>
          </w:tcPr>
          <w:p w14:paraId="4BEFAA3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971" w:type="dxa"/>
            <w:shd w:val="clear" w:color="auto" w:fill="auto"/>
            <w:vAlign w:val="center"/>
          </w:tcPr>
          <w:p w14:paraId="3307926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96" w:type="dxa"/>
            <w:shd w:val="clear" w:color="auto" w:fill="auto"/>
            <w:vAlign w:val="center"/>
          </w:tcPr>
          <w:p w14:paraId="4DD4812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1016" w:type="dxa"/>
            <w:vMerge w:val="continue"/>
            <w:shd w:val="clear" w:color="auto" w:fill="auto"/>
            <w:vAlign w:val="center"/>
          </w:tcPr>
          <w:p w14:paraId="0B694B1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48E07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7" w:hRule="atLeast"/>
          <w:jc w:val="center"/>
        </w:trPr>
        <w:tc>
          <w:tcPr>
            <w:tcW w:w="1105" w:type="dxa"/>
            <w:vMerge w:val="continue"/>
            <w:shd w:val="clear" w:color="auto" w:fill="auto"/>
            <w:vAlign w:val="center"/>
          </w:tcPr>
          <w:p w14:paraId="2C50DE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E437DA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21ABCF7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D70338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33</w:t>
            </w:r>
          </w:p>
        </w:tc>
        <w:tc>
          <w:tcPr>
            <w:tcW w:w="971" w:type="dxa"/>
            <w:shd w:val="clear" w:color="auto" w:fill="auto"/>
            <w:vAlign w:val="center"/>
          </w:tcPr>
          <w:p w14:paraId="57AFD2A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22644A5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96" w:type="dxa"/>
            <w:shd w:val="clear" w:color="auto" w:fill="auto"/>
            <w:vAlign w:val="center"/>
          </w:tcPr>
          <w:p w14:paraId="036CE4F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1016" w:type="dxa"/>
            <w:vMerge w:val="continue"/>
            <w:shd w:val="clear" w:color="auto" w:fill="auto"/>
            <w:vAlign w:val="center"/>
          </w:tcPr>
          <w:p w14:paraId="14AD7B0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609D6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1105" w:type="dxa"/>
            <w:vMerge w:val="continue"/>
            <w:shd w:val="clear" w:color="auto" w:fill="auto"/>
            <w:vAlign w:val="center"/>
          </w:tcPr>
          <w:p w14:paraId="7A92328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17A835D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7A5536B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6991B0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971" w:type="dxa"/>
            <w:shd w:val="clear" w:color="auto" w:fill="auto"/>
            <w:vAlign w:val="center"/>
          </w:tcPr>
          <w:p w14:paraId="747C44C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3A44E85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996" w:type="dxa"/>
            <w:shd w:val="clear" w:color="auto" w:fill="auto"/>
            <w:vAlign w:val="center"/>
          </w:tcPr>
          <w:p w14:paraId="5F72776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1016" w:type="dxa"/>
            <w:vMerge w:val="continue"/>
            <w:shd w:val="clear" w:color="auto" w:fill="auto"/>
            <w:vAlign w:val="center"/>
          </w:tcPr>
          <w:p w14:paraId="04D0C72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1D6D9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9" w:hRule="atLeast"/>
          <w:jc w:val="center"/>
        </w:trPr>
        <w:tc>
          <w:tcPr>
            <w:tcW w:w="1105" w:type="dxa"/>
            <w:vMerge w:val="continue"/>
            <w:shd w:val="clear" w:color="auto" w:fill="auto"/>
            <w:vAlign w:val="center"/>
          </w:tcPr>
          <w:p w14:paraId="250AD9B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76022C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3105E17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20F4E79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0E3CDC7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71" w:type="dxa"/>
            <w:shd w:val="clear" w:color="auto" w:fill="auto"/>
            <w:vAlign w:val="center"/>
          </w:tcPr>
          <w:p w14:paraId="7627774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96" w:type="dxa"/>
            <w:shd w:val="clear" w:color="auto" w:fill="auto"/>
            <w:vAlign w:val="center"/>
          </w:tcPr>
          <w:p w14:paraId="12361C8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1016" w:type="dxa"/>
            <w:vMerge w:val="continue"/>
            <w:shd w:val="clear" w:color="auto" w:fill="auto"/>
            <w:vAlign w:val="center"/>
          </w:tcPr>
          <w:p w14:paraId="5CF319C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34369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jc w:val="center"/>
        </w:trPr>
        <w:tc>
          <w:tcPr>
            <w:tcW w:w="1105" w:type="dxa"/>
            <w:vMerge w:val="restart"/>
            <w:shd w:val="clear" w:color="auto" w:fill="auto"/>
            <w:vAlign w:val="center"/>
          </w:tcPr>
          <w:p w14:paraId="2011A0E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3#拉哈火</w:t>
            </w:r>
          </w:p>
          <w:p w14:paraId="7F140D6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车站</w:t>
            </w:r>
          </w:p>
        </w:tc>
        <w:tc>
          <w:tcPr>
            <w:tcW w:w="1268" w:type="dxa"/>
            <w:shd w:val="clear" w:color="auto" w:fill="auto"/>
            <w:vAlign w:val="center"/>
          </w:tcPr>
          <w:p w14:paraId="7393B38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05月19日</w:t>
            </w:r>
          </w:p>
        </w:tc>
        <w:tc>
          <w:tcPr>
            <w:tcW w:w="1319" w:type="dxa"/>
            <w:vMerge w:val="restart"/>
            <w:shd w:val="clear" w:color="auto" w:fill="auto"/>
            <w:vAlign w:val="center"/>
          </w:tcPr>
          <w:p w14:paraId="554B2D3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氨</w:t>
            </w:r>
          </w:p>
        </w:tc>
        <w:tc>
          <w:tcPr>
            <w:tcW w:w="971" w:type="dxa"/>
            <w:shd w:val="clear" w:color="auto" w:fill="auto"/>
            <w:vAlign w:val="center"/>
          </w:tcPr>
          <w:p w14:paraId="36AC26C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71" w:type="dxa"/>
            <w:shd w:val="clear" w:color="auto" w:fill="auto"/>
            <w:vAlign w:val="center"/>
          </w:tcPr>
          <w:p w14:paraId="684770B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27</w:t>
            </w:r>
          </w:p>
        </w:tc>
        <w:tc>
          <w:tcPr>
            <w:tcW w:w="971" w:type="dxa"/>
            <w:shd w:val="clear" w:color="auto" w:fill="auto"/>
            <w:vAlign w:val="center"/>
          </w:tcPr>
          <w:p w14:paraId="725E6C0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36</w:t>
            </w:r>
          </w:p>
        </w:tc>
        <w:tc>
          <w:tcPr>
            <w:tcW w:w="996" w:type="dxa"/>
            <w:shd w:val="clear" w:color="auto" w:fill="auto"/>
            <w:vAlign w:val="center"/>
          </w:tcPr>
          <w:p w14:paraId="65DE205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1016" w:type="dxa"/>
            <w:vMerge w:val="restart"/>
            <w:shd w:val="clear" w:color="auto" w:fill="auto"/>
            <w:vAlign w:val="center"/>
          </w:tcPr>
          <w:p w14:paraId="2956651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200</w:t>
            </w:r>
          </w:p>
        </w:tc>
      </w:tr>
      <w:tr w14:paraId="68008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1105" w:type="dxa"/>
            <w:vMerge w:val="continue"/>
            <w:shd w:val="clear" w:color="auto" w:fill="auto"/>
            <w:vAlign w:val="center"/>
          </w:tcPr>
          <w:p w14:paraId="2DEF3E6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17A7745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05月20日</w:t>
            </w:r>
          </w:p>
        </w:tc>
        <w:tc>
          <w:tcPr>
            <w:tcW w:w="1319" w:type="dxa"/>
            <w:vMerge w:val="continue"/>
            <w:shd w:val="clear" w:color="auto" w:fill="auto"/>
            <w:vAlign w:val="center"/>
          </w:tcPr>
          <w:p w14:paraId="5545633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97D7CC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1C3611F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71" w:type="dxa"/>
            <w:shd w:val="clear" w:color="auto" w:fill="auto"/>
            <w:vAlign w:val="center"/>
          </w:tcPr>
          <w:p w14:paraId="710BF9C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96" w:type="dxa"/>
            <w:shd w:val="clear" w:color="auto" w:fill="auto"/>
            <w:vAlign w:val="center"/>
          </w:tcPr>
          <w:p w14:paraId="7F7BF9D9">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1016" w:type="dxa"/>
            <w:vMerge w:val="continue"/>
            <w:shd w:val="clear" w:color="auto" w:fill="auto"/>
            <w:vAlign w:val="center"/>
          </w:tcPr>
          <w:p w14:paraId="3C41D5F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0A855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13" w:hRule="atLeast"/>
          <w:jc w:val="center"/>
        </w:trPr>
        <w:tc>
          <w:tcPr>
            <w:tcW w:w="1105" w:type="dxa"/>
            <w:vMerge w:val="continue"/>
            <w:shd w:val="clear" w:color="auto" w:fill="auto"/>
            <w:vAlign w:val="center"/>
          </w:tcPr>
          <w:p w14:paraId="1AA68DC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796E21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05月21日</w:t>
            </w:r>
          </w:p>
        </w:tc>
        <w:tc>
          <w:tcPr>
            <w:tcW w:w="1319" w:type="dxa"/>
            <w:vMerge w:val="continue"/>
            <w:shd w:val="clear" w:color="auto" w:fill="auto"/>
            <w:vAlign w:val="center"/>
          </w:tcPr>
          <w:p w14:paraId="373C20E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1C4A224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971" w:type="dxa"/>
            <w:shd w:val="clear" w:color="auto" w:fill="auto"/>
            <w:vAlign w:val="center"/>
          </w:tcPr>
          <w:p w14:paraId="3413E4F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71" w:type="dxa"/>
            <w:shd w:val="clear" w:color="auto" w:fill="auto"/>
            <w:vAlign w:val="center"/>
          </w:tcPr>
          <w:p w14:paraId="15BEE08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96" w:type="dxa"/>
            <w:shd w:val="clear" w:color="auto" w:fill="auto"/>
            <w:vAlign w:val="center"/>
          </w:tcPr>
          <w:p w14:paraId="5E148B2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1016" w:type="dxa"/>
            <w:vMerge w:val="continue"/>
            <w:shd w:val="clear" w:color="auto" w:fill="auto"/>
            <w:vAlign w:val="center"/>
          </w:tcPr>
          <w:p w14:paraId="3F37620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78611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1105" w:type="dxa"/>
            <w:vMerge w:val="continue"/>
            <w:shd w:val="clear" w:color="auto" w:fill="auto"/>
            <w:vAlign w:val="center"/>
          </w:tcPr>
          <w:p w14:paraId="5EEEDED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6EF0BEE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05月22日</w:t>
            </w:r>
          </w:p>
        </w:tc>
        <w:tc>
          <w:tcPr>
            <w:tcW w:w="1319" w:type="dxa"/>
            <w:vMerge w:val="continue"/>
            <w:shd w:val="clear" w:color="auto" w:fill="auto"/>
            <w:vAlign w:val="center"/>
          </w:tcPr>
          <w:p w14:paraId="39DEC1F3">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5710A35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71" w:type="dxa"/>
            <w:shd w:val="clear" w:color="auto" w:fill="auto"/>
            <w:vAlign w:val="center"/>
          </w:tcPr>
          <w:p w14:paraId="7853CF9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6952F02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96" w:type="dxa"/>
            <w:shd w:val="clear" w:color="auto" w:fill="auto"/>
            <w:vAlign w:val="center"/>
          </w:tcPr>
          <w:p w14:paraId="05321B0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1016" w:type="dxa"/>
            <w:vMerge w:val="continue"/>
            <w:shd w:val="clear" w:color="auto" w:fill="auto"/>
            <w:vAlign w:val="center"/>
          </w:tcPr>
          <w:p w14:paraId="596A5A1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18FEA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9" w:hRule="atLeast"/>
          <w:jc w:val="center"/>
        </w:trPr>
        <w:tc>
          <w:tcPr>
            <w:tcW w:w="1105" w:type="dxa"/>
            <w:vMerge w:val="continue"/>
            <w:shd w:val="clear" w:color="auto" w:fill="auto"/>
            <w:vAlign w:val="center"/>
          </w:tcPr>
          <w:p w14:paraId="5C67F99F">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28C479B6">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05月23日</w:t>
            </w:r>
          </w:p>
        </w:tc>
        <w:tc>
          <w:tcPr>
            <w:tcW w:w="1319" w:type="dxa"/>
            <w:vMerge w:val="continue"/>
            <w:shd w:val="clear" w:color="auto" w:fill="auto"/>
            <w:vAlign w:val="center"/>
          </w:tcPr>
          <w:p w14:paraId="343CF72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4B3EB2A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971" w:type="dxa"/>
            <w:shd w:val="clear" w:color="auto" w:fill="auto"/>
            <w:vAlign w:val="center"/>
          </w:tcPr>
          <w:p w14:paraId="40B31CC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72D36930">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96" w:type="dxa"/>
            <w:shd w:val="clear" w:color="auto" w:fill="auto"/>
            <w:vAlign w:val="center"/>
          </w:tcPr>
          <w:p w14:paraId="1F327E8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32</w:t>
            </w:r>
          </w:p>
        </w:tc>
        <w:tc>
          <w:tcPr>
            <w:tcW w:w="1016" w:type="dxa"/>
            <w:vMerge w:val="continue"/>
            <w:shd w:val="clear" w:color="auto" w:fill="auto"/>
            <w:vAlign w:val="center"/>
          </w:tcPr>
          <w:p w14:paraId="5BE9B16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126D7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0" w:hRule="atLeast"/>
          <w:jc w:val="center"/>
        </w:trPr>
        <w:tc>
          <w:tcPr>
            <w:tcW w:w="1105" w:type="dxa"/>
            <w:vMerge w:val="continue"/>
            <w:shd w:val="clear" w:color="auto" w:fill="auto"/>
            <w:vAlign w:val="center"/>
          </w:tcPr>
          <w:p w14:paraId="3398DAA2">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482E09D4">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05月24日</w:t>
            </w:r>
          </w:p>
        </w:tc>
        <w:tc>
          <w:tcPr>
            <w:tcW w:w="1319" w:type="dxa"/>
            <w:vMerge w:val="continue"/>
            <w:shd w:val="clear" w:color="auto" w:fill="auto"/>
            <w:vAlign w:val="center"/>
          </w:tcPr>
          <w:p w14:paraId="586E2F3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7F3ACD2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31</w:t>
            </w:r>
          </w:p>
        </w:tc>
        <w:tc>
          <w:tcPr>
            <w:tcW w:w="971" w:type="dxa"/>
            <w:shd w:val="clear" w:color="auto" w:fill="auto"/>
            <w:vAlign w:val="center"/>
          </w:tcPr>
          <w:p w14:paraId="2653003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27</w:t>
            </w:r>
          </w:p>
        </w:tc>
        <w:tc>
          <w:tcPr>
            <w:tcW w:w="971" w:type="dxa"/>
            <w:shd w:val="clear" w:color="auto" w:fill="auto"/>
            <w:vAlign w:val="center"/>
          </w:tcPr>
          <w:p w14:paraId="74C40455">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29</w:t>
            </w:r>
          </w:p>
        </w:tc>
        <w:tc>
          <w:tcPr>
            <w:tcW w:w="996" w:type="dxa"/>
            <w:shd w:val="clear" w:color="auto" w:fill="auto"/>
            <w:vAlign w:val="center"/>
          </w:tcPr>
          <w:p w14:paraId="76502987">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33</w:t>
            </w:r>
          </w:p>
        </w:tc>
        <w:tc>
          <w:tcPr>
            <w:tcW w:w="1016" w:type="dxa"/>
            <w:vMerge w:val="continue"/>
            <w:shd w:val="clear" w:color="auto" w:fill="auto"/>
            <w:vAlign w:val="center"/>
          </w:tcPr>
          <w:p w14:paraId="41077D0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r w14:paraId="5C6D7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1105" w:type="dxa"/>
            <w:vMerge w:val="continue"/>
            <w:shd w:val="clear" w:color="auto" w:fill="auto"/>
            <w:vAlign w:val="center"/>
          </w:tcPr>
          <w:p w14:paraId="14FF6CFD">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1268" w:type="dxa"/>
            <w:shd w:val="clear" w:color="auto" w:fill="auto"/>
            <w:vAlign w:val="center"/>
          </w:tcPr>
          <w:p w14:paraId="0FC81B2E">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05月25日</w:t>
            </w:r>
          </w:p>
        </w:tc>
        <w:tc>
          <w:tcPr>
            <w:tcW w:w="1319" w:type="dxa"/>
            <w:vMerge w:val="continue"/>
            <w:shd w:val="clear" w:color="auto" w:fill="auto"/>
            <w:vAlign w:val="center"/>
          </w:tcPr>
          <w:p w14:paraId="6EA29201">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c>
          <w:tcPr>
            <w:tcW w:w="971" w:type="dxa"/>
            <w:shd w:val="clear" w:color="auto" w:fill="auto"/>
            <w:vAlign w:val="center"/>
          </w:tcPr>
          <w:p w14:paraId="6D72FF8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971" w:type="dxa"/>
            <w:shd w:val="clear" w:color="auto" w:fill="auto"/>
            <w:vAlign w:val="center"/>
          </w:tcPr>
          <w:p w14:paraId="338D0AA8">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26</w:t>
            </w:r>
          </w:p>
        </w:tc>
        <w:tc>
          <w:tcPr>
            <w:tcW w:w="971" w:type="dxa"/>
            <w:shd w:val="clear" w:color="auto" w:fill="auto"/>
            <w:vAlign w:val="center"/>
          </w:tcPr>
          <w:p w14:paraId="1FB074FC">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30</w:t>
            </w:r>
          </w:p>
        </w:tc>
        <w:tc>
          <w:tcPr>
            <w:tcW w:w="996" w:type="dxa"/>
            <w:shd w:val="clear" w:color="auto" w:fill="auto"/>
            <w:vAlign w:val="center"/>
          </w:tcPr>
          <w:p w14:paraId="367DD3DA">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r>
              <w:rPr>
                <w:rFonts w:hint="eastAsia" w:ascii="Times New Roman" w:hAnsi="Times New Roman" w:eastAsia="宋体" w:cs="Times New Roman"/>
                <w:snapToGrid/>
                <w:kern w:val="0"/>
                <w:sz w:val="21"/>
                <w:szCs w:val="21"/>
                <w:lang w:eastAsia="zh-CN"/>
              </w:rPr>
              <w:t>28</w:t>
            </w:r>
          </w:p>
        </w:tc>
        <w:tc>
          <w:tcPr>
            <w:tcW w:w="1016" w:type="dxa"/>
            <w:vMerge w:val="continue"/>
            <w:shd w:val="clear" w:color="auto" w:fill="auto"/>
            <w:vAlign w:val="center"/>
          </w:tcPr>
          <w:p w14:paraId="0BB7748B">
            <w:pPr>
              <w:kinsoku/>
              <w:autoSpaceDE/>
              <w:autoSpaceDN/>
              <w:adjustRightInd/>
              <w:snapToGrid/>
              <w:spacing w:line="240" w:lineRule="auto"/>
              <w:jc w:val="center"/>
              <w:textAlignment w:val="auto"/>
              <w:rPr>
                <w:rFonts w:hint="eastAsia" w:ascii="Times New Roman" w:hAnsi="Times New Roman" w:eastAsia="宋体" w:cs="Times New Roman"/>
                <w:snapToGrid/>
                <w:kern w:val="0"/>
                <w:sz w:val="21"/>
                <w:szCs w:val="21"/>
                <w:lang w:eastAsia="zh-CN"/>
              </w:rPr>
            </w:pPr>
          </w:p>
        </w:tc>
      </w:tr>
    </w:tbl>
    <w:p w14:paraId="696520B0">
      <w:pPr>
        <w:pStyle w:val="5"/>
      </w:pPr>
      <w:r>
        <w:t>4.3.2.</w:t>
      </w:r>
      <w:r>
        <w:rPr>
          <w:rFonts w:eastAsia="宋体"/>
        </w:rPr>
        <w:t>3其他特征污染物现状评价</w:t>
      </w:r>
      <w:bookmarkEnd w:id="269"/>
      <w:bookmarkEnd w:id="270"/>
      <w:bookmarkEnd w:id="271"/>
      <w:bookmarkEnd w:id="272"/>
    </w:p>
    <w:p w14:paraId="40984B46">
      <w:pPr>
        <w:pStyle w:val="42"/>
        <w:widowControl w:val="0"/>
        <w:tabs>
          <w:tab w:val="right" w:leader="dot" w:pos="8303"/>
        </w:tabs>
        <w:spacing w:line="360" w:lineRule="auto"/>
        <w:ind w:left="0" w:firstLine="480" w:firstLineChars="200"/>
        <w:rPr>
          <w:bCs/>
        </w:rPr>
      </w:pPr>
      <w:bookmarkStart w:id="273" w:name="_Toc21164"/>
      <w:bookmarkStart w:id="274" w:name="_Toc8059"/>
      <w:bookmarkStart w:id="275" w:name="_Toc5778"/>
      <w:r>
        <w:rPr>
          <w:bCs/>
        </w:rPr>
        <w:t>1）评价标准</w:t>
      </w:r>
    </w:p>
    <w:p w14:paraId="7DD132EC">
      <w:pPr>
        <w:widowControl w:val="0"/>
        <w:spacing w:line="360" w:lineRule="auto"/>
        <w:ind w:firstLine="480" w:firstLineChars="200"/>
        <w:jc w:val="left"/>
        <w:rPr>
          <w:bCs/>
        </w:rPr>
      </w:pPr>
      <w:r>
        <w:rPr>
          <w:bCs/>
        </w:rPr>
        <w:t>其他污染物氨和</w:t>
      </w:r>
      <w:r>
        <w:rPr>
          <w:rFonts w:hint="eastAsia"/>
          <w:bCs/>
          <w:lang w:val="en-US" w:eastAsia="zh-CN"/>
        </w:rPr>
        <w:t>硫化氢</w:t>
      </w:r>
      <w:r>
        <w:rPr>
          <w:bCs/>
        </w:rPr>
        <w:t>评价标准采用</w:t>
      </w:r>
      <w:r>
        <w:t>《环境影响评价技术导则 大气环境》（HJ2.2-2018）中附录D</w:t>
      </w:r>
      <w:r>
        <w:rPr>
          <w:rFonts w:hint="eastAsia"/>
          <w:lang w:val="en-US" w:eastAsia="zh-CN"/>
        </w:rPr>
        <w:t>中</w:t>
      </w:r>
      <w:r>
        <w:rPr>
          <w:rFonts w:hint="eastAsia" w:ascii="宋体" w:hAnsi="宋体" w:eastAsia="宋体" w:cs="宋体"/>
          <w:color w:val="auto"/>
          <w:sz w:val="24"/>
        </w:rPr>
        <w:t>标准限值</w:t>
      </w:r>
      <w:r>
        <w:rPr>
          <w:rFonts w:hint="eastAsia"/>
          <w:bCs/>
          <w:lang w:eastAsia="zh-CN"/>
        </w:rPr>
        <w:t>、</w:t>
      </w:r>
      <w:r>
        <w:rPr>
          <w:rFonts w:hint="eastAsia"/>
          <w:bCs/>
          <w:lang w:val="en-US" w:eastAsia="zh-CN"/>
        </w:rPr>
        <w:t>非甲烷总烃评价标准采用《环境空气质量 非甲烷总烃限值》（DB13/1577-2012）二级标准限值、TSP《环境空气质量标准》(GB 3095-2026)二级标准限值</w:t>
      </w:r>
      <w:r>
        <w:rPr>
          <w:rFonts w:hint="eastAsia"/>
          <w:bCs/>
        </w:rPr>
        <w:t>进行评价</w:t>
      </w:r>
      <w:r>
        <w:rPr>
          <w:bCs/>
        </w:rPr>
        <w:t>，见表4.3-</w:t>
      </w:r>
      <w:r>
        <w:rPr>
          <w:rFonts w:hint="eastAsia"/>
          <w:bCs/>
          <w:lang w:val="en-US" w:eastAsia="zh-CN"/>
        </w:rPr>
        <w:t>5</w:t>
      </w:r>
      <w:r>
        <w:rPr>
          <w:bCs/>
        </w:rPr>
        <w:t>。</w:t>
      </w:r>
    </w:p>
    <w:p w14:paraId="4C51AEA9">
      <w:pPr>
        <w:spacing w:line="360" w:lineRule="auto"/>
        <w:jc w:val="center"/>
        <w:rPr>
          <w:b/>
        </w:rPr>
      </w:pPr>
      <w:r>
        <w:rPr>
          <w:b/>
        </w:rPr>
        <w:t>表4.3-</w:t>
      </w:r>
      <w:r>
        <w:rPr>
          <w:rFonts w:hint="eastAsia"/>
          <w:b/>
          <w:lang w:val="en-US" w:eastAsia="zh-CN"/>
        </w:rPr>
        <w:t>5</w:t>
      </w:r>
      <w:r>
        <w:rPr>
          <w:b/>
        </w:rPr>
        <w:t xml:space="preserve">  环境空气质量标准</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5"/>
        <w:gridCol w:w="1394"/>
        <w:gridCol w:w="1705"/>
        <w:gridCol w:w="4493"/>
      </w:tblGrid>
      <w:tr w14:paraId="40D09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1" w:type="pct"/>
            <w:tcBorders>
              <w:tl2br w:val="nil"/>
              <w:tr2bl w:val="nil"/>
            </w:tcBorders>
            <w:vAlign w:val="center"/>
          </w:tcPr>
          <w:p w14:paraId="12A6651B">
            <w:pPr>
              <w:widowControl w:val="0"/>
              <w:jc w:val="center"/>
              <w:rPr>
                <w:b/>
                <w:caps/>
                <w:sz w:val="21"/>
                <w:szCs w:val="21"/>
              </w:rPr>
            </w:pPr>
            <w:r>
              <w:rPr>
                <w:b/>
                <w:caps/>
                <w:sz w:val="21"/>
                <w:szCs w:val="21"/>
              </w:rPr>
              <w:t>污染物名称</w:t>
            </w:r>
          </w:p>
        </w:tc>
        <w:tc>
          <w:tcPr>
            <w:tcW w:w="776" w:type="pct"/>
            <w:tcBorders>
              <w:tl2br w:val="nil"/>
              <w:tr2bl w:val="nil"/>
            </w:tcBorders>
            <w:vAlign w:val="center"/>
          </w:tcPr>
          <w:p w14:paraId="14FFD516">
            <w:pPr>
              <w:widowControl w:val="0"/>
              <w:jc w:val="center"/>
              <w:rPr>
                <w:b/>
                <w:caps/>
                <w:sz w:val="21"/>
                <w:szCs w:val="21"/>
              </w:rPr>
            </w:pPr>
            <w:r>
              <w:rPr>
                <w:b/>
                <w:caps/>
                <w:sz w:val="21"/>
                <w:szCs w:val="21"/>
              </w:rPr>
              <w:t>取值时间</w:t>
            </w:r>
          </w:p>
        </w:tc>
        <w:tc>
          <w:tcPr>
            <w:tcW w:w="949" w:type="pct"/>
            <w:tcBorders>
              <w:tl2br w:val="nil"/>
              <w:tr2bl w:val="nil"/>
            </w:tcBorders>
            <w:vAlign w:val="center"/>
          </w:tcPr>
          <w:p w14:paraId="12C75500">
            <w:pPr>
              <w:widowControl w:val="0"/>
              <w:jc w:val="center"/>
              <w:rPr>
                <w:b/>
                <w:caps/>
                <w:sz w:val="21"/>
                <w:szCs w:val="21"/>
              </w:rPr>
            </w:pPr>
            <w:r>
              <w:rPr>
                <w:b/>
                <w:caps/>
                <w:sz w:val="21"/>
                <w:szCs w:val="21"/>
              </w:rPr>
              <w:t>浓度限</w:t>
            </w:r>
            <w:r>
              <w:rPr>
                <w:b/>
                <w:sz w:val="21"/>
                <w:szCs w:val="21"/>
              </w:rPr>
              <w:t>（µg/m</w:t>
            </w:r>
            <w:r>
              <w:rPr>
                <w:b/>
                <w:sz w:val="21"/>
                <w:szCs w:val="21"/>
                <w:vertAlign w:val="superscript"/>
              </w:rPr>
              <w:t>3</w:t>
            </w:r>
            <w:r>
              <w:rPr>
                <w:b/>
                <w:sz w:val="21"/>
                <w:szCs w:val="21"/>
              </w:rPr>
              <w:t>）</w:t>
            </w:r>
          </w:p>
        </w:tc>
        <w:tc>
          <w:tcPr>
            <w:tcW w:w="2501" w:type="pct"/>
            <w:tcBorders>
              <w:tl2br w:val="nil"/>
              <w:tr2bl w:val="nil"/>
            </w:tcBorders>
            <w:vAlign w:val="center"/>
          </w:tcPr>
          <w:p w14:paraId="75801B62">
            <w:pPr>
              <w:widowControl w:val="0"/>
              <w:jc w:val="center"/>
              <w:rPr>
                <w:b/>
                <w:caps/>
                <w:sz w:val="21"/>
                <w:szCs w:val="21"/>
              </w:rPr>
            </w:pPr>
            <w:r>
              <w:rPr>
                <w:b/>
                <w:caps/>
                <w:sz w:val="21"/>
                <w:szCs w:val="21"/>
              </w:rPr>
              <w:t>标准来源</w:t>
            </w:r>
          </w:p>
        </w:tc>
      </w:tr>
      <w:tr w14:paraId="3B686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1" w:type="pct"/>
            <w:tcBorders>
              <w:tl2br w:val="nil"/>
              <w:tr2bl w:val="nil"/>
            </w:tcBorders>
            <w:vAlign w:val="center"/>
          </w:tcPr>
          <w:p w14:paraId="47D1166B">
            <w:pPr>
              <w:widowControl w:val="0"/>
              <w:jc w:val="center"/>
              <w:rPr>
                <w:caps/>
                <w:sz w:val="21"/>
                <w:szCs w:val="21"/>
              </w:rPr>
            </w:pPr>
            <w:r>
              <w:rPr>
                <w:caps/>
                <w:sz w:val="21"/>
                <w:szCs w:val="21"/>
              </w:rPr>
              <w:t>氨</w:t>
            </w:r>
          </w:p>
        </w:tc>
        <w:tc>
          <w:tcPr>
            <w:tcW w:w="776" w:type="pct"/>
            <w:tcBorders>
              <w:tl2br w:val="nil"/>
              <w:tr2bl w:val="nil"/>
            </w:tcBorders>
            <w:vAlign w:val="center"/>
          </w:tcPr>
          <w:p w14:paraId="1E60CCB6">
            <w:pPr>
              <w:widowControl w:val="0"/>
              <w:jc w:val="center"/>
              <w:rPr>
                <w:sz w:val="21"/>
                <w:szCs w:val="21"/>
              </w:rPr>
            </w:pPr>
            <w:r>
              <w:rPr>
                <w:sz w:val="21"/>
                <w:szCs w:val="21"/>
              </w:rPr>
              <w:t>1小时平均</w:t>
            </w:r>
          </w:p>
        </w:tc>
        <w:tc>
          <w:tcPr>
            <w:tcW w:w="949" w:type="pct"/>
            <w:tcBorders>
              <w:tl2br w:val="nil"/>
              <w:tr2bl w:val="nil"/>
            </w:tcBorders>
            <w:vAlign w:val="center"/>
          </w:tcPr>
          <w:p w14:paraId="53732467">
            <w:pPr>
              <w:widowControl w:val="0"/>
              <w:jc w:val="center"/>
              <w:rPr>
                <w:sz w:val="21"/>
                <w:szCs w:val="21"/>
              </w:rPr>
            </w:pPr>
            <w:r>
              <w:rPr>
                <w:sz w:val="21"/>
                <w:szCs w:val="21"/>
              </w:rPr>
              <w:t>200</w:t>
            </w:r>
          </w:p>
        </w:tc>
        <w:tc>
          <w:tcPr>
            <w:tcW w:w="2501" w:type="pct"/>
            <w:vMerge w:val="restart"/>
            <w:tcBorders>
              <w:tl2br w:val="nil"/>
              <w:tr2bl w:val="nil"/>
            </w:tcBorders>
            <w:vAlign w:val="center"/>
          </w:tcPr>
          <w:p w14:paraId="37F4C2FA">
            <w:pPr>
              <w:widowControl w:val="0"/>
              <w:jc w:val="center"/>
              <w:rPr>
                <w:sz w:val="21"/>
                <w:szCs w:val="21"/>
              </w:rPr>
            </w:pPr>
            <w:r>
              <w:rPr>
                <w:sz w:val="21"/>
                <w:szCs w:val="21"/>
              </w:rPr>
              <w:t>《环境影响评价技术导则 大气环境》（HJ2.2-2018）中附录D</w:t>
            </w:r>
          </w:p>
        </w:tc>
      </w:tr>
      <w:tr w14:paraId="48CA6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1" w:type="pct"/>
            <w:tcBorders>
              <w:tl2br w:val="nil"/>
              <w:tr2bl w:val="nil"/>
            </w:tcBorders>
            <w:vAlign w:val="center"/>
          </w:tcPr>
          <w:p w14:paraId="03E5A9FA">
            <w:pPr>
              <w:widowControl w:val="0"/>
              <w:jc w:val="center"/>
              <w:rPr>
                <w:rFonts w:hint="eastAsia" w:eastAsia="宋体"/>
                <w:caps/>
                <w:sz w:val="21"/>
                <w:szCs w:val="21"/>
                <w:lang w:val="en-US" w:eastAsia="zh-CN"/>
              </w:rPr>
            </w:pPr>
            <w:r>
              <w:rPr>
                <w:rFonts w:hint="eastAsia"/>
                <w:caps/>
                <w:sz w:val="21"/>
                <w:szCs w:val="21"/>
                <w:lang w:val="en-US" w:eastAsia="zh-CN"/>
              </w:rPr>
              <w:t>硫化氢</w:t>
            </w:r>
          </w:p>
        </w:tc>
        <w:tc>
          <w:tcPr>
            <w:tcW w:w="776" w:type="pct"/>
            <w:tcBorders>
              <w:tl2br w:val="nil"/>
              <w:tr2bl w:val="nil"/>
            </w:tcBorders>
            <w:vAlign w:val="center"/>
          </w:tcPr>
          <w:p w14:paraId="341BC5DC">
            <w:pPr>
              <w:widowControl w:val="0"/>
              <w:jc w:val="center"/>
              <w:rPr>
                <w:sz w:val="21"/>
                <w:szCs w:val="21"/>
              </w:rPr>
            </w:pPr>
            <w:r>
              <w:rPr>
                <w:sz w:val="21"/>
                <w:szCs w:val="21"/>
              </w:rPr>
              <w:t>1小时平均</w:t>
            </w:r>
          </w:p>
        </w:tc>
        <w:tc>
          <w:tcPr>
            <w:tcW w:w="949" w:type="pct"/>
            <w:tcBorders>
              <w:tl2br w:val="nil"/>
              <w:tr2bl w:val="nil"/>
            </w:tcBorders>
            <w:vAlign w:val="center"/>
          </w:tcPr>
          <w:p w14:paraId="6AFFCB44">
            <w:pPr>
              <w:widowControl w:val="0"/>
              <w:jc w:val="center"/>
              <w:rPr>
                <w:rFonts w:hint="default" w:eastAsia="宋体"/>
                <w:sz w:val="21"/>
                <w:szCs w:val="21"/>
                <w:lang w:val="en-US" w:eastAsia="zh-CN"/>
              </w:rPr>
            </w:pPr>
            <w:r>
              <w:rPr>
                <w:rFonts w:hint="eastAsia"/>
                <w:sz w:val="21"/>
                <w:szCs w:val="21"/>
                <w:lang w:val="en-US" w:eastAsia="zh-CN"/>
              </w:rPr>
              <w:t>10</w:t>
            </w:r>
          </w:p>
        </w:tc>
        <w:tc>
          <w:tcPr>
            <w:tcW w:w="2501" w:type="pct"/>
            <w:vMerge w:val="continue"/>
            <w:tcBorders>
              <w:tl2br w:val="nil"/>
              <w:tr2bl w:val="nil"/>
            </w:tcBorders>
            <w:vAlign w:val="center"/>
          </w:tcPr>
          <w:p w14:paraId="1AEB77F3">
            <w:pPr>
              <w:widowControl w:val="0"/>
              <w:jc w:val="center"/>
              <w:rPr>
                <w:sz w:val="21"/>
                <w:szCs w:val="21"/>
              </w:rPr>
            </w:pPr>
          </w:p>
        </w:tc>
      </w:tr>
      <w:tr w14:paraId="49123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1" w:type="pct"/>
            <w:tcBorders>
              <w:tl2br w:val="nil"/>
              <w:tr2bl w:val="nil"/>
            </w:tcBorders>
            <w:vAlign w:val="center"/>
          </w:tcPr>
          <w:p w14:paraId="539B17A2">
            <w:pPr>
              <w:widowControl w:val="0"/>
              <w:jc w:val="center"/>
              <w:rPr>
                <w:rFonts w:hint="default"/>
                <w:caps/>
                <w:sz w:val="21"/>
                <w:szCs w:val="21"/>
                <w:lang w:val="en-US" w:eastAsia="zh-CN"/>
              </w:rPr>
            </w:pPr>
            <w:r>
              <w:rPr>
                <w:rFonts w:hint="eastAsia"/>
                <w:caps/>
                <w:sz w:val="21"/>
                <w:szCs w:val="21"/>
                <w:lang w:val="en-US" w:eastAsia="zh-CN"/>
              </w:rPr>
              <w:t>非甲烷总烃</w:t>
            </w:r>
          </w:p>
        </w:tc>
        <w:tc>
          <w:tcPr>
            <w:tcW w:w="776" w:type="pct"/>
            <w:tcBorders>
              <w:tl2br w:val="nil"/>
              <w:tr2bl w:val="nil"/>
            </w:tcBorders>
            <w:vAlign w:val="center"/>
          </w:tcPr>
          <w:p w14:paraId="551A7484">
            <w:pPr>
              <w:widowControl w:val="0"/>
              <w:jc w:val="center"/>
              <w:rPr>
                <w:rFonts w:hint="eastAsia"/>
                <w:caps/>
                <w:sz w:val="21"/>
                <w:szCs w:val="21"/>
                <w:lang w:val="en-US" w:eastAsia="zh-CN"/>
              </w:rPr>
            </w:pPr>
            <w:r>
              <w:rPr>
                <w:sz w:val="21"/>
                <w:szCs w:val="21"/>
              </w:rPr>
              <w:t>1小时平均</w:t>
            </w:r>
          </w:p>
        </w:tc>
        <w:tc>
          <w:tcPr>
            <w:tcW w:w="949" w:type="pct"/>
            <w:tcBorders>
              <w:tl2br w:val="nil"/>
              <w:tr2bl w:val="nil"/>
            </w:tcBorders>
            <w:vAlign w:val="center"/>
          </w:tcPr>
          <w:p w14:paraId="65471AD5">
            <w:pPr>
              <w:widowControl w:val="0"/>
              <w:jc w:val="center"/>
              <w:rPr>
                <w:rFonts w:hint="eastAsia"/>
                <w:caps/>
                <w:sz w:val="21"/>
                <w:szCs w:val="21"/>
                <w:lang w:val="en-US" w:eastAsia="zh-CN"/>
              </w:rPr>
            </w:pPr>
            <w:r>
              <w:rPr>
                <w:rFonts w:hint="eastAsia"/>
                <w:caps/>
                <w:sz w:val="21"/>
                <w:szCs w:val="21"/>
                <w:lang w:val="en-US" w:eastAsia="zh-CN"/>
              </w:rPr>
              <w:t>2000</w:t>
            </w:r>
          </w:p>
        </w:tc>
        <w:tc>
          <w:tcPr>
            <w:tcW w:w="2501" w:type="pct"/>
            <w:tcBorders>
              <w:tl2br w:val="nil"/>
              <w:tr2bl w:val="nil"/>
            </w:tcBorders>
            <w:vAlign w:val="center"/>
          </w:tcPr>
          <w:p w14:paraId="18198C46">
            <w:pPr>
              <w:widowControl w:val="0"/>
              <w:jc w:val="center"/>
              <w:rPr>
                <w:rFonts w:hint="eastAsia"/>
                <w:caps/>
                <w:sz w:val="21"/>
                <w:szCs w:val="21"/>
                <w:lang w:val="en-US" w:eastAsia="zh-CN"/>
              </w:rPr>
            </w:pPr>
            <w:r>
              <w:rPr>
                <w:rFonts w:hint="eastAsia"/>
                <w:caps/>
                <w:sz w:val="21"/>
                <w:szCs w:val="21"/>
                <w:lang w:val="en-US" w:eastAsia="zh-CN"/>
              </w:rPr>
              <w:t>《环境空气质量 非甲烷总烃限值》（DB13/1577-2012）二级标准</w:t>
            </w:r>
          </w:p>
        </w:tc>
      </w:tr>
      <w:tr w14:paraId="15DFC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771" w:type="pct"/>
            <w:tcBorders>
              <w:tl2br w:val="nil"/>
              <w:tr2bl w:val="nil"/>
            </w:tcBorders>
            <w:vAlign w:val="center"/>
          </w:tcPr>
          <w:p w14:paraId="23E2B746">
            <w:pPr>
              <w:widowControl w:val="0"/>
              <w:jc w:val="center"/>
              <w:rPr>
                <w:rFonts w:hint="default"/>
                <w:caps/>
                <w:sz w:val="21"/>
                <w:szCs w:val="21"/>
                <w:lang w:val="en-US" w:eastAsia="zh-CN"/>
              </w:rPr>
            </w:pPr>
            <w:r>
              <w:rPr>
                <w:rFonts w:hint="eastAsia"/>
                <w:caps/>
                <w:sz w:val="21"/>
                <w:szCs w:val="21"/>
                <w:lang w:val="en-US" w:eastAsia="zh-CN"/>
              </w:rPr>
              <w:t>TSP</w:t>
            </w:r>
          </w:p>
        </w:tc>
        <w:tc>
          <w:tcPr>
            <w:tcW w:w="776" w:type="pct"/>
            <w:tcBorders>
              <w:tl2br w:val="nil"/>
              <w:tr2bl w:val="nil"/>
            </w:tcBorders>
            <w:vAlign w:val="center"/>
          </w:tcPr>
          <w:p w14:paraId="7A65692B">
            <w:pPr>
              <w:widowControl w:val="0"/>
              <w:jc w:val="center"/>
              <w:rPr>
                <w:sz w:val="21"/>
                <w:szCs w:val="21"/>
              </w:rPr>
            </w:pPr>
            <w:r>
              <w:rPr>
                <w:rFonts w:hint="eastAsia"/>
                <w:sz w:val="21"/>
                <w:szCs w:val="21"/>
                <w:lang w:val="en-US" w:eastAsia="zh-CN"/>
              </w:rPr>
              <w:t>日平均</w:t>
            </w:r>
          </w:p>
        </w:tc>
        <w:tc>
          <w:tcPr>
            <w:tcW w:w="949" w:type="pct"/>
            <w:tcBorders>
              <w:tl2br w:val="nil"/>
              <w:tr2bl w:val="nil"/>
            </w:tcBorders>
            <w:vAlign w:val="center"/>
          </w:tcPr>
          <w:p w14:paraId="444F4C72">
            <w:pPr>
              <w:widowControl w:val="0"/>
              <w:jc w:val="center"/>
              <w:rPr>
                <w:rFonts w:hint="default"/>
                <w:sz w:val="21"/>
                <w:szCs w:val="21"/>
                <w:lang w:val="en-US" w:eastAsia="zh-CN"/>
              </w:rPr>
            </w:pPr>
            <w:r>
              <w:rPr>
                <w:rFonts w:hint="eastAsia"/>
                <w:sz w:val="21"/>
                <w:szCs w:val="21"/>
                <w:lang w:val="en-US" w:eastAsia="zh-CN"/>
              </w:rPr>
              <w:t>300</w:t>
            </w:r>
          </w:p>
        </w:tc>
        <w:tc>
          <w:tcPr>
            <w:tcW w:w="2501" w:type="pct"/>
            <w:tcBorders>
              <w:tl2br w:val="nil"/>
              <w:tr2bl w:val="nil"/>
            </w:tcBorders>
            <w:vAlign w:val="center"/>
          </w:tcPr>
          <w:p w14:paraId="671BB3B4">
            <w:pPr>
              <w:widowControl w:val="0"/>
              <w:jc w:val="center"/>
              <w:rPr>
                <w:rFonts w:hint="default"/>
                <w:sz w:val="21"/>
                <w:szCs w:val="21"/>
                <w:lang w:val="en-US"/>
              </w:rPr>
            </w:pPr>
            <w:r>
              <w:rPr>
                <w:rFonts w:hint="eastAsia"/>
                <w:caps/>
                <w:sz w:val="21"/>
                <w:szCs w:val="21"/>
                <w:lang w:val="en-US" w:eastAsia="zh-CN"/>
              </w:rPr>
              <w:t>《环境空气质量标准》(GB 3095-2026)二级标准</w:t>
            </w:r>
          </w:p>
        </w:tc>
      </w:tr>
    </w:tbl>
    <w:p w14:paraId="457D79FB">
      <w:pPr>
        <w:pStyle w:val="42"/>
        <w:widowControl w:val="0"/>
        <w:tabs>
          <w:tab w:val="right" w:leader="dot" w:pos="8303"/>
        </w:tabs>
        <w:spacing w:line="360" w:lineRule="auto"/>
        <w:ind w:left="0" w:firstLine="480" w:firstLineChars="200"/>
        <w:rPr>
          <w:bCs/>
        </w:rPr>
      </w:pPr>
      <w:r>
        <w:rPr>
          <w:bCs/>
        </w:rPr>
        <w:t>2） 评价方法</w:t>
      </w:r>
    </w:p>
    <w:p w14:paraId="010807C8">
      <w:pPr>
        <w:pStyle w:val="42"/>
        <w:widowControl w:val="0"/>
        <w:tabs>
          <w:tab w:val="right" w:leader="dot" w:pos="8303"/>
        </w:tabs>
        <w:spacing w:line="360" w:lineRule="auto"/>
        <w:ind w:left="0" w:firstLine="480" w:firstLineChars="200"/>
        <w:rPr>
          <w:bCs/>
        </w:rPr>
      </w:pPr>
      <w:r>
        <w:rPr>
          <w:bCs/>
        </w:rPr>
        <w:t>采用</w:t>
      </w:r>
      <w:r>
        <w:rPr>
          <w:bCs/>
          <w:lang w:val="en-GB"/>
        </w:rPr>
        <w:t>占标百分比</w:t>
      </w:r>
      <w:r>
        <w:rPr>
          <w:bCs/>
        </w:rPr>
        <w:t xml:space="preserve">法,其公式为:   </w:t>
      </w:r>
    </w:p>
    <w:p w14:paraId="4E89BE6B">
      <w:pPr>
        <w:pStyle w:val="42"/>
        <w:widowControl w:val="0"/>
        <w:tabs>
          <w:tab w:val="right" w:leader="dot" w:pos="8303"/>
        </w:tabs>
        <w:spacing w:line="360" w:lineRule="auto"/>
        <w:ind w:left="0" w:firstLine="480" w:firstLineChars="200"/>
        <w:rPr>
          <w:bCs/>
          <w:lang w:val="en-GB"/>
        </w:rPr>
      </w:pPr>
      <w:r>
        <w:rPr>
          <w:bCs/>
          <w:lang w:val="en-GB"/>
        </w:rPr>
        <w:t xml:space="preserve">Pi = Ci/Coi×100%   </w:t>
      </w:r>
    </w:p>
    <w:p w14:paraId="2BF9DBE0">
      <w:pPr>
        <w:pStyle w:val="42"/>
        <w:widowControl w:val="0"/>
        <w:tabs>
          <w:tab w:val="right" w:leader="dot" w:pos="8303"/>
        </w:tabs>
        <w:spacing w:line="360" w:lineRule="auto"/>
        <w:ind w:left="0" w:firstLine="480" w:firstLineChars="200"/>
        <w:rPr>
          <w:bCs/>
          <w:lang w:val="en-GB"/>
        </w:rPr>
      </w:pPr>
      <w:r>
        <w:rPr>
          <w:bCs/>
          <w:lang w:val="en-GB"/>
        </w:rPr>
        <w:t>式中：Pi—i种污染物的占标百分比；</w:t>
      </w:r>
    </w:p>
    <w:p w14:paraId="277B8D5C">
      <w:pPr>
        <w:pStyle w:val="42"/>
        <w:widowControl w:val="0"/>
        <w:tabs>
          <w:tab w:val="right" w:leader="dot" w:pos="8303"/>
        </w:tabs>
        <w:spacing w:line="360" w:lineRule="auto"/>
        <w:ind w:left="0" w:firstLine="480" w:firstLineChars="200"/>
        <w:rPr>
          <w:bCs/>
          <w:lang w:val="en-GB"/>
        </w:rPr>
      </w:pPr>
      <w:r>
        <w:rPr>
          <w:bCs/>
          <w:lang w:val="en-GB"/>
        </w:rPr>
        <w:t xml:space="preserve">     Ci—i种污染物的实测平均值；</w:t>
      </w:r>
    </w:p>
    <w:p w14:paraId="69C4DD48">
      <w:pPr>
        <w:pStyle w:val="42"/>
        <w:widowControl w:val="0"/>
        <w:tabs>
          <w:tab w:val="right" w:leader="dot" w:pos="8303"/>
        </w:tabs>
        <w:spacing w:line="360" w:lineRule="auto"/>
        <w:ind w:left="0" w:firstLine="480" w:firstLineChars="200"/>
        <w:rPr>
          <w:bCs/>
          <w:lang w:val="en-GB"/>
        </w:rPr>
      </w:pPr>
      <w:r>
        <w:rPr>
          <w:bCs/>
          <w:lang w:val="en-GB"/>
        </w:rPr>
        <w:t xml:space="preserve">     Coi—i污染物平均浓度标准值。</w:t>
      </w:r>
    </w:p>
    <w:p w14:paraId="2F5A1B6B">
      <w:pPr>
        <w:pStyle w:val="42"/>
        <w:widowControl w:val="0"/>
        <w:tabs>
          <w:tab w:val="right" w:leader="dot" w:pos="8303"/>
        </w:tabs>
        <w:spacing w:line="360" w:lineRule="auto"/>
        <w:ind w:left="0" w:firstLine="480" w:firstLineChars="200"/>
        <w:rPr>
          <w:bCs/>
        </w:rPr>
      </w:pPr>
      <w:r>
        <w:rPr>
          <w:bCs/>
          <w:lang w:val="en-GB"/>
        </w:rPr>
        <w:t>凡是占标百分比Pi大于100%，表明该点环境质量劣于评价标准等级，反之，则满足评价标准。</w:t>
      </w:r>
    </w:p>
    <w:p w14:paraId="5279AA41">
      <w:pPr>
        <w:pStyle w:val="42"/>
        <w:widowControl w:val="0"/>
        <w:tabs>
          <w:tab w:val="right" w:leader="dot" w:pos="8303"/>
        </w:tabs>
        <w:spacing w:line="360" w:lineRule="auto"/>
        <w:ind w:left="0" w:firstLine="480" w:firstLineChars="200"/>
        <w:rPr>
          <w:bCs/>
        </w:rPr>
      </w:pPr>
      <w:r>
        <w:rPr>
          <w:bCs/>
        </w:rPr>
        <w:t>3） 评价结论</w:t>
      </w:r>
    </w:p>
    <w:p w14:paraId="364FB2CC">
      <w:pPr>
        <w:spacing w:line="360" w:lineRule="auto"/>
        <w:jc w:val="center"/>
        <w:rPr>
          <w:b/>
        </w:rPr>
      </w:pPr>
    </w:p>
    <w:p w14:paraId="43652322">
      <w:pPr>
        <w:spacing w:line="360" w:lineRule="auto"/>
        <w:jc w:val="center"/>
        <w:rPr>
          <w:b/>
        </w:rPr>
      </w:pPr>
    </w:p>
    <w:p w14:paraId="2BA521C8">
      <w:pPr>
        <w:spacing w:line="360" w:lineRule="auto"/>
        <w:jc w:val="center"/>
        <w:rPr>
          <w:b/>
        </w:rPr>
      </w:pPr>
    </w:p>
    <w:p w14:paraId="1385732C">
      <w:pPr>
        <w:spacing w:line="360" w:lineRule="auto"/>
        <w:jc w:val="center"/>
        <w:rPr>
          <w:b/>
        </w:rPr>
      </w:pPr>
      <w:r>
        <w:rPr>
          <w:b/>
        </w:rPr>
        <w:t>表4.3-</w:t>
      </w:r>
      <w:r>
        <w:rPr>
          <w:rFonts w:hint="eastAsia"/>
          <w:b/>
          <w:lang w:val="en-US" w:eastAsia="zh-CN"/>
        </w:rPr>
        <w:t>6</w:t>
      </w:r>
      <w:r>
        <w:rPr>
          <w:b/>
        </w:rPr>
        <w:t xml:space="preserve">  环境空气质量现状监测结果统计表</w:t>
      </w:r>
    </w:p>
    <w:bookmarkEnd w:id="273"/>
    <w:bookmarkEnd w:id="274"/>
    <w:bookmarkEnd w:id="275"/>
    <w:tbl>
      <w:tblPr>
        <w:tblStyle w:val="5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3"/>
        <w:gridCol w:w="2821"/>
        <w:gridCol w:w="1479"/>
        <w:gridCol w:w="1426"/>
        <w:gridCol w:w="1646"/>
      </w:tblGrid>
      <w:tr w14:paraId="70EBB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893" w:type="pct"/>
            <w:tcBorders>
              <w:tl2br w:val="nil"/>
              <w:tr2bl w:val="nil"/>
            </w:tcBorders>
            <w:vAlign w:val="center"/>
          </w:tcPr>
          <w:p w14:paraId="6BCC0561">
            <w:pPr>
              <w:widowControl w:val="0"/>
              <w:adjustRightInd w:val="0"/>
              <w:snapToGrid w:val="0"/>
              <w:jc w:val="center"/>
              <w:rPr>
                <w:b/>
                <w:sz w:val="21"/>
                <w:szCs w:val="21"/>
              </w:rPr>
            </w:pPr>
            <w:r>
              <w:rPr>
                <w:b/>
                <w:sz w:val="21"/>
                <w:szCs w:val="21"/>
              </w:rPr>
              <w:t>污染物</w:t>
            </w:r>
          </w:p>
        </w:tc>
        <w:tc>
          <w:tcPr>
            <w:tcW w:w="1571" w:type="pct"/>
            <w:tcBorders>
              <w:tl2br w:val="nil"/>
              <w:tr2bl w:val="nil"/>
            </w:tcBorders>
            <w:vAlign w:val="center"/>
          </w:tcPr>
          <w:p w14:paraId="7B4C1C17">
            <w:pPr>
              <w:widowControl w:val="0"/>
              <w:adjustRightInd w:val="0"/>
              <w:snapToGrid w:val="0"/>
              <w:jc w:val="center"/>
              <w:rPr>
                <w:b/>
                <w:sz w:val="21"/>
                <w:szCs w:val="21"/>
              </w:rPr>
            </w:pPr>
            <w:r>
              <w:rPr>
                <w:b/>
                <w:sz w:val="21"/>
                <w:szCs w:val="21"/>
              </w:rPr>
              <w:t>项目</w:t>
            </w:r>
          </w:p>
        </w:tc>
        <w:tc>
          <w:tcPr>
            <w:tcW w:w="824" w:type="pct"/>
            <w:tcBorders>
              <w:tl2br w:val="nil"/>
              <w:tr2bl w:val="nil"/>
            </w:tcBorders>
            <w:vAlign w:val="center"/>
          </w:tcPr>
          <w:p w14:paraId="7CF8A2CE">
            <w:pPr>
              <w:widowControl w:val="0"/>
              <w:adjustRightInd w:val="0"/>
              <w:snapToGrid w:val="0"/>
              <w:jc w:val="center"/>
              <w:rPr>
                <w:rFonts w:hint="default" w:eastAsia="宋体"/>
                <w:b/>
                <w:sz w:val="21"/>
                <w:szCs w:val="21"/>
                <w:lang w:val="en-US" w:eastAsia="zh-CN"/>
              </w:rPr>
            </w:pPr>
            <w:r>
              <w:rPr>
                <w:b/>
                <w:sz w:val="21"/>
                <w:szCs w:val="21"/>
              </w:rPr>
              <w:t>1</w:t>
            </w:r>
            <w:r>
              <w:rPr>
                <w:b/>
                <w:sz w:val="21"/>
                <w:szCs w:val="21"/>
                <w:vertAlign w:val="superscript"/>
              </w:rPr>
              <w:t>#</w:t>
            </w:r>
            <w:r>
              <w:rPr>
                <w:rFonts w:hint="eastAsia"/>
                <w:b/>
                <w:sz w:val="21"/>
                <w:szCs w:val="21"/>
                <w:lang w:val="en-US" w:eastAsia="zh-CN"/>
              </w:rPr>
              <w:t>前屯</w:t>
            </w:r>
          </w:p>
        </w:tc>
        <w:tc>
          <w:tcPr>
            <w:tcW w:w="794" w:type="pct"/>
            <w:tcBorders>
              <w:tl2br w:val="nil"/>
              <w:tr2bl w:val="nil"/>
            </w:tcBorders>
            <w:vAlign w:val="center"/>
          </w:tcPr>
          <w:p w14:paraId="35B910C8">
            <w:pPr>
              <w:widowControl w:val="0"/>
              <w:adjustRightInd w:val="0"/>
              <w:snapToGrid w:val="0"/>
              <w:jc w:val="center"/>
              <w:rPr>
                <w:b/>
                <w:sz w:val="21"/>
                <w:szCs w:val="21"/>
              </w:rPr>
            </w:pPr>
            <w:r>
              <w:rPr>
                <w:b/>
                <w:sz w:val="21"/>
                <w:szCs w:val="21"/>
              </w:rPr>
              <w:t>2</w:t>
            </w:r>
            <w:r>
              <w:rPr>
                <w:b/>
                <w:sz w:val="21"/>
                <w:szCs w:val="21"/>
                <w:vertAlign w:val="superscript"/>
              </w:rPr>
              <w:t>#</w:t>
            </w:r>
            <w:r>
              <w:rPr>
                <w:rFonts w:hint="eastAsia"/>
                <w:b/>
                <w:sz w:val="21"/>
                <w:szCs w:val="21"/>
                <w:lang w:val="en-US" w:eastAsia="zh-CN"/>
              </w:rPr>
              <w:t>厂址</w:t>
            </w:r>
          </w:p>
        </w:tc>
        <w:tc>
          <w:tcPr>
            <w:tcW w:w="917" w:type="pct"/>
            <w:tcBorders>
              <w:tl2br w:val="nil"/>
              <w:tr2bl w:val="nil"/>
            </w:tcBorders>
            <w:vAlign w:val="center"/>
          </w:tcPr>
          <w:p w14:paraId="1B134BC9">
            <w:pPr>
              <w:widowControl w:val="0"/>
              <w:adjustRightInd w:val="0"/>
              <w:snapToGrid w:val="0"/>
              <w:jc w:val="center"/>
              <w:rPr>
                <w:rFonts w:hint="default" w:eastAsia="宋体"/>
                <w:b/>
                <w:sz w:val="21"/>
                <w:szCs w:val="21"/>
                <w:lang w:val="en-US" w:eastAsia="zh-CN"/>
              </w:rPr>
            </w:pPr>
            <w:r>
              <w:rPr>
                <w:b/>
                <w:sz w:val="21"/>
                <w:szCs w:val="21"/>
              </w:rPr>
              <w:t>2</w:t>
            </w:r>
            <w:r>
              <w:rPr>
                <w:b/>
                <w:sz w:val="21"/>
                <w:szCs w:val="21"/>
                <w:vertAlign w:val="superscript"/>
              </w:rPr>
              <w:t>#</w:t>
            </w:r>
            <w:r>
              <w:rPr>
                <w:rFonts w:hint="eastAsia"/>
                <w:b/>
                <w:sz w:val="21"/>
                <w:szCs w:val="21"/>
                <w:lang w:val="en-US" w:eastAsia="zh-CN"/>
              </w:rPr>
              <w:t>拉哈火车站</w:t>
            </w:r>
          </w:p>
        </w:tc>
      </w:tr>
      <w:tr w14:paraId="7DF3E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893" w:type="pct"/>
            <w:vMerge w:val="restart"/>
            <w:tcBorders>
              <w:tl2br w:val="nil"/>
              <w:tr2bl w:val="nil"/>
            </w:tcBorders>
            <w:vAlign w:val="center"/>
          </w:tcPr>
          <w:p w14:paraId="1FB01821">
            <w:pPr>
              <w:widowControl w:val="0"/>
              <w:adjustRightInd w:val="0"/>
              <w:snapToGrid w:val="0"/>
              <w:jc w:val="center"/>
              <w:rPr>
                <w:sz w:val="21"/>
                <w:szCs w:val="21"/>
              </w:rPr>
            </w:pPr>
            <w:r>
              <w:rPr>
                <w:sz w:val="21"/>
                <w:szCs w:val="21"/>
              </w:rPr>
              <w:t>氨</w:t>
            </w:r>
          </w:p>
        </w:tc>
        <w:tc>
          <w:tcPr>
            <w:tcW w:w="1571" w:type="pct"/>
            <w:tcBorders>
              <w:tl2br w:val="nil"/>
              <w:tr2bl w:val="nil"/>
            </w:tcBorders>
            <w:vAlign w:val="center"/>
          </w:tcPr>
          <w:p w14:paraId="35D06A6D">
            <w:pPr>
              <w:widowControl w:val="0"/>
              <w:adjustRightInd w:val="0"/>
              <w:snapToGrid w:val="0"/>
              <w:jc w:val="center"/>
              <w:rPr>
                <w:sz w:val="21"/>
                <w:szCs w:val="21"/>
              </w:rPr>
            </w:pPr>
            <w:r>
              <w:rPr>
                <w:sz w:val="21"/>
                <w:szCs w:val="21"/>
              </w:rPr>
              <w:t>1小时平均浓度范围（</w:t>
            </w:r>
            <w:r>
              <w:rPr>
                <w:bCs/>
                <w:sz w:val="21"/>
                <w:szCs w:val="21"/>
              </w:rPr>
              <w:t>µ</w:t>
            </w:r>
            <w:r>
              <w:rPr>
                <w:sz w:val="21"/>
                <w:szCs w:val="21"/>
              </w:rPr>
              <w:t>g/m</w:t>
            </w:r>
            <w:r>
              <w:rPr>
                <w:sz w:val="21"/>
                <w:szCs w:val="21"/>
                <w:vertAlign w:val="superscript"/>
              </w:rPr>
              <w:t>3</w:t>
            </w:r>
            <w:r>
              <w:rPr>
                <w:sz w:val="21"/>
                <w:szCs w:val="21"/>
              </w:rPr>
              <w:t>）</w:t>
            </w:r>
          </w:p>
        </w:tc>
        <w:tc>
          <w:tcPr>
            <w:tcW w:w="824" w:type="pct"/>
            <w:tcBorders>
              <w:tl2br w:val="nil"/>
              <w:tr2bl w:val="nil"/>
            </w:tcBorders>
            <w:vAlign w:val="center"/>
          </w:tcPr>
          <w:p w14:paraId="29E33786">
            <w:pPr>
              <w:widowControl w:val="0"/>
              <w:adjustRightInd w:val="0"/>
              <w:snapToGrid w:val="0"/>
              <w:jc w:val="center"/>
              <w:rPr>
                <w:rFonts w:hint="default" w:eastAsia="宋体"/>
                <w:sz w:val="21"/>
                <w:szCs w:val="21"/>
                <w:lang w:val="en-US" w:eastAsia="zh-CN"/>
              </w:rPr>
            </w:pPr>
            <w:r>
              <w:rPr>
                <w:rFonts w:hint="eastAsia"/>
                <w:sz w:val="21"/>
                <w:szCs w:val="21"/>
                <w:lang w:val="en-US" w:eastAsia="zh-CN"/>
              </w:rPr>
              <w:t>24</w:t>
            </w:r>
            <w:r>
              <w:rPr>
                <w:sz w:val="21"/>
                <w:szCs w:val="21"/>
              </w:rPr>
              <w:t>-</w:t>
            </w:r>
            <w:r>
              <w:rPr>
                <w:rFonts w:hint="eastAsia"/>
                <w:sz w:val="21"/>
                <w:szCs w:val="21"/>
                <w:lang w:val="en-US" w:eastAsia="zh-CN"/>
              </w:rPr>
              <w:t>33</w:t>
            </w:r>
          </w:p>
        </w:tc>
        <w:tc>
          <w:tcPr>
            <w:tcW w:w="794" w:type="pct"/>
            <w:tcBorders>
              <w:tl2br w:val="nil"/>
              <w:tr2bl w:val="nil"/>
            </w:tcBorders>
            <w:vAlign w:val="center"/>
          </w:tcPr>
          <w:p w14:paraId="30728B95">
            <w:pPr>
              <w:widowControl w:val="0"/>
              <w:adjustRightInd w:val="0"/>
              <w:snapToGrid w:val="0"/>
              <w:jc w:val="center"/>
              <w:rPr>
                <w:rFonts w:hint="default"/>
                <w:sz w:val="21"/>
                <w:szCs w:val="21"/>
                <w:lang w:val="en-US" w:eastAsia="zh-CN"/>
              </w:rPr>
            </w:pPr>
            <w:r>
              <w:rPr>
                <w:rFonts w:hint="eastAsia"/>
                <w:sz w:val="21"/>
                <w:szCs w:val="21"/>
                <w:lang w:val="en-US" w:eastAsia="zh-CN"/>
              </w:rPr>
              <w:t>24-33</w:t>
            </w:r>
          </w:p>
        </w:tc>
        <w:tc>
          <w:tcPr>
            <w:tcW w:w="917" w:type="pct"/>
            <w:tcBorders>
              <w:tl2br w:val="nil"/>
              <w:tr2bl w:val="nil"/>
            </w:tcBorders>
            <w:vAlign w:val="center"/>
          </w:tcPr>
          <w:p w14:paraId="55DDDBBC">
            <w:pPr>
              <w:widowControl w:val="0"/>
              <w:adjustRightInd w:val="0"/>
              <w:snapToGrid w:val="0"/>
              <w:jc w:val="center"/>
              <w:rPr>
                <w:rFonts w:hint="default" w:eastAsia="宋体"/>
                <w:sz w:val="21"/>
                <w:szCs w:val="21"/>
                <w:lang w:val="en-US" w:eastAsia="zh-CN"/>
              </w:rPr>
            </w:pPr>
            <w:r>
              <w:rPr>
                <w:rFonts w:hint="eastAsia"/>
                <w:sz w:val="21"/>
                <w:szCs w:val="21"/>
                <w:lang w:val="en-US" w:eastAsia="zh-CN"/>
              </w:rPr>
              <w:t>26</w:t>
            </w:r>
            <w:r>
              <w:rPr>
                <w:sz w:val="21"/>
                <w:szCs w:val="21"/>
              </w:rPr>
              <w:t>-</w:t>
            </w:r>
            <w:r>
              <w:rPr>
                <w:rFonts w:hint="eastAsia"/>
                <w:sz w:val="21"/>
                <w:szCs w:val="21"/>
                <w:lang w:val="en-US" w:eastAsia="zh-CN"/>
              </w:rPr>
              <w:t>36</w:t>
            </w:r>
          </w:p>
        </w:tc>
      </w:tr>
      <w:tr w14:paraId="0DC5F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893" w:type="pct"/>
            <w:vMerge w:val="continue"/>
            <w:tcBorders>
              <w:tl2br w:val="nil"/>
              <w:tr2bl w:val="nil"/>
            </w:tcBorders>
            <w:vAlign w:val="center"/>
          </w:tcPr>
          <w:p w14:paraId="50A0115A">
            <w:pPr>
              <w:widowControl w:val="0"/>
              <w:adjustRightInd w:val="0"/>
              <w:snapToGrid w:val="0"/>
              <w:jc w:val="center"/>
              <w:rPr>
                <w:sz w:val="21"/>
                <w:szCs w:val="21"/>
              </w:rPr>
            </w:pPr>
          </w:p>
        </w:tc>
        <w:tc>
          <w:tcPr>
            <w:tcW w:w="1571" w:type="pct"/>
            <w:tcBorders>
              <w:tl2br w:val="nil"/>
              <w:tr2bl w:val="nil"/>
            </w:tcBorders>
            <w:vAlign w:val="center"/>
          </w:tcPr>
          <w:p w14:paraId="36148E6F">
            <w:pPr>
              <w:widowControl w:val="0"/>
              <w:adjustRightInd w:val="0"/>
              <w:snapToGrid w:val="0"/>
              <w:jc w:val="center"/>
              <w:rPr>
                <w:sz w:val="21"/>
                <w:szCs w:val="21"/>
              </w:rPr>
            </w:pPr>
            <w:r>
              <w:rPr>
                <w:sz w:val="21"/>
                <w:szCs w:val="21"/>
              </w:rPr>
              <w:t>1小时最大浓度（</w:t>
            </w:r>
            <w:r>
              <w:rPr>
                <w:bCs/>
                <w:sz w:val="21"/>
                <w:szCs w:val="21"/>
              </w:rPr>
              <w:t>µ</w:t>
            </w:r>
            <w:r>
              <w:rPr>
                <w:sz w:val="21"/>
                <w:szCs w:val="21"/>
              </w:rPr>
              <w:t>g/m</w:t>
            </w:r>
            <w:r>
              <w:rPr>
                <w:sz w:val="21"/>
                <w:szCs w:val="21"/>
                <w:vertAlign w:val="superscript"/>
              </w:rPr>
              <w:t>3</w:t>
            </w:r>
            <w:r>
              <w:rPr>
                <w:sz w:val="21"/>
                <w:szCs w:val="21"/>
              </w:rPr>
              <w:t>）</w:t>
            </w:r>
          </w:p>
        </w:tc>
        <w:tc>
          <w:tcPr>
            <w:tcW w:w="824" w:type="pct"/>
            <w:tcBorders>
              <w:tl2br w:val="nil"/>
              <w:tr2bl w:val="nil"/>
            </w:tcBorders>
            <w:vAlign w:val="center"/>
          </w:tcPr>
          <w:p w14:paraId="3DDBCE2E">
            <w:pPr>
              <w:widowControl w:val="0"/>
              <w:adjustRightInd w:val="0"/>
              <w:snapToGrid w:val="0"/>
              <w:jc w:val="center"/>
              <w:rPr>
                <w:rFonts w:hint="default" w:eastAsia="宋体"/>
                <w:sz w:val="21"/>
                <w:szCs w:val="21"/>
                <w:lang w:val="en-US" w:eastAsia="zh-CN"/>
              </w:rPr>
            </w:pPr>
            <w:r>
              <w:rPr>
                <w:rFonts w:hint="eastAsia"/>
                <w:sz w:val="21"/>
                <w:szCs w:val="21"/>
                <w:lang w:val="en-US" w:eastAsia="zh-CN"/>
              </w:rPr>
              <w:t>33</w:t>
            </w:r>
          </w:p>
        </w:tc>
        <w:tc>
          <w:tcPr>
            <w:tcW w:w="794" w:type="pct"/>
            <w:tcBorders>
              <w:tl2br w:val="nil"/>
              <w:tr2bl w:val="nil"/>
            </w:tcBorders>
            <w:vAlign w:val="center"/>
          </w:tcPr>
          <w:p w14:paraId="77552311">
            <w:pPr>
              <w:widowControl w:val="0"/>
              <w:adjustRightInd w:val="0"/>
              <w:snapToGrid w:val="0"/>
              <w:jc w:val="center"/>
              <w:rPr>
                <w:rFonts w:hint="default" w:eastAsia="宋体"/>
                <w:sz w:val="21"/>
                <w:szCs w:val="21"/>
                <w:lang w:val="en-US" w:eastAsia="zh-CN"/>
              </w:rPr>
            </w:pPr>
            <w:r>
              <w:rPr>
                <w:rFonts w:hint="eastAsia"/>
                <w:sz w:val="21"/>
                <w:szCs w:val="21"/>
                <w:lang w:val="en-US" w:eastAsia="zh-CN"/>
              </w:rPr>
              <w:t>33</w:t>
            </w:r>
          </w:p>
        </w:tc>
        <w:tc>
          <w:tcPr>
            <w:tcW w:w="917" w:type="pct"/>
            <w:tcBorders>
              <w:tl2br w:val="nil"/>
              <w:tr2bl w:val="nil"/>
            </w:tcBorders>
            <w:vAlign w:val="center"/>
          </w:tcPr>
          <w:p w14:paraId="0A40B721">
            <w:pPr>
              <w:widowControl w:val="0"/>
              <w:adjustRightInd w:val="0"/>
              <w:snapToGrid w:val="0"/>
              <w:jc w:val="center"/>
              <w:rPr>
                <w:rFonts w:hint="default" w:eastAsia="宋体"/>
                <w:sz w:val="21"/>
                <w:szCs w:val="21"/>
                <w:lang w:val="en-US" w:eastAsia="zh-CN"/>
              </w:rPr>
            </w:pPr>
            <w:r>
              <w:rPr>
                <w:rFonts w:hint="eastAsia"/>
                <w:sz w:val="21"/>
                <w:szCs w:val="21"/>
                <w:lang w:val="en-US" w:eastAsia="zh-CN"/>
              </w:rPr>
              <w:t>36</w:t>
            </w:r>
          </w:p>
        </w:tc>
      </w:tr>
      <w:tr w14:paraId="67B26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93" w:type="pct"/>
            <w:vMerge w:val="continue"/>
            <w:tcBorders>
              <w:tl2br w:val="nil"/>
              <w:tr2bl w:val="nil"/>
            </w:tcBorders>
            <w:vAlign w:val="center"/>
          </w:tcPr>
          <w:p w14:paraId="330F0017">
            <w:pPr>
              <w:widowControl w:val="0"/>
              <w:adjustRightInd w:val="0"/>
              <w:snapToGrid w:val="0"/>
              <w:jc w:val="center"/>
              <w:rPr>
                <w:sz w:val="21"/>
                <w:szCs w:val="21"/>
              </w:rPr>
            </w:pPr>
          </w:p>
        </w:tc>
        <w:tc>
          <w:tcPr>
            <w:tcW w:w="1571" w:type="pct"/>
            <w:tcBorders>
              <w:tl2br w:val="nil"/>
              <w:tr2bl w:val="nil"/>
            </w:tcBorders>
            <w:vAlign w:val="center"/>
          </w:tcPr>
          <w:p w14:paraId="29A04113">
            <w:pPr>
              <w:widowControl w:val="0"/>
              <w:adjustRightInd w:val="0"/>
              <w:snapToGrid w:val="0"/>
              <w:jc w:val="center"/>
              <w:rPr>
                <w:sz w:val="21"/>
                <w:szCs w:val="21"/>
              </w:rPr>
            </w:pPr>
            <w:r>
              <w:rPr>
                <w:sz w:val="21"/>
                <w:szCs w:val="21"/>
              </w:rPr>
              <w:t>超标率（%）</w:t>
            </w:r>
          </w:p>
        </w:tc>
        <w:tc>
          <w:tcPr>
            <w:tcW w:w="1479" w:type="dxa"/>
            <w:tcBorders>
              <w:tl2br w:val="nil"/>
              <w:tr2bl w:val="nil"/>
            </w:tcBorders>
            <w:vAlign w:val="center"/>
          </w:tcPr>
          <w:p w14:paraId="37F7DB02">
            <w:pPr>
              <w:widowControl w:val="0"/>
              <w:adjustRightInd w:val="0"/>
              <w:snapToGrid w:val="0"/>
              <w:jc w:val="center"/>
              <w:rPr>
                <w:sz w:val="21"/>
                <w:szCs w:val="21"/>
              </w:rPr>
            </w:pPr>
            <w:r>
              <w:rPr>
                <w:rFonts w:hint="eastAsia"/>
                <w:sz w:val="21"/>
                <w:szCs w:val="21"/>
                <w:lang w:val="en-US" w:eastAsia="zh-CN"/>
              </w:rPr>
              <w:t>/</w:t>
            </w:r>
          </w:p>
        </w:tc>
        <w:tc>
          <w:tcPr>
            <w:tcW w:w="1426" w:type="dxa"/>
            <w:tcBorders>
              <w:tl2br w:val="nil"/>
              <w:tr2bl w:val="nil"/>
            </w:tcBorders>
            <w:vAlign w:val="center"/>
          </w:tcPr>
          <w:p w14:paraId="1A204C0C">
            <w:pPr>
              <w:widowControl w:val="0"/>
              <w:adjustRightInd w:val="0"/>
              <w:snapToGrid w:val="0"/>
              <w:jc w:val="center"/>
              <w:rPr>
                <w:sz w:val="21"/>
                <w:szCs w:val="21"/>
              </w:rPr>
            </w:pPr>
            <w:r>
              <w:rPr>
                <w:rFonts w:hint="eastAsia"/>
                <w:sz w:val="21"/>
                <w:szCs w:val="21"/>
                <w:lang w:val="en-US" w:eastAsia="zh-CN"/>
              </w:rPr>
              <w:t>/</w:t>
            </w:r>
          </w:p>
        </w:tc>
        <w:tc>
          <w:tcPr>
            <w:tcW w:w="1646" w:type="dxa"/>
            <w:tcBorders>
              <w:tl2br w:val="nil"/>
              <w:tr2bl w:val="nil"/>
            </w:tcBorders>
            <w:vAlign w:val="center"/>
          </w:tcPr>
          <w:p w14:paraId="59323F6E">
            <w:pPr>
              <w:widowControl w:val="0"/>
              <w:adjustRightInd w:val="0"/>
              <w:snapToGrid w:val="0"/>
              <w:jc w:val="center"/>
              <w:rPr>
                <w:sz w:val="21"/>
                <w:szCs w:val="21"/>
              </w:rPr>
            </w:pPr>
            <w:r>
              <w:rPr>
                <w:rFonts w:hint="eastAsia"/>
                <w:sz w:val="21"/>
                <w:szCs w:val="21"/>
                <w:lang w:val="en-US" w:eastAsia="zh-CN"/>
              </w:rPr>
              <w:t>/</w:t>
            </w:r>
          </w:p>
        </w:tc>
      </w:tr>
      <w:tr w14:paraId="54290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93" w:type="pct"/>
            <w:vMerge w:val="continue"/>
            <w:tcBorders>
              <w:tl2br w:val="nil"/>
              <w:tr2bl w:val="nil"/>
            </w:tcBorders>
            <w:vAlign w:val="center"/>
          </w:tcPr>
          <w:p w14:paraId="07194681">
            <w:pPr>
              <w:widowControl w:val="0"/>
              <w:adjustRightInd w:val="0"/>
              <w:snapToGrid w:val="0"/>
              <w:jc w:val="center"/>
              <w:rPr>
                <w:sz w:val="21"/>
                <w:szCs w:val="21"/>
              </w:rPr>
            </w:pPr>
          </w:p>
        </w:tc>
        <w:tc>
          <w:tcPr>
            <w:tcW w:w="1571" w:type="pct"/>
            <w:tcBorders>
              <w:tl2br w:val="nil"/>
              <w:tr2bl w:val="nil"/>
            </w:tcBorders>
            <w:vAlign w:val="center"/>
          </w:tcPr>
          <w:p w14:paraId="1573DB74">
            <w:pPr>
              <w:widowControl w:val="0"/>
              <w:adjustRightInd w:val="0"/>
              <w:snapToGrid w:val="0"/>
              <w:jc w:val="center"/>
              <w:rPr>
                <w:sz w:val="21"/>
                <w:szCs w:val="21"/>
              </w:rPr>
            </w:pPr>
            <w:r>
              <w:rPr>
                <w:sz w:val="21"/>
                <w:szCs w:val="21"/>
              </w:rPr>
              <w:t>最大超标倍数</w:t>
            </w:r>
          </w:p>
        </w:tc>
        <w:tc>
          <w:tcPr>
            <w:tcW w:w="1479" w:type="dxa"/>
            <w:tcBorders>
              <w:tl2br w:val="nil"/>
              <w:tr2bl w:val="nil"/>
            </w:tcBorders>
            <w:vAlign w:val="center"/>
          </w:tcPr>
          <w:p w14:paraId="124BDF23">
            <w:pPr>
              <w:widowControl w:val="0"/>
              <w:adjustRightInd w:val="0"/>
              <w:snapToGrid w:val="0"/>
              <w:jc w:val="center"/>
              <w:rPr>
                <w:sz w:val="21"/>
                <w:szCs w:val="21"/>
              </w:rPr>
            </w:pPr>
            <w:r>
              <w:rPr>
                <w:rFonts w:hint="eastAsia"/>
                <w:sz w:val="21"/>
                <w:szCs w:val="21"/>
                <w:lang w:val="en-US" w:eastAsia="zh-CN"/>
              </w:rPr>
              <w:t>/</w:t>
            </w:r>
          </w:p>
        </w:tc>
        <w:tc>
          <w:tcPr>
            <w:tcW w:w="1426" w:type="dxa"/>
            <w:tcBorders>
              <w:tl2br w:val="nil"/>
              <w:tr2bl w:val="nil"/>
            </w:tcBorders>
            <w:vAlign w:val="center"/>
          </w:tcPr>
          <w:p w14:paraId="0FC06419">
            <w:pPr>
              <w:widowControl w:val="0"/>
              <w:adjustRightInd w:val="0"/>
              <w:snapToGrid w:val="0"/>
              <w:jc w:val="center"/>
              <w:rPr>
                <w:sz w:val="21"/>
                <w:szCs w:val="21"/>
              </w:rPr>
            </w:pPr>
            <w:r>
              <w:rPr>
                <w:rFonts w:hint="eastAsia"/>
                <w:sz w:val="21"/>
                <w:szCs w:val="21"/>
                <w:lang w:val="en-US" w:eastAsia="zh-CN"/>
              </w:rPr>
              <w:t>/</w:t>
            </w:r>
          </w:p>
        </w:tc>
        <w:tc>
          <w:tcPr>
            <w:tcW w:w="1646" w:type="dxa"/>
            <w:tcBorders>
              <w:tl2br w:val="nil"/>
              <w:tr2bl w:val="nil"/>
            </w:tcBorders>
            <w:vAlign w:val="center"/>
          </w:tcPr>
          <w:p w14:paraId="2F4276EF">
            <w:pPr>
              <w:widowControl w:val="0"/>
              <w:adjustRightInd w:val="0"/>
              <w:snapToGrid w:val="0"/>
              <w:jc w:val="center"/>
              <w:rPr>
                <w:sz w:val="21"/>
                <w:szCs w:val="21"/>
              </w:rPr>
            </w:pPr>
            <w:r>
              <w:rPr>
                <w:rFonts w:hint="eastAsia"/>
                <w:sz w:val="21"/>
                <w:szCs w:val="21"/>
                <w:lang w:val="en-US" w:eastAsia="zh-CN"/>
              </w:rPr>
              <w:t>/</w:t>
            </w:r>
          </w:p>
        </w:tc>
      </w:tr>
      <w:tr w14:paraId="5FFBF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93" w:type="pct"/>
            <w:vMerge w:val="continue"/>
            <w:tcBorders>
              <w:tl2br w:val="nil"/>
              <w:tr2bl w:val="nil"/>
            </w:tcBorders>
            <w:vAlign w:val="center"/>
          </w:tcPr>
          <w:p w14:paraId="739727DC">
            <w:pPr>
              <w:widowControl w:val="0"/>
              <w:adjustRightInd w:val="0"/>
              <w:snapToGrid w:val="0"/>
              <w:jc w:val="center"/>
              <w:rPr>
                <w:sz w:val="21"/>
                <w:szCs w:val="21"/>
              </w:rPr>
            </w:pPr>
          </w:p>
        </w:tc>
        <w:tc>
          <w:tcPr>
            <w:tcW w:w="1571" w:type="pct"/>
            <w:tcBorders>
              <w:tl2br w:val="nil"/>
              <w:tr2bl w:val="nil"/>
            </w:tcBorders>
            <w:vAlign w:val="center"/>
          </w:tcPr>
          <w:p w14:paraId="223CD11B">
            <w:pPr>
              <w:widowControl w:val="0"/>
              <w:adjustRightInd w:val="0"/>
              <w:snapToGrid w:val="0"/>
              <w:jc w:val="center"/>
              <w:rPr>
                <w:sz w:val="21"/>
                <w:szCs w:val="21"/>
              </w:rPr>
            </w:pPr>
            <w:r>
              <w:rPr>
                <w:sz w:val="21"/>
                <w:szCs w:val="21"/>
              </w:rPr>
              <w:t>最大占标百分比（%）</w:t>
            </w:r>
          </w:p>
        </w:tc>
        <w:tc>
          <w:tcPr>
            <w:tcW w:w="824" w:type="pct"/>
            <w:tcBorders>
              <w:tl2br w:val="nil"/>
              <w:tr2bl w:val="nil"/>
            </w:tcBorders>
            <w:vAlign w:val="center"/>
          </w:tcPr>
          <w:p w14:paraId="55539F54">
            <w:pPr>
              <w:widowControl w:val="0"/>
              <w:adjustRightInd w:val="0"/>
              <w:snapToGrid w:val="0"/>
              <w:jc w:val="center"/>
              <w:rPr>
                <w:sz w:val="21"/>
                <w:szCs w:val="21"/>
              </w:rPr>
            </w:pPr>
            <w:r>
              <w:rPr>
                <w:rFonts w:hint="eastAsia"/>
                <w:sz w:val="21"/>
                <w:szCs w:val="21"/>
                <w:lang w:val="en-US" w:eastAsia="zh-CN"/>
              </w:rPr>
              <w:t>16.</w:t>
            </w:r>
            <w:r>
              <w:rPr>
                <w:rFonts w:hint="eastAsia"/>
                <w:sz w:val="21"/>
                <w:szCs w:val="21"/>
              </w:rPr>
              <w:t>5</w:t>
            </w:r>
          </w:p>
        </w:tc>
        <w:tc>
          <w:tcPr>
            <w:tcW w:w="794" w:type="pct"/>
            <w:tcBorders>
              <w:tl2br w:val="nil"/>
              <w:tr2bl w:val="nil"/>
            </w:tcBorders>
            <w:vAlign w:val="center"/>
          </w:tcPr>
          <w:p w14:paraId="2345BF66">
            <w:pPr>
              <w:widowControl w:val="0"/>
              <w:adjustRightInd w:val="0"/>
              <w:snapToGrid w:val="0"/>
              <w:jc w:val="center"/>
              <w:rPr>
                <w:rFonts w:hint="default"/>
                <w:sz w:val="21"/>
                <w:szCs w:val="21"/>
                <w:lang w:val="en-US" w:eastAsia="zh-CN"/>
              </w:rPr>
            </w:pPr>
            <w:r>
              <w:rPr>
                <w:rFonts w:hint="eastAsia"/>
                <w:sz w:val="21"/>
                <w:szCs w:val="21"/>
                <w:lang w:val="en-US" w:eastAsia="zh-CN"/>
              </w:rPr>
              <w:t>16.5</w:t>
            </w:r>
          </w:p>
        </w:tc>
        <w:tc>
          <w:tcPr>
            <w:tcW w:w="917" w:type="pct"/>
            <w:tcBorders>
              <w:tl2br w:val="nil"/>
              <w:tr2bl w:val="nil"/>
            </w:tcBorders>
            <w:vAlign w:val="center"/>
          </w:tcPr>
          <w:p w14:paraId="42FC0468">
            <w:pPr>
              <w:widowControl w:val="0"/>
              <w:adjustRightInd w:val="0"/>
              <w:snapToGrid w:val="0"/>
              <w:jc w:val="center"/>
              <w:rPr>
                <w:rFonts w:hint="default" w:eastAsia="宋体"/>
                <w:sz w:val="21"/>
                <w:szCs w:val="21"/>
                <w:lang w:val="en-US" w:eastAsia="zh-CN"/>
              </w:rPr>
            </w:pPr>
            <w:r>
              <w:rPr>
                <w:rFonts w:hint="eastAsia"/>
                <w:sz w:val="21"/>
                <w:szCs w:val="21"/>
                <w:lang w:val="en-US" w:eastAsia="zh-CN"/>
              </w:rPr>
              <w:t>18</w:t>
            </w:r>
          </w:p>
        </w:tc>
      </w:tr>
      <w:tr w14:paraId="1A017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8" w:hRule="atLeast"/>
          <w:jc w:val="center"/>
        </w:trPr>
        <w:tc>
          <w:tcPr>
            <w:tcW w:w="893" w:type="pct"/>
            <w:vMerge w:val="restart"/>
            <w:tcBorders>
              <w:tl2br w:val="nil"/>
              <w:tr2bl w:val="nil"/>
            </w:tcBorders>
            <w:vAlign w:val="center"/>
          </w:tcPr>
          <w:p w14:paraId="688C2B6E">
            <w:pPr>
              <w:widowControl w:val="0"/>
              <w:adjustRightInd w:val="0"/>
              <w:snapToGrid w:val="0"/>
              <w:jc w:val="center"/>
              <w:rPr>
                <w:rFonts w:hint="eastAsia" w:eastAsia="宋体"/>
                <w:snapToGrid w:val="0"/>
                <w:sz w:val="21"/>
                <w:szCs w:val="21"/>
                <w:lang w:eastAsia="zh-CN"/>
              </w:rPr>
            </w:pPr>
            <w:r>
              <w:rPr>
                <w:rFonts w:hint="eastAsia"/>
                <w:snapToGrid w:val="0"/>
                <w:sz w:val="21"/>
                <w:szCs w:val="21"/>
                <w:lang w:val="en-US" w:eastAsia="zh-CN"/>
              </w:rPr>
              <w:t>硫化氢</w:t>
            </w:r>
          </w:p>
        </w:tc>
        <w:tc>
          <w:tcPr>
            <w:tcW w:w="1571" w:type="pct"/>
            <w:tcBorders>
              <w:tl2br w:val="nil"/>
              <w:tr2bl w:val="nil"/>
            </w:tcBorders>
            <w:vAlign w:val="center"/>
          </w:tcPr>
          <w:p w14:paraId="7416163F">
            <w:pPr>
              <w:widowControl w:val="0"/>
              <w:adjustRightInd w:val="0"/>
              <w:snapToGrid w:val="0"/>
              <w:jc w:val="center"/>
              <w:rPr>
                <w:sz w:val="21"/>
                <w:szCs w:val="21"/>
              </w:rPr>
            </w:pPr>
            <w:r>
              <w:rPr>
                <w:sz w:val="21"/>
                <w:szCs w:val="21"/>
              </w:rPr>
              <w:t>1小时平均浓度范围（</w:t>
            </w:r>
            <w:r>
              <w:rPr>
                <w:bCs/>
                <w:sz w:val="21"/>
                <w:szCs w:val="21"/>
              </w:rPr>
              <w:t>µ</w:t>
            </w:r>
            <w:r>
              <w:rPr>
                <w:sz w:val="21"/>
                <w:szCs w:val="21"/>
              </w:rPr>
              <w:t>g/m</w:t>
            </w:r>
            <w:r>
              <w:rPr>
                <w:sz w:val="21"/>
                <w:szCs w:val="21"/>
                <w:vertAlign w:val="superscript"/>
              </w:rPr>
              <w:t>3</w:t>
            </w:r>
            <w:r>
              <w:rPr>
                <w:sz w:val="21"/>
                <w:szCs w:val="21"/>
              </w:rPr>
              <w:t>）</w:t>
            </w:r>
          </w:p>
        </w:tc>
        <w:tc>
          <w:tcPr>
            <w:tcW w:w="1479" w:type="dxa"/>
            <w:tcBorders>
              <w:tl2br w:val="nil"/>
              <w:tr2bl w:val="nil"/>
            </w:tcBorders>
            <w:vAlign w:val="center"/>
          </w:tcPr>
          <w:p w14:paraId="7A91D40B">
            <w:pPr>
              <w:kinsoku/>
              <w:autoSpaceDE/>
              <w:autoSpaceDN/>
              <w:adjustRightInd/>
              <w:snapToGrid/>
              <w:spacing w:line="240" w:lineRule="auto"/>
              <w:jc w:val="center"/>
              <w:textAlignment w:val="auto"/>
              <w:rPr>
                <w:rFonts w:hint="eastAsia" w:eastAsia="宋体"/>
                <w:sz w:val="21"/>
                <w:szCs w:val="21"/>
                <w:lang w:eastAsia="zh-CN"/>
              </w:rPr>
            </w:pPr>
            <w:r>
              <w:rPr>
                <w:rFonts w:hint="eastAsia" w:ascii="Times New Roman" w:hAnsi="Times New Roman" w:eastAsia="宋体" w:cs="Times New Roman"/>
                <w:snapToGrid/>
                <w:kern w:val="0"/>
                <w:sz w:val="21"/>
                <w:szCs w:val="21"/>
                <w:lang w:eastAsia="zh-CN"/>
              </w:rPr>
              <w:t>&lt;1</w:t>
            </w:r>
          </w:p>
        </w:tc>
        <w:tc>
          <w:tcPr>
            <w:tcW w:w="1426" w:type="dxa"/>
            <w:tcBorders>
              <w:tl2br w:val="nil"/>
              <w:tr2bl w:val="nil"/>
            </w:tcBorders>
            <w:vAlign w:val="center"/>
          </w:tcPr>
          <w:p w14:paraId="5CCD246E">
            <w:pPr>
              <w:kinsoku/>
              <w:autoSpaceDE/>
              <w:autoSpaceDN/>
              <w:adjustRightInd/>
              <w:snapToGrid/>
              <w:spacing w:line="240" w:lineRule="auto"/>
              <w:jc w:val="center"/>
              <w:textAlignment w:val="auto"/>
              <w:rPr>
                <w:rFonts w:hint="eastAsia"/>
                <w:sz w:val="21"/>
                <w:szCs w:val="21"/>
                <w:lang w:val="en-US" w:eastAsia="zh-CN"/>
              </w:rPr>
            </w:pPr>
            <w:r>
              <w:rPr>
                <w:rFonts w:hint="eastAsia" w:ascii="Times New Roman" w:hAnsi="Times New Roman" w:eastAsia="宋体" w:cs="Times New Roman"/>
                <w:snapToGrid/>
                <w:kern w:val="0"/>
                <w:sz w:val="21"/>
                <w:szCs w:val="21"/>
                <w:lang w:eastAsia="zh-CN"/>
              </w:rPr>
              <w:t>&lt;1</w:t>
            </w:r>
          </w:p>
        </w:tc>
        <w:tc>
          <w:tcPr>
            <w:tcW w:w="1646" w:type="dxa"/>
            <w:tcBorders>
              <w:tl2br w:val="nil"/>
              <w:tr2bl w:val="nil"/>
            </w:tcBorders>
            <w:vAlign w:val="center"/>
          </w:tcPr>
          <w:p w14:paraId="5A07F676">
            <w:pPr>
              <w:kinsoku/>
              <w:autoSpaceDE/>
              <w:autoSpaceDN/>
              <w:adjustRightInd/>
              <w:snapToGrid/>
              <w:spacing w:line="240" w:lineRule="auto"/>
              <w:jc w:val="center"/>
              <w:textAlignment w:val="auto"/>
              <w:rPr>
                <w:rFonts w:hint="default" w:eastAsia="宋体"/>
                <w:sz w:val="21"/>
                <w:szCs w:val="21"/>
                <w:lang w:val="en-US" w:eastAsia="zh-CN"/>
              </w:rPr>
            </w:pPr>
            <w:r>
              <w:rPr>
                <w:rFonts w:hint="eastAsia" w:ascii="Times New Roman" w:hAnsi="Times New Roman" w:eastAsia="宋体" w:cs="Times New Roman"/>
                <w:snapToGrid/>
                <w:kern w:val="0"/>
                <w:sz w:val="21"/>
                <w:szCs w:val="21"/>
                <w:lang w:eastAsia="zh-CN"/>
              </w:rPr>
              <w:t>&lt;1</w:t>
            </w:r>
          </w:p>
        </w:tc>
      </w:tr>
      <w:tr w14:paraId="397CE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893" w:type="pct"/>
            <w:vMerge w:val="continue"/>
            <w:tcBorders>
              <w:tl2br w:val="nil"/>
              <w:tr2bl w:val="nil"/>
            </w:tcBorders>
            <w:vAlign w:val="center"/>
          </w:tcPr>
          <w:p w14:paraId="27514F91">
            <w:pPr>
              <w:widowControl w:val="0"/>
              <w:adjustRightInd w:val="0"/>
              <w:snapToGrid w:val="0"/>
              <w:jc w:val="center"/>
              <w:rPr>
                <w:sz w:val="21"/>
                <w:szCs w:val="21"/>
              </w:rPr>
            </w:pPr>
          </w:p>
        </w:tc>
        <w:tc>
          <w:tcPr>
            <w:tcW w:w="1571" w:type="pct"/>
            <w:tcBorders>
              <w:tl2br w:val="nil"/>
              <w:tr2bl w:val="nil"/>
            </w:tcBorders>
            <w:vAlign w:val="center"/>
          </w:tcPr>
          <w:p w14:paraId="6452EB29">
            <w:pPr>
              <w:widowControl w:val="0"/>
              <w:adjustRightInd w:val="0"/>
              <w:snapToGrid w:val="0"/>
              <w:jc w:val="center"/>
              <w:rPr>
                <w:sz w:val="21"/>
                <w:szCs w:val="21"/>
              </w:rPr>
            </w:pPr>
            <w:r>
              <w:rPr>
                <w:sz w:val="21"/>
                <w:szCs w:val="21"/>
              </w:rPr>
              <w:t>1小时最大浓度（</w:t>
            </w:r>
            <w:r>
              <w:rPr>
                <w:bCs/>
                <w:sz w:val="21"/>
                <w:szCs w:val="21"/>
              </w:rPr>
              <w:t>µ</w:t>
            </w:r>
            <w:r>
              <w:rPr>
                <w:sz w:val="21"/>
                <w:szCs w:val="21"/>
              </w:rPr>
              <w:t>g/m</w:t>
            </w:r>
            <w:r>
              <w:rPr>
                <w:sz w:val="21"/>
                <w:szCs w:val="21"/>
                <w:vertAlign w:val="superscript"/>
              </w:rPr>
              <w:t>3</w:t>
            </w:r>
            <w:r>
              <w:rPr>
                <w:sz w:val="21"/>
                <w:szCs w:val="21"/>
              </w:rPr>
              <w:t>）</w:t>
            </w:r>
          </w:p>
        </w:tc>
        <w:tc>
          <w:tcPr>
            <w:tcW w:w="1479" w:type="dxa"/>
            <w:tcBorders>
              <w:tl2br w:val="nil"/>
              <w:tr2bl w:val="nil"/>
            </w:tcBorders>
            <w:vAlign w:val="center"/>
          </w:tcPr>
          <w:p w14:paraId="6C46E9DA">
            <w:pPr>
              <w:kinsoku/>
              <w:autoSpaceDE/>
              <w:autoSpaceDN/>
              <w:adjustRightInd/>
              <w:snapToGrid/>
              <w:spacing w:line="240" w:lineRule="auto"/>
              <w:jc w:val="center"/>
              <w:textAlignment w:val="auto"/>
              <w:rPr>
                <w:sz w:val="21"/>
                <w:szCs w:val="21"/>
              </w:rPr>
            </w:pPr>
            <w:r>
              <w:rPr>
                <w:rFonts w:hint="eastAsia" w:ascii="Times New Roman" w:hAnsi="Times New Roman" w:eastAsia="宋体" w:cs="Times New Roman"/>
                <w:snapToGrid/>
                <w:kern w:val="0"/>
                <w:sz w:val="21"/>
                <w:szCs w:val="21"/>
                <w:lang w:eastAsia="zh-CN"/>
              </w:rPr>
              <w:t>&lt;1</w:t>
            </w:r>
          </w:p>
        </w:tc>
        <w:tc>
          <w:tcPr>
            <w:tcW w:w="1426" w:type="dxa"/>
            <w:tcBorders>
              <w:tl2br w:val="nil"/>
              <w:tr2bl w:val="nil"/>
            </w:tcBorders>
            <w:vAlign w:val="center"/>
          </w:tcPr>
          <w:p w14:paraId="1C0A7FF0">
            <w:pPr>
              <w:kinsoku/>
              <w:autoSpaceDE/>
              <w:autoSpaceDN/>
              <w:adjustRightInd/>
              <w:snapToGrid/>
              <w:spacing w:line="240" w:lineRule="auto"/>
              <w:jc w:val="center"/>
              <w:textAlignment w:val="auto"/>
              <w:rPr>
                <w:rFonts w:hint="eastAsia"/>
                <w:sz w:val="21"/>
                <w:szCs w:val="21"/>
                <w:lang w:val="en-US" w:eastAsia="zh-CN"/>
              </w:rPr>
            </w:pPr>
            <w:r>
              <w:rPr>
                <w:rFonts w:hint="eastAsia" w:ascii="Times New Roman" w:hAnsi="Times New Roman" w:eastAsia="宋体" w:cs="Times New Roman"/>
                <w:snapToGrid/>
                <w:kern w:val="0"/>
                <w:sz w:val="21"/>
                <w:szCs w:val="21"/>
                <w:lang w:eastAsia="zh-CN"/>
              </w:rPr>
              <w:t>&lt;1</w:t>
            </w:r>
          </w:p>
        </w:tc>
        <w:tc>
          <w:tcPr>
            <w:tcW w:w="1646" w:type="dxa"/>
            <w:tcBorders>
              <w:tl2br w:val="nil"/>
              <w:tr2bl w:val="nil"/>
            </w:tcBorders>
            <w:vAlign w:val="center"/>
          </w:tcPr>
          <w:p w14:paraId="3F93AFA8">
            <w:pPr>
              <w:kinsoku/>
              <w:autoSpaceDE/>
              <w:autoSpaceDN/>
              <w:adjustRightInd/>
              <w:snapToGrid/>
              <w:spacing w:line="240" w:lineRule="auto"/>
              <w:jc w:val="center"/>
              <w:textAlignment w:val="auto"/>
              <w:rPr>
                <w:sz w:val="21"/>
                <w:szCs w:val="21"/>
              </w:rPr>
            </w:pPr>
            <w:r>
              <w:rPr>
                <w:rFonts w:hint="eastAsia" w:ascii="Times New Roman" w:hAnsi="Times New Roman" w:eastAsia="宋体" w:cs="Times New Roman"/>
                <w:snapToGrid/>
                <w:kern w:val="0"/>
                <w:sz w:val="21"/>
                <w:szCs w:val="21"/>
                <w:lang w:eastAsia="zh-CN"/>
              </w:rPr>
              <w:t>&lt;1</w:t>
            </w:r>
          </w:p>
        </w:tc>
      </w:tr>
      <w:tr w14:paraId="29D14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93" w:type="pct"/>
            <w:vMerge w:val="continue"/>
            <w:tcBorders>
              <w:tl2br w:val="nil"/>
              <w:tr2bl w:val="nil"/>
            </w:tcBorders>
            <w:vAlign w:val="center"/>
          </w:tcPr>
          <w:p w14:paraId="3E596F37">
            <w:pPr>
              <w:widowControl w:val="0"/>
              <w:adjustRightInd w:val="0"/>
              <w:snapToGrid w:val="0"/>
              <w:jc w:val="center"/>
              <w:rPr>
                <w:sz w:val="21"/>
                <w:szCs w:val="21"/>
              </w:rPr>
            </w:pPr>
          </w:p>
        </w:tc>
        <w:tc>
          <w:tcPr>
            <w:tcW w:w="1571" w:type="pct"/>
            <w:tcBorders>
              <w:tl2br w:val="nil"/>
              <w:tr2bl w:val="nil"/>
            </w:tcBorders>
            <w:vAlign w:val="center"/>
          </w:tcPr>
          <w:p w14:paraId="3C0378C0">
            <w:pPr>
              <w:widowControl w:val="0"/>
              <w:adjustRightInd w:val="0"/>
              <w:snapToGrid w:val="0"/>
              <w:jc w:val="center"/>
              <w:rPr>
                <w:sz w:val="21"/>
                <w:szCs w:val="21"/>
              </w:rPr>
            </w:pPr>
            <w:r>
              <w:rPr>
                <w:sz w:val="21"/>
                <w:szCs w:val="21"/>
              </w:rPr>
              <w:t>超标率（%）</w:t>
            </w:r>
          </w:p>
        </w:tc>
        <w:tc>
          <w:tcPr>
            <w:tcW w:w="1479" w:type="dxa"/>
            <w:tcBorders>
              <w:tl2br w:val="nil"/>
              <w:tr2bl w:val="nil"/>
            </w:tcBorders>
            <w:vAlign w:val="center"/>
          </w:tcPr>
          <w:p w14:paraId="7019D4CB">
            <w:pPr>
              <w:widowControl w:val="0"/>
              <w:adjustRightInd w:val="0"/>
              <w:snapToGrid w:val="0"/>
              <w:jc w:val="center"/>
              <w:rPr>
                <w:sz w:val="21"/>
                <w:szCs w:val="21"/>
              </w:rPr>
            </w:pPr>
            <w:r>
              <w:rPr>
                <w:rFonts w:hint="eastAsia"/>
                <w:sz w:val="21"/>
                <w:szCs w:val="21"/>
                <w:lang w:val="en-US" w:eastAsia="zh-CN"/>
              </w:rPr>
              <w:t>/</w:t>
            </w:r>
          </w:p>
        </w:tc>
        <w:tc>
          <w:tcPr>
            <w:tcW w:w="1426" w:type="dxa"/>
            <w:tcBorders>
              <w:tl2br w:val="nil"/>
              <w:tr2bl w:val="nil"/>
            </w:tcBorders>
            <w:vAlign w:val="center"/>
          </w:tcPr>
          <w:p w14:paraId="087B851F">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646" w:type="dxa"/>
            <w:tcBorders>
              <w:tl2br w:val="nil"/>
              <w:tr2bl w:val="nil"/>
            </w:tcBorders>
            <w:vAlign w:val="center"/>
          </w:tcPr>
          <w:p w14:paraId="221B2588">
            <w:pPr>
              <w:widowControl w:val="0"/>
              <w:adjustRightInd w:val="0"/>
              <w:snapToGrid w:val="0"/>
              <w:jc w:val="center"/>
              <w:rPr>
                <w:sz w:val="21"/>
                <w:szCs w:val="21"/>
              </w:rPr>
            </w:pPr>
            <w:r>
              <w:rPr>
                <w:rFonts w:hint="eastAsia"/>
                <w:sz w:val="21"/>
                <w:szCs w:val="21"/>
                <w:lang w:val="en-US" w:eastAsia="zh-CN"/>
              </w:rPr>
              <w:t>/</w:t>
            </w:r>
          </w:p>
        </w:tc>
      </w:tr>
      <w:tr w14:paraId="73804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893" w:type="pct"/>
            <w:vMerge w:val="continue"/>
            <w:tcBorders>
              <w:tl2br w:val="nil"/>
              <w:tr2bl w:val="nil"/>
            </w:tcBorders>
            <w:vAlign w:val="center"/>
          </w:tcPr>
          <w:p w14:paraId="2A2CD953">
            <w:pPr>
              <w:widowControl w:val="0"/>
              <w:adjustRightInd w:val="0"/>
              <w:snapToGrid w:val="0"/>
              <w:jc w:val="center"/>
              <w:rPr>
                <w:sz w:val="21"/>
                <w:szCs w:val="21"/>
              </w:rPr>
            </w:pPr>
          </w:p>
        </w:tc>
        <w:tc>
          <w:tcPr>
            <w:tcW w:w="1571" w:type="pct"/>
            <w:tcBorders>
              <w:tl2br w:val="nil"/>
              <w:tr2bl w:val="nil"/>
            </w:tcBorders>
            <w:vAlign w:val="center"/>
          </w:tcPr>
          <w:p w14:paraId="51B69579">
            <w:pPr>
              <w:widowControl w:val="0"/>
              <w:adjustRightInd w:val="0"/>
              <w:snapToGrid w:val="0"/>
              <w:jc w:val="center"/>
              <w:rPr>
                <w:sz w:val="21"/>
                <w:szCs w:val="21"/>
              </w:rPr>
            </w:pPr>
            <w:r>
              <w:rPr>
                <w:sz w:val="21"/>
                <w:szCs w:val="21"/>
              </w:rPr>
              <w:t>最大超标倍数</w:t>
            </w:r>
          </w:p>
        </w:tc>
        <w:tc>
          <w:tcPr>
            <w:tcW w:w="1479" w:type="dxa"/>
            <w:tcBorders>
              <w:tl2br w:val="nil"/>
              <w:tr2bl w:val="nil"/>
            </w:tcBorders>
            <w:vAlign w:val="center"/>
          </w:tcPr>
          <w:p w14:paraId="52E07510">
            <w:pPr>
              <w:widowControl w:val="0"/>
              <w:adjustRightInd w:val="0"/>
              <w:snapToGrid w:val="0"/>
              <w:jc w:val="center"/>
              <w:rPr>
                <w:sz w:val="21"/>
                <w:szCs w:val="21"/>
              </w:rPr>
            </w:pPr>
            <w:r>
              <w:rPr>
                <w:rFonts w:hint="eastAsia"/>
                <w:sz w:val="21"/>
                <w:szCs w:val="21"/>
                <w:lang w:val="en-US" w:eastAsia="zh-CN"/>
              </w:rPr>
              <w:t>/</w:t>
            </w:r>
          </w:p>
        </w:tc>
        <w:tc>
          <w:tcPr>
            <w:tcW w:w="1426" w:type="dxa"/>
            <w:tcBorders>
              <w:tl2br w:val="nil"/>
              <w:tr2bl w:val="nil"/>
            </w:tcBorders>
            <w:vAlign w:val="center"/>
          </w:tcPr>
          <w:p w14:paraId="6E2CE19A">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646" w:type="dxa"/>
            <w:tcBorders>
              <w:tl2br w:val="nil"/>
              <w:tr2bl w:val="nil"/>
            </w:tcBorders>
            <w:vAlign w:val="center"/>
          </w:tcPr>
          <w:p w14:paraId="2FADFAFD">
            <w:pPr>
              <w:widowControl w:val="0"/>
              <w:adjustRightInd w:val="0"/>
              <w:snapToGrid w:val="0"/>
              <w:jc w:val="center"/>
              <w:rPr>
                <w:sz w:val="21"/>
                <w:szCs w:val="21"/>
              </w:rPr>
            </w:pPr>
            <w:r>
              <w:rPr>
                <w:rFonts w:hint="eastAsia"/>
                <w:sz w:val="21"/>
                <w:szCs w:val="21"/>
                <w:lang w:val="en-US" w:eastAsia="zh-CN"/>
              </w:rPr>
              <w:t>/</w:t>
            </w:r>
          </w:p>
        </w:tc>
      </w:tr>
      <w:tr w14:paraId="23E69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370DAB54">
            <w:pPr>
              <w:widowControl w:val="0"/>
              <w:adjustRightInd w:val="0"/>
              <w:snapToGrid w:val="0"/>
              <w:jc w:val="center"/>
              <w:rPr>
                <w:sz w:val="21"/>
                <w:szCs w:val="21"/>
              </w:rPr>
            </w:pPr>
          </w:p>
        </w:tc>
        <w:tc>
          <w:tcPr>
            <w:tcW w:w="1571" w:type="pct"/>
            <w:tcBorders>
              <w:tl2br w:val="nil"/>
              <w:tr2bl w:val="nil"/>
            </w:tcBorders>
            <w:vAlign w:val="center"/>
          </w:tcPr>
          <w:p w14:paraId="7D0CBEFC">
            <w:pPr>
              <w:widowControl w:val="0"/>
              <w:adjustRightInd w:val="0"/>
              <w:snapToGrid w:val="0"/>
              <w:jc w:val="center"/>
              <w:rPr>
                <w:sz w:val="21"/>
                <w:szCs w:val="21"/>
              </w:rPr>
            </w:pPr>
            <w:r>
              <w:rPr>
                <w:sz w:val="21"/>
                <w:szCs w:val="21"/>
              </w:rPr>
              <w:t>最大占标百分比（%）</w:t>
            </w:r>
          </w:p>
        </w:tc>
        <w:tc>
          <w:tcPr>
            <w:tcW w:w="1479" w:type="dxa"/>
            <w:tcBorders>
              <w:tl2br w:val="nil"/>
              <w:tr2bl w:val="nil"/>
            </w:tcBorders>
            <w:vAlign w:val="center"/>
          </w:tcPr>
          <w:p w14:paraId="0FCF6D69">
            <w:pPr>
              <w:widowControl w:val="0"/>
              <w:adjustRightInd w:val="0"/>
              <w:snapToGrid w:val="0"/>
              <w:jc w:val="center"/>
              <w:rPr>
                <w:sz w:val="21"/>
                <w:szCs w:val="21"/>
              </w:rPr>
            </w:pPr>
            <w:r>
              <w:rPr>
                <w:rFonts w:hint="eastAsia"/>
                <w:sz w:val="21"/>
                <w:szCs w:val="21"/>
                <w:lang w:val="en-US" w:eastAsia="zh-CN"/>
              </w:rPr>
              <w:t>/</w:t>
            </w:r>
          </w:p>
        </w:tc>
        <w:tc>
          <w:tcPr>
            <w:tcW w:w="1426" w:type="dxa"/>
            <w:tcBorders>
              <w:tl2br w:val="nil"/>
              <w:tr2bl w:val="nil"/>
            </w:tcBorders>
            <w:vAlign w:val="center"/>
          </w:tcPr>
          <w:p w14:paraId="452CBB61">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646" w:type="dxa"/>
            <w:tcBorders>
              <w:tl2br w:val="nil"/>
              <w:tr2bl w:val="nil"/>
            </w:tcBorders>
            <w:vAlign w:val="center"/>
          </w:tcPr>
          <w:p w14:paraId="25AF1EA6">
            <w:pPr>
              <w:widowControl w:val="0"/>
              <w:adjustRightInd w:val="0"/>
              <w:snapToGrid w:val="0"/>
              <w:jc w:val="center"/>
              <w:rPr>
                <w:sz w:val="21"/>
                <w:szCs w:val="21"/>
              </w:rPr>
            </w:pPr>
            <w:r>
              <w:rPr>
                <w:rFonts w:hint="eastAsia"/>
                <w:sz w:val="21"/>
                <w:szCs w:val="21"/>
                <w:lang w:val="en-US" w:eastAsia="zh-CN"/>
              </w:rPr>
              <w:t>/</w:t>
            </w:r>
          </w:p>
        </w:tc>
      </w:tr>
      <w:tr w14:paraId="4CFC4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restart"/>
            <w:tcBorders>
              <w:tl2br w:val="nil"/>
              <w:tr2bl w:val="nil"/>
            </w:tcBorders>
            <w:vAlign w:val="center"/>
          </w:tcPr>
          <w:p w14:paraId="3022A4AF">
            <w:pPr>
              <w:widowControl w:val="0"/>
              <w:adjustRightInd w:val="0"/>
              <w:snapToGrid w:val="0"/>
              <w:jc w:val="center"/>
              <w:rPr>
                <w:rFonts w:hint="eastAsia" w:eastAsia="宋体"/>
                <w:sz w:val="21"/>
                <w:szCs w:val="21"/>
                <w:lang w:val="en-US" w:eastAsia="zh-CN"/>
              </w:rPr>
            </w:pPr>
            <w:r>
              <w:rPr>
                <w:rFonts w:hint="eastAsia"/>
                <w:sz w:val="21"/>
                <w:szCs w:val="21"/>
                <w:lang w:val="en-US" w:eastAsia="zh-CN"/>
              </w:rPr>
              <w:t>非甲烷总烃</w:t>
            </w:r>
          </w:p>
        </w:tc>
        <w:tc>
          <w:tcPr>
            <w:tcW w:w="1571" w:type="pct"/>
            <w:tcBorders>
              <w:tl2br w:val="nil"/>
              <w:tr2bl w:val="nil"/>
            </w:tcBorders>
            <w:shd w:val="clear" w:color="auto" w:fill="auto"/>
            <w:vAlign w:val="center"/>
          </w:tcPr>
          <w:p w14:paraId="1A9379CA">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1小时平均浓度范围（</w:t>
            </w:r>
            <w:r>
              <w:rPr>
                <w:bCs/>
                <w:sz w:val="21"/>
                <w:szCs w:val="21"/>
              </w:rPr>
              <w:t>µ</w:t>
            </w:r>
            <w:r>
              <w:rPr>
                <w:sz w:val="21"/>
                <w:szCs w:val="21"/>
              </w:rPr>
              <w:t>g/m</w:t>
            </w:r>
            <w:r>
              <w:rPr>
                <w:sz w:val="21"/>
                <w:szCs w:val="21"/>
                <w:vertAlign w:val="superscript"/>
              </w:rPr>
              <w:t>3</w:t>
            </w:r>
            <w:r>
              <w:rPr>
                <w:sz w:val="21"/>
                <w:szCs w:val="21"/>
              </w:rPr>
              <w:t>）</w:t>
            </w:r>
          </w:p>
        </w:tc>
        <w:tc>
          <w:tcPr>
            <w:tcW w:w="824" w:type="pct"/>
            <w:tcBorders>
              <w:tl2br w:val="nil"/>
              <w:tr2bl w:val="nil"/>
            </w:tcBorders>
            <w:vAlign w:val="center"/>
          </w:tcPr>
          <w:p w14:paraId="0056D4C8">
            <w:pPr>
              <w:widowControl w:val="0"/>
              <w:adjustRightInd w:val="0"/>
              <w:snapToGrid w:val="0"/>
              <w:jc w:val="center"/>
              <w:rPr>
                <w:rFonts w:hint="default"/>
                <w:sz w:val="21"/>
                <w:szCs w:val="21"/>
                <w:lang w:val="en-US" w:eastAsia="zh-CN"/>
              </w:rPr>
            </w:pPr>
            <w:r>
              <w:rPr>
                <w:rFonts w:hint="eastAsia"/>
                <w:sz w:val="21"/>
                <w:szCs w:val="21"/>
                <w:lang w:val="en-US" w:eastAsia="zh-CN"/>
              </w:rPr>
              <w:t>1300-1940</w:t>
            </w:r>
          </w:p>
        </w:tc>
        <w:tc>
          <w:tcPr>
            <w:tcW w:w="794" w:type="pct"/>
            <w:tcBorders>
              <w:tl2br w:val="nil"/>
              <w:tr2bl w:val="nil"/>
            </w:tcBorders>
            <w:vAlign w:val="center"/>
          </w:tcPr>
          <w:p w14:paraId="1506EE98">
            <w:pPr>
              <w:widowControl w:val="0"/>
              <w:adjustRightInd w:val="0"/>
              <w:snapToGrid w:val="0"/>
              <w:jc w:val="center"/>
              <w:rPr>
                <w:rFonts w:hint="default"/>
                <w:sz w:val="21"/>
                <w:szCs w:val="21"/>
                <w:lang w:val="en-US" w:eastAsia="zh-CN"/>
              </w:rPr>
            </w:pPr>
            <w:r>
              <w:rPr>
                <w:rFonts w:hint="eastAsia"/>
                <w:sz w:val="21"/>
                <w:szCs w:val="21"/>
                <w:lang w:val="en-US" w:eastAsia="zh-CN"/>
              </w:rPr>
              <w:t>1310-1880</w:t>
            </w:r>
          </w:p>
        </w:tc>
        <w:tc>
          <w:tcPr>
            <w:tcW w:w="917" w:type="pct"/>
            <w:tcBorders>
              <w:tl2br w:val="nil"/>
              <w:tr2bl w:val="nil"/>
            </w:tcBorders>
            <w:vAlign w:val="center"/>
          </w:tcPr>
          <w:p w14:paraId="18687DCA">
            <w:pPr>
              <w:widowControl w:val="0"/>
              <w:adjustRightInd w:val="0"/>
              <w:snapToGrid w:val="0"/>
              <w:jc w:val="center"/>
              <w:rPr>
                <w:rFonts w:hint="default"/>
                <w:sz w:val="21"/>
                <w:szCs w:val="21"/>
                <w:lang w:val="en-US" w:eastAsia="zh-CN"/>
              </w:rPr>
            </w:pPr>
            <w:r>
              <w:rPr>
                <w:rFonts w:hint="eastAsia"/>
                <w:sz w:val="21"/>
                <w:szCs w:val="21"/>
                <w:lang w:val="en-US" w:eastAsia="zh-CN"/>
              </w:rPr>
              <w:t>1300-1980</w:t>
            </w:r>
          </w:p>
        </w:tc>
      </w:tr>
      <w:tr w14:paraId="7ACCE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1C8446CB">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2DA97CE7">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1小时最大浓度（</w:t>
            </w:r>
            <w:r>
              <w:rPr>
                <w:bCs/>
                <w:sz w:val="21"/>
                <w:szCs w:val="21"/>
              </w:rPr>
              <w:t>µ</w:t>
            </w:r>
            <w:r>
              <w:rPr>
                <w:sz w:val="21"/>
                <w:szCs w:val="21"/>
              </w:rPr>
              <w:t>g/m</w:t>
            </w:r>
            <w:r>
              <w:rPr>
                <w:sz w:val="21"/>
                <w:szCs w:val="21"/>
                <w:vertAlign w:val="superscript"/>
              </w:rPr>
              <w:t>3</w:t>
            </w:r>
            <w:r>
              <w:rPr>
                <w:sz w:val="21"/>
                <w:szCs w:val="21"/>
              </w:rPr>
              <w:t>）</w:t>
            </w:r>
          </w:p>
        </w:tc>
        <w:tc>
          <w:tcPr>
            <w:tcW w:w="824" w:type="pct"/>
            <w:tcBorders>
              <w:tl2br w:val="nil"/>
              <w:tr2bl w:val="nil"/>
            </w:tcBorders>
            <w:vAlign w:val="center"/>
          </w:tcPr>
          <w:p w14:paraId="51644585">
            <w:pPr>
              <w:widowControl w:val="0"/>
              <w:adjustRightInd w:val="0"/>
              <w:snapToGrid w:val="0"/>
              <w:jc w:val="center"/>
              <w:rPr>
                <w:rFonts w:hint="default"/>
                <w:sz w:val="21"/>
                <w:szCs w:val="21"/>
                <w:lang w:val="en-US" w:eastAsia="zh-CN"/>
              </w:rPr>
            </w:pPr>
            <w:r>
              <w:rPr>
                <w:rFonts w:hint="eastAsia"/>
                <w:sz w:val="21"/>
                <w:szCs w:val="21"/>
                <w:lang w:val="en-US" w:eastAsia="zh-CN"/>
              </w:rPr>
              <w:t>1940</w:t>
            </w:r>
          </w:p>
        </w:tc>
        <w:tc>
          <w:tcPr>
            <w:tcW w:w="794" w:type="pct"/>
            <w:tcBorders>
              <w:tl2br w:val="nil"/>
              <w:tr2bl w:val="nil"/>
            </w:tcBorders>
            <w:vAlign w:val="center"/>
          </w:tcPr>
          <w:p w14:paraId="2A8CE43B">
            <w:pPr>
              <w:widowControl w:val="0"/>
              <w:adjustRightInd w:val="0"/>
              <w:snapToGrid w:val="0"/>
              <w:jc w:val="center"/>
              <w:rPr>
                <w:rFonts w:hint="default"/>
                <w:sz w:val="21"/>
                <w:szCs w:val="21"/>
                <w:lang w:val="en-US" w:eastAsia="zh-CN"/>
              </w:rPr>
            </w:pPr>
            <w:r>
              <w:rPr>
                <w:rFonts w:hint="eastAsia"/>
                <w:sz w:val="21"/>
                <w:szCs w:val="21"/>
                <w:lang w:val="en-US" w:eastAsia="zh-CN"/>
              </w:rPr>
              <w:t>1880</w:t>
            </w:r>
          </w:p>
        </w:tc>
        <w:tc>
          <w:tcPr>
            <w:tcW w:w="917" w:type="pct"/>
            <w:tcBorders>
              <w:tl2br w:val="nil"/>
              <w:tr2bl w:val="nil"/>
            </w:tcBorders>
            <w:vAlign w:val="center"/>
          </w:tcPr>
          <w:p w14:paraId="68301E95">
            <w:pPr>
              <w:widowControl w:val="0"/>
              <w:adjustRightInd w:val="0"/>
              <w:snapToGrid w:val="0"/>
              <w:jc w:val="center"/>
              <w:rPr>
                <w:rFonts w:hint="default"/>
                <w:sz w:val="21"/>
                <w:szCs w:val="21"/>
                <w:lang w:val="en-US" w:eastAsia="zh-CN"/>
              </w:rPr>
            </w:pPr>
            <w:r>
              <w:rPr>
                <w:rFonts w:hint="eastAsia"/>
                <w:sz w:val="21"/>
                <w:szCs w:val="21"/>
                <w:lang w:val="en-US" w:eastAsia="zh-CN"/>
              </w:rPr>
              <w:t>1980</w:t>
            </w:r>
          </w:p>
        </w:tc>
      </w:tr>
      <w:tr w14:paraId="08130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567CF50E">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1A40E3CB">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超标率（%）</w:t>
            </w:r>
          </w:p>
        </w:tc>
        <w:tc>
          <w:tcPr>
            <w:tcW w:w="1479" w:type="dxa"/>
            <w:tcBorders>
              <w:tl2br w:val="nil"/>
              <w:tr2bl w:val="nil"/>
            </w:tcBorders>
            <w:vAlign w:val="center"/>
          </w:tcPr>
          <w:p w14:paraId="0231EF6F">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426" w:type="dxa"/>
            <w:tcBorders>
              <w:tl2br w:val="nil"/>
              <w:tr2bl w:val="nil"/>
            </w:tcBorders>
            <w:vAlign w:val="center"/>
          </w:tcPr>
          <w:p w14:paraId="24A0D1D4">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646" w:type="dxa"/>
            <w:tcBorders>
              <w:tl2br w:val="nil"/>
              <w:tr2bl w:val="nil"/>
            </w:tcBorders>
            <w:vAlign w:val="center"/>
          </w:tcPr>
          <w:p w14:paraId="29A1149C">
            <w:pPr>
              <w:widowControl w:val="0"/>
              <w:adjustRightInd w:val="0"/>
              <w:snapToGrid w:val="0"/>
              <w:jc w:val="center"/>
              <w:rPr>
                <w:rFonts w:hint="eastAsia"/>
                <w:sz w:val="21"/>
                <w:szCs w:val="21"/>
                <w:lang w:val="en-US" w:eastAsia="zh-CN"/>
              </w:rPr>
            </w:pPr>
            <w:r>
              <w:rPr>
                <w:rFonts w:hint="eastAsia"/>
                <w:sz w:val="21"/>
                <w:szCs w:val="21"/>
                <w:lang w:val="en-US" w:eastAsia="zh-CN"/>
              </w:rPr>
              <w:t>/</w:t>
            </w:r>
          </w:p>
        </w:tc>
      </w:tr>
      <w:tr w14:paraId="7B1BB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058D9EA5">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78A771D9">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最大超标倍数</w:t>
            </w:r>
          </w:p>
        </w:tc>
        <w:tc>
          <w:tcPr>
            <w:tcW w:w="1479" w:type="dxa"/>
            <w:tcBorders>
              <w:tl2br w:val="nil"/>
              <w:tr2bl w:val="nil"/>
            </w:tcBorders>
            <w:vAlign w:val="center"/>
          </w:tcPr>
          <w:p w14:paraId="5FAC830F">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426" w:type="dxa"/>
            <w:tcBorders>
              <w:tl2br w:val="nil"/>
              <w:tr2bl w:val="nil"/>
            </w:tcBorders>
            <w:vAlign w:val="center"/>
          </w:tcPr>
          <w:p w14:paraId="6A8F541C">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646" w:type="dxa"/>
            <w:tcBorders>
              <w:tl2br w:val="nil"/>
              <w:tr2bl w:val="nil"/>
            </w:tcBorders>
            <w:vAlign w:val="center"/>
          </w:tcPr>
          <w:p w14:paraId="4B561125">
            <w:pPr>
              <w:widowControl w:val="0"/>
              <w:adjustRightInd w:val="0"/>
              <w:snapToGrid w:val="0"/>
              <w:jc w:val="center"/>
              <w:rPr>
                <w:rFonts w:hint="eastAsia"/>
                <w:sz w:val="21"/>
                <w:szCs w:val="21"/>
                <w:lang w:val="en-US" w:eastAsia="zh-CN"/>
              </w:rPr>
            </w:pPr>
            <w:r>
              <w:rPr>
                <w:rFonts w:hint="eastAsia"/>
                <w:sz w:val="21"/>
                <w:szCs w:val="21"/>
                <w:lang w:val="en-US" w:eastAsia="zh-CN"/>
              </w:rPr>
              <w:t>/</w:t>
            </w:r>
          </w:p>
        </w:tc>
      </w:tr>
      <w:tr w14:paraId="226D4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1991E1B2">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71A60B59">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最大占标百分比（%）</w:t>
            </w:r>
          </w:p>
        </w:tc>
        <w:tc>
          <w:tcPr>
            <w:tcW w:w="824" w:type="pct"/>
            <w:tcBorders>
              <w:tl2br w:val="nil"/>
              <w:tr2bl w:val="nil"/>
            </w:tcBorders>
            <w:vAlign w:val="center"/>
          </w:tcPr>
          <w:p w14:paraId="51E9163C">
            <w:pPr>
              <w:widowControl w:val="0"/>
              <w:adjustRightInd w:val="0"/>
              <w:snapToGrid w:val="0"/>
              <w:jc w:val="center"/>
              <w:rPr>
                <w:rFonts w:hint="default"/>
                <w:sz w:val="21"/>
                <w:szCs w:val="21"/>
                <w:lang w:val="en-US" w:eastAsia="zh-CN"/>
              </w:rPr>
            </w:pPr>
            <w:r>
              <w:rPr>
                <w:rFonts w:hint="eastAsia"/>
                <w:sz w:val="21"/>
                <w:szCs w:val="21"/>
                <w:lang w:val="en-US" w:eastAsia="zh-CN"/>
              </w:rPr>
              <w:t>97</w:t>
            </w:r>
          </w:p>
        </w:tc>
        <w:tc>
          <w:tcPr>
            <w:tcW w:w="794" w:type="pct"/>
            <w:tcBorders>
              <w:tl2br w:val="nil"/>
              <w:tr2bl w:val="nil"/>
            </w:tcBorders>
            <w:vAlign w:val="center"/>
          </w:tcPr>
          <w:p w14:paraId="141086FA">
            <w:pPr>
              <w:widowControl w:val="0"/>
              <w:adjustRightInd w:val="0"/>
              <w:snapToGrid w:val="0"/>
              <w:jc w:val="center"/>
              <w:rPr>
                <w:rFonts w:hint="default"/>
                <w:sz w:val="21"/>
                <w:szCs w:val="21"/>
                <w:lang w:val="en-US" w:eastAsia="zh-CN"/>
              </w:rPr>
            </w:pPr>
            <w:r>
              <w:rPr>
                <w:rFonts w:hint="eastAsia"/>
                <w:sz w:val="21"/>
                <w:szCs w:val="21"/>
                <w:lang w:val="en-US" w:eastAsia="zh-CN"/>
              </w:rPr>
              <w:t>94</w:t>
            </w:r>
          </w:p>
        </w:tc>
        <w:tc>
          <w:tcPr>
            <w:tcW w:w="917" w:type="pct"/>
            <w:tcBorders>
              <w:tl2br w:val="nil"/>
              <w:tr2bl w:val="nil"/>
            </w:tcBorders>
            <w:vAlign w:val="center"/>
          </w:tcPr>
          <w:p w14:paraId="38CE1564">
            <w:pPr>
              <w:widowControl w:val="0"/>
              <w:adjustRightInd w:val="0"/>
              <w:snapToGrid w:val="0"/>
              <w:jc w:val="center"/>
              <w:rPr>
                <w:rFonts w:hint="default"/>
                <w:sz w:val="21"/>
                <w:szCs w:val="21"/>
                <w:lang w:val="en-US" w:eastAsia="zh-CN"/>
              </w:rPr>
            </w:pPr>
            <w:r>
              <w:rPr>
                <w:rFonts w:hint="eastAsia"/>
                <w:sz w:val="21"/>
                <w:szCs w:val="21"/>
                <w:lang w:val="en-US" w:eastAsia="zh-CN"/>
              </w:rPr>
              <w:t>99</w:t>
            </w:r>
          </w:p>
        </w:tc>
      </w:tr>
      <w:tr w14:paraId="3BF30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restart"/>
            <w:tcBorders>
              <w:tl2br w:val="nil"/>
              <w:tr2bl w:val="nil"/>
            </w:tcBorders>
            <w:vAlign w:val="center"/>
          </w:tcPr>
          <w:p w14:paraId="7D1EEC47">
            <w:pPr>
              <w:widowControl w:val="0"/>
              <w:adjustRightInd w:val="0"/>
              <w:snapToGrid w:val="0"/>
              <w:jc w:val="center"/>
              <w:rPr>
                <w:rFonts w:hint="default" w:eastAsia="宋体"/>
                <w:sz w:val="21"/>
                <w:szCs w:val="21"/>
                <w:lang w:val="en-US" w:eastAsia="zh-CN"/>
              </w:rPr>
            </w:pPr>
            <w:r>
              <w:rPr>
                <w:rFonts w:hint="eastAsia"/>
                <w:sz w:val="21"/>
                <w:szCs w:val="21"/>
                <w:lang w:val="en-US" w:eastAsia="zh-CN"/>
              </w:rPr>
              <w:t>TSP</w:t>
            </w:r>
          </w:p>
        </w:tc>
        <w:tc>
          <w:tcPr>
            <w:tcW w:w="1571" w:type="pct"/>
            <w:tcBorders>
              <w:tl2br w:val="nil"/>
              <w:tr2bl w:val="nil"/>
            </w:tcBorders>
            <w:shd w:val="clear" w:color="auto" w:fill="auto"/>
            <w:vAlign w:val="center"/>
          </w:tcPr>
          <w:p w14:paraId="269F570D">
            <w:pPr>
              <w:widowControl w:val="0"/>
              <w:adjustRightInd w:val="0"/>
              <w:snapToGrid w:val="0"/>
              <w:jc w:val="center"/>
              <w:rPr>
                <w:rFonts w:ascii="Times New Roman" w:hAnsi="Times New Roman" w:eastAsia="宋体" w:cs="Times New Roman"/>
                <w:sz w:val="21"/>
                <w:szCs w:val="21"/>
                <w:lang w:val="en-US" w:eastAsia="zh-CN" w:bidi="ar-SA"/>
              </w:rPr>
            </w:pPr>
            <w:r>
              <w:rPr>
                <w:rFonts w:hint="eastAsia"/>
                <w:sz w:val="21"/>
                <w:szCs w:val="21"/>
                <w:lang w:val="en-US" w:eastAsia="zh-CN"/>
              </w:rPr>
              <w:t>日</w:t>
            </w:r>
            <w:r>
              <w:rPr>
                <w:sz w:val="21"/>
                <w:szCs w:val="21"/>
              </w:rPr>
              <w:t>平均浓度范围（</w:t>
            </w:r>
            <w:r>
              <w:rPr>
                <w:bCs/>
                <w:sz w:val="21"/>
                <w:szCs w:val="21"/>
              </w:rPr>
              <w:t>µ</w:t>
            </w:r>
            <w:r>
              <w:rPr>
                <w:sz w:val="21"/>
                <w:szCs w:val="21"/>
              </w:rPr>
              <w:t>g/m</w:t>
            </w:r>
            <w:r>
              <w:rPr>
                <w:sz w:val="21"/>
                <w:szCs w:val="21"/>
                <w:vertAlign w:val="superscript"/>
              </w:rPr>
              <w:t>3</w:t>
            </w:r>
            <w:r>
              <w:rPr>
                <w:sz w:val="21"/>
                <w:szCs w:val="21"/>
              </w:rPr>
              <w:t>）</w:t>
            </w:r>
          </w:p>
        </w:tc>
        <w:tc>
          <w:tcPr>
            <w:tcW w:w="824" w:type="pct"/>
            <w:tcBorders>
              <w:tl2br w:val="nil"/>
              <w:tr2bl w:val="nil"/>
            </w:tcBorders>
            <w:vAlign w:val="center"/>
          </w:tcPr>
          <w:p w14:paraId="6247F6CF">
            <w:pPr>
              <w:widowControl w:val="0"/>
              <w:adjustRightInd w:val="0"/>
              <w:snapToGrid w:val="0"/>
              <w:jc w:val="center"/>
              <w:rPr>
                <w:rFonts w:hint="default"/>
                <w:sz w:val="21"/>
                <w:szCs w:val="21"/>
                <w:lang w:val="en-US" w:eastAsia="zh-CN"/>
              </w:rPr>
            </w:pPr>
            <w:r>
              <w:rPr>
                <w:rFonts w:hint="eastAsia"/>
                <w:sz w:val="21"/>
                <w:szCs w:val="21"/>
                <w:lang w:val="en-US" w:eastAsia="zh-CN"/>
              </w:rPr>
              <w:t>76-94</w:t>
            </w:r>
          </w:p>
        </w:tc>
        <w:tc>
          <w:tcPr>
            <w:tcW w:w="794" w:type="pct"/>
            <w:tcBorders>
              <w:tl2br w:val="nil"/>
              <w:tr2bl w:val="nil"/>
            </w:tcBorders>
            <w:vAlign w:val="center"/>
          </w:tcPr>
          <w:p w14:paraId="76EAC63E">
            <w:pPr>
              <w:widowControl w:val="0"/>
              <w:adjustRightInd w:val="0"/>
              <w:snapToGrid w:val="0"/>
              <w:jc w:val="center"/>
              <w:rPr>
                <w:rFonts w:hint="default"/>
                <w:sz w:val="21"/>
                <w:szCs w:val="21"/>
                <w:lang w:val="en-US" w:eastAsia="zh-CN"/>
              </w:rPr>
            </w:pPr>
            <w:r>
              <w:rPr>
                <w:rFonts w:hint="eastAsia"/>
                <w:sz w:val="21"/>
                <w:szCs w:val="21"/>
                <w:lang w:val="en-US" w:eastAsia="zh-CN"/>
              </w:rPr>
              <w:t>77-91</w:t>
            </w:r>
          </w:p>
        </w:tc>
        <w:tc>
          <w:tcPr>
            <w:tcW w:w="917" w:type="pct"/>
            <w:tcBorders>
              <w:tl2br w:val="nil"/>
              <w:tr2bl w:val="nil"/>
            </w:tcBorders>
            <w:vAlign w:val="center"/>
          </w:tcPr>
          <w:p w14:paraId="084521EE">
            <w:pPr>
              <w:widowControl w:val="0"/>
              <w:adjustRightInd w:val="0"/>
              <w:snapToGrid w:val="0"/>
              <w:jc w:val="center"/>
              <w:rPr>
                <w:rFonts w:hint="default"/>
                <w:sz w:val="21"/>
                <w:szCs w:val="21"/>
                <w:lang w:val="en-US" w:eastAsia="zh-CN"/>
              </w:rPr>
            </w:pPr>
            <w:r>
              <w:rPr>
                <w:rFonts w:hint="eastAsia"/>
                <w:sz w:val="21"/>
                <w:szCs w:val="21"/>
                <w:lang w:val="en-US" w:eastAsia="zh-CN"/>
              </w:rPr>
              <w:t>77-95</w:t>
            </w:r>
          </w:p>
        </w:tc>
      </w:tr>
      <w:tr w14:paraId="63F3F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719EB909">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4A70AE34">
            <w:pPr>
              <w:widowControl w:val="0"/>
              <w:adjustRightInd w:val="0"/>
              <w:snapToGrid w:val="0"/>
              <w:jc w:val="center"/>
              <w:rPr>
                <w:rFonts w:ascii="Times New Roman" w:hAnsi="Times New Roman" w:eastAsia="宋体" w:cs="Times New Roman"/>
                <w:sz w:val="21"/>
                <w:szCs w:val="21"/>
                <w:lang w:val="en-US" w:eastAsia="zh-CN" w:bidi="ar-SA"/>
              </w:rPr>
            </w:pPr>
            <w:r>
              <w:rPr>
                <w:rFonts w:hint="eastAsia"/>
                <w:sz w:val="21"/>
                <w:szCs w:val="21"/>
                <w:lang w:val="en-US" w:eastAsia="zh-CN"/>
              </w:rPr>
              <w:t>日</w:t>
            </w:r>
            <w:r>
              <w:rPr>
                <w:sz w:val="21"/>
                <w:szCs w:val="21"/>
              </w:rPr>
              <w:t>最大浓度（</w:t>
            </w:r>
            <w:r>
              <w:rPr>
                <w:bCs/>
                <w:sz w:val="21"/>
                <w:szCs w:val="21"/>
              </w:rPr>
              <w:t>µ</w:t>
            </w:r>
            <w:r>
              <w:rPr>
                <w:sz w:val="21"/>
                <w:szCs w:val="21"/>
              </w:rPr>
              <w:t>g/m</w:t>
            </w:r>
            <w:r>
              <w:rPr>
                <w:sz w:val="21"/>
                <w:szCs w:val="21"/>
                <w:vertAlign w:val="superscript"/>
              </w:rPr>
              <w:t>3</w:t>
            </w:r>
            <w:r>
              <w:rPr>
                <w:sz w:val="21"/>
                <w:szCs w:val="21"/>
              </w:rPr>
              <w:t>）</w:t>
            </w:r>
          </w:p>
        </w:tc>
        <w:tc>
          <w:tcPr>
            <w:tcW w:w="824" w:type="pct"/>
            <w:tcBorders>
              <w:tl2br w:val="nil"/>
              <w:tr2bl w:val="nil"/>
            </w:tcBorders>
            <w:vAlign w:val="center"/>
          </w:tcPr>
          <w:p w14:paraId="2121441C">
            <w:pPr>
              <w:widowControl w:val="0"/>
              <w:adjustRightInd w:val="0"/>
              <w:snapToGrid w:val="0"/>
              <w:jc w:val="center"/>
              <w:rPr>
                <w:rFonts w:hint="default"/>
                <w:sz w:val="21"/>
                <w:szCs w:val="21"/>
                <w:lang w:val="en-US" w:eastAsia="zh-CN"/>
              </w:rPr>
            </w:pPr>
            <w:r>
              <w:rPr>
                <w:rFonts w:hint="eastAsia"/>
                <w:sz w:val="21"/>
                <w:szCs w:val="21"/>
                <w:lang w:val="en-US" w:eastAsia="zh-CN"/>
              </w:rPr>
              <w:t>94</w:t>
            </w:r>
          </w:p>
        </w:tc>
        <w:tc>
          <w:tcPr>
            <w:tcW w:w="794" w:type="pct"/>
            <w:tcBorders>
              <w:tl2br w:val="nil"/>
              <w:tr2bl w:val="nil"/>
            </w:tcBorders>
            <w:vAlign w:val="center"/>
          </w:tcPr>
          <w:p w14:paraId="0F471F83">
            <w:pPr>
              <w:widowControl w:val="0"/>
              <w:adjustRightInd w:val="0"/>
              <w:snapToGrid w:val="0"/>
              <w:jc w:val="center"/>
              <w:rPr>
                <w:rFonts w:hint="default"/>
                <w:sz w:val="21"/>
                <w:szCs w:val="21"/>
                <w:lang w:val="en-US" w:eastAsia="zh-CN"/>
              </w:rPr>
            </w:pPr>
            <w:r>
              <w:rPr>
                <w:rFonts w:hint="eastAsia"/>
                <w:sz w:val="21"/>
                <w:szCs w:val="21"/>
                <w:lang w:val="en-US" w:eastAsia="zh-CN"/>
              </w:rPr>
              <w:t>91</w:t>
            </w:r>
          </w:p>
        </w:tc>
        <w:tc>
          <w:tcPr>
            <w:tcW w:w="917" w:type="pct"/>
            <w:tcBorders>
              <w:tl2br w:val="nil"/>
              <w:tr2bl w:val="nil"/>
            </w:tcBorders>
            <w:vAlign w:val="center"/>
          </w:tcPr>
          <w:p w14:paraId="42811E74">
            <w:pPr>
              <w:widowControl w:val="0"/>
              <w:adjustRightInd w:val="0"/>
              <w:snapToGrid w:val="0"/>
              <w:jc w:val="center"/>
              <w:rPr>
                <w:rFonts w:hint="default"/>
                <w:sz w:val="21"/>
                <w:szCs w:val="21"/>
                <w:lang w:val="en-US" w:eastAsia="zh-CN"/>
              </w:rPr>
            </w:pPr>
            <w:r>
              <w:rPr>
                <w:rFonts w:hint="eastAsia"/>
                <w:sz w:val="21"/>
                <w:szCs w:val="21"/>
                <w:lang w:val="en-US" w:eastAsia="zh-CN"/>
              </w:rPr>
              <w:t>95</w:t>
            </w:r>
          </w:p>
        </w:tc>
      </w:tr>
      <w:tr w14:paraId="59425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2B75752F">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174AE386">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超标率（%）</w:t>
            </w:r>
          </w:p>
        </w:tc>
        <w:tc>
          <w:tcPr>
            <w:tcW w:w="1479" w:type="dxa"/>
            <w:tcBorders>
              <w:tl2br w:val="nil"/>
              <w:tr2bl w:val="nil"/>
            </w:tcBorders>
            <w:vAlign w:val="center"/>
          </w:tcPr>
          <w:p w14:paraId="10915D6F">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426" w:type="dxa"/>
            <w:tcBorders>
              <w:tl2br w:val="nil"/>
              <w:tr2bl w:val="nil"/>
            </w:tcBorders>
            <w:vAlign w:val="center"/>
          </w:tcPr>
          <w:p w14:paraId="78F4AF1D">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646" w:type="dxa"/>
            <w:tcBorders>
              <w:tl2br w:val="nil"/>
              <w:tr2bl w:val="nil"/>
            </w:tcBorders>
            <w:vAlign w:val="center"/>
          </w:tcPr>
          <w:p w14:paraId="41F4D27C">
            <w:pPr>
              <w:widowControl w:val="0"/>
              <w:adjustRightInd w:val="0"/>
              <w:snapToGrid w:val="0"/>
              <w:jc w:val="center"/>
              <w:rPr>
                <w:rFonts w:hint="eastAsia"/>
                <w:sz w:val="21"/>
                <w:szCs w:val="21"/>
                <w:lang w:val="en-US" w:eastAsia="zh-CN"/>
              </w:rPr>
            </w:pPr>
            <w:r>
              <w:rPr>
                <w:rFonts w:hint="eastAsia"/>
                <w:sz w:val="21"/>
                <w:szCs w:val="21"/>
                <w:lang w:val="en-US" w:eastAsia="zh-CN"/>
              </w:rPr>
              <w:t>/</w:t>
            </w:r>
          </w:p>
        </w:tc>
      </w:tr>
      <w:tr w14:paraId="35153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2314EF87">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05FF8F9E">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最大超标倍数</w:t>
            </w:r>
          </w:p>
        </w:tc>
        <w:tc>
          <w:tcPr>
            <w:tcW w:w="1479" w:type="dxa"/>
            <w:tcBorders>
              <w:tl2br w:val="nil"/>
              <w:tr2bl w:val="nil"/>
            </w:tcBorders>
            <w:vAlign w:val="center"/>
          </w:tcPr>
          <w:p w14:paraId="5F533DC4">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426" w:type="dxa"/>
            <w:tcBorders>
              <w:tl2br w:val="nil"/>
              <w:tr2bl w:val="nil"/>
            </w:tcBorders>
            <w:vAlign w:val="center"/>
          </w:tcPr>
          <w:p w14:paraId="2BD94AB8">
            <w:pPr>
              <w:widowControl w:val="0"/>
              <w:adjustRightInd w:val="0"/>
              <w:snapToGrid w:val="0"/>
              <w:jc w:val="center"/>
              <w:rPr>
                <w:rFonts w:hint="eastAsia"/>
                <w:sz w:val="21"/>
                <w:szCs w:val="21"/>
                <w:lang w:val="en-US" w:eastAsia="zh-CN"/>
              </w:rPr>
            </w:pPr>
            <w:r>
              <w:rPr>
                <w:rFonts w:hint="eastAsia"/>
                <w:sz w:val="21"/>
                <w:szCs w:val="21"/>
                <w:lang w:val="en-US" w:eastAsia="zh-CN"/>
              </w:rPr>
              <w:t>/</w:t>
            </w:r>
          </w:p>
        </w:tc>
        <w:tc>
          <w:tcPr>
            <w:tcW w:w="1646" w:type="dxa"/>
            <w:tcBorders>
              <w:tl2br w:val="nil"/>
              <w:tr2bl w:val="nil"/>
            </w:tcBorders>
            <w:vAlign w:val="center"/>
          </w:tcPr>
          <w:p w14:paraId="02423AF9">
            <w:pPr>
              <w:widowControl w:val="0"/>
              <w:adjustRightInd w:val="0"/>
              <w:snapToGrid w:val="0"/>
              <w:jc w:val="center"/>
              <w:rPr>
                <w:rFonts w:hint="eastAsia"/>
                <w:sz w:val="21"/>
                <w:szCs w:val="21"/>
                <w:lang w:val="en-US" w:eastAsia="zh-CN"/>
              </w:rPr>
            </w:pPr>
            <w:r>
              <w:rPr>
                <w:rFonts w:hint="eastAsia"/>
                <w:sz w:val="21"/>
                <w:szCs w:val="21"/>
                <w:lang w:val="en-US" w:eastAsia="zh-CN"/>
              </w:rPr>
              <w:t>/</w:t>
            </w:r>
          </w:p>
        </w:tc>
      </w:tr>
      <w:tr w14:paraId="4B883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893" w:type="pct"/>
            <w:vMerge w:val="continue"/>
            <w:tcBorders>
              <w:tl2br w:val="nil"/>
              <w:tr2bl w:val="nil"/>
            </w:tcBorders>
            <w:vAlign w:val="center"/>
          </w:tcPr>
          <w:p w14:paraId="2D80AA27">
            <w:pPr>
              <w:widowControl w:val="0"/>
              <w:adjustRightInd w:val="0"/>
              <w:snapToGrid w:val="0"/>
              <w:jc w:val="center"/>
              <w:rPr>
                <w:sz w:val="21"/>
                <w:szCs w:val="21"/>
              </w:rPr>
            </w:pPr>
          </w:p>
        </w:tc>
        <w:tc>
          <w:tcPr>
            <w:tcW w:w="1571" w:type="pct"/>
            <w:tcBorders>
              <w:tl2br w:val="nil"/>
              <w:tr2bl w:val="nil"/>
            </w:tcBorders>
            <w:shd w:val="clear" w:color="auto" w:fill="auto"/>
            <w:vAlign w:val="center"/>
          </w:tcPr>
          <w:p w14:paraId="1A56065F">
            <w:pPr>
              <w:widowControl w:val="0"/>
              <w:adjustRightInd w:val="0"/>
              <w:snapToGrid w:val="0"/>
              <w:jc w:val="center"/>
              <w:rPr>
                <w:rFonts w:ascii="Times New Roman" w:hAnsi="Times New Roman" w:eastAsia="宋体" w:cs="Times New Roman"/>
                <w:sz w:val="21"/>
                <w:szCs w:val="21"/>
                <w:lang w:val="en-US" w:eastAsia="zh-CN" w:bidi="ar-SA"/>
              </w:rPr>
            </w:pPr>
            <w:r>
              <w:rPr>
                <w:sz w:val="21"/>
                <w:szCs w:val="21"/>
              </w:rPr>
              <w:t>最大占标百分比（%）</w:t>
            </w:r>
          </w:p>
        </w:tc>
        <w:tc>
          <w:tcPr>
            <w:tcW w:w="824" w:type="pct"/>
            <w:tcBorders>
              <w:tl2br w:val="nil"/>
              <w:tr2bl w:val="nil"/>
            </w:tcBorders>
            <w:vAlign w:val="center"/>
          </w:tcPr>
          <w:p w14:paraId="52A102AE">
            <w:pPr>
              <w:widowControl w:val="0"/>
              <w:adjustRightInd w:val="0"/>
              <w:snapToGrid w:val="0"/>
              <w:jc w:val="center"/>
              <w:rPr>
                <w:rFonts w:hint="default"/>
                <w:sz w:val="21"/>
                <w:szCs w:val="21"/>
                <w:lang w:val="en-US" w:eastAsia="zh-CN"/>
              </w:rPr>
            </w:pPr>
            <w:r>
              <w:rPr>
                <w:rFonts w:hint="eastAsia"/>
                <w:sz w:val="21"/>
                <w:szCs w:val="21"/>
                <w:lang w:val="en-US" w:eastAsia="zh-CN"/>
              </w:rPr>
              <w:t>31.3</w:t>
            </w:r>
          </w:p>
        </w:tc>
        <w:tc>
          <w:tcPr>
            <w:tcW w:w="794" w:type="pct"/>
            <w:tcBorders>
              <w:tl2br w:val="nil"/>
              <w:tr2bl w:val="nil"/>
            </w:tcBorders>
            <w:vAlign w:val="center"/>
          </w:tcPr>
          <w:p w14:paraId="15DA46AC">
            <w:pPr>
              <w:widowControl w:val="0"/>
              <w:adjustRightInd w:val="0"/>
              <w:snapToGrid w:val="0"/>
              <w:jc w:val="center"/>
              <w:rPr>
                <w:rFonts w:hint="default"/>
                <w:sz w:val="21"/>
                <w:szCs w:val="21"/>
                <w:lang w:val="en-US" w:eastAsia="zh-CN"/>
              </w:rPr>
            </w:pPr>
            <w:r>
              <w:rPr>
                <w:rFonts w:hint="eastAsia"/>
                <w:sz w:val="21"/>
                <w:szCs w:val="21"/>
                <w:lang w:val="en-US" w:eastAsia="zh-CN"/>
              </w:rPr>
              <w:t>30.3</w:t>
            </w:r>
          </w:p>
        </w:tc>
        <w:tc>
          <w:tcPr>
            <w:tcW w:w="917" w:type="pct"/>
            <w:tcBorders>
              <w:tl2br w:val="nil"/>
              <w:tr2bl w:val="nil"/>
            </w:tcBorders>
            <w:vAlign w:val="center"/>
          </w:tcPr>
          <w:p w14:paraId="5FD3E038">
            <w:pPr>
              <w:widowControl w:val="0"/>
              <w:adjustRightInd w:val="0"/>
              <w:snapToGrid w:val="0"/>
              <w:jc w:val="center"/>
              <w:rPr>
                <w:rFonts w:hint="default"/>
                <w:sz w:val="21"/>
                <w:szCs w:val="21"/>
                <w:lang w:val="en-US" w:eastAsia="zh-CN"/>
              </w:rPr>
            </w:pPr>
            <w:r>
              <w:rPr>
                <w:rFonts w:hint="eastAsia"/>
                <w:sz w:val="21"/>
                <w:szCs w:val="21"/>
                <w:lang w:val="en-US" w:eastAsia="zh-CN"/>
              </w:rPr>
              <w:t>31.7</w:t>
            </w:r>
          </w:p>
        </w:tc>
      </w:tr>
    </w:tbl>
    <w:p w14:paraId="0D9ACF25">
      <w:pPr>
        <w:spacing w:line="360" w:lineRule="auto"/>
        <w:ind w:firstLine="480" w:firstLineChars="200"/>
      </w:pPr>
      <w:r>
        <w:t>评价结果表明，评价区内</w:t>
      </w:r>
      <w:r>
        <w:rPr>
          <w:rFonts w:hint="eastAsia"/>
          <w:lang w:val="en-US" w:eastAsia="zh-CN"/>
        </w:rPr>
        <w:t>TSP、非甲烷总烃、</w:t>
      </w:r>
      <w:r>
        <w:t>氨</w:t>
      </w:r>
      <w:r>
        <w:rPr>
          <w:rFonts w:hint="eastAsia"/>
          <w:lang w:val="en-US" w:eastAsia="zh-CN"/>
        </w:rPr>
        <w:t>和硫化氢</w:t>
      </w:r>
      <w:r>
        <w:t>占标百分比</w:t>
      </w:r>
      <w:r>
        <w:rPr>
          <w:lang w:val="en-GB"/>
        </w:rPr>
        <w:t>Pi</w:t>
      </w:r>
      <w:r>
        <w:t>均无大于100%情况出现，氨</w:t>
      </w:r>
      <w:r>
        <w:rPr>
          <w:rFonts w:hint="eastAsia"/>
          <w:lang w:val="en-US" w:eastAsia="zh-CN"/>
        </w:rPr>
        <w:t>和硫化氢</w:t>
      </w:r>
      <w:r>
        <w:t>均能够满足《环境影响评价技术导则 大气环境》（HJ2.2</w:t>
      </w:r>
      <w:r>
        <w:rPr>
          <w:rFonts w:hint="eastAsia"/>
          <w:lang w:val="en-US" w:eastAsia="zh-CN"/>
        </w:rPr>
        <w:t>-</w:t>
      </w:r>
      <w:r>
        <w:t>2018）中附录D其他污染物空气质量浓度参考限值</w:t>
      </w:r>
      <w:r>
        <w:rPr>
          <w:rFonts w:hint="eastAsia"/>
          <w:lang w:eastAsia="zh-CN"/>
        </w:rPr>
        <w:t>，</w:t>
      </w:r>
      <w:r>
        <w:rPr>
          <w:rFonts w:hint="eastAsia"/>
          <w:bCs/>
          <w:lang w:val="en-US" w:eastAsia="zh-CN"/>
        </w:rPr>
        <w:t>非甲烷总烃能够满足《环境空气质量 非甲烷总烃限值》（DB13/1577-2012）二级标准限值，TSP能够满足《环境空气质量标准》(GB 3095-2026)二级标准</w:t>
      </w:r>
      <w:r>
        <w:rPr>
          <w:bCs/>
        </w:rPr>
        <w:t>。</w:t>
      </w:r>
    </w:p>
    <w:p w14:paraId="0ABB2DEC">
      <w:pPr>
        <w:pStyle w:val="4"/>
      </w:pPr>
      <w:r>
        <w:t>4.3.3声环境现状监测与评价</w:t>
      </w:r>
    </w:p>
    <w:p w14:paraId="5425443D">
      <w:pPr>
        <w:pStyle w:val="5"/>
        <w:rPr>
          <w:rFonts w:eastAsia="宋体"/>
          <w:b w:val="0"/>
          <w:lang w:bidi="ar"/>
        </w:rPr>
      </w:pPr>
      <w:r>
        <w:rPr>
          <w:rFonts w:eastAsia="宋体"/>
        </w:rPr>
        <w:t>4.3.3.1监测点位</w:t>
      </w:r>
    </w:p>
    <w:p w14:paraId="425B5DE8">
      <w:pPr>
        <w:spacing w:line="360" w:lineRule="auto"/>
        <w:ind w:firstLine="480" w:firstLineChars="200"/>
      </w:pPr>
      <w:r>
        <w:rPr>
          <w:rFonts w:hint="eastAsia"/>
          <w:lang w:eastAsia="zh-CN" w:bidi="ar"/>
        </w:rPr>
        <w:t>本项目</w:t>
      </w:r>
      <w:r>
        <w:rPr>
          <w:lang w:bidi="ar"/>
        </w:rPr>
        <w:t>位于</w:t>
      </w:r>
      <w:r>
        <w:rPr>
          <w:rFonts w:hint="eastAsia"/>
          <w:szCs w:val="32"/>
          <w:lang w:eastAsia="zh-CN"/>
        </w:rPr>
        <w:t>拉哈生物技术与化学制药产业园黑龙江鸿展生物科技股份有限公司院内</w:t>
      </w:r>
      <w:r>
        <w:t>。</w:t>
      </w:r>
      <w:r>
        <w:rPr>
          <w:rFonts w:hint="eastAsia"/>
          <w:lang w:eastAsia="zh-CN"/>
        </w:rPr>
        <w:t>厂址北侧及东北侧为前屯，东南侧为齐齐哈尔鹏程北方糖业股份有限公司，南侧为示范场村，西侧为空地。</w:t>
      </w:r>
      <w:r>
        <w:t>厂界声环境现状监测布点详见图4.3-2。</w:t>
      </w:r>
    </w:p>
    <w:p w14:paraId="40143291">
      <w:pPr>
        <w:pStyle w:val="97"/>
        <w:spacing w:line="360" w:lineRule="auto"/>
        <w:ind w:firstLine="0"/>
        <w:jc w:val="center"/>
        <w:rPr>
          <w:rFonts w:ascii="Times New Roman" w:hAnsi="Times New Roman"/>
          <w:color w:val="auto"/>
        </w:rPr>
      </w:pPr>
      <w:r>
        <w:drawing>
          <wp:inline distT="0" distB="0" distL="114300" distR="114300">
            <wp:extent cx="5725795" cy="4618355"/>
            <wp:effectExtent l="0" t="0" r="8255" b="10795"/>
            <wp:docPr id="1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
                    <pic:cNvPicPr>
                      <a:picLocks noChangeAspect="1"/>
                    </pic:cNvPicPr>
                  </pic:nvPicPr>
                  <pic:blipFill>
                    <a:blip r:embed="rId71"/>
                    <a:stretch>
                      <a:fillRect/>
                    </a:stretch>
                  </pic:blipFill>
                  <pic:spPr>
                    <a:xfrm>
                      <a:off x="0" y="0"/>
                      <a:ext cx="5725795" cy="4618355"/>
                    </a:xfrm>
                    <a:prstGeom prst="rect">
                      <a:avLst/>
                    </a:prstGeom>
                    <a:noFill/>
                    <a:ln>
                      <a:noFill/>
                    </a:ln>
                  </pic:spPr>
                </pic:pic>
              </a:graphicData>
            </a:graphic>
          </wp:inline>
        </w:drawing>
      </w:r>
    </w:p>
    <w:p w14:paraId="369A530F">
      <w:pPr>
        <w:jc w:val="center"/>
      </w:pPr>
      <w:r>
        <w:rPr>
          <w:b/>
          <w:bCs/>
        </w:rPr>
        <w:t>图4.3-2  声环境现状监测布点图</w:t>
      </w:r>
    </w:p>
    <w:p w14:paraId="7E01AD87">
      <w:pPr>
        <w:pStyle w:val="5"/>
      </w:pPr>
      <w:r>
        <w:t>4.3.</w:t>
      </w:r>
      <w:r>
        <w:rPr>
          <w:rFonts w:eastAsia="宋体"/>
        </w:rPr>
        <w:t>3</w:t>
      </w:r>
      <w:r>
        <w:t xml:space="preserve">.2 </w:t>
      </w:r>
      <w:r>
        <w:rPr>
          <w:rFonts w:eastAsia="宋体"/>
        </w:rPr>
        <w:t>监测时间、频率</w:t>
      </w:r>
    </w:p>
    <w:p w14:paraId="4D005F33">
      <w:pPr>
        <w:spacing w:line="360" w:lineRule="auto"/>
        <w:ind w:firstLine="480" w:firstLineChars="200"/>
      </w:pPr>
      <w:r>
        <w:rPr>
          <w:rFonts w:hint="eastAsia"/>
          <w:lang w:eastAsia="zh-CN"/>
        </w:rPr>
        <w:t>本项目</w:t>
      </w:r>
      <w:r>
        <w:t>委托</w:t>
      </w:r>
      <w:r>
        <w:rPr>
          <w:rFonts w:hint="eastAsia"/>
          <w:lang w:eastAsia="zh-CN"/>
        </w:rPr>
        <w:t>黑龙江九实检测有限公司</w:t>
      </w:r>
      <w:r>
        <w:t>监测，监测时间为</w:t>
      </w:r>
      <w:r>
        <w:rPr>
          <w:rFonts w:hint="eastAsia"/>
        </w:rPr>
        <w:t>202</w:t>
      </w:r>
      <w:r>
        <w:rPr>
          <w:rFonts w:hint="eastAsia"/>
          <w:lang w:val="en-US" w:eastAsia="zh-CN"/>
        </w:rPr>
        <w:t>6</w:t>
      </w:r>
      <w:r>
        <w:rPr>
          <w:rFonts w:hint="eastAsia"/>
        </w:rPr>
        <w:t>年</w:t>
      </w:r>
      <w:r>
        <w:rPr>
          <w:rFonts w:hint="eastAsia"/>
          <w:lang w:val="en-US" w:eastAsia="zh-CN"/>
        </w:rPr>
        <w:t>5</w:t>
      </w:r>
      <w:r>
        <w:rPr>
          <w:rFonts w:hint="eastAsia"/>
        </w:rPr>
        <w:t>月</w:t>
      </w:r>
      <w:r>
        <w:rPr>
          <w:rFonts w:hint="eastAsia"/>
          <w:lang w:val="en-US" w:eastAsia="zh-CN"/>
        </w:rPr>
        <w:t>12</w:t>
      </w:r>
      <w:r>
        <w:t>日-</w:t>
      </w:r>
      <w:r>
        <w:rPr>
          <w:rFonts w:hint="eastAsia"/>
        </w:rPr>
        <w:t>202</w:t>
      </w:r>
      <w:r>
        <w:rPr>
          <w:rFonts w:hint="eastAsia"/>
          <w:lang w:val="en-US" w:eastAsia="zh-CN"/>
        </w:rPr>
        <w:t>6</w:t>
      </w:r>
      <w:r>
        <w:rPr>
          <w:rFonts w:hint="eastAsia"/>
        </w:rPr>
        <w:t>年</w:t>
      </w:r>
      <w:r>
        <w:rPr>
          <w:rFonts w:hint="eastAsia"/>
          <w:lang w:val="en-US" w:eastAsia="zh-CN"/>
        </w:rPr>
        <w:t>5</w:t>
      </w:r>
      <w:r>
        <w:rPr>
          <w:rFonts w:hint="eastAsia"/>
        </w:rPr>
        <w:t>月</w:t>
      </w:r>
      <w:r>
        <w:rPr>
          <w:rFonts w:hint="eastAsia"/>
          <w:lang w:val="en-US" w:eastAsia="zh-CN"/>
        </w:rPr>
        <w:t>13</w:t>
      </w:r>
      <w:r>
        <w:t>日（昼夜各一次）。</w:t>
      </w:r>
    </w:p>
    <w:p w14:paraId="6D24EA92">
      <w:pPr>
        <w:pStyle w:val="5"/>
      </w:pPr>
      <w:r>
        <w:rPr>
          <w:color w:val="auto"/>
        </w:rPr>
        <w:t>4.3.</w:t>
      </w:r>
      <w:r>
        <w:rPr>
          <w:rFonts w:eastAsia="宋体"/>
          <w:color w:val="auto"/>
        </w:rPr>
        <w:t>3</w:t>
      </w:r>
      <w:r>
        <w:rPr>
          <w:color w:val="auto"/>
        </w:rPr>
        <w:t>.</w:t>
      </w:r>
      <w:r>
        <w:rPr>
          <w:rFonts w:hint="eastAsia" w:eastAsia="宋体"/>
          <w:color w:val="auto"/>
          <w:lang w:val="en-US" w:eastAsia="zh-CN"/>
        </w:rPr>
        <w:t>3</w:t>
      </w:r>
      <w:r>
        <w:rPr>
          <w:rFonts w:eastAsia="宋体"/>
        </w:rPr>
        <w:t>监测结果</w:t>
      </w:r>
    </w:p>
    <w:p w14:paraId="44363C50">
      <w:pPr>
        <w:spacing w:line="360" w:lineRule="auto"/>
        <w:ind w:firstLine="480" w:firstLineChars="200"/>
      </w:pPr>
      <w:r>
        <w:t>声环境现状监测结果见表4.3-</w:t>
      </w:r>
      <w:r>
        <w:rPr>
          <w:rFonts w:hint="eastAsia"/>
          <w:lang w:val="en-US" w:eastAsia="zh-CN"/>
        </w:rPr>
        <w:t>7</w:t>
      </w:r>
      <w:r>
        <w:t>。</w:t>
      </w:r>
    </w:p>
    <w:p w14:paraId="71DF16B0">
      <w:pPr>
        <w:jc w:val="center"/>
        <w:rPr>
          <w:b/>
        </w:rPr>
      </w:pPr>
      <w:r>
        <w:rPr>
          <w:b/>
        </w:rPr>
        <w:t>表4.3-</w:t>
      </w:r>
      <w:r>
        <w:rPr>
          <w:rFonts w:hint="eastAsia"/>
          <w:b/>
          <w:lang w:val="en-US" w:eastAsia="zh-CN"/>
        </w:rPr>
        <w:t>7</w:t>
      </w:r>
      <w:r>
        <w:rPr>
          <w:b/>
        </w:rPr>
        <w:t xml:space="preserve">  现状噪声监测结果一览表       （单位：dB(A)）</w:t>
      </w:r>
    </w:p>
    <w:tbl>
      <w:tblPr>
        <w:tblStyle w:val="500"/>
        <w:tblW w:w="8730" w:type="dxa"/>
        <w:tblInd w:w="2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93"/>
        <w:gridCol w:w="1488"/>
        <w:gridCol w:w="1868"/>
        <w:gridCol w:w="1848"/>
        <w:gridCol w:w="1833"/>
      </w:tblGrid>
      <w:tr w14:paraId="32BB87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693" w:type="dxa"/>
            <w:vMerge w:val="restart"/>
            <w:tcBorders>
              <w:top w:val="single" w:color="auto" w:sz="4" w:space="0"/>
              <w:left w:val="single" w:color="auto" w:sz="4" w:space="0"/>
              <w:bottom w:val="single" w:color="auto" w:sz="4" w:space="0"/>
              <w:right w:val="single" w:color="auto" w:sz="4" w:space="0"/>
            </w:tcBorders>
            <w:vAlign w:val="center"/>
          </w:tcPr>
          <w:p w14:paraId="499A5D68">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检测点位</w:t>
            </w:r>
          </w:p>
        </w:tc>
        <w:tc>
          <w:tcPr>
            <w:tcW w:w="1488" w:type="dxa"/>
            <w:vMerge w:val="restart"/>
            <w:tcBorders>
              <w:top w:val="single" w:color="auto" w:sz="4" w:space="0"/>
              <w:left w:val="single" w:color="auto" w:sz="4" w:space="0"/>
              <w:bottom w:val="single" w:color="auto" w:sz="4" w:space="0"/>
              <w:right w:val="single" w:color="auto" w:sz="4" w:space="0"/>
            </w:tcBorders>
            <w:vAlign w:val="center"/>
          </w:tcPr>
          <w:p w14:paraId="7DCC6333">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检测时段</w:t>
            </w:r>
          </w:p>
        </w:tc>
        <w:tc>
          <w:tcPr>
            <w:tcW w:w="3716" w:type="dxa"/>
            <w:gridSpan w:val="2"/>
            <w:tcBorders>
              <w:top w:val="single" w:color="auto" w:sz="4" w:space="0"/>
              <w:left w:val="single" w:color="auto" w:sz="4" w:space="0"/>
              <w:bottom w:val="single" w:color="auto" w:sz="4" w:space="0"/>
              <w:right w:val="single" w:color="auto" w:sz="4" w:space="0"/>
            </w:tcBorders>
            <w:vAlign w:val="center"/>
          </w:tcPr>
          <w:p w14:paraId="7988E434">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检测日期及结果</w:t>
            </w:r>
          </w:p>
        </w:tc>
        <w:tc>
          <w:tcPr>
            <w:tcW w:w="1833" w:type="dxa"/>
            <w:vMerge w:val="restart"/>
            <w:tcBorders>
              <w:top w:val="single" w:color="auto" w:sz="4" w:space="0"/>
              <w:left w:val="single" w:color="auto" w:sz="4" w:space="0"/>
              <w:bottom w:val="single" w:color="auto" w:sz="4" w:space="0"/>
              <w:right w:val="single" w:color="auto" w:sz="4" w:space="0"/>
            </w:tcBorders>
            <w:vAlign w:val="center"/>
          </w:tcPr>
          <w:p w14:paraId="6ED09181">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标准限值</w:t>
            </w:r>
          </w:p>
        </w:tc>
      </w:tr>
      <w:tr w14:paraId="0636C3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693" w:type="dxa"/>
            <w:vMerge w:val="continue"/>
            <w:tcBorders>
              <w:top w:val="single" w:color="auto" w:sz="4" w:space="0"/>
              <w:left w:val="single" w:color="auto" w:sz="4" w:space="0"/>
              <w:bottom w:val="single" w:color="auto" w:sz="4" w:space="0"/>
              <w:right w:val="single" w:color="auto" w:sz="4" w:space="0"/>
            </w:tcBorders>
            <w:vAlign w:val="center"/>
          </w:tcPr>
          <w:p w14:paraId="1CD976B1">
            <w:pPr>
              <w:jc w:val="center"/>
              <w:rPr>
                <w:rFonts w:hint="eastAsia" w:ascii="Times New Roman" w:hAnsi="Times New Roman" w:eastAsia="宋体" w:cs="Times New Roman"/>
                <w:sz w:val="21"/>
                <w:szCs w:val="21"/>
                <w:lang w:val="en-US" w:eastAsia="zh-CN"/>
              </w:rPr>
            </w:pPr>
          </w:p>
        </w:tc>
        <w:tc>
          <w:tcPr>
            <w:tcW w:w="1488" w:type="dxa"/>
            <w:vMerge w:val="continue"/>
            <w:tcBorders>
              <w:top w:val="single" w:color="auto" w:sz="4" w:space="0"/>
              <w:left w:val="single" w:color="auto" w:sz="4" w:space="0"/>
              <w:bottom w:val="single" w:color="auto" w:sz="4" w:space="0"/>
              <w:right w:val="single" w:color="auto" w:sz="4" w:space="0"/>
            </w:tcBorders>
            <w:vAlign w:val="center"/>
          </w:tcPr>
          <w:p w14:paraId="1EB07DD2">
            <w:pPr>
              <w:jc w:val="center"/>
              <w:rPr>
                <w:rFonts w:hint="eastAsia" w:ascii="Times New Roman" w:hAnsi="Times New Roman" w:eastAsia="宋体" w:cs="Times New Roman"/>
                <w:sz w:val="21"/>
                <w:szCs w:val="21"/>
                <w:lang w:val="en-US" w:eastAsia="zh-CN"/>
              </w:rPr>
            </w:pPr>
          </w:p>
        </w:tc>
        <w:tc>
          <w:tcPr>
            <w:tcW w:w="1868" w:type="dxa"/>
            <w:tcBorders>
              <w:top w:val="single" w:color="auto" w:sz="4" w:space="0"/>
              <w:left w:val="single" w:color="auto" w:sz="4" w:space="0"/>
              <w:bottom w:val="single" w:color="auto" w:sz="4" w:space="0"/>
              <w:right w:val="single" w:color="auto" w:sz="4" w:space="0"/>
            </w:tcBorders>
            <w:vAlign w:val="center"/>
          </w:tcPr>
          <w:p w14:paraId="02B3AC18">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05月12日</w:t>
            </w:r>
          </w:p>
        </w:tc>
        <w:tc>
          <w:tcPr>
            <w:tcW w:w="1848" w:type="dxa"/>
            <w:tcBorders>
              <w:top w:val="single" w:color="auto" w:sz="4" w:space="0"/>
              <w:left w:val="single" w:color="auto" w:sz="4" w:space="0"/>
              <w:bottom w:val="single" w:color="auto" w:sz="4" w:space="0"/>
              <w:right w:val="single" w:color="auto" w:sz="4" w:space="0"/>
            </w:tcBorders>
            <w:vAlign w:val="center"/>
          </w:tcPr>
          <w:p w14:paraId="5317AE93">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05月13日</w:t>
            </w:r>
          </w:p>
        </w:tc>
        <w:tc>
          <w:tcPr>
            <w:tcW w:w="1833" w:type="dxa"/>
            <w:vMerge w:val="continue"/>
            <w:tcBorders>
              <w:top w:val="single" w:color="auto" w:sz="4" w:space="0"/>
              <w:left w:val="single" w:color="auto" w:sz="4" w:space="0"/>
              <w:bottom w:val="single" w:color="auto" w:sz="4" w:space="0"/>
              <w:right w:val="single" w:color="auto" w:sz="4" w:space="0"/>
            </w:tcBorders>
            <w:vAlign w:val="center"/>
          </w:tcPr>
          <w:p w14:paraId="2D3DD5C6">
            <w:pPr>
              <w:jc w:val="center"/>
              <w:rPr>
                <w:rFonts w:hint="eastAsia" w:ascii="Times New Roman" w:hAnsi="Times New Roman" w:eastAsia="宋体" w:cs="Times New Roman"/>
                <w:sz w:val="21"/>
                <w:szCs w:val="21"/>
                <w:lang w:val="en-US" w:eastAsia="zh-CN"/>
              </w:rPr>
            </w:pPr>
          </w:p>
        </w:tc>
      </w:tr>
      <w:tr w14:paraId="5424F9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1693" w:type="dxa"/>
            <w:vMerge w:val="restart"/>
            <w:tcBorders>
              <w:top w:val="single" w:color="auto" w:sz="4" w:space="0"/>
              <w:left w:val="single" w:color="auto" w:sz="4" w:space="0"/>
              <w:bottom w:val="single" w:color="auto" w:sz="4" w:space="0"/>
              <w:right w:val="single" w:color="auto" w:sz="4" w:space="0"/>
            </w:tcBorders>
            <w:vAlign w:val="center"/>
          </w:tcPr>
          <w:p w14:paraId="301E3566">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厂界外1m东</w:t>
            </w:r>
          </w:p>
        </w:tc>
        <w:tc>
          <w:tcPr>
            <w:tcW w:w="1488" w:type="dxa"/>
            <w:tcBorders>
              <w:top w:val="single" w:color="auto" w:sz="4" w:space="0"/>
              <w:left w:val="single" w:color="auto" w:sz="4" w:space="0"/>
              <w:bottom w:val="single" w:color="auto" w:sz="4" w:space="0"/>
              <w:right w:val="single" w:color="auto" w:sz="4" w:space="0"/>
            </w:tcBorders>
            <w:vAlign w:val="center"/>
          </w:tcPr>
          <w:p w14:paraId="7873DB56">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昼间</w:t>
            </w:r>
          </w:p>
        </w:tc>
        <w:tc>
          <w:tcPr>
            <w:tcW w:w="1868" w:type="dxa"/>
            <w:tcBorders>
              <w:top w:val="single" w:color="auto" w:sz="4" w:space="0"/>
              <w:left w:val="single" w:color="auto" w:sz="4" w:space="0"/>
              <w:bottom w:val="single" w:color="auto" w:sz="4" w:space="0"/>
              <w:right w:val="single" w:color="auto" w:sz="4" w:space="0"/>
            </w:tcBorders>
            <w:vAlign w:val="center"/>
          </w:tcPr>
          <w:p w14:paraId="5E1F8DCC">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52.8</w:t>
            </w:r>
          </w:p>
        </w:tc>
        <w:tc>
          <w:tcPr>
            <w:tcW w:w="1848" w:type="dxa"/>
            <w:tcBorders>
              <w:top w:val="single" w:color="auto" w:sz="4" w:space="0"/>
              <w:left w:val="single" w:color="auto" w:sz="4" w:space="0"/>
              <w:bottom w:val="single" w:color="auto" w:sz="4" w:space="0"/>
              <w:right w:val="single" w:color="auto" w:sz="4" w:space="0"/>
            </w:tcBorders>
            <w:vAlign w:val="center"/>
          </w:tcPr>
          <w:p w14:paraId="39157999">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55.3</w:t>
            </w:r>
          </w:p>
        </w:tc>
        <w:tc>
          <w:tcPr>
            <w:tcW w:w="1833" w:type="dxa"/>
            <w:tcBorders>
              <w:top w:val="single" w:color="auto" w:sz="4" w:space="0"/>
              <w:left w:val="single" w:color="auto" w:sz="4" w:space="0"/>
              <w:bottom w:val="single" w:color="auto" w:sz="4" w:space="0"/>
              <w:right w:val="single" w:color="auto" w:sz="4" w:space="0"/>
            </w:tcBorders>
            <w:vAlign w:val="center"/>
          </w:tcPr>
          <w:p w14:paraId="72FB52B7">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65</w:t>
            </w:r>
          </w:p>
        </w:tc>
      </w:tr>
      <w:tr w14:paraId="669146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693" w:type="dxa"/>
            <w:vMerge w:val="continue"/>
            <w:tcBorders>
              <w:top w:val="single" w:color="auto" w:sz="4" w:space="0"/>
              <w:left w:val="single" w:color="auto" w:sz="4" w:space="0"/>
              <w:bottom w:val="single" w:color="auto" w:sz="4" w:space="0"/>
              <w:right w:val="single" w:color="auto" w:sz="4" w:space="0"/>
            </w:tcBorders>
            <w:vAlign w:val="center"/>
          </w:tcPr>
          <w:p w14:paraId="06B49E69">
            <w:pPr>
              <w:jc w:val="center"/>
              <w:rPr>
                <w:rFonts w:hint="eastAsia" w:ascii="Times New Roman" w:hAnsi="Times New Roman" w:eastAsia="宋体" w:cs="Times New Roman"/>
                <w:sz w:val="21"/>
                <w:szCs w:val="21"/>
                <w:lang w:val="en-US" w:eastAsia="zh-CN"/>
              </w:rPr>
            </w:pPr>
          </w:p>
        </w:tc>
        <w:tc>
          <w:tcPr>
            <w:tcW w:w="1488" w:type="dxa"/>
            <w:tcBorders>
              <w:top w:val="single" w:color="auto" w:sz="4" w:space="0"/>
              <w:left w:val="single" w:color="auto" w:sz="4" w:space="0"/>
              <w:bottom w:val="single" w:color="auto" w:sz="4" w:space="0"/>
              <w:right w:val="single" w:color="auto" w:sz="4" w:space="0"/>
            </w:tcBorders>
            <w:vAlign w:val="center"/>
          </w:tcPr>
          <w:p w14:paraId="66E07C5A">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夜间</w:t>
            </w:r>
          </w:p>
        </w:tc>
        <w:tc>
          <w:tcPr>
            <w:tcW w:w="1868" w:type="dxa"/>
            <w:tcBorders>
              <w:top w:val="single" w:color="auto" w:sz="4" w:space="0"/>
              <w:left w:val="single" w:color="auto" w:sz="4" w:space="0"/>
              <w:bottom w:val="single" w:color="auto" w:sz="4" w:space="0"/>
              <w:right w:val="single" w:color="auto" w:sz="4" w:space="0"/>
            </w:tcBorders>
            <w:vAlign w:val="center"/>
          </w:tcPr>
          <w:p w14:paraId="02C6BCCE">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46.6</w:t>
            </w:r>
          </w:p>
        </w:tc>
        <w:tc>
          <w:tcPr>
            <w:tcW w:w="1848" w:type="dxa"/>
            <w:tcBorders>
              <w:top w:val="single" w:color="auto" w:sz="4" w:space="0"/>
              <w:left w:val="single" w:color="auto" w:sz="4" w:space="0"/>
              <w:bottom w:val="single" w:color="auto" w:sz="4" w:space="0"/>
              <w:right w:val="single" w:color="auto" w:sz="4" w:space="0"/>
            </w:tcBorders>
            <w:vAlign w:val="center"/>
          </w:tcPr>
          <w:p w14:paraId="502FB46B">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45.2</w:t>
            </w:r>
          </w:p>
        </w:tc>
        <w:tc>
          <w:tcPr>
            <w:tcW w:w="1833" w:type="dxa"/>
            <w:tcBorders>
              <w:top w:val="single" w:color="auto" w:sz="4" w:space="0"/>
              <w:left w:val="single" w:color="auto" w:sz="4" w:space="0"/>
              <w:bottom w:val="single" w:color="auto" w:sz="4" w:space="0"/>
              <w:right w:val="single" w:color="auto" w:sz="4" w:space="0"/>
            </w:tcBorders>
            <w:vAlign w:val="center"/>
          </w:tcPr>
          <w:p w14:paraId="518199FD">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55</w:t>
            </w:r>
          </w:p>
        </w:tc>
      </w:tr>
      <w:tr w14:paraId="734B2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693" w:type="dxa"/>
            <w:vMerge w:val="restart"/>
            <w:tcBorders>
              <w:top w:val="single" w:color="auto" w:sz="4" w:space="0"/>
              <w:left w:val="single" w:color="auto" w:sz="4" w:space="0"/>
              <w:bottom w:val="single" w:color="auto" w:sz="4" w:space="0"/>
              <w:right w:val="single" w:color="auto" w:sz="4" w:space="0"/>
            </w:tcBorders>
            <w:vAlign w:val="center"/>
          </w:tcPr>
          <w:p w14:paraId="5A6B6C85">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厂界外1m南</w:t>
            </w:r>
          </w:p>
        </w:tc>
        <w:tc>
          <w:tcPr>
            <w:tcW w:w="1488" w:type="dxa"/>
            <w:tcBorders>
              <w:top w:val="single" w:color="auto" w:sz="4" w:space="0"/>
              <w:left w:val="single" w:color="auto" w:sz="4" w:space="0"/>
              <w:bottom w:val="single" w:color="auto" w:sz="4" w:space="0"/>
              <w:right w:val="single" w:color="auto" w:sz="4" w:space="0"/>
            </w:tcBorders>
            <w:vAlign w:val="center"/>
          </w:tcPr>
          <w:p w14:paraId="171E4DD8">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昼间</w:t>
            </w:r>
          </w:p>
        </w:tc>
        <w:tc>
          <w:tcPr>
            <w:tcW w:w="1868" w:type="dxa"/>
            <w:tcBorders>
              <w:top w:val="single" w:color="auto" w:sz="4" w:space="0"/>
              <w:left w:val="single" w:color="auto" w:sz="4" w:space="0"/>
              <w:bottom w:val="single" w:color="auto" w:sz="4" w:space="0"/>
              <w:right w:val="single" w:color="auto" w:sz="4" w:space="0"/>
            </w:tcBorders>
            <w:vAlign w:val="center"/>
          </w:tcPr>
          <w:p w14:paraId="049B3AB3">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56.8</w:t>
            </w:r>
          </w:p>
        </w:tc>
        <w:tc>
          <w:tcPr>
            <w:tcW w:w="1848" w:type="dxa"/>
            <w:tcBorders>
              <w:top w:val="single" w:color="auto" w:sz="4" w:space="0"/>
              <w:left w:val="single" w:color="auto" w:sz="4" w:space="0"/>
              <w:bottom w:val="single" w:color="auto" w:sz="4" w:space="0"/>
              <w:right w:val="single" w:color="auto" w:sz="4" w:space="0"/>
            </w:tcBorders>
            <w:vAlign w:val="center"/>
          </w:tcPr>
          <w:p w14:paraId="38FEA989">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56.5</w:t>
            </w:r>
          </w:p>
        </w:tc>
        <w:tc>
          <w:tcPr>
            <w:tcW w:w="1833" w:type="dxa"/>
            <w:tcBorders>
              <w:top w:val="single" w:color="auto" w:sz="4" w:space="0"/>
              <w:left w:val="single" w:color="auto" w:sz="4" w:space="0"/>
              <w:bottom w:val="single" w:color="auto" w:sz="4" w:space="0"/>
              <w:right w:val="single" w:color="auto" w:sz="4" w:space="0"/>
            </w:tcBorders>
            <w:vAlign w:val="center"/>
          </w:tcPr>
          <w:p w14:paraId="38CA5C36">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65</w:t>
            </w:r>
          </w:p>
        </w:tc>
      </w:tr>
      <w:tr w14:paraId="13F798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693" w:type="dxa"/>
            <w:vMerge w:val="continue"/>
            <w:tcBorders>
              <w:top w:val="single" w:color="auto" w:sz="4" w:space="0"/>
              <w:left w:val="single" w:color="auto" w:sz="4" w:space="0"/>
              <w:bottom w:val="single" w:color="auto" w:sz="4" w:space="0"/>
              <w:right w:val="single" w:color="auto" w:sz="4" w:space="0"/>
            </w:tcBorders>
            <w:vAlign w:val="center"/>
          </w:tcPr>
          <w:p w14:paraId="3C33C6BD">
            <w:pPr>
              <w:jc w:val="center"/>
              <w:rPr>
                <w:rFonts w:hint="eastAsia" w:ascii="Times New Roman" w:hAnsi="Times New Roman" w:eastAsia="宋体" w:cs="Times New Roman"/>
                <w:sz w:val="21"/>
                <w:szCs w:val="21"/>
                <w:lang w:val="en-US" w:eastAsia="zh-CN"/>
              </w:rPr>
            </w:pPr>
          </w:p>
        </w:tc>
        <w:tc>
          <w:tcPr>
            <w:tcW w:w="1488" w:type="dxa"/>
            <w:tcBorders>
              <w:top w:val="single" w:color="auto" w:sz="4" w:space="0"/>
              <w:left w:val="single" w:color="auto" w:sz="4" w:space="0"/>
              <w:bottom w:val="single" w:color="auto" w:sz="4" w:space="0"/>
              <w:right w:val="single" w:color="auto" w:sz="4" w:space="0"/>
            </w:tcBorders>
            <w:vAlign w:val="center"/>
          </w:tcPr>
          <w:p w14:paraId="65BF1DA9">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夜间</w:t>
            </w:r>
          </w:p>
        </w:tc>
        <w:tc>
          <w:tcPr>
            <w:tcW w:w="1868" w:type="dxa"/>
            <w:tcBorders>
              <w:top w:val="single" w:color="auto" w:sz="4" w:space="0"/>
              <w:left w:val="single" w:color="auto" w:sz="4" w:space="0"/>
              <w:bottom w:val="single" w:color="auto" w:sz="4" w:space="0"/>
              <w:right w:val="single" w:color="auto" w:sz="4" w:space="0"/>
            </w:tcBorders>
            <w:vAlign w:val="center"/>
          </w:tcPr>
          <w:p w14:paraId="41F73DDF">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51.8</w:t>
            </w:r>
          </w:p>
        </w:tc>
        <w:tc>
          <w:tcPr>
            <w:tcW w:w="1848" w:type="dxa"/>
            <w:tcBorders>
              <w:top w:val="single" w:color="auto" w:sz="4" w:space="0"/>
              <w:left w:val="single" w:color="auto" w:sz="4" w:space="0"/>
              <w:bottom w:val="single" w:color="auto" w:sz="4" w:space="0"/>
              <w:right w:val="single" w:color="auto" w:sz="4" w:space="0"/>
            </w:tcBorders>
            <w:vAlign w:val="center"/>
          </w:tcPr>
          <w:p w14:paraId="3BAB0A32">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49.6</w:t>
            </w:r>
          </w:p>
        </w:tc>
        <w:tc>
          <w:tcPr>
            <w:tcW w:w="1833" w:type="dxa"/>
            <w:tcBorders>
              <w:top w:val="single" w:color="auto" w:sz="4" w:space="0"/>
              <w:left w:val="single" w:color="auto" w:sz="4" w:space="0"/>
              <w:bottom w:val="single" w:color="auto" w:sz="4" w:space="0"/>
              <w:right w:val="single" w:color="auto" w:sz="4" w:space="0"/>
            </w:tcBorders>
            <w:vAlign w:val="center"/>
          </w:tcPr>
          <w:p w14:paraId="0CD70372">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55</w:t>
            </w:r>
          </w:p>
        </w:tc>
      </w:tr>
      <w:tr w14:paraId="23958E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1693" w:type="dxa"/>
            <w:vMerge w:val="restart"/>
            <w:tcBorders>
              <w:top w:val="single" w:color="auto" w:sz="4" w:space="0"/>
              <w:left w:val="single" w:color="auto" w:sz="4" w:space="0"/>
              <w:bottom w:val="single" w:color="auto" w:sz="4" w:space="0"/>
              <w:right w:val="single" w:color="auto" w:sz="4" w:space="0"/>
            </w:tcBorders>
            <w:vAlign w:val="center"/>
          </w:tcPr>
          <w:p w14:paraId="50EEF6F3">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厂界外1m西</w:t>
            </w:r>
          </w:p>
        </w:tc>
        <w:tc>
          <w:tcPr>
            <w:tcW w:w="1488" w:type="dxa"/>
            <w:tcBorders>
              <w:top w:val="single" w:color="auto" w:sz="4" w:space="0"/>
              <w:left w:val="single" w:color="auto" w:sz="4" w:space="0"/>
              <w:bottom w:val="single" w:color="auto" w:sz="4" w:space="0"/>
              <w:right w:val="single" w:color="auto" w:sz="4" w:space="0"/>
            </w:tcBorders>
            <w:vAlign w:val="center"/>
          </w:tcPr>
          <w:p w14:paraId="2D0EF794">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昼间</w:t>
            </w:r>
          </w:p>
        </w:tc>
        <w:tc>
          <w:tcPr>
            <w:tcW w:w="1868" w:type="dxa"/>
            <w:tcBorders>
              <w:top w:val="single" w:color="auto" w:sz="4" w:space="0"/>
              <w:left w:val="single" w:color="auto" w:sz="4" w:space="0"/>
              <w:bottom w:val="single" w:color="auto" w:sz="4" w:space="0"/>
              <w:right w:val="single" w:color="auto" w:sz="4" w:space="0"/>
            </w:tcBorders>
            <w:vAlign w:val="center"/>
          </w:tcPr>
          <w:p w14:paraId="2E09CFB3">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58.8</w:t>
            </w:r>
          </w:p>
        </w:tc>
        <w:tc>
          <w:tcPr>
            <w:tcW w:w="1848" w:type="dxa"/>
            <w:tcBorders>
              <w:top w:val="single" w:color="auto" w:sz="4" w:space="0"/>
              <w:left w:val="single" w:color="auto" w:sz="4" w:space="0"/>
              <w:bottom w:val="single" w:color="auto" w:sz="4" w:space="0"/>
              <w:right w:val="single" w:color="auto" w:sz="4" w:space="0"/>
            </w:tcBorders>
            <w:vAlign w:val="center"/>
          </w:tcPr>
          <w:p w14:paraId="3071A11D">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56.8</w:t>
            </w:r>
          </w:p>
        </w:tc>
        <w:tc>
          <w:tcPr>
            <w:tcW w:w="1833" w:type="dxa"/>
            <w:tcBorders>
              <w:top w:val="single" w:color="auto" w:sz="4" w:space="0"/>
              <w:left w:val="single" w:color="auto" w:sz="4" w:space="0"/>
              <w:bottom w:val="single" w:color="auto" w:sz="4" w:space="0"/>
              <w:right w:val="single" w:color="auto" w:sz="4" w:space="0"/>
            </w:tcBorders>
            <w:vAlign w:val="center"/>
          </w:tcPr>
          <w:p w14:paraId="61F39929">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65</w:t>
            </w:r>
          </w:p>
        </w:tc>
      </w:tr>
      <w:tr w14:paraId="3A7D2F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693" w:type="dxa"/>
            <w:vMerge w:val="continue"/>
            <w:tcBorders>
              <w:top w:val="single" w:color="auto" w:sz="4" w:space="0"/>
              <w:left w:val="single" w:color="auto" w:sz="4" w:space="0"/>
              <w:bottom w:val="single" w:color="auto" w:sz="4" w:space="0"/>
              <w:right w:val="single" w:color="auto" w:sz="4" w:space="0"/>
            </w:tcBorders>
            <w:vAlign w:val="center"/>
          </w:tcPr>
          <w:p w14:paraId="4AD587F0">
            <w:pPr>
              <w:jc w:val="center"/>
              <w:rPr>
                <w:rFonts w:hint="eastAsia" w:ascii="Times New Roman" w:hAnsi="Times New Roman" w:eastAsia="宋体" w:cs="Times New Roman"/>
                <w:sz w:val="21"/>
                <w:szCs w:val="21"/>
                <w:lang w:val="en-US" w:eastAsia="zh-CN"/>
              </w:rPr>
            </w:pPr>
          </w:p>
        </w:tc>
        <w:tc>
          <w:tcPr>
            <w:tcW w:w="1488" w:type="dxa"/>
            <w:tcBorders>
              <w:top w:val="single" w:color="auto" w:sz="4" w:space="0"/>
              <w:left w:val="single" w:color="auto" w:sz="4" w:space="0"/>
              <w:bottom w:val="single" w:color="auto" w:sz="4" w:space="0"/>
              <w:right w:val="single" w:color="auto" w:sz="4" w:space="0"/>
            </w:tcBorders>
            <w:vAlign w:val="center"/>
          </w:tcPr>
          <w:p w14:paraId="475DF5C9">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夜间</w:t>
            </w:r>
          </w:p>
        </w:tc>
        <w:tc>
          <w:tcPr>
            <w:tcW w:w="1868" w:type="dxa"/>
            <w:tcBorders>
              <w:top w:val="single" w:color="auto" w:sz="4" w:space="0"/>
              <w:left w:val="single" w:color="auto" w:sz="4" w:space="0"/>
              <w:bottom w:val="single" w:color="auto" w:sz="4" w:space="0"/>
              <w:right w:val="single" w:color="auto" w:sz="4" w:space="0"/>
            </w:tcBorders>
            <w:vAlign w:val="center"/>
          </w:tcPr>
          <w:p w14:paraId="4DE94D97">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50.0</w:t>
            </w:r>
          </w:p>
        </w:tc>
        <w:tc>
          <w:tcPr>
            <w:tcW w:w="1848" w:type="dxa"/>
            <w:tcBorders>
              <w:top w:val="single" w:color="auto" w:sz="4" w:space="0"/>
              <w:left w:val="single" w:color="auto" w:sz="4" w:space="0"/>
              <w:bottom w:val="single" w:color="auto" w:sz="4" w:space="0"/>
              <w:right w:val="single" w:color="auto" w:sz="4" w:space="0"/>
            </w:tcBorders>
            <w:vAlign w:val="center"/>
          </w:tcPr>
          <w:p w14:paraId="62708937">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48.8</w:t>
            </w:r>
          </w:p>
        </w:tc>
        <w:tc>
          <w:tcPr>
            <w:tcW w:w="1833" w:type="dxa"/>
            <w:tcBorders>
              <w:top w:val="single" w:color="auto" w:sz="4" w:space="0"/>
              <w:left w:val="single" w:color="auto" w:sz="4" w:space="0"/>
              <w:bottom w:val="single" w:color="auto" w:sz="4" w:space="0"/>
              <w:right w:val="single" w:color="auto" w:sz="4" w:space="0"/>
            </w:tcBorders>
            <w:vAlign w:val="center"/>
          </w:tcPr>
          <w:p w14:paraId="3D7D0C95">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55</w:t>
            </w:r>
          </w:p>
        </w:tc>
      </w:tr>
      <w:tr w14:paraId="2541C0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693" w:type="dxa"/>
            <w:vMerge w:val="restart"/>
            <w:tcBorders>
              <w:top w:val="single" w:color="auto" w:sz="4" w:space="0"/>
              <w:left w:val="single" w:color="auto" w:sz="4" w:space="0"/>
              <w:bottom w:val="single" w:color="auto" w:sz="4" w:space="0"/>
              <w:right w:val="single" w:color="auto" w:sz="4" w:space="0"/>
            </w:tcBorders>
            <w:vAlign w:val="center"/>
          </w:tcPr>
          <w:p w14:paraId="577008BA">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厂界外1m北</w:t>
            </w:r>
          </w:p>
        </w:tc>
        <w:tc>
          <w:tcPr>
            <w:tcW w:w="1488" w:type="dxa"/>
            <w:tcBorders>
              <w:top w:val="single" w:color="auto" w:sz="4" w:space="0"/>
              <w:left w:val="single" w:color="auto" w:sz="4" w:space="0"/>
              <w:bottom w:val="single" w:color="auto" w:sz="4" w:space="0"/>
              <w:right w:val="single" w:color="auto" w:sz="4" w:space="0"/>
            </w:tcBorders>
            <w:vAlign w:val="center"/>
          </w:tcPr>
          <w:p w14:paraId="10DFC637">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昼间</w:t>
            </w:r>
          </w:p>
        </w:tc>
        <w:tc>
          <w:tcPr>
            <w:tcW w:w="1868" w:type="dxa"/>
            <w:tcBorders>
              <w:top w:val="single" w:color="auto" w:sz="4" w:space="0"/>
              <w:left w:val="single" w:color="auto" w:sz="4" w:space="0"/>
              <w:bottom w:val="single" w:color="auto" w:sz="4" w:space="0"/>
              <w:right w:val="single" w:color="auto" w:sz="4" w:space="0"/>
            </w:tcBorders>
            <w:vAlign w:val="center"/>
          </w:tcPr>
          <w:p w14:paraId="67889D20">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61.3</w:t>
            </w:r>
          </w:p>
        </w:tc>
        <w:tc>
          <w:tcPr>
            <w:tcW w:w="1848" w:type="dxa"/>
            <w:tcBorders>
              <w:top w:val="single" w:color="auto" w:sz="4" w:space="0"/>
              <w:left w:val="single" w:color="auto" w:sz="4" w:space="0"/>
              <w:bottom w:val="single" w:color="auto" w:sz="4" w:space="0"/>
              <w:right w:val="single" w:color="auto" w:sz="4" w:space="0"/>
            </w:tcBorders>
            <w:vAlign w:val="center"/>
          </w:tcPr>
          <w:p w14:paraId="57FED636">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60.7</w:t>
            </w:r>
          </w:p>
        </w:tc>
        <w:tc>
          <w:tcPr>
            <w:tcW w:w="1833" w:type="dxa"/>
            <w:tcBorders>
              <w:top w:val="single" w:color="auto" w:sz="4" w:space="0"/>
              <w:left w:val="single" w:color="auto" w:sz="4" w:space="0"/>
              <w:bottom w:val="single" w:color="auto" w:sz="4" w:space="0"/>
              <w:right w:val="single" w:color="auto" w:sz="4" w:space="0"/>
            </w:tcBorders>
            <w:vAlign w:val="center"/>
          </w:tcPr>
          <w:p w14:paraId="4D11B259">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65</w:t>
            </w:r>
          </w:p>
        </w:tc>
      </w:tr>
      <w:tr w14:paraId="5BB64E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9" w:hRule="atLeast"/>
        </w:trPr>
        <w:tc>
          <w:tcPr>
            <w:tcW w:w="1693" w:type="dxa"/>
            <w:vMerge w:val="continue"/>
            <w:tcBorders>
              <w:top w:val="single" w:color="auto" w:sz="4" w:space="0"/>
              <w:left w:val="single" w:color="auto" w:sz="4" w:space="0"/>
              <w:bottom w:val="single" w:color="auto" w:sz="4" w:space="0"/>
              <w:right w:val="single" w:color="auto" w:sz="4" w:space="0"/>
            </w:tcBorders>
            <w:vAlign w:val="center"/>
          </w:tcPr>
          <w:p w14:paraId="242A6C37">
            <w:pPr>
              <w:jc w:val="center"/>
              <w:rPr>
                <w:rFonts w:hint="eastAsia" w:ascii="Times New Roman" w:hAnsi="Times New Roman" w:eastAsia="宋体" w:cs="Times New Roman"/>
                <w:sz w:val="21"/>
                <w:szCs w:val="21"/>
                <w:lang w:val="en-US" w:eastAsia="zh-CN"/>
              </w:rPr>
            </w:pPr>
          </w:p>
        </w:tc>
        <w:tc>
          <w:tcPr>
            <w:tcW w:w="1488" w:type="dxa"/>
            <w:tcBorders>
              <w:top w:val="single" w:color="auto" w:sz="4" w:space="0"/>
              <w:left w:val="single" w:color="auto" w:sz="4" w:space="0"/>
              <w:bottom w:val="single" w:color="auto" w:sz="4" w:space="0"/>
              <w:right w:val="single" w:color="auto" w:sz="4" w:space="0"/>
            </w:tcBorders>
            <w:vAlign w:val="center"/>
          </w:tcPr>
          <w:p w14:paraId="01F9E600">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夜间</w:t>
            </w:r>
          </w:p>
        </w:tc>
        <w:tc>
          <w:tcPr>
            <w:tcW w:w="1868" w:type="dxa"/>
            <w:tcBorders>
              <w:top w:val="single" w:color="auto" w:sz="4" w:space="0"/>
              <w:left w:val="single" w:color="auto" w:sz="4" w:space="0"/>
              <w:bottom w:val="single" w:color="auto" w:sz="4" w:space="0"/>
              <w:right w:val="single" w:color="auto" w:sz="4" w:space="0"/>
            </w:tcBorders>
            <w:vAlign w:val="center"/>
          </w:tcPr>
          <w:p w14:paraId="32FB35F1">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52.2</w:t>
            </w:r>
          </w:p>
        </w:tc>
        <w:tc>
          <w:tcPr>
            <w:tcW w:w="1848" w:type="dxa"/>
            <w:tcBorders>
              <w:top w:val="single" w:color="auto" w:sz="4" w:space="0"/>
              <w:left w:val="single" w:color="auto" w:sz="4" w:space="0"/>
              <w:bottom w:val="single" w:color="auto" w:sz="4" w:space="0"/>
              <w:right w:val="single" w:color="auto" w:sz="4" w:space="0"/>
            </w:tcBorders>
            <w:vAlign w:val="center"/>
          </w:tcPr>
          <w:p w14:paraId="16E9BCFA">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51.2</w:t>
            </w:r>
          </w:p>
        </w:tc>
        <w:tc>
          <w:tcPr>
            <w:tcW w:w="1833" w:type="dxa"/>
            <w:tcBorders>
              <w:top w:val="single" w:color="auto" w:sz="4" w:space="0"/>
              <w:left w:val="single" w:color="auto" w:sz="4" w:space="0"/>
              <w:bottom w:val="single" w:color="auto" w:sz="4" w:space="0"/>
              <w:right w:val="single" w:color="auto" w:sz="4" w:space="0"/>
            </w:tcBorders>
            <w:vAlign w:val="center"/>
          </w:tcPr>
          <w:p w14:paraId="516FA5F2">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55</w:t>
            </w:r>
          </w:p>
        </w:tc>
      </w:tr>
      <w:tr w14:paraId="37AE33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693" w:type="dxa"/>
            <w:vMerge w:val="restart"/>
            <w:tcBorders>
              <w:top w:val="single" w:color="auto" w:sz="4" w:space="0"/>
              <w:left w:val="single" w:color="auto" w:sz="4" w:space="0"/>
              <w:bottom w:val="single" w:color="auto" w:sz="4" w:space="0"/>
              <w:right w:val="single" w:color="auto" w:sz="4" w:space="0"/>
            </w:tcBorders>
            <w:vAlign w:val="center"/>
          </w:tcPr>
          <w:p w14:paraId="3C5DF865">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厂区外敏感目标</w:t>
            </w:r>
          </w:p>
        </w:tc>
        <w:tc>
          <w:tcPr>
            <w:tcW w:w="1488" w:type="dxa"/>
            <w:tcBorders>
              <w:top w:val="single" w:color="auto" w:sz="4" w:space="0"/>
              <w:left w:val="single" w:color="auto" w:sz="4" w:space="0"/>
              <w:bottom w:val="single" w:color="auto" w:sz="4" w:space="0"/>
              <w:right w:val="single" w:color="auto" w:sz="4" w:space="0"/>
            </w:tcBorders>
            <w:vAlign w:val="center"/>
          </w:tcPr>
          <w:p w14:paraId="709D65C2">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昼间</w:t>
            </w:r>
          </w:p>
        </w:tc>
        <w:tc>
          <w:tcPr>
            <w:tcW w:w="1868" w:type="dxa"/>
            <w:tcBorders>
              <w:top w:val="single" w:color="auto" w:sz="4" w:space="0"/>
              <w:left w:val="single" w:color="auto" w:sz="4" w:space="0"/>
              <w:bottom w:val="single" w:color="auto" w:sz="4" w:space="0"/>
              <w:right w:val="single" w:color="auto" w:sz="4" w:space="0"/>
            </w:tcBorders>
            <w:vAlign w:val="center"/>
          </w:tcPr>
          <w:p w14:paraId="28FB2E20">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52.4</w:t>
            </w:r>
          </w:p>
        </w:tc>
        <w:tc>
          <w:tcPr>
            <w:tcW w:w="1848" w:type="dxa"/>
            <w:tcBorders>
              <w:top w:val="single" w:color="auto" w:sz="4" w:space="0"/>
              <w:left w:val="single" w:color="auto" w:sz="4" w:space="0"/>
              <w:bottom w:val="single" w:color="auto" w:sz="4" w:space="0"/>
              <w:right w:val="single" w:color="auto" w:sz="4" w:space="0"/>
            </w:tcBorders>
            <w:vAlign w:val="center"/>
          </w:tcPr>
          <w:p w14:paraId="33706B88">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49.8</w:t>
            </w:r>
          </w:p>
        </w:tc>
        <w:tc>
          <w:tcPr>
            <w:tcW w:w="1833" w:type="dxa"/>
            <w:tcBorders>
              <w:top w:val="single" w:color="auto" w:sz="4" w:space="0"/>
              <w:left w:val="single" w:color="auto" w:sz="4" w:space="0"/>
              <w:bottom w:val="single" w:color="auto" w:sz="4" w:space="0"/>
              <w:right w:val="single" w:color="auto" w:sz="4" w:space="0"/>
            </w:tcBorders>
            <w:vAlign w:val="center"/>
          </w:tcPr>
          <w:p w14:paraId="3A8B8256">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55</w:t>
            </w:r>
          </w:p>
        </w:tc>
      </w:tr>
      <w:tr w14:paraId="6C9022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693" w:type="dxa"/>
            <w:vMerge w:val="continue"/>
            <w:tcBorders>
              <w:top w:val="single" w:color="auto" w:sz="4" w:space="0"/>
              <w:left w:val="single" w:color="auto" w:sz="4" w:space="0"/>
              <w:bottom w:val="single" w:color="auto" w:sz="4" w:space="0"/>
              <w:right w:val="single" w:color="auto" w:sz="4" w:space="0"/>
            </w:tcBorders>
            <w:vAlign w:val="center"/>
          </w:tcPr>
          <w:p w14:paraId="608D133D">
            <w:pPr>
              <w:jc w:val="center"/>
              <w:rPr>
                <w:rFonts w:hint="eastAsia" w:ascii="Times New Roman" w:hAnsi="Times New Roman" w:eastAsia="宋体" w:cs="Times New Roman"/>
                <w:sz w:val="21"/>
                <w:szCs w:val="21"/>
                <w:lang w:val="en-US" w:eastAsia="zh-CN"/>
              </w:rPr>
            </w:pPr>
          </w:p>
        </w:tc>
        <w:tc>
          <w:tcPr>
            <w:tcW w:w="1488" w:type="dxa"/>
            <w:tcBorders>
              <w:top w:val="single" w:color="auto" w:sz="4" w:space="0"/>
              <w:left w:val="single" w:color="auto" w:sz="4" w:space="0"/>
              <w:bottom w:val="single" w:color="auto" w:sz="4" w:space="0"/>
              <w:right w:val="single" w:color="auto" w:sz="4" w:space="0"/>
            </w:tcBorders>
            <w:vAlign w:val="center"/>
          </w:tcPr>
          <w:p w14:paraId="4401C093">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夜间</w:t>
            </w:r>
          </w:p>
        </w:tc>
        <w:tc>
          <w:tcPr>
            <w:tcW w:w="1868" w:type="dxa"/>
            <w:tcBorders>
              <w:top w:val="single" w:color="auto" w:sz="4" w:space="0"/>
              <w:left w:val="single" w:color="auto" w:sz="4" w:space="0"/>
              <w:bottom w:val="single" w:color="auto" w:sz="4" w:space="0"/>
              <w:right w:val="single" w:color="auto" w:sz="4" w:space="0"/>
            </w:tcBorders>
            <w:vAlign w:val="center"/>
          </w:tcPr>
          <w:p w14:paraId="0B210527">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43.9</w:t>
            </w:r>
          </w:p>
        </w:tc>
        <w:tc>
          <w:tcPr>
            <w:tcW w:w="1848" w:type="dxa"/>
            <w:tcBorders>
              <w:top w:val="single" w:color="auto" w:sz="4" w:space="0"/>
              <w:left w:val="single" w:color="auto" w:sz="4" w:space="0"/>
              <w:bottom w:val="single" w:color="auto" w:sz="4" w:space="0"/>
              <w:right w:val="single" w:color="auto" w:sz="4" w:space="0"/>
            </w:tcBorders>
            <w:vAlign w:val="center"/>
          </w:tcPr>
          <w:p w14:paraId="65922486">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41.7</w:t>
            </w:r>
          </w:p>
        </w:tc>
        <w:tc>
          <w:tcPr>
            <w:tcW w:w="1833" w:type="dxa"/>
            <w:tcBorders>
              <w:top w:val="single" w:color="auto" w:sz="4" w:space="0"/>
              <w:left w:val="single" w:color="auto" w:sz="4" w:space="0"/>
              <w:bottom w:val="single" w:color="auto" w:sz="4" w:space="0"/>
              <w:right w:val="single" w:color="auto" w:sz="4" w:space="0"/>
            </w:tcBorders>
            <w:vAlign w:val="center"/>
          </w:tcPr>
          <w:p w14:paraId="7FE56571">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45</w:t>
            </w:r>
          </w:p>
        </w:tc>
      </w:tr>
    </w:tbl>
    <w:p w14:paraId="7BB71AE8">
      <w:pPr>
        <w:pStyle w:val="5"/>
      </w:pPr>
      <w:r>
        <w:t>4.3.</w:t>
      </w:r>
      <w:r>
        <w:rPr>
          <w:rFonts w:eastAsia="宋体"/>
        </w:rPr>
        <w:t>3</w:t>
      </w:r>
      <w:r>
        <w:t>.</w:t>
      </w:r>
      <w:r>
        <w:rPr>
          <w:rFonts w:hint="eastAsia" w:eastAsia="宋体"/>
        </w:rPr>
        <w:t>5</w:t>
      </w:r>
      <w:r>
        <w:rPr>
          <w:rFonts w:eastAsia="宋体"/>
        </w:rPr>
        <w:t>声环境现状评价</w:t>
      </w:r>
    </w:p>
    <w:p w14:paraId="7A589043">
      <w:pPr>
        <w:pStyle w:val="77"/>
        <w:spacing w:line="360" w:lineRule="auto"/>
        <w:ind w:firstLine="480" w:firstLineChars="200"/>
        <w:rPr>
          <w:sz w:val="24"/>
          <w:szCs w:val="24"/>
        </w:rPr>
      </w:pPr>
      <w:r>
        <w:rPr>
          <w:sz w:val="24"/>
          <w:szCs w:val="24"/>
        </w:rPr>
        <w:t>1、评价标准</w:t>
      </w:r>
    </w:p>
    <w:p w14:paraId="2328EDFE">
      <w:pPr>
        <w:spacing w:line="360" w:lineRule="auto"/>
        <w:ind w:firstLine="480" w:firstLineChars="200"/>
        <w:rPr>
          <w:rFonts w:ascii="Times New Roman" w:hAnsi="Times New Roman" w:eastAsia="宋体" w:cs="Times New Roman"/>
        </w:rPr>
      </w:pPr>
      <w:r>
        <w:t>评价标准为项目厂界处执行《声环境质量标准》（GB3096-2008）中的</w:t>
      </w:r>
      <w:r>
        <w:rPr>
          <w:rFonts w:hint="eastAsia"/>
          <w:lang w:eastAsia="zh-CN"/>
        </w:rPr>
        <w:t>3类</w:t>
      </w:r>
      <w:r>
        <w:t>标准。</w:t>
      </w:r>
      <w:r>
        <w:rPr>
          <w:rFonts w:hint="eastAsia"/>
          <w:lang w:val="en-US" w:eastAsia="zh-CN"/>
        </w:rPr>
        <w:t>居民区</w:t>
      </w:r>
      <w:r>
        <w:rPr>
          <w:rFonts w:hint="eastAsia" w:ascii="Times New Roman" w:hAnsi="Times New Roman" w:eastAsia="宋体" w:cs="Times New Roman"/>
          <w:lang w:val="en-US" w:eastAsia="zh-CN"/>
        </w:rPr>
        <w:t>执行《声环境质量标准》（GB3096-2008）中的1类标准。</w:t>
      </w:r>
    </w:p>
    <w:p w14:paraId="42226A1B">
      <w:pPr>
        <w:spacing w:line="360" w:lineRule="auto"/>
        <w:jc w:val="center"/>
        <w:rPr>
          <w:b/>
        </w:rPr>
      </w:pPr>
      <w:r>
        <w:rPr>
          <w:b/>
        </w:rPr>
        <w:t>表4.3-</w:t>
      </w:r>
      <w:r>
        <w:rPr>
          <w:rFonts w:hint="eastAsia"/>
          <w:b/>
          <w:lang w:val="en-US" w:eastAsia="zh-CN"/>
        </w:rPr>
        <w:t>8</w:t>
      </w:r>
      <w:r>
        <w:rPr>
          <w:b/>
        </w:rPr>
        <w:t xml:space="preserve">   《声环境质量标准》（GB3096-2008）中的</w:t>
      </w:r>
      <w:r>
        <w:rPr>
          <w:rFonts w:hint="eastAsia"/>
          <w:b/>
          <w:lang w:eastAsia="zh-CN"/>
        </w:rPr>
        <w:t>3类</w:t>
      </w:r>
      <w:r>
        <w:rPr>
          <w:b/>
        </w:rPr>
        <w:t>标准</w:t>
      </w:r>
    </w:p>
    <w:tbl>
      <w:tblPr>
        <w:tblStyle w:val="5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98"/>
        <w:gridCol w:w="1518"/>
        <w:gridCol w:w="2629"/>
        <w:gridCol w:w="2633"/>
      </w:tblGrid>
      <w:tr w14:paraId="68872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4" w:type="pct"/>
            <w:vMerge w:val="restart"/>
            <w:tcBorders>
              <w:tl2br w:val="nil"/>
              <w:tr2bl w:val="nil"/>
            </w:tcBorders>
            <w:vAlign w:val="center"/>
          </w:tcPr>
          <w:p w14:paraId="06C29472">
            <w:pPr>
              <w:jc w:val="center"/>
              <w:rPr>
                <w:b/>
                <w:sz w:val="21"/>
                <w:szCs w:val="21"/>
              </w:rPr>
            </w:pPr>
            <w:r>
              <w:rPr>
                <w:b/>
                <w:sz w:val="21"/>
                <w:szCs w:val="21"/>
              </w:rPr>
              <w:t>声环境功能区类别</w:t>
            </w:r>
          </w:p>
        </w:tc>
        <w:tc>
          <w:tcPr>
            <w:tcW w:w="845" w:type="pct"/>
            <w:vMerge w:val="restart"/>
            <w:tcBorders>
              <w:tl2br w:val="nil"/>
              <w:tr2bl w:val="nil"/>
            </w:tcBorders>
            <w:vAlign w:val="center"/>
          </w:tcPr>
          <w:p w14:paraId="36418ED3">
            <w:pPr>
              <w:jc w:val="center"/>
              <w:rPr>
                <w:b/>
                <w:sz w:val="21"/>
                <w:szCs w:val="21"/>
              </w:rPr>
            </w:pPr>
            <w:r>
              <w:rPr>
                <w:b/>
                <w:sz w:val="21"/>
                <w:szCs w:val="21"/>
              </w:rPr>
              <w:t>单位</w:t>
            </w:r>
          </w:p>
        </w:tc>
        <w:tc>
          <w:tcPr>
            <w:tcW w:w="2930" w:type="pct"/>
            <w:gridSpan w:val="2"/>
            <w:tcBorders>
              <w:tl2br w:val="nil"/>
              <w:tr2bl w:val="nil"/>
            </w:tcBorders>
            <w:vAlign w:val="center"/>
          </w:tcPr>
          <w:p w14:paraId="4293781F">
            <w:pPr>
              <w:jc w:val="center"/>
              <w:rPr>
                <w:b/>
                <w:sz w:val="21"/>
                <w:szCs w:val="21"/>
              </w:rPr>
            </w:pPr>
            <w:r>
              <w:rPr>
                <w:b/>
                <w:sz w:val="21"/>
                <w:szCs w:val="21"/>
              </w:rPr>
              <w:t>时    段</w:t>
            </w:r>
          </w:p>
        </w:tc>
      </w:tr>
      <w:tr w14:paraId="7AB32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4" w:type="pct"/>
            <w:vMerge w:val="continue"/>
            <w:tcBorders>
              <w:tl2br w:val="nil"/>
              <w:tr2bl w:val="nil"/>
            </w:tcBorders>
            <w:vAlign w:val="center"/>
          </w:tcPr>
          <w:p w14:paraId="51A56167">
            <w:pPr>
              <w:jc w:val="center"/>
              <w:rPr>
                <w:b/>
                <w:sz w:val="21"/>
                <w:szCs w:val="21"/>
              </w:rPr>
            </w:pPr>
          </w:p>
        </w:tc>
        <w:tc>
          <w:tcPr>
            <w:tcW w:w="845" w:type="pct"/>
            <w:vMerge w:val="continue"/>
            <w:tcBorders>
              <w:tl2br w:val="nil"/>
              <w:tr2bl w:val="nil"/>
            </w:tcBorders>
            <w:vAlign w:val="center"/>
          </w:tcPr>
          <w:p w14:paraId="346A44C1">
            <w:pPr>
              <w:jc w:val="center"/>
              <w:rPr>
                <w:b/>
                <w:sz w:val="21"/>
                <w:szCs w:val="21"/>
              </w:rPr>
            </w:pPr>
          </w:p>
        </w:tc>
        <w:tc>
          <w:tcPr>
            <w:tcW w:w="1464" w:type="pct"/>
            <w:tcBorders>
              <w:tl2br w:val="nil"/>
              <w:tr2bl w:val="nil"/>
            </w:tcBorders>
            <w:vAlign w:val="center"/>
          </w:tcPr>
          <w:p w14:paraId="7F2F05DF">
            <w:pPr>
              <w:jc w:val="center"/>
              <w:rPr>
                <w:b/>
                <w:sz w:val="21"/>
                <w:szCs w:val="21"/>
              </w:rPr>
            </w:pPr>
            <w:r>
              <w:rPr>
                <w:b/>
                <w:sz w:val="21"/>
                <w:szCs w:val="21"/>
              </w:rPr>
              <w:t>昼间</w:t>
            </w:r>
          </w:p>
        </w:tc>
        <w:tc>
          <w:tcPr>
            <w:tcW w:w="1466" w:type="pct"/>
            <w:tcBorders>
              <w:tl2br w:val="nil"/>
              <w:tr2bl w:val="nil"/>
            </w:tcBorders>
            <w:vAlign w:val="center"/>
          </w:tcPr>
          <w:p w14:paraId="2FB24AA5">
            <w:pPr>
              <w:jc w:val="center"/>
              <w:rPr>
                <w:b/>
                <w:sz w:val="21"/>
                <w:szCs w:val="21"/>
              </w:rPr>
            </w:pPr>
            <w:r>
              <w:rPr>
                <w:b/>
                <w:sz w:val="21"/>
                <w:szCs w:val="21"/>
              </w:rPr>
              <w:t>夜间</w:t>
            </w:r>
          </w:p>
        </w:tc>
      </w:tr>
      <w:tr w14:paraId="3B306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4" w:type="pct"/>
            <w:tcBorders>
              <w:tl2br w:val="nil"/>
              <w:tr2bl w:val="nil"/>
            </w:tcBorders>
            <w:vAlign w:val="center"/>
          </w:tcPr>
          <w:p w14:paraId="455D7057">
            <w:pPr>
              <w:jc w:val="center"/>
              <w:rPr>
                <w:rFonts w:hint="eastAsia" w:eastAsia="宋体"/>
                <w:bCs/>
                <w:sz w:val="21"/>
                <w:szCs w:val="21"/>
                <w:lang w:eastAsia="zh-CN"/>
              </w:rPr>
            </w:pPr>
            <w:r>
              <w:rPr>
                <w:rFonts w:hint="eastAsia"/>
                <w:bCs/>
                <w:sz w:val="21"/>
                <w:szCs w:val="21"/>
                <w:lang w:eastAsia="zh-CN"/>
              </w:rPr>
              <w:t>3类</w:t>
            </w:r>
          </w:p>
        </w:tc>
        <w:tc>
          <w:tcPr>
            <w:tcW w:w="845" w:type="pct"/>
            <w:tcBorders>
              <w:tl2br w:val="nil"/>
              <w:tr2bl w:val="nil"/>
            </w:tcBorders>
            <w:vAlign w:val="center"/>
          </w:tcPr>
          <w:p w14:paraId="0AB3A2D2">
            <w:pPr>
              <w:jc w:val="center"/>
              <w:rPr>
                <w:bCs/>
                <w:sz w:val="21"/>
                <w:szCs w:val="21"/>
              </w:rPr>
            </w:pPr>
            <w:r>
              <w:rPr>
                <w:sz w:val="21"/>
                <w:szCs w:val="21"/>
              </w:rPr>
              <w:t>dB(A)</w:t>
            </w:r>
          </w:p>
        </w:tc>
        <w:tc>
          <w:tcPr>
            <w:tcW w:w="1464" w:type="pct"/>
            <w:tcBorders>
              <w:tl2br w:val="nil"/>
              <w:tr2bl w:val="nil"/>
            </w:tcBorders>
            <w:vAlign w:val="center"/>
          </w:tcPr>
          <w:p w14:paraId="264D81E5">
            <w:pPr>
              <w:jc w:val="center"/>
              <w:rPr>
                <w:rFonts w:hint="default" w:eastAsia="宋体"/>
                <w:bCs/>
                <w:sz w:val="21"/>
                <w:szCs w:val="21"/>
                <w:lang w:val="en-US" w:eastAsia="zh-CN"/>
              </w:rPr>
            </w:pPr>
            <w:r>
              <w:rPr>
                <w:rFonts w:hint="eastAsia"/>
                <w:bCs/>
                <w:sz w:val="21"/>
                <w:szCs w:val="21"/>
                <w:lang w:val="en-US" w:eastAsia="zh-CN"/>
              </w:rPr>
              <w:t>65</w:t>
            </w:r>
          </w:p>
        </w:tc>
        <w:tc>
          <w:tcPr>
            <w:tcW w:w="1466" w:type="pct"/>
            <w:tcBorders>
              <w:tl2br w:val="nil"/>
              <w:tr2bl w:val="nil"/>
            </w:tcBorders>
            <w:vAlign w:val="center"/>
          </w:tcPr>
          <w:p w14:paraId="5905A750">
            <w:pPr>
              <w:jc w:val="center"/>
              <w:rPr>
                <w:rFonts w:hint="default" w:eastAsia="宋体"/>
                <w:bCs/>
                <w:sz w:val="21"/>
                <w:szCs w:val="21"/>
                <w:lang w:val="en-US" w:eastAsia="zh-CN"/>
              </w:rPr>
            </w:pPr>
            <w:r>
              <w:rPr>
                <w:rFonts w:hint="eastAsia"/>
                <w:bCs/>
                <w:sz w:val="21"/>
                <w:szCs w:val="21"/>
                <w:lang w:val="en-US" w:eastAsia="zh-CN"/>
              </w:rPr>
              <w:t>55</w:t>
            </w:r>
          </w:p>
        </w:tc>
      </w:tr>
      <w:tr w14:paraId="7C1AF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4" w:type="pct"/>
            <w:tcBorders>
              <w:tl2br w:val="nil"/>
              <w:tr2bl w:val="nil"/>
            </w:tcBorders>
            <w:vAlign w:val="center"/>
          </w:tcPr>
          <w:p w14:paraId="5E1FCF96">
            <w:pPr>
              <w:jc w:val="center"/>
              <w:rPr>
                <w:rFonts w:hint="default" w:eastAsia="宋体"/>
                <w:bCs/>
                <w:sz w:val="21"/>
                <w:szCs w:val="21"/>
                <w:lang w:val="en-US" w:eastAsia="zh-CN"/>
              </w:rPr>
            </w:pPr>
            <w:r>
              <w:rPr>
                <w:rFonts w:hint="eastAsia"/>
                <w:bCs/>
                <w:sz w:val="21"/>
                <w:szCs w:val="21"/>
                <w:lang w:val="en-US" w:eastAsia="zh-CN"/>
              </w:rPr>
              <w:t>1类</w:t>
            </w:r>
          </w:p>
        </w:tc>
        <w:tc>
          <w:tcPr>
            <w:tcW w:w="845" w:type="pct"/>
            <w:tcBorders>
              <w:tl2br w:val="nil"/>
              <w:tr2bl w:val="nil"/>
            </w:tcBorders>
            <w:vAlign w:val="center"/>
          </w:tcPr>
          <w:p w14:paraId="69E29064">
            <w:pPr>
              <w:jc w:val="center"/>
              <w:rPr>
                <w:sz w:val="21"/>
                <w:szCs w:val="21"/>
              </w:rPr>
            </w:pPr>
            <w:r>
              <w:rPr>
                <w:sz w:val="21"/>
                <w:szCs w:val="21"/>
              </w:rPr>
              <w:t>dB(A)</w:t>
            </w:r>
          </w:p>
        </w:tc>
        <w:tc>
          <w:tcPr>
            <w:tcW w:w="1464" w:type="pct"/>
            <w:tcBorders>
              <w:tl2br w:val="nil"/>
              <w:tr2bl w:val="nil"/>
            </w:tcBorders>
            <w:vAlign w:val="center"/>
          </w:tcPr>
          <w:p w14:paraId="36E2F87C">
            <w:pPr>
              <w:jc w:val="center"/>
              <w:rPr>
                <w:rFonts w:hint="default" w:eastAsia="宋体"/>
                <w:bCs/>
                <w:sz w:val="21"/>
                <w:szCs w:val="21"/>
                <w:lang w:val="en-US" w:eastAsia="zh-CN"/>
              </w:rPr>
            </w:pPr>
            <w:r>
              <w:rPr>
                <w:rFonts w:hint="eastAsia"/>
                <w:bCs/>
                <w:sz w:val="21"/>
                <w:szCs w:val="21"/>
                <w:lang w:val="en-US" w:eastAsia="zh-CN"/>
              </w:rPr>
              <w:t>55</w:t>
            </w:r>
          </w:p>
        </w:tc>
        <w:tc>
          <w:tcPr>
            <w:tcW w:w="1466" w:type="pct"/>
            <w:tcBorders>
              <w:tl2br w:val="nil"/>
              <w:tr2bl w:val="nil"/>
            </w:tcBorders>
            <w:vAlign w:val="center"/>
          </w:tcPr>
          <w:p w14:paraId="3E0BE5ED">
            <w:pPr>
              <w:jc w:val="center"/>
              <w:rPr>
                <w:rFonts w:hint="default" w:eastAsia="宋体"/>
                <w:bCs/>
                <w:sz w:val="21"/>
                <w:szCs w:val="21"/>
                <w:lang w:val="en-US" w:eastAsia="zh-CN"/>
              </w:rPr>
            </w:pPr>
            <w:r>
              <w:rPr>
                <w:rFonts w:hint="eastAsia"/>
                <w:bCs/>
                <w:sz w:val="21"/>
                <w:szCs w:val="21"/>
                <w:lang w:val="en-US" w:eastAsia="zh-CN"/>
              </w:rPr>
              <w:t>45</w:t>
            </w:r>
          </w:p>
        </w:tc>
      </w:tr>
    </w:tbl>
    <w:p w14:paraId="7916C285">
      <w:pPr>
        <w:pStyle w:val="77"/>
        <w:spacing w:line="360" w:lineRule="auto"/>
        <w:ind w:firstLine="480" w:firstLineChars="200"/>
        <w:rPr>
          <w:sz w:val="24"/>
          <w:szCs w:val="24"/>
        </w:rPr>
      </w:pPr>
      <w:r>
        <w:rPr>
          <w:sz w:val="24"/>
          <w:szCs w:val="24"/>
        </w:rPr>
        <w:t>2、评价结果</w:t>
      </w:r>
    </w:p>
    <w:p w14:paraId="4C095149">
      <w:pPr>
        <w:spacing w:line="360" w:lineRule="auto"/>
        <w:ind w:firstLine="480" w:firstLineChars="200"/>
        <w:rPr>
          <w:rFonts w:hint="default" w:eastAsia="宋体"/>
          <w:lang w:val="en-US" w:eastAsia="zh-CN"/>
        </w:rPr>
      </w:pPr>
      <w:r>
        <w:t>由监测结果表可知，</w:t>
      </w:r>
      <w:r>
        <w:rPr>
          <w:rFonts w:hint="eastAsia"/>
          <w:lang w:eastAsia="zh-CN"/>
        </w:rPr>
        <w:t>本项目</w:t>
      </w:r>
      <w:r>
        <w:rPr>
          <w:spacing w:val="-5"/>
        </w:rPr>
        <w:t>厂界</w:t>
      </w:r>
      <w:r>
        <w:t>噪声可以满足《声环境质量标准》（GB3096-2008）中的</w:t>
      </w:r>
      <w:r>
        <w:rPr>
          <w:rFonts w:hint="eastAsia"/>
          <w:lang w:eastAsia="zh-CN"/>
        </w:rPr>
        <w:t>3类</w:t>
      </w:r>
      <w:r>
        <w:t>标准：昼间6</w:t>
      </w:r>
      <w:r>
        <w:rPr>
          <w:rFonts w:hint="eastAsia"/>
          <w:lang w:val="en-US" w:eastAsia="zh-CN"/>
        </w:rPr>
        <w:t>5</w:t>
      </w:r>
      <w:r>
        <w:t>dB(A)，夜间5</w:t>
      </w:r>
      <w:r>
        <w:rPr>
          <w:rFonts w:hint="eastAsia"/>
          <w:lang w:val="en-US" w:eastAsia="zh-CN"/>
        </w:rPr>
        <w:t>5</w:t>
      </w:r>
      <w:r>
        <w:t>dB(A)。</w:t>
      </w:r>
      <w:r>
        <w:rPr>
          <w:rFonts w:hint="eastAsia"/>
          <w:lang w:val="en-US" w:eastAsia="zh-CN"/>
        </w:rPr>
        <w:t>敏感目标居民区可以满足</w:t>
      </w:r>
      <w:r>
        <w:t>《声环境质量标准》（GB3096-2008）中的</w:t>
      </w:r>
      <w:r>
        <w:rPr>
          <w:rFonts w:hint="eastAsia"/>
          <w:lang w:val="en-US" w:eastAsia="zh-CN"/>
        </w:rPr>
        <w:t>1</w:t>
      </w:r>
      <w:r>
        <w:t>类标准：昼间</w:t>
      </w:r>
      <w:r>
        <w:rPr>
          <w:rFonts w:hint="eastAsia"/>
          <w:lang w:val="en-US" w:eastAsia="zh-CN"/>
        </w:rPr>
        <w:t>55</w:t>
      </w:r>
      <w:r>
        <w:t>dB(A)，夜间</w:t>
      </w:r>
      <w:r>
        <w:rPr>
          <w:rFonts w:hint="eastAsia"/>
          <w:lang w:val="en-US" w:eastAsia="zh-CN"/>
        </w:rPr>
        <w:t>45</w:t>
      </w:r>
      <w:r>
        <w:t>dB(A)。</w:t>
      </w:r>
    </w:p>
    <w:p w14:paraId="7077D1EA">
      <w:pPr>
        <w:pStyle w:val="4"/>
      </w:pPr>
      <w:r>
        <w:t>4.3.4土壤环境现状</w:t>
      </w:r>
    </w:p>
    <w:p w14:paraId="5B7D8CB1">
      <w:pPr>
        <w:pStyle w:val="5"/>
      </w:pPr>
      <w:r>
        <w:t>4.3.4.1监测点位</w:t>
      </w:r>
    </w:p>
    <w:p w14:paraId="4587FAF7">
      <w:pPr>
        <w:spacing w:line="360" w:lineRule="auto"/>
        <w:ind w:firstLine="480" w:firstLineChars="200"/>
      </w:pPr>
      <w:r>
        <w:t>根据项目类别、占地规模和敏感程度判断，</w:t>
      </w:r>
      <w:r>
        <w:rPr>
          <w:rFonts w:hint="eastAsia"/>
          <w:lang w:eastAsia="zh-CN"/>
        </w:rPr>
        <w:t>本项目</w:t>
      </w:r>
      <w:r>
        <w:t>土壤环境评价等级为</w:t>
      </w:r>
      <w:r>
        <w:rPr>
          <w:rFonts w:hint="eastAsia"/>
          <w:lang w:val="en-US" w:eastAsia="zh-CN"/>
        </w:rPr>
        <w:t>三</w:t>
      </w:r>
      <w:r>
        <w:t>级，根据《环境影响评价技术导则 土壤环境（试行）》的布点原则，厂址占地范围内布设</w:t>
      </w:r>
      <w:r>
        <w:rPr>
          <w:rFonts w:hint="eastAsia"/>
          <w:lang w:val="en-US" w:eastAsia="zh-CN"/>
        </w:rPr>
        <w:t>3</w:t>
      </w:r>
      <w:r>
        <w:t>个表层样点。</w:t>
      </w:r>
    </w:p>
    <w:p w14:paraId="5AA2D7F5">
      <w:pPr>
        <w:jc w:val="center"/>
        <w:rPr>
          <w:b/>
          <w:bCs/>
        </w:rPr>
      </w:pPr>
      <w:r>
        <w:rPr>
          <w:b/>
          <w:bCs/>
        </w:rPr>
        <w:t>表4.3-</w:t>
      </w:r>
      <w:r>
        <w:rPr>
          <w:rFonts w:hint="eastAsia"/>
          <w:b/>
          <w:bCs/>
          <w:lang w:val="en-US" w:eastAsia="zh-CN"/>
        </w:rPr>
        <w:t>9</w:t>
      </w:r>
      <w:r>
        <w:rPr>
          <w:b/>
          <w:bCs/>
        </w:rPr>
        <w:t xml:space="preserve">  其他污染物补充监测点位基本信息</w:t>
      </w:r>
    </w:p>
    <w:tbl>
      <w:tblPr>
        <w:tblStyle w:val="53"/>
        <w:tblW w:w="8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
        <w:gridCol w:w="945"/>
        <w:gridCol w:w="1675"/>
        <w:gridCol w:w="2008"/>
        <w:gridCol w:w="3109"/>
      </w:tblGrid>
      <w:tr w14:paraId="3B8ED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1" w:type="dxa"/>
            <w:tcBorders>
              <w:tl2br w:val="nil"/>
              <w:tr2bl w:val="nil"/>
            </w:tcBorders>
            <w:vAlign w:val="center"/>
          </w:tcPr>
          <w:p w14:paraId="029F3EED">
            <w:pPr>
              <w:jc w:val="center"/>
              <w:rPr>
                <w:rFonts w:hint="eastAsia" w:eastAsia="宋体"/>
                <w:bCs/>
                <w:sz w:val="21"/>
                <w:szCs w:val="21"/>
                <w:lang w:val="en-US" w:eastAsia="zh-CN"/>
              </w:rPr>
            </w:pPr>
            <w:r>
              <w:rPr>
                <w:rFonts w:hint="eastAsia" w:eastAsia="宋体"/>
                <w:bCs/>
                <w:sz w:val="21"/>
                <w:szCs w:val="21"/>
                <w:lang w:val="en-US" w:eastAsia="zh-CN"/>
              </w:rPr>
              <w:t>监测点位置</w:t>
            </w:r>
          </w:p>
        </w:tc>
        <w:tc>
          <w:tcPr>
            <w:tcW w:w="945" w:type="dxa"/>
            <w:tcBorders>
              <w:tl2br w:val="nil"/>
              <w:tr2bl w:val="nil"/>
            </w:tcBorders>
            <w:vAlign w:val="center"/>
          </w:tcPr>
          <w:p w14:paraId="0A0B4747">
            <w:pPr>
              <w:jc w:val="center"/>
              <w:rPr>
                <w:rFonts w:hint="eastAsia" w:eastAsia="宋体"/>
                <w:bCs/>
                <w:sz w:val="21"/>
                <w:szCs w:val="21"/>
                <w:lang w:val="en-US" w:eastAsia="zh-CN"/>
              </w:rPr>
            </w:pPr>
            <w:r>
              <w:rPr>
                <w:rFonts w:hint="eastAsia" w:eastAsia="宋体"/>
                <w:bCs/>
                <w:sz w:val="21"/>
                <w:szCs w:val="21"/>
                <w:lang w:val="en-US" w:eastAsia="zh-CN"/>
              </w:rPr>
              <w:t>监测点位名称</w:t>
            </w:r>
          </w:p>
        </w:tc>
        <w:tc>
          <w:tcPr>
            <w:tcW w:w="1675" w:type="dxa"/>
            <w:tcBorders>
              <w:tl2br w:val="nil"/>
              <w:tr2bl w:val="nil"/>
            </w:tcBorders>
            <w:vAlign w:val="center"/>
          </w:tcPr>
          <w:p w14:paraId="4C94BB9F">
            <w:pPr>
              <w:jc w:val="center"/>
              <w:rPr>
                <w:rFonts w:hint="eastAsia" w:eastAsia="宋体"/>
                <w:bCs/>
                <w:sz w:val="21"/>
                <w:szCs w:val="21"/>
                <w:lang w:val="en-US" w:eastAsia="zh-CN"/>
              </w:rPr>
            </w:pPr>
            <w:r>
              <w:rPr>
                <w:rFonts w:hint="eastAsia" w:eastAsia="宋体"/>
                <w:bCs/>
                <w:sz w:val="21"/>
                <w:szCs w:val="21"/>
                <w:lang w:val="en-US" w:eastAsia="zh-CN"/>
              </w:rPr>
              <w:t>相对项目位置</w:t>
            </w:r>
          </w:p>
        </w:tc>
        <w:tc>
          <w:tcPr>
            <w:tcW w:w="2008" w:type="dxa"/>
            <w:tcBorders>
              <w:tl2br w:val="nil"/>
              <w:tr2bl w:val="nil"/>
            </w:tcBorders>
            <w:vAlign w:val="center"/>
          </w:tcPr>
          <w:p w14:paraId="742F2F89">
            <w:pPr>
              <w:jc w:val="center"/>
              <w:rPr>
                <w:rFonts w:hint="eastAsia" w:eastAsia="宋体"/>
                <w:bCs/>
                <w:sz w:val="21"/>
                <w:szCs w:val="21"/>
                <w:lang w:val="en-US" w:eastAsia="zh-CN"/>
              </w:rPr>
            </w:pPr>
            <w:r>
              <w:rPr>
                <w:rFonts w:hint="eastAsia" w:eastAsia="宋体"/>
                <w:bCs/>
                <w:sz w:val="21"/>
                <w:szCs w:val="21"/>
                <w:lang w:val="en-US" w:eastAsia="zh-CN"/>
              </w:rPr>
              <w:t>样品</w:t>
            </w:r>
          </w:p>
        </w:tc>
        <w:tc>
          <w:tcPr>
            <w:tcW w:w="3109" w:type="dxa"/>
            <w:tcBorders>
              <w:tl2br w:val="nil"/>
              <w:tr2bl w:val="nil"/>
            </w:tcBorders>
            <w:vAlign w:val="center"/>
          </w:tcPr>
          <w:p w14:paraId="0C9393B3">
            <w:pPr>
              <w:jc w:val="center"/>
              <w:rPr>
                <w:rFonts w:hint="eastAsia" w:eastAsia="宋体"/>
                <w:bCs/>
                <w:sz w:val="21"/>
                <w:szCs w:val="21"/>
                <w:lang w:val="en-US" w:eastAsia="zh-CN"/>
              </w:rPr>
            </w:pPr>
            <w:r>
              <w:rPr>
                <w:rFonts w:hint="eastAsia" w:eastAsia="宋体"/>
                <w:bCs/>
                <w:sz w:val="21"/>
                <w:szCs w:val="21"/>
                <w:lang w:val="en-US" w:eastAsia="zh-CN"/>
              </w:rPr>
              <w:t>监测项目</w:t>
            </w:r>
          </w:p>
        </w:tc>
      </w:tr>
      <w:tr w14:paraId="1DB65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1" w:type="dxa"/>
            <w:vMerge w:val="restart"/>
            <w:tcBorders>
              <w:tl2br w:val="nil"/>
              <w:tr2bl w:val="nil"/>
            </w:tcBorders>
            <w:vAlign w:val="center"/>
          </w:tcPr>
          <w:p w14:paraId="6F71638C">
            <w:pPr>
              <w:jc w:val="center"/>
              <w:rPr>
                <w:rFonts w:hint="eastAsia" w:eastAsia="宋体"/>
                <w:bCs/>
                <w:sz w:val="21"/>
                <w:szCs w:val="21"/>
                <w:lang w:val="en-US" w:eastAsia="zh-CN"/>
              </w:rPr>
            </w:pPr>
            <w:r>
              <w:rPr>
                <w:rFonts w:hint="eastAsia" w:eastAsia="宋体"/>
                <w:bCs/>
                <w:sz w:val="21"/>
                <w:szCs w:val="21"/>
                <w:lang w:val="en-US" w:eastAsia="zh-CN"/>
              </w:rPr>
              <w:t>占地范围内</w:t>
            </w:r>
          </w:p>
        </w:tc>
        <w:tc>
          <w:tcPr>
            <w:tcW w:w="945" w:type="dxa"/>
            <w:tcBorders>
              <w:tl2br w:val="nil"/>
              <w:tr2bl w:val="nil"/>
            </w:tcBorders>
            <w:vAlign w:val="center"/>
          </w:tcPr>
          <w:p w14:paraId="079ACC32">
            <w:pPr>
              <w:jc w:val="center"/>
              <w:rPr>
                <w:rFonts w:hint="default" w:eastAsia="宋体"/>
                <w:bCs/>
                <w:sz w:val="21"/>
                <w:szCs w:val="21"/>
                <w:lang w:val="en-US" w:eastAsia="zh-CN"/>
              </w:rPr>
            </w:pPr>
            <w:r>
              <w:rPr>
                <w:rFonts w:hint="eastAsia" w:eastAsia="宋体"/>
                <w:bCs/>
                <w:sz w:val="21"/>
                <w:szCs w:val="21"/>
                <w:lang w:val="en-US" w:eastAsia="zh-CN"/>
              </w:rPr>
              <w:t>1#</w:t>
            </w:r>
          </w:p>
        </w:tc>
        <w:tc>
          <w:tcPr>
            <w:tcW w:w="1675" w:type="dxa"/>
            <w:tcBorders>
              <w:tl2br w:val="nil"/>
              <w:tr2bl w:val="nil"/>
            </w:tcBorders>
            <w:vAlign w:val="center"/>
          </w:tcPr>
          <w:p w14:paraId="7BF57D92">
            <w:pPr>
              <w:jc w:val="center"/>
              <w:rPr>
                <w:rFonts w:hint="default" w:eastAsia="宋体"/>
                <w:bCs/>
                <w:sz w:val="21"/>
                <w:szCs w:val="21"/>
                <w:lang w:val="en-US" w:eastAsia="zh-CN"/>
              </w:rPr>
            </w:pPr>
            <w:r>
              <w:rPr>
                <w:rFonts w:hint="eastAsia" w:eastAsia="宋体"/>
                <w:bCs/>
                <w:sz w:val="21"/>
                <w:szCs w:val="21"/>
                <w:lang w:val="en-US" w:eastAsia="zh-CN"/>
              </w:rPr>
              <w:t>厂区北侧</w:t>
            </w:r>
          </w:p>
        </w:tc>
        <w:tc>
          <w:tcPr>
            <w:tcW w:w="2008" w:type="dxa"/>
            <w:tcBorders>
              <w:tl2br w:val="nil"/>
              <w:tr2bl w:val="nil"/>
            </w:tcBorders>
            <w:vAlign w:val="center"/>
          </w:tcPr>
          <w:p w14:paraId="375A683D">
            <w:pPr>
              <w:jc w:val="center"/>
              <w:rPr>
                <w:rFonts w:hint="default" w:eastAsia="宋体"/>
                <w:bCs/>
                <w:sz w:val="21"/>
                <w:szCs w:val="21"/>
                <w:lang w:val="en-US" w:eastAsia="zh-CN"/>
              </w:rPr>
            </w:pPr>
            <w:r>
              <w:rPr>
                <w:rFonts w:hint="eastAsia" w:eastAsia="宋体"/>
                <w:bCs/>
                <w:sz w:val="21"/>
                <w:szCs w:val="21"/>
                <w:lang w:val="en-US" w:eastAsia="zh-CN"/>
              </w:rPr>
              <w:t>表层样0-0.2m</w:t>
            </w:r>
          </w:p>
        </w:tc>
        <w:tc>
          <w:tcPr>
            <w:tcW w:w="3109" w:type="dxa"/>
            <w:tcBorders>
              <w:tl2br w:val="nil"/>
              <w:tr2bl w:val="nil"/>
            </w:tcBorders>
            <w:vAlign w:val="center"/>
          </w:tcPr>
          <w:p w14:paraId="149AB816">
            <w:pPr>
              <w:jc w:val="center"/>
              <w:rPr>
                <w:rFonts w:hint="default" w:eastAsia="宋体"/>
                <w:bCs/>
                <w:sz w:val="21"/>
                <w:szCs w:val="21"/>
                <w:lang w:val="en-US" w:eastAsia="zh-CN"/>
              </w:rPr>
            </w:pPr>
            <w:r>
              <w:rPr>
                <w:rFonts w:hint="eastAsia" w:eastAsia="宋体"/>
                <w:bCs/>
                <w:sz w:val="21"/>
                <w:szCs w:val="21"/>
                <w:lang w:val="en-US" w:eastAsia="zh-CN"/>
              </w:rPr>
              <w:t>GB36600 45项基本物质，pH</w:t>
            </w:r>
          </w:p>
        </w:tc>
      </w:tr>
      <w:tr w14:paraId="6DA88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1" w:type="dxa"/>
            <w:vMerge w:val="continue"/>
            <w:tcBorders>
              <w:tl2br w:val="nil"/>
              <w:tr2bl w:val="nil"/>
            </w:tcBorders>
            <w:vAlign w:val="center"/>
          </w:tcPr>
          <w:p w14:paraId="0ED2D62A">
            <w:pPr>
              <w:jc w:val="center"/>
              <w:rPr>
                <w:rFonts w:hint="eastAsia" w:eastAsia="宋体"/>
                <w:bCs/>
                <w:sz w:val="21"/>
                <w:szCs w:val="21"/>
                <w:lang w:val="en-US" w:eastAsia="zh-CN"/>
              </w:rPr>
            </w:pPr>
          </w:p>
        </w:tc>
        <w:tc>
          <w:tcPr>
            <w:tcW w:w="945" w:type="dxa"/>
            <w:tcBorders>
              <w:tl2br w:val="nil"/>
              <w:tr2bl w:val="nil"/>
            </w:tcBorders>
            <w:vAlign w:val="center"/>
          </w:tcPr>
          <w:p w14:paraId="07F9906D">
            <w:pPr>
              <w:jc w:val="center"/>
              <w:rPr>
                <w:rFonts w:hint="default" w:eastAsia="宋体"/>
                <w:bCs/>
                <w:sz w:val="21"/>
                <w:szCs w:val="21"/>
                <w:lang w:val="en-US" w:eastAsia="zh-CN"/>
              </w:rPr>
            </w:pPr>
            <w:r>
              <w:rPr>
                <w:rFonts w:hint="eastAsia" w:eastAsia="宋体"/>
                <w:bCs/>
                <w:sz w:val="21"/>
                <w:szCs w:val="21"/>
                <w:lang w:val="en-US" w:eastAsia="zh-CN"/>
              </w:rPr>
              <w:t>2#</w:t>
            </w:r>
          </w:p>
        </w:tc>
        <w:tc>
          <w:tcPr>
            <w:tcW w:w="1675" w:type="dxa"/>
            <w:tcBorders>
              <w:tl2br w:val="nil"/>
              <w:tr2bl w:val="nil"/>
            </w:tcBorders>
            <w:vAlign w:val="center"/>
          </w:tcPr>
          <w:p w14:paraId="66AD4B3E">
            <w:pPr>
              <w:jc w:val="center"/>
              <w:rPr>
                <w:rFonts w:hint="default" w:eastAsia="宋体"/>
                <w:bCs/>
                <w:sz w:val="21"/>
                <w:szCs w:val="21"/>
                <w:lang w:val="en-US" w:eastAsia="zh-CN"/>
              </w:rPr>
            </w:pPr>
            <w:r>
              <w:rPr>
                <w:rFonts w:hint="eastAsia" w:eastAsia="宋体"/>
                <w:bCs/>
                <w:sz w:val="21"/>
                <w:szCs w:val="21"/>
                <w:lang w:val="en-US" w:eastAsia="zh-CN"/>
              </w:rPr>
              <w:t>酒精罐区</w:t>
            </w:r>
          </w:p>
        </w:tc>
        <w:tc>
          <w:tcPr>
            <w:tcW w:w="2008" w:type="dxa"/>
            <w:tcBorders>
              <w:tl2br w:val="nil"/>
              <w:tr2bl w:val="nil"/>
            </w:tcBorders>
            <w:vAlign w:val="center"/>
          </w:tcPr>
          <w:p w14:paraId="72E8B3F0">
            <w:pPr>
              <w:jc w:val="center"/>
              <w:rPr>
                <w:rFonts w:hint="default" w:eastAsia="宋体"/>
                <w:bCs/>
                <w:sz w:val="21"/>
                <w:szCs w:val="21"/>
                <w:lang w:val="en-US" w:eastAsia="zh-CN"/>
              </w:rPr>
            </w:pPr>
            <w:r>
              <w:rPr>
                <w:rFonts w:hint="eastAsia" w:eastAsia="宋体"/>
                <w:bCs/>
                <w:sz w:val="21"/>
                <w:szCs w:val="21"/>
                <w:lang w:val="en-US" w:eastAsia="zh-CN"/>
              </w:rPr>
              <w:t>表层样0-0.2m</w:t>
            </w:r>
          </w:p>
        </w:tc>
        <w:tc>
          <w:tcPr>
            <w:tcW w:w="3109" w:type="dxa"/>
            <w:tcBorders>
              <w:tl2br w:val="nil"/>
              <w:tr2bl w:val="nil"/>
            </w:tcBorders>
            <w:vAlign w:val="center"/>
          </w:tcPr>
          <w:p w14:paraId="7E68F44E">
            <w:pPr>
              <w:jc w:val="center"/>
              <w:rPr>
                <w:rFonts w:hint="default" w:eastAsia="宋体"/>
                <w:bCs/>
                <w:sz w:val="21"/>
                <w:szCs w:val="21"/>
                <w:lang w:val="en-US" w:eastAsia="zh-CN"/>
              </w:rPr>
            </w:pPr>
            <w:r>
              <w:rPr>
                <w:rFonts w:hint="eastAsia" w:eastAsia="宋体"/>
                <w:bCs/>
                <w:sz w:val="21"/>
                <w:szCs w:val="21"/>
                <w:lang w:val="en-US" w:eastAsia="zh-CN"/>
              </w:rPr>
              <w:t>GB36600砷、镉、六价铬、铜、铅、汞、镍，pH</w:t>
            </w:r>
          </w:p>
        </w:tc>
      </w:tr>
      <w:tr w14:paraId="4003C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1" w:type="dxa"/>
            <w:vMerge w:val="continue"/>
            <w:tcBorders>
              <w:tl2br w:val="nil"/>
              <w:tr2bl w:val="nil"/>
            </w:tcBorders>
            <w:vAlign w:val="center"/>
          </w:tcPr>
          <w:p w14:paraId="155F9007">
            <w:pPr>
              <w:jc w:val="center"/>
              <w:rPr>
                <w:rFonts w:hint="eastAsia" w:eastAsia="宋体"/>
                <w:bCs/>
                <w:sz w:val="21"/>
                <w:szCs w:val="21"/>
                <w:lang w:val="en-US" w:eastAsia="zh-CN"/>
              </w:rPr>
            </w:pPr>
          </w:p>
        </w:tc>
        <w:tc>
          <w:tcPr>
            <w:tcW w:w="945" w:type="dxa"/>
            <w:tcBorders>
              <w:tl2br w:val="nil"/>
              <w:tr2bl w:val="nil"/>
            </w:tcBorders>
            <w:vAlign w:val="center"/>
          </w:tcPr>
          <w:p w14:paraId="66F11BC2">
            <w:pPr>
              <w:jc w:val="center"/>
              <w:rPr>
                <w:rFonts w:hint="default" w:eastAsia="宋体"/>
                <w:bCs/>
                <w:sz w:val="21"/>
                <w:szCs w:val="21"/>
                <w:lang w:val="en-US" w:eastAsia="zh-CN"/>
              </w:rPr>
            </w:pPr>
            <w:r>
              <w:rPr>
                <w:rFonts w:hint="eastAsia" w:eastAsia="宋体"/>
                <w:bCs/>
                <w:sz w:val="21"/>
                <w:szCs w:val="21"/>
                <w:lang w:val="en-US" w:eastAsia="zh-CN"/>
              </w:rPr>
              <w:t>3#</w:t>
            </w:r>
          </w:p>
        </w:tc>
        <w:tc>
          <w:tcPr>
            <w:tcW w:w="1675" w:type="dxa"/>
            <w:tcBorders>
              <w:tl2br w:val="nil"/>
              <w:tr2bl w:val="nil"/>
            </w:tcBorders>
            <w:vAlign w:val="center"/>
          </w:tcPr>
          <w:p w14:paraId="634FA26E">
            <w:pPr>
              <w:jc w:val="center"/>
              <w:rPr>
                <w:rFonts w:hint="default" w:eastAsia="宋体"/>
                <w:bCs/>
                <w:sz w:val="21"/>
                <w:szCs w:val="21"/>
                <w:lang w:val="en-US" w:eastAsia="zh-CN"/>
              </w:rPr>
            </w:pPr>
            <w:r>
              <w:rPr>
                <w:rFonts w:hint="eastAsia" w:eastAsia="宋体"/>
                <w:bCs/>
                <w:sz w:val="21"/>
                <w:szCs w:val="21"/>
                <w:lang w:val="en-US" w:eastAsia="zh-CN"/>
              </w:rPr>
              <w:t>厂区西南角</w:t>
            </w:r>
          </w:p>
        </w:tc>
        <w:tc>
          <w:tcPr>
            <w:tcW w:w="2008" w:type="dxa"/>
            <w:tcBorders>
              <w:tl2br w:val="nil"/>
              <w:tr2bl w:val="nil"/>
            </w:tcBorders>
            <w:vAlign w:val="center"/>
          </w:tcPr>
          <w:p w14:paraId="00F18245">
            <w:pPr>
              <w:jc w:val="center"/>
              <w:rPr>
                <w:rFonts w:hint="default" w:eastAsia="宋体"/>
                <w:bCs/>
                <w:sz w:val="21"/>
                <w:szCs w:val="21"/>
                <w:lang w:val="en-US" w:eastAsia="zh-CN"/>
              </w:rPr>
            </w:pPr>
            <w:r>
              <w:rPr>
                <w:rFonts w:hint="eastAsia" w:eastAsia="宋体"/>
                <w:bCs/>
                <w:sz w:val="21"/>
                <w:szCs w:val="21"/>
                <w:lang w:val="en-US" w:eastAsia="zh-CN"/>
              </w:rPr>
              <w:t>表层样0-0.2m</w:t>
            </w:r>
          </w:p>
        </w:tc>
        <w:tc>
          <w:tcPr>
            <w:tcW w:w="3109" w:type="dxa"/>
            <w:tcBorders>
              <w:tl2br w:val="nil"/>
              <w:tr2bl w:val="nil"/>
            </w:tcBorders>
            <w:vAlign w:val="center"/>
          </w:tcPr>
          <w:p w14:paraId="451F212F">
            <w:pPr>
              <w:jc w:val="center"/>
              <w:rPr>
                <w:rFonts w:hint="default" w:eastAsia="宋体"/>
                <w:bCs/>
                <w:sz w:val="21"/>
                <w:szCs w:val="21"/>
                <w:lang w:val="en-US" w:eastAsia="zh-CN"/>
              </w:rPr>
            </w:pPr>
            <w:r>
              <w:rPr>
                <w:rFonts w:hint="eastAsia" w:eastAsia="宋体"/>
                <w:bCs/>
                <w:sz w:val="21"/>
                <w:szCs w:val="21"/>
                <w:lang w:val="en-US" w:eastAsia="zh-CN"/>
              </w:rPr>
              <w:t>GB36600砷、镉、六价铬、铜、铅、汞、镍，pH</w:t>
            </w:r>
          </w:p>
        </w:tc>
      </w:tr>
    </w:tbl>
    <w:p w14:paraId="6B2A5AE5">
      <w:pPr>
        <w:spacing w:line="360" w:lineRule="auto"/>
        <w:ind w:firstLine="480" w:firstLineChars="200"/>
      </w:pPr>
    </w:p>
    <w:p w14:paraId="375671F8">
      <w:pPr>
        <w:jc w:val="center"/>
      </w:pPr>
      <w:r>
        <w:drawing>
          <wp:inline distT="0" distB="0" distL="114300" distR="114300">
            <wp:extent cx="5727700" cy="4605655"/>
            <wp:effectExtent l="0" t="0" r="6350" b="4445"/>
            <wp:docPr id="1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
                    <pic:cNvPicPr>
                      <a:picLocks noChangeAspect="1"/>
                    </pic:cNvPicPr>
                  </pic:nvPicPr>
                  <pic:blipFill>
                    <a:blip r:embed="rId72"/>
                    <a:stretch>
                      <a:fillRect/>
                    </a:stretch>
                  </pic:blipFill>
                  <pic:spPr>
                    <a:xfrm>
                      <a:off x="0" y="0"/>
                      <a:ext cx="5727700" cy="4605655"/>
                    </a:xfrm>
                    <a:prstGeom prst="rect">
                      <a:avLst/>
                    </a:prstGeom>
                    <a:noFill/>
                    <a:ln>
                      <a:noFill/>
                    </a:ln>
                  </pic:spPr>
                </pic:pic>
              </a:graphicData>
            </a:graphic>
          </wp:inline>
        </w:drawing>
      </w:r>
    </w:p>
    <w:p w14:paraId="75B4BD33">
      <w:pPr>
        <w:spacing w:line="360" w:lineRule="auto"/>
        <w:jc w:val="center"/>
        <w:rPr>
          <w:b/>
          <w:bCs/>
        </w:rPr>
      </w:pPr>
      <w:r>
        <w:rPr>
          <w:b/>
          <w:bCs/>
        </w:rPr>
        <w:t>图4.3-3  土壤监测点位示意图</w:t>
      </w:r>
    </w:p>
    <w:p w14:paraId="34CA7032">
      <w:pPr>
        <w:pStyle w:val="42"/>
      </w:pPr>
    </w:p>
    <w:p w14:paraId="24756FB8">
      <w:pPr>
        <w:pStyle w:val="5"/>
        <w:spacing w:line="360" w:lineRule="auto"/>
        <w:rPr>
          <w:sz w:val="25"/>
        </w:rPr>
      </w:pPr>
      <w:r>
        <w:t>4.3.4.2监测项目</w:t>
      </w:r>
    </w:p>
    <w:p w14:paraId="38BC67FD">
      <w:pPr>
        <w:spacing w:line="360" w:lineRule="auto"/>
        <w:ind w:firstLine="480" w:firstLineChars="200"/>
      </w:pPr>
      <w:r>
        <w:rPr>
          <w:rFonts w:hint="eastAsia"/>
          <w:lang w:val="en-US" w:eastAsia="zh-CN"/>
        </w:rPr>
        <w:t>1号点</w:t>
      </w:r>
      <w:r>
        <w:t>建设用地监测因子：砷、镉、铬（六价）、铜、铅、汞、镍、四氯化碳、氯仿、氯甲烷、1,1-二氯乙烷、1,2-二氯乙烷、1,1-二氯乙烯、顺-1,2-二氯乙烯、反-1,2-二氯乙烯、二氯甲烷、1,2-二氯丙烷、1,1,1,2-四氯乙烷、1,1,2,2-四氯乙烷、四氯乙烯、1,1,1-三氯乙烷、1,1,2-三氯乙烷、三氯乙烯、1,2,3-三氯丙烷、氯乙烯、氯苯、1,2-二氯苯、1,4-二氯苯、乙苯、苯乙烯、硝基苯、苯胺、2-氯酚、苯并[a] 蒽、苯并[a]芘、苯并[b]荧蒽、苯并[k]荧蒽、䓛（又名 1，2-苯并菲）、二苯并[a,h] 蒽、茚并[1,2,3-cd]芘、萘、苯、甲苯、间二甲苯+对二甲苯、邻二甲苯</w:t>
      </w:r>
      <w:r>
        <w:rPr>
          <w:rFonts w:hint="eastAsia"/>
          <w:lang w:eastAsia="zh-CN"/>
        </w:rPr>
        <w:t>、</w:t>
      </w:r>
      <w:r>
        <w:rPr>
          <w:rFonts w:hint="eastAsia" w:cs="Times New Roman"/>
          <w:b w:val="0"/>
          <w:sz w:val="24"/>
          <w:szCs w:val="24"/>
          <w:lang w:val="en-US" w:eastAsia="zh-CN" w:bidi="ar-SA"/>
        </w:rPr>
        <w:t>pH</w:t>
      </w:r>
      <w:r>
        <w:t>共4</w:t>
      </w:r>
      <w:r>
        <w:rPr>
          <w:rFonts w:hint="eastAsia"/>
          <w:lang w:val="en-US" w:eastAsia="zh-CN"/>
        </w:rPr>
        <w:t>6</w:t>
      </w:r>
      <w:r>
        <w:t>项。</w:t>
      </w:r>
    </w:p>
    <w:p w14:paraId="3956F885">
      <w:pPr>
        <w:spacing w:line="360" w:lineRule="auto"/>
        <w:outlineLvl w:val="9"/>
        <w:rPr>
          <w:rFonts w:hint="default" w:eastAsia="宋体"/>
          <w:lang w:val="en-US" w:eastAsia="zh-CN"/>
        </w:rPr>
      </w:pPr>
      <w:r>
        <w:rPr>
          <w:rFonts w:hint="eastAsia"/>
          <w:lang w:val="en-US" w:eastAsia="zh-CN"/>
        </w:rPr>
        <w:t xml:space="preserve"> </w:t>
      </w:r>
      <w:r>
        <w:rPr>
          <w:rFonts w:hint="eastAsia" w:ascii="Times New Roman" w:hAnsi="Times New Roman" w:eastAsia="宋体" w:cs="Times New Roman"/>
          <w:b w:val="0"/>
          <w:sz w:val="24"/>
          <w:szCs w:val="24"/>
          <w:lang w:val="en-US" w:eastAsia="zh-CN" w:bidi="ar-SA"/>
        </w:rPr>
        <w:t xml:space="preserve">  </w:t>
      </w:r>
      <w:r>
        <w:rPr>
          <w:rFonts w:hint="eastAsia" w:eastAsia="宋体"/>
          <w:lang w:val="en-US" w:eastAsia="zh-CN"/>
        </w:rPr>
        <w:t>2号点、3号点</w:t>
      </w:r>
      <w:r>
        <w:rPr>
          <w:rFonts w:eastAsia="宋体"/>
          <w:lang w:val="en-US" w:eastAsia="zh-CN"/>
        </w:rPr>
        <w:t>监测因子：</w:t>
      </w:r>
      <w:r>
        <w:rPr>
          <w:rFonts w:hint="eastAsia" w:eastAsia="宋体"/>
          <w:lang w:val="en-US" w:eastAsia="zh-CN"/>
        </w:rPr>
        <w:t>砷、镉、六价铬、铜、铅、汞、镍</w:t>
      </w:r>
      <w:r>
        <w:rPr>
          <w:rFonts w:hint="eastAsia" w:eastAsia="宋体"/>
          <w:lang w:eastAsia="zh-CN"/>
        </w:rPr>
        <w:t>，</w:t>
      </w:r>
      <w:r>
        <w:rPr>
          <w:rFonts w:hint="eastAsia" w:eastAsia="宋体"/>
          <w:lang w:val="en-US" w:eastAsia="zh-CN"/>
        </w:rPr>
        <w:t>pH</w:t>
      </w:r>
      <w:r>
        <w:rPr>
          <w:rFonts w:eastAsia="宋体"/>
          <w:lang w:val="en-US" w:eastAsia="zh-CN"/>
        </w:rPr>
        <w:t>共</w:t>
      </w:r>
      <w:r>
        <w:rPr>
          <w:rFonts w:hint="eastAsia" w:eastAsia="宋体"/>
          <w:lang w:val="en-US" w:eastAsia="zh-CN"/>
        </w:rPr>
        <w:t>8</w:t>
      </w:r>
      <w:r>
        <w:rPr>
          <w:rFonts w:eastAsia="宋体"/>
          <w:lang w:val="en-US" w:eastAsia="zh-CN"/>
        </w:rPr>
        <w:t>项。</w:t>
      </w:r>
    </w:p>
    <w:p w14:paraId="7FBBF168">
      <w:pPr>
        <w:pStyle w:val="5"/>
        <w:spacing w:line="360" w:lineRule="auto"/>
        <w:rPr>
          <w:sz w:val="26"/>
        </w:rPr>
      </w:pPr>
      <w:r>
        <w:t>4.3.4.3监测时间</w:t>
      </w:r>
    </w:p>
    <w:p w14:paraId="4F589FC3">
      <w:pPr>
        <w:spacing w:line="360" w:lineRule="auto"/>
        <w:ind w:firstLine="480" w:firstLineChars="200"/>
      </w:pPr>
      <w:r>
        <w:t>监测时间为 202</w:t>
      </w:r>
      <w:r>
        <w:rPr>
          <w:rFonts w:hint="eastAsia"/>
          <w:lang w:val="en-US" w:eastAsia="zh-CN"/>
        </w:rPr>
        <w:t>6</w:t>
      </w:r>
      <w:r>
        <w:t>年</w:t>
      </w:r>
      <w:r>
        <w:rPr>
          <w:rFonts w:hint="eastAsia"/>
          <w:lang w:val="en-US" w:eastAsia="zh-CN"/>
        </w:rPr>
        <w:t>05</w:t>
      </w:r>
      <w:r>
        <w:t>月</w:t>
      </w:r>
      <w:r>
        <w:rPr>
          <w:rFonts w:hint="eastAsia"/>
          <w:lang w:val="en-US" w:eastAsia="zh-CN"/>
        </w:rPr>
        <w:t>12</w:t>
      </w:r>
      <w:r>
        <w:t>日</w:t>
      </w:r>
      <w:r>
        <w:rPr>
          <w:rFonts w:hint="eastAsia"/>
          <w:lang w:val="en-US" w:eastAsia="zh-CN"/>
        </w:rPr>
        <w:t>-13日</w:t>
      </w:r>
      <w:r>
        <w:t>，监测</w:t>
      </w:r>
      <w:r>
        <w:rPr>
          <w:rFonts w:hint="eastAsia"/>
          <w:lang w:val="en-US" w:eastAsia="zh-CN"/>
        </w:rPr>
        <w:t>2</w:t>
      </w:r>
      <w:r>
        <w:t>天。</w:t>
      </w:r>
    </w:p>
    <w:p w14:paraId="4D47FADA">
      <w:pPr>
        <w:pStyle w:val="5"/>
      </w:pPr>
      <w:r>
        <w:t>4.3.4.4现状监测结果</w:t>
      </w:r>
    </w:p>
    <w:p w14:paraId="19F096CF">
      <w:pPr>
        <w:spacing w:line="360" w:lineRule="auto"/>
        <w:ind w:firstLine="480" w:firstLineChars="200"/>
      </w:pPr>
      <w:r>
        <w:rPr>
          <w:rFonts w:hint="eastAsia"/>
          <w:lang w:eastAsia="zh-CN"/>
        </w:rPr>
        <w:t>本项目</w:t>
      </w:r>
      <w:r>
        <w:t>土壤环境现状监测结果见表 4.3-</w:t>
      </w:r>
      <w:r>
        <w:rPr>
          <w:rFonts w:hint="eastAsia"/>
          <w:lang w:val="en-US" w:eastAsia="zh-CN"/>
        </w:rPr>
        <w:t>10</w:t>
      </w:r>
      <w:r>
        <w:t>。</w:t>
      </w:r>
    </w:p>
    <w:p w14:paraId="76592159">
      <w:pPr>
        <w:jc w:val="center"/>
      </w:pPr>
      <w:r>
        <w:rPr>
          <w:b/>
        </w:rPr>
        <w:t>表4.3-</w:t>
      </w:r>
      <w:r>
        <w:rPr>
          <w:rFonts w:hint="eastAsia"/>
          <w:b/>
          <w:lang w:val="en-US" w:eastAsia="zh-CN"/>
        </w:rPr>
        <w:t>10</w:t>
      </w:r>
      <w:r>
        <w:rPr>
          <w:b/>
        </w:rPr>
        <w:t xml:space="preserve">  土壤现状监测结果一览表</w:t>
      </w:r>
    </w:p>
    <w:tbl>
      <w:tblPr>
        <w:tblStyle w:val="54"/>
        <w:tblW w:w="50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6"/>
        <w:gridCol w:w="2535"/>
        <w:gridCol w:w="1280"/>
        <w:gridCol w:w="1605"/>
        <w:gridCol w:w="1716"/>
      </w:tblGrid>
      <w:tr w14:paraId="041E5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1071" w:type="pct"/>
            <w:vAlign w:val="center"/>
          </w:tcPr>
          <w:p w14:paraId="7175FF0D">
            <w:pPr>
              <w:jc w:val="center"/>
              <w:rPr>
                <w:rFonts w:hint="default" w:eastAsia="宋体"/>
                <w:b/>
                <w:bCs/>
                <w:sz w:val="21"/>
                <w:szCs w:val="21"/>
                <w:lang w:val="en-US" w:eastAsia="zh-CN"/>
              </w:rPr>
            </w:pPr>
            <w:r>
              <w:rPr>
                <w:rFonts w:hint="eastAsia"/>
                <w:b/>
                <w:bCs/>
                <w:sz w:val="21"/>
                <w:szCs w:val="21"/>
                <w:lang w:val="en-US" w:eastAsia="zh-CN"/>
              </w:rPr>
              <w:t>监测点位</w:t>
            </w:r>
          </w:p>
        </w:tc>
        <w:tc>
          <w:tcPr>
            <w:tcW w:w="1395" w:type="pct"/>
            <w:vAlign w:val="center"/>
          </w:tcPr>
          <w:p w14:paraId="16CD10DD">
            <w:pPr>
              <w:jc w:val="center"/>
              <w:rPr>
                <w:b/>
                <w:bCs/>
                <w:sz w:val="21"/>
                <w:szCs w:val="21"/>
              </w:rPr>
            </w:pPr>
            <w:r>
              <w:rPr>
                <w:b/>
                <w:bCs/>
                <w:sz w:val="21"/>
                <w:szCs w:val="21"/>
              </w:rPr>
              <w:t>检测项目</w:t>
            </w:r>
          </w:p>
        </w:tc>
        <w:tc>
          <w:tcPr>
            <w:tcW w:w="704" w:type="pct"/>
            <w:vAlign w:val="center"/>
          </w:tcPr>
          <w:p w14:paraId="27C8BA19">
            <w:pPr>
              <w:jc w:val="center"/>
              <w:rPr>
                <w:b/>
                <w:bCs/>
                <w:sz w:val="21"/>
                <w:szCs w:val="21"/>
              </w:rPr>
            </w:pPr>
            <w:r>
              <w:rPr>
                <w:rFonts w:hint="eastAsia"/>
                <w:b/>
                <w:bCs/>
                <w:sz w:val="21"/>
                <w:szCs w:val="21"/>
                <w:lang w:val="en-US" w:eastAsia="zh-CN"/>
              </w:rPr>
              <w:t>单位</w:t>
            </w:r>
          </w:p>
        </w:tc>
        <w:tc>
          <w:tcPr>
            <w:tcW w:w="883" w:type="pct"/>
            <w:vAlign w:val="center"/>
          </w:tcPr>
          <w:p w14:paraId="4E38CDE9">
            <w:pPr>
              <w:jc w:val="center"/>
              <w:rPr>
                <w:b/>
                <w:bCs/>
                <w:sz w:val="21"/>
                <w:szCs w:val="21"/>
              </w:rPr>
            </w:pPr>
            <w:r>
              <w:rPr>
                <w:b/>
                <w:bCs/>
                <w:sz w:val="21"/>
                <w:szCs w:val="21"/>
              </w:rPr>
              <w:t>检测结果</w:t>
            </w:r>
          </w:p>
        </w:tc>
        <w:tc>
          <w:tcPr>
            <w:tcW w:w="944" w:type="pct"/>
            <w:vAlign w:val="center"/>
          </w:tcPr>
          <w:p w14:paraId="613EBA8F">
            <w:pPr>
              <w:jc w:val="center"/>
              <w:rPr>
                <w:rFonts w:hint="eastAsia" w:eastAsia="宋体"/>
                <w:b/>
                <w:bCs/>
                <w:sz w:val="21"/>
                <w:szCs w:val="21"/>
                <w:lang w:val="en-US" w:eastAsia="zh-CN"/>
              </w:rPr>
            </w:pPr>
            <w:r>
              <w:rPr>
                <w:rFonts w:hint="eastAsia"/>
                <w:b/>
                <w:bCs/>
                <w:sz w:val="21"/>
                <w:szCs w:val="21"/>
                <w:lang w:val="en-US" w:eastAsia="zh-CN"/>
              </w:rPr>
              <w:t>限值</w:t>
            </w:r>
          </w:p>
        </w:tc>
      </w:tr>
      <w:tr w14:paraId="0BA24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1071" w:type="pct"/>
            <w:vMerge w:val="restart"/>
            <w:vAlign w:val="center"/>
          </w:tcPr>
          <w:p w14:paraId="402737D7">
            <w:pPr>
              <w:jc w:val="center"/>
              <w:rPr>
                <w:sz w:val="21"/>
                <w:szCs w:val="21"/>
              </w:rPr>
            </w:pPr>
          </w:p>
          <w:p w14:paraId="6E80A556">
            <w:pPr>
              <w:jc w:val="center"/>
              <w:rPr>
                <w:sz w:val="21"/>
                <w:szCs w:val="21"/>
              </w:rPr>
            </w:pPr>
            <w:r>
              <w:rPr>
                <w:rFonts w:hint="eastAsia" w:ascii="Times New Roman" w:hAnsi="Times New Roman" w:eastAsia="宋体" w:cs="Times New Roman"/>
                <w:color w:val="auto"/>
                <w:kern w:val="2"/>
                <w:sz w:val="21"/>
                <w:szCs w:val="21"/>
                <w:lang w:val="en-US" w:eastAsia="zh-CN" w:bidi="ar-SA"/>
              </w:rPr>
              <w:t>1#</w:t>
            </w:r>
            <w:r>
              <w:rPr>
                <w:rFonts w:hint="default" w:ascii="Times New Roman" w:hAnsi="Times New Roman" w:eastAsia="宋体" w:cs="Times New Roman"/>
                <w:color w:val="auto"/>
                <w:kern w:val="2"/>
                <w:sz w:val="21"/>
                <w:szCs w:val="21"/>
                <w:lang w:val="en-US" w:eastAsia="zh-CN" w:bidi="ar-SA"/>
              </w:rPr>
              <w:t>厂区</w:t>
            </w:r>
            <w:r>
              <w:rPr>
                <w:rFonts w:hint="eastAsia" w:cs="Times New Roman"/>
                <w:color w:val="auto"/>
                <w:kern w:val="2"/>
                <w:sz w:val="21"/>
                <w:szCs w:val="21"/>
                <w:lang w:val="en-US" w:eastAsia="zh-CN" w:bidi="ar-SA"/>
              </w:rPr>
              <w:t>北侧</w:t>
            </w:r>
          </w:p>
        </w:tc>
        <w:tc>
          <w:tcPr>
            <w:tcW w:w="1395" w:type="pct"/>
            <w:vAlign w:val="center"/>
          </w:tcPr>
          <w:p w14:paraId="3D63670B">
            <w:pPr>
              <w:jc w:val="center"/>
              <w:rPr>
                <w:sz w:val="21"/>
                <w:szCs w:val="21"/>
              </w:rPr>
            </w:pPr>
            <w:r>
              <w:rPr>
                <w:rFonts w:hint="eastAsia"/>
                <w:sz w:val="21"/>
                <w:szCs w:val="21"/>
              </w:rPr>
              <w:t>p</w:t>
            </w:r>
            <w:r>
              <w:rPr>
                <w:sz w:val="21"/>
                <w:szCs w:val="21"/>
              </w:rPr>
              <w:t>H</w:t>
            </w:r>
          </w:p>
        </w:tc>
        <w:tc>
          <w:tcPr>
            <w:tcW w:w="704" w:type="pct"/>
            <w:vAlign w:val="center"/>
          </w:tcPr>
          <w:p w14:paraId="7CB05FDA">
            <w:pPr>
              <w:jc w:val="center"/>
              <w:rPr>
                <w:rFonts w:hint="eastAsia"/>
                <w:sz w:val="21"/>
                <w:szCs w:val="21"/>
                <w:lang w:val="en-US" w:eastAsia="zh-CN"/>
              </w:rPr>
            </w:pPr>
            <w:r>
              <w:rPr>
                <w:rFonts w:hint="eastAsia"/>
                <w:sz w:val="21"/>
                <w:szCs w:val="21"/>
                <w:lang w:val="en-US" w:eastAsia="zh-CN"/>
              </w:rPr>
              <w:t>无量纲</w:t>
            </w:r>
          </w:p>
        </w:tc>
        <w:tc>
          <w:tcPr>
            <w:tcW w:w="883" w:type="pct"/>
            <w:vAlign w:val="center"/>
          </w:tcPr>
          <w:p w14:paraId="35A5F1EA">
            <w:pPr>
              <w:jc w:val="center"/>
              <w:rPr>
                <w:rFonts w:hint="default" w:eastAsia="宋体"/>
                <w:sz w:val="21"/>
                <w:szCs w:val="21"/>
                <w:lang w:val="en-US" w:eastAsia="zh-CN"/>
              </w:rPr>
            </w:pPr>
            <w:r>
              <w:rPr>
                <w:rFonts w:hint="eastAsia"/>
                <w:sz w:val="21"/>
                <w:szCs w:val="21"/>
                <w:lang w:val="en-US" w:eastAsia="zh-CN"/>
              </w:rPr>
              <w:t>8.26</w:t>
            </w:r>
          </w:p>
        </w:tc>
        <w:tc>
          <w:tcPr>
            <w:tcW w:w="944" w:type="pct"/>
            <w:vAlign w:val="center"/>
          </w:tcPr>
          <w:p w14:paraId="79409453">
            <w:pPr>
              <w:jc w:val="center"/>
              <w:rPr>
                <w:rFonts w:hint="eastAsia" w:eastAsia="宋体"/>
                <w:sz w:val="21"/>
                <w:szCs w:val="21"/>
                <w:lang w:val="en-US" w:eastAsia="zh-CN"/>
              </w:rPr>
            </w:pPr>
            <w:r>
              <w:rPr>
                <w:rFonts w:hint="eastAsia"/>
                <w:sz w:val="21"/>
                <w:szCs w:val="21"/>
                <w:lang w:val="en-US" w:eastAsia="zh-CN"/>
              </w:rPr>
              <w:t>-</w:t>
            </w:r>
          </w:p>
        </w:tc>
      </w:tr>
      <w:tr w14:paraId="7A773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38BDBD1">
            <w:pPr>
              <w:jc w:val="center"/>
              <w:rPr>
                <w:sz w:val="21"/>
                <w:szCs w:val="21"/>
              </w:rPr>
            </w:pPr>
          </w:p>
        </w:tc>
        <w:tc>
          <w:tcPr>
            <w:tcW w:w="1395" w:type="pct"/>
            <w:vAlign w:val="center"/>
          </w:tcPr>
          <w:p w14:paraId="1595BD26">
            <w:pPr>
              <w:jc w:val="center"/>
              <w:rPr>
                <w:sz w:val="21"/>
                <w:szCs w:val="21"/>
              </w:rPr>
            </w:pPr>
            <w:r>
              <w:rPr>
                <w:sz w:val="21"/>
                <w:szCs w:val="21"/>
              </w:rPr>
              <w:t>砷</w:t>
            </w:r>
          </w:p>
        </w:tc>
        <w:tc>
          <w:tcPr>
            <w:tcW w:w="704" w:type="pct"/>
            <w:vAlign w:val="center"/>
          </w:tcPr>
          <w:p w14:paraId="34CDBC36">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07BBDD54">
            <w:pPr>
              <w:jc w:val="center"/>
              <w:rPr>
                <w:rFonts w:hint="default" w:eastAsia="宋体"/>
                <w:sz w:val="21"/>
                <w:szCs w:val="21"/>
                <w:lang w:val="en-US" w:eastAsia="zh-CN"/>
              </w:rPr>
            </w:pPr>
            <w:r>
              <w:rPr>
                <w:rFonts w:hint="eastAsia"/>
                <w:sz w:val="21"/>
                <w:szCs w:val="21"/>
                <w:lang w:val="en-US" w:eastAsia="zh-CN"/>
              </w:rPr>
              <w:t>10.6</w:t>
            </w:r>
          </w:p>
        </w:tc>
        <w:tc>
          <w:tcPr>
            <w:tcW w:w="944" w:type="pct"/>
            <w:vAlign w:val="center"/>
          </w:tcPr>
          <w:p w14:paraId="16F6B2E6">
            <w:pPr>
              <w:jc w:val="center"/>
              <w:rPr>
                <w:rFonts w:hint="default" w:eastAsia="宋体"/>
                <w:sz w:val="21"/>
                <w:szCs w:val="21"/>
                <w:lang w:val="en-US" w:eastAsia="zh-CN"/>
              </w:rPr>
            </w:pPr>
            <w:r>
              <w:rPr>
                <w:rFonts w:hint="eastAsia"/>
                <w:sz w:val="21"/>
                <w:szCs w:val="21"/>
                <w:lang w:val="en-US" w:eastAsia="zh-CN"/>
              </w:rPr>
              <w:t>60</w:t>
            </w:r>
          </w:p>
        </w:tc>
      </w:tr>
      <w:tr w14:paraId="6B2028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6625C2F3">
            <w:pPr>
              <w:jc w:val="center"/>
              <w:rPr>
                <w:sz w:val="21"/>
                <w:szCs w:val="21"/>
              </w:rPr>
            </w:pPr>
          </w:p>
        </w:tc>
        <w:tc>
          <w:tcPr>
            <w:tcW w:w="1395" w:type="pct"/>
            <w:vAlign w:val="center"/>
          </w:tcPr>
          <w:p w14:paraId="386FA421">
            <w:pPr>
              <w:jc w:val="center"/>
              <w:rPr>
                <w:sz w:val="21"/>
                <w:szCs w:val="21"/>
              </w:rPr>
            </w:pPr>
            <w:r>
              <w:rPr>
                <w:sz w:val="21"/>
                <w:szCs w:val="21"/>
              </w:rPr>
              <w:t>镉</w:t>
            </w:r>
          </w:p>
        </w:tc>
        <w:tc>
          <w:tcPr>
            <w:tcW w:w="704" w:type="pct"/>
            <w:vAlign w:val="center"/>
          </w:tcPr>
          <w:p w14:paraId="3AE25DB6">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C52EDA7">
            <w:pPr>
              <w:jc w:val="center"/>
              <w:rPr>
                <w:rFonts w:hint="default" w:eastAsia="宋体"/>
                <w:sz w:val="21"/>
                <w:szCs w:val="21"/>
                <w:lang w:val="en-US" w:eastAsia="zh-CN"/>
              </w:rPr>
            </w:pPr>
            <w:r>
              <w:rPr>
                <w:rFonts w:hint="eastAsia"/>
                <w:sz w:val="21"/>
                <w:szCs w:val="21"/>
                <w:lang w:val="en-US" w:eastAsia="zh-CN"/>
              </w:rPr>
              <w:t>未检出</w:t>
            </w:r>
          </w:p>
        </w:tc>
        <w:tc>
          <w:tcPr>
            <w:tcW w:w="944" w:type="pct"/>
            <w:vAlign w:val="center"/>
          </w:tcPr>
          <w:p w14:paraId="69B91840">
            <w:pPr>
              <w:jc w:val="center"/>
              <w:rPr>
                <w:rFonts w:hint="default" w:eastAsia="宋体"/>
                <w:sz w:val="21"/>
                <w:szCs w:val="21"/>
                <w:lang w:val="en-US" w:eastAsia="zh-CN"/>
              </w:rPr>
            </w:pPr>
            <w:r>
              <w:rPr>
                <w:rFonts w:hint="eastAsia"/>
                <w:sz w:val="21"/>
                <w:szCs w:val="21"/>
                <w:lang w:val="en-US" w:eastAsia="zh-CN"/>
              </w:rPr>
              <w:t>65</w:t>
            </w:r>
          </w:p>
        </w:tc>
      </w:tr>
      <w:tr w14:paraId="429F4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6EEDAC9">
            <w:pPr>
              <w:jc w:val="center"/>
              <w:rPr>
                <w:sz w:val="21"/>
                <w:szCs w:val="21"/>
              </w:rPr>
            </w:pPr>
          </w:p>
        </w:tc>
        <w:tc>
          <w:tcPr>
            <w:tcW w:w="1395" w:type="pct"/>
            <w:vAlign w:val="center"/>
          </w:tcPr>
          <w:p w14:paraId="18C7E7A1">
            <w:pPr>
              <w:jc w:val="center"/>
              <w:rPr>
                <w:sz w:val="21"/>
                <w:szCs w:val="21"/>
              </w:rPr>
            </w:pPr>
            <w:r>
              <w:rPr>
                <w:sz w:val="21"/>
                <w:szCs w:val="21"/>
              </w:rPr>
              <w:t>六价铬</w:t>
            </w:r>
          </w:p>
        </w:tc>
        <w:tc>
          <w:tcPr>
            <w:tcW w:w="704" w:type="pct"/>
            <w:vAlign w:val="center"/>
          </w:tcPr>
          <w:p w14:paraId="26B0AC0B">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6BF97857">
            <w:pPr>
              <w:jc w:val="center"/>
              <w:rPr>
                <w:rFonts w:hint="default" w:eastAsia="宋体"/>
                <w:sz w:val="21"/>
                <w:szCs w:val="21"/>
                <w:lang w:val="en-US" w:eastAsia="zh-CN"/>
              </w:rPr>
            </w:pPr>
            <w:r>
              <w:rPr>
                <w:rFonts w:hint="eastAsia"/>
                <w:sz w:val="21"/>
                <w:szCs w:val="21"/>
                <w:lang w:val="en-US" w:eastAsia="zh-CN"/>
              </w:rPr>
              <w:t>未检出</w:t>
            </w:r>
          </w:p>
        </w:tc>
        <w:tc>
          <w:tcPr>
            <w:tcW w:w="944" w:type="pct"/>
            <w:vAlign w:val="center"/>
          </w:tcPr>
          <w:p w14:paraId="169EE264">
            <w:pPr>
              <w:jc w:val="center"/>
              <w:rPr>
                <w:rFonts w:hint="default" w:eastAsia="宋体"/>
                <w:sz w:val="21"/>
                <w:szCs w:val="21"/>
                <w:lang w:val="en-US" w:eastAsia="zh-CN"/>
              </w:rPr>
            </w:pPr>
            <w:r>
              <w:rPr>
                <w:rFonts w:hint="eastAsia"/>
                <w:sz w:val="21"/>
                <w:szCs w:val="21"/>
                <w:lang w:val="en-US" w:eastAsia="zh-CN"/>
              </w:rPr>
              <w:t>5.7</w:t>
            </w:r>
          </w:p>
        </w:tc>
      </w:tr>
      <w:tr w14:paraId="1FD61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5F739BD6">
            <w:pPr>
              <w:jc w:val="center"/>
              <w:rPr>
                <w:sz w:val="21"/>
                <w:szCs w:val="21"/>
              </w:rPr>
            </w:pPr>
          </w:p>
        </w:tc>
        <w:tc>
          <w:tcPr>
            <w:tcW w:w="1395" w:type="pct"/>
            <w:vAlign w:val="center"/>
          </w:tcPr>
          <w:p w14:paraId="50AC600B">
            <w:pPr>
              <w:jc w:val="center"/>
              <w:rPr>
                <w:sz w:val="21"/>
                <w:szCs w:val="21"/>
              </w:rPr>
            </w:pPr>
            <w:r>
              <w:rPr>
                <w:sz w:val="21"/>
                <w:szCs w:val="21"/>
              </w:rPr>
              <w:t>铜</w:t>
            </w:r>
          </w:p>
        </w:tc>
        <w:tc>
          <w:tcPr>
            <w:tcW w:w="704" w:type="pct"/>
            <w:vAlign w:val="center"/>
          </w:tcPr>
          <w:p w14:paraId="61F67DA5">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78B1282">
            <w:pPr>
              <w:jc w:val="center"/>
              <w:rPr>
                <w:rFonts w:hint="default" w:eastAsia="宋体"/>
                <w:sz w:val="21"/>
                <w:szCs w:val="21"/>
                <w:lang w:val="en-US" w:eastAsia="zh-CN"/>
              </w:rPr>
            </w:pPr>
            <w:r>
              <w:rPr>
                <w:rFonts w:hint="eastAsia"/>
                <w:sz w:val="21"/>
                <w:szCs w:val="21"/>
                <w:lang w:val="en-US" w:eastAsia="zh-CN"/>
              </w:rPr>
              <w:t>18</w:t>
            </w:r>
          </w:p>
        </w:tc>
        <w:tc>
          <w:tcPr>
            <w:tcW w:w="944" w:type="pct"/>
            <w:vAlign w:val="center"/>
          </w:tcPr>
          <w:p w14:paraId="2123F417">
            <w:pPr>
              <w:jc w:val="center"/>
              <w:rPr>
                <w:rFonts w:hint="default" w:eastAsia="宋体"/>
                <w:sz w:val="21"/>
                <w:szCs w:val="21"/>
                <w:lang w:val="en-US" w:eastAsia="zh-CN"/>
              </w:rPr>
            </w:pPr>
            <w:r>
              <w:rPr>
                <w:rFonts w:hint="eastAsia"/>
                <w:sz w:val="21"/>
                <w:szCs w:val="21"/>
                <w:lang w:val="en-US" w:eastAsia="zh-CN"/>
              </w:rPr>
              <w:t>18000</w:t>
            </w:r>
          </w:p>
        </w:tc>
      </w:tr>
      <w:tr w14:paraId="6A04A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5E2C1A3E">
            <w:pPr>
              <w:jc w:val="center"/>
              <w:rPr>
                <w:sz w:val="21"/>
                <w:szCs w:val="21"/>
              </w:rPr>
            </w:pPr>
          </w:p>
        </w:tc>
        <w:tc>
          <w:tcPr>
            <w:tcW w:w="1395" w:type="pct"/>
            <w:vAlign w:val="center"/>
          </w:tcPr>
          <w:p w14:paraId="2E7D53E2">
            <w:pPr>
              <w:jc w:val="center"/>
              <w:rPr>
                <w:sz w:val="21"/>
                <w:szCs w:val="21"/>
              </w:rPr>
            </w:pPr>
            <w:r>
              <w:rPr>
                <w:sz w:val="21"/>
                <w:szCs w:val="21"/>
              </w:rPr>
              <w:t>铅</w:t>
            </w:r>
          </w:p>
        </w:tc>
        <w:tc>
          <w:tcPr>
            <w:tcW w:w="704" w:type="pct"/>
            <w:vAlign w:val="center"/>
          </w:tcPr>
          <w:p w14:paraId="2933E993">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325663B8">
            <w:pPr>
              <w:jc w:val="center"/>
              <w:rPr>
                <w:rFonts w:hint="default" w:eastAsia="宋体"/>
                <w:sz w:val="21"/>
                <w:szCs w:val="21"/>
                <w:lang w:val="en-US" w:eastAsia="zh-CN"/>
              </w:rPr>
            </w:pPr>
            <w:r>
              <w:rPr>
                <w:rFonts w:hint="eastAsia"/>
                <w:sz w:val="21"/>
                <w:szCs w:val="21"/>
                <w:lang w:val="en-US" w:eastAsia="zh-CN"/>
              </w:rPr>
              <w:t>10.4</w:t>
            </w:r>
          </w:p>
        </w:tc>
        <w:tc>
          <w:tcPr>
            <w:tcW w:w="944" w:type="pct"/>
            <w:vAlign w:val="center"/>
          </w:tcPr>
          <w:p w14:paraId="10B89E71">
            <w:pPr>
              <w:jc w:val="center"/>
              <w:rPr>
                <w:rFonts w:hint="default" w:eastAsia="宋体"/>
                <w:sz w:val="21"/>
                <w:szCs w:val="21"/>
                <w:lang w:val="en-US" w:eastAsia="zh-CN"/>
              </w:rPr>
            </w:pPr>
            <w:r>
              <w:rPr>
                <w:rFonts w:hint="eastAsia"/>
                <w:sz w:val="21"/>
                <w:szCs w:val="21"/>
                <w:lang w:val="en-US" w:eastAsia="zh-CN"/>
              </w:rPr>
              <w:t>800</w:t>
            </w:r>
          </w:p>
        </w:tc>
      </w:tr>
      <w:tr w14:paraId="7D66D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1502C3E5">
            <w:pPr>
              <w:jc w:val="center"/>
              <w:rPr>
                <w:sz w:val="21"/>
                <w:szCs w:val="21"/>
              </w:rPr>
            </w:pPr>
          </w:p>
        </w:tc>
        <w:tc>
          <w:tcPr>
            <w:tcW w:w="1395" w:type="pct"/>
            <w:vAlign w:val="center"/>
          </w:tcPr>
          <w:p w14:paraId="2466C3E8">
            <w:pPr>
              <w:jc w:val="center"/>
              <w:rPr>
                <w:sz w:val="21"/>
                <w:szCs w:val="21"/>
              </w:rPr>
            </w:pPr>
            <w:r>
              <w:rPr>
                <w:sz w:val="21"/>
                <w:szCs w:val="21"/>
              </w:rPr>
              <w:t>汞</w:t>
            </w:r>
          </w:p>
        </w:tc>
        <w:tc>
          <w:tcPr>
            <w:tcW w:w="704" w:type="pct"/>
            <w:vAlign w:val="center"/>
          </w:tcPr>
          <w:p w14:paraId="0FFE5D62">
            <w:pPr>
              <w:jc w:val="center"/>
              <w:rPr>
                <w:rFonts w:hint="eastAsia"/>
                <w:sz w:val="21"/>
                <w:szCs w:val="21"/>
              </w:rPr>
            </w:pPr>
            <w:r>
              <w:rPr>
                <w:rFonts w:hint="eastAsia"/>
                <w:sz w:val="21"/>
                <w:szCs w:val="21"/>
                <w:lang w:val="en-US" w:eastAsia="zh-CN"/>
              </w:rPr>
              <w:t>mg/kg</w:t>
            </w:r>
          </w:p>
        </w:tc>
        <w:tc>
          <w:tcPr>
            <w:tcW w:w="883" w:type="pct"/>
            <w:vAlign w:val="center"/>
          </w:tcPr>
          <w:p w14:paraId="44EC6B14">
            <w:pPr>
              <w:jc w:val="center"/>
              <w:rPr>
                <w:rFonts w:hint="default" w:eastAsia="宋体"/>
                <w:kern w:val="2"/>
                <w:sz w:val="21"/>
                <w:szCs w:val="21"/>
                <w:lang w:val="en-US" w:eastAsia="zh-CN"/>
              </w:rPr>
            </w:pPr>
            <w:r>
              <w:rPr>
                <w:rFonts w:hint="eastAsia"/>
                <w:sz w:val="21"/>
                <w:szCs w:val="21"/>
              </w:rPr>
              <w:t>0.</w:t>
            </w:r>
            <w:r>
              <w:rPr>
                <w:rFonts w:hint="eastAsia"/>
                <w:sz w:val="21"/>
                <w:szCs w:val="21"/>
                <w:lang w:val="en-US" w:eastAsia="zh-CN"/>
              </w:rPr>
              <w:t>036</w:t>
            </w:r>
          </w:p>
        </w:tc>
        <w:tc>
          <w:tcPr>
            <w:tcW w:w="944" w:type="pct"/>
            <w:vAlign w:val="center"/>
          </w:tcPr>
          <w:p w14:paraId="13F43545">
            <w:pPr>
              <w:jc w:val="center"/>
              <w:rPr>
                <w:rFonts w:hint="default" w:eastAsia="宋体"/>
                <w:sz w:val="21"/>
                <w:szCs w:val="21"/>
                <w:lang w:val="en-US" w:eastAsia="zh-CN"/>
              </w:rPr>
            </w:pPr>
            <w:r>
              <w:rPr>
                <w:rFonts w:hint="eastAsia"/>
                <w:sz w:val="21"/>
                <w:szCs w:val="21"/>
                <w:lang w:val="en-US" w:eastAsia="zh-CN"/>
              </w:rPr>
              <w:t>38</w:t>
            </w:r>
          </w:p>
        </w:tc>
      </w:tr>
      <w:tr w14:paraId="1C3E6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64A838CA">
            <w:pPr>
              <w:jc w:val="center"/>
              <w:rPr>
                <w:sz w:val="21"/>
                <w:szCs w:val="21"/>
              </w:rPr>
            </w:pPr>
          </w:p>
        </w:tc>
        <w:tc>
          <w:tcPr>
            <w:tcW w:w="1395" w:type="pct"/>
            <w:vAlign w:val="center"/>
          </w:tcPr>
          <w:p w14:paraId="0CCA24E4">
            <w:pPr>
              <w:jc w:val="center"/>
              <w:rPr>
                <w:sz w:val="21"/>
                <w:szCs w:val="21"/>
              </w:rPr>
            </w:pPr>
            <w:r>
              <w:rPr>
                <w:sz w:val="21"/>
                <w:szCs w:val="21"/>
              </w:rPr>
              <w:t>镍</w:t>
            </w:r>
          </w:p>
        </w:tc>
        <w:tc>
          <w:tcPr>
            <w:tcW w:w="704" w:type="pct"/>
            <w:vAlign w:val="center"/>
          </w:tcPr>
          <w:p w14:paraId="20F69BD5">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71EBBE57">
            <w:pPr>
              <w:jc w:val="center"/>
              <w:rPr>
                <w:rFonts w:hint="default" w:eastAsia="宋体"/>
                <w:sz w:val="21"/>
                <w:szCs w:val="21"/>
                <w:lang w:val="en-US" w:eastAsia="zh-CN"/>
              </w:rPr>
            </w:pPr>
            <w:r>
              <w:rPr>
                <w:rFonts w:hint="eastAsia"/>
                <w:sz w:val="21"/>
                <w:szCs w:val="21"/>
                <w:lang w:val="en-US" w:eastAsia="zh-CN"/>
              </w:rPr>
              <w:t>30</w:t>
            </w:r>
          </w:p>
        </w:tc>
        <w:tc>
          <w:tcPr>
            <w:tcW w:w="944" w:type="pct"/>
            <w:vAlign w:val="center"/>
          </w:tcPr>
          <w:p w14:paraId="6077B1A9">
            <w:pPr>
              <w:jc w:val="center"/>
              <w:rPr>
                <w:rFonts w:hint="default" w:eastAsia="宋体"/>
                <w:sz w:val="21"/>
                <w:szCs w:val="21"/>
                <w:lang w:val="en-US" w:eastAsia="zh-CN"/>
              </w:rPr>
            </w:pPr>
            <w:r>
              <w:rPr>
                <w:rFonts w:hint="eastAsia"/>
                <w:sz w:val="21"/>
                <w:szCs w:val="21"/>
                <w:lang w:val="en-US" w:eastAsia="zh-CN"/>
              </w:rPr>
              <w:t>900</w:t>
            </w:r>
          </w:p>
        </w:tc>
      </w:tr>
      <w:tr w14:paraId="0BE20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699EFBDE">
            <w:pPr>
              <w:jc w:val="center"/>
              <w:rPr>
                <w:sz w:val="21"/>
                <w:szCs w:val="21"/>
              </w:rPr>
            </w:pPr>
          </w:p>
        </w:tc>
        <w:tc>
          <w:tcPr>
            <w:tcW w:w="1395" w:type="pct"/>
            <w:vAlign w:val="center"/>
          </w:tcPr>
          <w:p w14:paraId="7F15F190">
            <w:pPr>
              <w:jc w:val="center"/>
              <w:rPr>
                <w:sz w:val="21"/>
                <w:szCs w:val="21"/>
              </w:rPr>
            </w:pPr>
            <w:r>
              <w:rPr>
                <w:sz w:val="21"/>
                <w:szCs w:val="21"/>
              </w:rPr>
              <w:t>四氯化碳</w:t>
            </w:r>
          </w:p>
        </w:tc>
        <w:tc>
          <w:tcPr>
            <w:tcW w:w="704" w:type="pct"/>
            <w:vAlign w:val="center"/>
          </w:tcPr>
          <w:p w14:paraId="22C3CB33">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28D8E69D">
            <w:pPr>
              <w:jc w:val="center"/>
              <w:rPr>
                <w:sz w:val="21"/>
                <w:szCs w:val="21"/>
              </w:rPr>
            </w:pPr>
            <w:r>
              <w:rPr>
                <w:rFonts w:hint="eastAsia"/>
                <w:sz w:val="21"/>
                <w:szCs w:val="21"/>
                <w:lang w:val="en-US" w:eastAsia="zh-CN"/>
              </w:rPr>
              <w:t>未检出</w:t>
            </w:r>
          </w:p>
        </w:tc>
        <w:tc>
          <w:tcPr>
            <w:tcW w:w="944" w:type="pct"/>
            <w:vAlign w:val="center"/>
          </w:tcPr>
          <w:p w14:paraId="7886B483">
            <w:pPr>
              <w:jc w:val="center"/>
              <w:rPr>
                <w:rFonts w:hint="default" w:eastAsia="宋体"/>
                <w:sz w:val="21"/>
                <w:szCs w:val="21"/>
                <w:lang w:val="en-US" w:eastAsia="zh-CN"/>
              </w:rPr>
            </w:pPr>
            <w:r>
              <w:rPr>
                <w:rFonts w:hint="eastAsia"/>
                <w:sz w:val="21"/>
                <w:szCs w:val="21"/>
                <w:lang w:val="en-US" w:eastAsia="zh-CN"/>
              </w:rPr>
              <w:t>2.8</w:t>
            </w:r>
          </w:p>
        </w:tc>
      </w:tr>
      <w:tr w14:paraId="3EA6D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4B8E09B9">
            <w:pPr>
              <w:jc w:val="center"/>
              <w:rPr>
                <w:sz w:val="21"/>
                <w:szCs w:val="21"/>
              </w:rPr>
            </w:pPr>
          </w:p>
        </w:tc>
        <w:tc>
          <w:tcPr>
            <w:tcW w:w="1395" w:type="pct"/>
            <w:vAlign w:val="center"/>
          </w:tcPr>
          <w:p w14:paraId="0E59D6E2">
            <w:pPr>
              <w:jc w:val="center"/>
              <w:rPr>
                <w:sz w:val="21"/>
                <w:szCs w:val="21"/>
              </w:rPr>
            </w:pPr>
            <w:r>
              <w:rPr>
                <w:sz w:val="21"/>
                <w:szCs w:val="21"/>
              </w:rPr>
              <w:t>氯仿</w:t>
            </w:r>
          </w:p>
        </w:tc>
        <w:tc>
          <w:tcPr>
            <w:tcW w:w="704" w:type="pct"/>
            <w:vAlign w:val="center"/>
          </w:tcPr>
          <w:p w14:paraId="73D67564">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3D63B5DC">
            <w:pPr>
              <w:jc w:val="center"/>
              <w:rPr>
                <w:rFonts w:hint="default"/>
                <w:sz w:val="21"/>
                <w:szCs w:val="21"/>
                <w:lang w:val="en-US"/>
              </w:rPr>
            </w:pPr>
            <w:r>
              <w:rPr>
                <w:rFonts w:hint="eastAsia"/>
                <w:sz w:val="21"/>
                <w:szCs w:val="21"/>
                <w:lang w:val="en-US" w:eastAsia="zh-CN"/>
              </w:rPr>
              <w:t>1.1</w:t>
            </w:r>
            <w:r>
              <w:rPr>
                <w:rFonts w:hint="default" w:ascii="Arial" w:hAnsi="Arial" w:cs="Arial"/>
                <w:sz w:val="21"/>
                <w:szCs w:val="21"/>
                <w:lang w:val="en-US" w:eastAsia="zh-CN"/>
              </w:rPr>
              <w:t>×</w:t>
            </w:r>
            <w:r>
              <w:rPr>
                <w:rFonts w:hint="eastAsia"/>
                <w:sz w:val="21"/>
                <w:szCs w:val="21"/>
                <w:lang w:val="en-US" w:eastAsia="zh-CN"/>
              </w:rPr>
              <w:t>10</w:t>
            </w:r>
            <w:r>
              <w:rPr>
                <w:rFonts w:hint="eastAsia"/>
                <w:sz w:val="21"/>
                <w:szCs w:val="21"/>
                <w:vertAlign w:val="superscript"/>
                <w:lang w:val="en-US" w:eastAsia="zh-CN"/>
              </w:rPr>
              <w:t>-3</w:t>
            </w:r>
          </w:p>
        </w:tc>
        <w:tc>
          <w:tcPr>
            <w:tcW w:w="944" w:type="pct"/>
            <w:vAlign w:val="center"/>
          </w:tcPr>
          <w:p w14:paraId="541E13FB">
            <w:pPr>
              <w:jc w:val="center"/>
              <w:rPr>
                <w:rFonts w:hint="default" w:eastAsia="宋体"/>
                <w:sz w:val="21"/>
                <w:szCs w:val="21"/>
                <w:lang w:val="en-US" w:eastAsia="zh-CN"/>
              </w:rPr>
            </w:pPr>
            <w:r>
              <w:rPr>
                <w:rFonts w:hint="eastAsia"/>
                <w:sz w:val="21"/>
                <w:szCs w:val="21"/>
                <w:lang w:val="en-US" w:eastAsia="zh-CN"/>
              </w:rPr>
              <w:t>0.9</w:t>
            </w:r>
          </w:p>
        </w:tc>
      </w:tr>
      <w:tr w14:paraId="59F64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03FAB2B1">
            <w:pPr>
              <w:jc w:val="center"/>
              <w:rPr>
                <w:sz w:val="21"/>
                <w:szCs w:val="21"/>
              </w:rPr>
            </w:pPr>
          </w:p>
        </w:tc>
        <w:tc>
          <w:tcPr>
            <w:tcW w:w="1395" w:type="pct"/>
            <w:vAlign w:val="center"/>
          </w:tcPr>
          <w:p w14:paraId="02F2927A">
            <w:pPr>
              <w:jc w:val="center"/>
              <w:rPr>
                <w:sz w:val="21"/>
                <w:szCs w:val="21"/>
              </w:rPr>
            </w:pPr>
            <w:r>
              <w:rPr>
                <w:sz w:val="21"/>
                <w:szCs w:val="21"/>
              </w:rPr>
              <w:t>氯甲烷</w:t>
            </w:r>
          </w:p>
        </w:tc>
        <w:tc>
          <w:tcPr>
            <w:tcW w:w="704" w:type="pct"/>
            <w:vAlign w:val="center"/>
          </w:tcPr>
          <w:p w14:paraId="5FB84AAA">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99DCF6D">
            <w:pPr>
              <w:jc w:val="center"/>
              <w:rPr>
                <w:sz w:val="21"/>
                <w:szCs w:val="21"/>
              </w:rPr>
            </w:pPr>
            <w:r>
              <w:rPr>
                <w:rFonts w:hint="eastAsia"/>
                <w:sz w:val="21"/>
                <w:szCs w:val="21"/>
                <w:lang w:val="en-US" w:eastAsia="zh-CN"/>
              </w:rPr>
              <w:t>未检出</w:t>
            </w:r>
          </w:p>
        </w:tc>
        <w:tc>
          <w:tcPr>
            <w:tcW w:w="944" w:type="pct"/>
            <w:vAlign w:val="center"/>
          </w:tcPr>
          <w:p w14:paraId="2174C21F">
            <w:pPr>
              <w:jc w:val="center"/>
              <w:rPr>
                <w:rFonts w:hint="default" w:eastAsia="宋体"/>
                <w:sz w:val="21"/>
                <w:szCs w:val="21"/>
                <w:lang w:val="en-US" w:eastAsia="zh-CN"/>
              </w:rPr>
            </w:pPr>
            <w:r>
              <w:rPr>
                <w:rFonts w:hint="eastAsia"/>
                <w:sz w:val="21"/>
                <w:szCs w:val="21"/>
                <w:lang w:val="en-US" w:eastAsia="zh-CN"/>
              </w:rPr>
              <w:t>37</w:t>
            </w:r>
          </w:p>
        </w:tc>
      </w:tr>
      <w:tr w14:paraId="2862A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D384DA7">
            <w:pPr>
              <w:jc w:val="center"/>
              <w:rPr>
                <w:sz w:val="21"/>
                <w:szCs w:val="21"/>
              </w:rPr>
            </w:pPr>
          </w:p>
        </w:tc>
        <w:tc>
          <w:tcPr>
            <w:tcW w:w="1395" w:type="pct"/>
            <w:vAlign w:val="center"/>
          </w:tcPr>
          <w:p w14:paraId="19A4D693">
            <w:pPr>
              <w:jc w:val="center"/>
              <w:rPr>
                <w:sz w:val="21"/>
                <w:szCs w:val="21"/>
              </w:rPr>
            </w:pPr>
            <w:r>
              <w:rPr>
                <w:sz w:val="21"/>
                <w:szCs w:val="21"/>
              </w:rPr>
              <w:t>1,1-二氯乙烷</w:t>
            </w:r>
          </w:p>
        </w:tc>
        <w:tc>
          <w:tcPr>
            <w:tcW w:w="704" w:type="pct"/>
            <w:vAlign w:val="center"/>
          </w:tcPr>
          <w:p w14:paraId="61B6B3D4">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6E9B8879">
            <w:pPr>
              <w:jc w:val="center"/>
              <w:rPr>
                <w:sz w:val="21"/>
                <w:szCs w:val="21"/>
              </w:rPr>
            </w:pPr>
            <w:r>
              <w:rPr>
                <w:rFonts w:hint="eastAsia"/>
                <w:sz w:val="21"/>
                <w:szCs w:val="21"/>
                <w:lang w:val="en-US" w:eastAsia="zh-CN"/>
              </w:rPr>
              <w:t>未检出</w:t>
            </w:r>
          </w:p>
        </w:tc>
        <w:tc>
          <w:tcPr>
            <w:tcW w:w="944" w:type="pct"/>
            <w:vAlign w:val="center"/>
          </w:tcPr>
          <w:p w14:paraId="17DD7BD1">
            <w:pPr>
              <w:jc w:val="center"/>
              <w:rPr>
                <w:rFonts w:hint="eastAsia" w:eastAsia="宋体"/>
                <w:sz w:val="21"/>
                <w:szCs w:val="21"/>
                <w:lang w:val="en-US" w:eastAsia="zh-CN"/>
              </w:rPr>
            </w:pPr>
            <w:r>
              <w:rPr>
                <w:rFonts w:hint="eastAsia"/>
                <w:sz w:val="21"/>
                <w:szCs w:val="21"/>
                <w:lang w:val="en-US" w:eastAsia="zh-CN"/>
              </w:rPr>
              <w:t>9</w:t>
            </w:r>
          </w:p>
        </w:tc>
      </w:tr>
      <w:tr w14:paraId="33CF5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2B9ED360">
            <w:pPr>
              <w:jc w:val="center"/>
              <w:rPr>
                <w:sz w:val="21"/>
                <w:szCs w:val="21"/>
              </w:rPr>
            </w:pPr>
          </w:p>
        </w:tc>
        <w:tc>
          <w:tcPr>
            <w:tcW w:w="1395" w:type="pct"/>
            <w:vAlign w:val="center"/>
          </w:tcPr>
          <w:p w14:paraId="6C2C098A">
            <w:pPr>
              <w:jc w:val="center"/>
              <w:rPr>
                <w:sz w:val="21"/>
                <w:szCs w:val="21"/>
              </w:rPr>
            </w:pPr>
            <w:r>
              <w:rPr>
                <w:sz w:val="21"/>
                <w:szCs w:val="21"/>
              </w:rPr>
              <w:t>1,2-二氯乙烷</w:t>
            </w:r>
          </w:p>
        </w:tc>
        <w:tc>
          <w:tcPr>
            <w:tcW w:w="704" w:type="pct"/>
            <w:vAlign w:val="center"/>
          </w:tcPr>
          <w:p w14:paraId="13494804">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2233F34">
            <w:pPr>
              <w:jc w:val="center"/>
              <w:rPr>
                <w:sz w:val="21"/>
                <w:szCs w:val="21"/>
              </w:rPr>
            </w:pPr>
            <w:r>
              <w:rPr>
                <w:rFonts w:hint="eastAsia"/>
                <w:sz w:val="21"/>
                <w:szCs w:val="21"/>
                <w:lang w:val="en-US" w:eastAsia="zh-CN"/>
              </w:rPr>
              <w:t>未检出</w:t>
            </w:r>
          </w:p>
        </w:tc>
        <w:tc>
          <w:tcPr>
            <w:tcW w:w="944" w:type="pct"/>
            <w:vAlign w:val="center"/>
          </w:tcPr>
          <w:p w14:paraId="2D03E599">
            <w:pPr>
              <w:jc w:val="center"/>
              <w:rPr>
                <w:rFonts w:hint="eastAsia" w:eastAsia="宋体"/>
                <w:sz w:val="21"/>
                <w:szCs w:val="21"/>
                <w:lang w:val="en-US" w:eastAsia="zh-CN"/>
              </w:rPr>
            </w:pPr>
            <w:r>
              <w:rPr>
                <w:rFonts w:hint="eastAsia"/>
                <w:sz w:val="21"/>
                <w:szCs w:val="21"/>
                <w:lang w:val="en-US" w:eastAsia="zh-CN"/>
              </w:rPr>
              <w:t>5</w:t>
            </w:r>
          </w:p>
        </w:tc>
      </w:tr>
      <w:tr w14:paraId="4FCD3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37E5087">
            <w:pPr>
              <w:jc w:val="center"/>
              <w:rPr>
                <w:sz w:val="21"/>
                <w:szCs w:val="21"/>
              </w:rPr>
            </w:pPr>
          </w:p>
        </w:tc>
        <w:tc>
          <w:tcPr>
            <w:tcW w:w="1395" w:type="pct"/>
            <w:vAlign w:val="center"/>
          </w:tcPr>
          <w:p w14:paraId="5EF81005">
            <w:pPr>
              <w:jc w:val="center"/>
              <w:rPr>
                <w:sz w:val="21"/>
                <w:szCs w:val="21"/>
              </w:rPr>
            </w:pPr>
            <w:r>
              <w:rPr>
                <w:sz w:val="21"/>
                <w:szCs w:val="21"/>
              </w:rPr>
              <w:t>1,1-二氯乙烯</w:t>
            </w:r>
          </w:p>
        </w:tc>
        <w:tc>
          <w:tcPr>
            <w:tcW w:w="704" w:type="pct"/>
            <w:vAlign w:val="center"/>
          </w:tcPr>
          <w:p w14:paraId="3B58C0DB">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6F069F6">
            <w:pPr>
              <w:jc w:val="center"/>
              <w:rPr>
                <w:sz w:val="21"/>
                <w:szCs w:val="21"/>
              </w:rPr>
            </w:pPr>
            <w:r>
              <w:rPr>
                <w:rFonts w:hint="eastAsia"/>
                <w:sz w:val="21"/>
                <w:szCs w:val="21"/>
                <w:lang w:val="en-US" w:eastAsia="zh-CN"/>
              </w:rPr>
              <w:t>未检出</w:t>
            </w:r>
          </w:p>
        </w:tc>
        <w:tc>
          <w:tcPr>
            <w:tcW w:w="944" w:type="pct"/>
            <w:vAlign w:val="center"/>
          </w:tcPr>
          <w:p w14:paraId="503C4D23">
            <w:pPr>
              <w:jc w:val="center"/>
              <w:rPr>
                <w:rFonts w:hint="default" w:eastAsia="宋体"/>
                <w:sz w:val="21"/>
                <w:szCs w:val="21"/>
                <w:lang w:val="en-US" w:eastAsia="zh-CN"/>
              </w:rPr>
            </w:pPr>
            <w:r>
              <w:rPr>
                <w:rFonts w:hint="eastAsia"/>
                <w:sz w:val="21"/>
                <w:szCs w:val="21"/>
                <w:lang w:val="en-US" w:eastAsia="zh-CN"/>
              </w:rPr>
              <w:t>66</w:t>
            </w:r>
          </w:p>
        </w:tc>
      </w:tr>
      <w:tr w14:paraId="45471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59B41461">
            <w:pPr>
              <w:jc w:val="center"/>
              <w:rPr>
                <w:sz w:val="21"/>
                <w:szCs w:val="21"/>
              </w:rPr>
            </w:pPr>
          </w:p>
        </w:tc>
        <w:tc>
          <w:tcPr>
            <w:tcW w:w="1395" w:type="pct"/>
            <w:vAlign w:val="center"/>
          </w:tcPr>
          <w:p w14:paraId="5905681F">
            <w:pPr>
              <w:jc w:val="center"/>
              <w:rPr>
                <w:sz w:val="21"/>
                <w:szCs w:val="21"/>
              </w:rPr>
            </w:pPr>
            <w:r>
              <w:rPr>
                <w:sz w:val="21"/>
                <w:szCs w:val="21"/>
              </w:rPr>
              <w:t>顺-1,2-二氯乙烯</w:t>
            </w:r>
          </w:p>
        </w:tc>
        <w:tc>
          <w:tcPr>
            <w:tcW w:w="704" w:type="pct"/>
            <w:vAlign w:val="center"/>
          </w:tcPr>
          <w:p w14:paraId="6EAA5EAC">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988FAD5">
            <w:pPr>
              <w:jc w:val="center"/>
              <w:rPr>
                <w:sz w:val="21"/>
                <w:szCs w:val="21"/>
              </w:rPr>
            </w:pPr>
            <w:r>
              <w:rPr>
                <w:rFonts w:hint="eastAsia"/>
                <w:sz w:val="21"/>
                <w:szCs w:val="21"/>
                <w:lang w:val="en-US" w:eastAsia="zh-CN"/>
              </w:rPr>
              <w:t>未检出</w:t>
            </w:r>
          </w:p>
        </w:tc>
        <w:tc>
          <w:tcPr>
            <w:tcW w:w="944" w:type="pct"/>
            <w:vAlign w:val="center"/>
          </w:tcPr>
          <w:p w14:paraId="694670BF">
            <w:pPr>
              <w:jc w:val="center"/>
              <w:rPr>
                <w:rFonts w:hint="default" w:eastAsia="宋体"/>
                <w:sz w:val="21"/>
                <w:szCs w:val="21"/>
                <w:lang w:val="en-US" w:eastAsia="zh-CN"/>
              </w:rPr>
            </w:pPr>
            <w:r>
              <w:rPr>
                <w:rFonts w:hint="eastAsia"/>
                <w:sz w:val="21"/>
                <w:szCs w:val="21"/>
                <w:lang w:val="en-US" w:eastAsia="zh-CN"/>
              </w:rPr>
              <w:t>596</w:t>
            </w:r>
          </w:p>
        </w:tc>
      </w:tr>
      <w:tr w14:paraId="72C1F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208B812B">
            <w:pPr>
              <w:jc w:val="center"/>
              <w:rPr>
                <w:sz w:val="21"/>
                <w:szCs w:val="21"/>
              </w:rPr>
            </w:pPr>
          </w:p>
        </w:tc>
        <w:tc>
          <w:tcPr>
            <w:tcW w:w="1395" w:type="pct"/>
            <w:vAlign w:val="center"/>
          </w:tcPr>
          <w:p w14:paraId="750DA29A">
            <w:pPr>
              <w:jc w:val="center"/>
              <w:rPr>
                <w:sz w:val="21"/>
                <w:szCs w:val="21"/>
              </w:rPr>
            </w:pPr>
            <w:r>
              <w:rPr>
                <w:sz w:val="21"/>
                <w:szCs w:val="21"/>
              </w:rPr>
              <w:t>反-1,2-二氯乙烯</w:t>
            </w:r>
          </w:p>
        </w:tc>
        <w:tc>
          <w:tcPr>
            <w:tcW w:w="704" w:type="pct"/>
            <w:vAlign w:val="center"/>
          </w:tcPr>
          <w:p w14:paraId="5B39A129">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22A241BB">
            <w:pPr>
              <w:jc w:val="center"/>
              <w:rPr>
                <w:sz w:val="21"/>
                <w:szCs w:val="21"/>
              </w:rPr>
            </w:pPr>
            <w:r>
              <w:rPr>
                <w:rFonts w:hint="eastAsia"/>
                <w:sz w:val="21"/>
                <w:szCs w:val="21"/>
                <w:lang w:val="en-US" w:eastAsia="zh-CN"/>
              </w:rPr>
              <w:t>未检出</w:t>
            </w:r>
          </w:p>
        </w:tc>
        <w:tc>
          <w:tcPr>
            <w:tcW w:w="944" w:type="pct"/>
            <w:vAlign w:val="center"/>
          </w:tcPr>
          <w:p w14:paraId="113A2DDB">
            <w:pPr>
              <w:jc w:val="center"/>
              <w:rPr>
                <w:rFonts w:hint="default" w:eastAsia="宋体"/>
                <w:sz w:val="21"/>
                <w:szCs w:val="21"/>
                <w:lang w:val="en-US" w:eastAsia="zh-CN"/>
              </w:rPr>
            </w:pPr>
            <w:r>
              <w:rPr>
                <w:rFonts w:hint="eastAsia"/>
                <w:sz w:val="21"/>
                <w:szCs w:val="21"/>
                <w:lang w:val="en-US" w:eastAsia="zh-CN"/>
              </w:rPr>
              <w:t>54</w:t>
            </w:r>
          </w:p>
        </w:tc>
      </w:tr>
      <w:tr w14:paraId="1EE8E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322F0006">
            <w:pPr>
              <w:jc w:val="center"/>
              <w:rPr>
                <w:sz w:val="21"/>
                <w:szCs w:val="21"/>
              </w:rPr>
            </w:pPr>
          </w:p>
        </w:tc>
        <w:tc>
          <w:tcPr>
            <w:tcW w:w="1395" w:type="pct"/>
            <w:vAlign w:val="center"/>
          </w:tcPr>
          <w:p w14:paraId="5509E878">
            <w:pPr>
              <w:jc w:val="center"/>
              <w:rPr>
                <w:sz w:val="21"/>
                <w:szCs w:val="21"/>
              </w:rPr>
            </w:pPr>
            <w:r>
              <w:rPr>
                <w:sz w:val="21"/>
                <w:szCs w:val="21"/>
              </w:rPr>
              <w:t>二氯甲烷</w:t>
            </w:r>
          </w:p>
        </w:tc>
        <w:tc>
          <w:tcPr>
            <w:tcW w:w="704" w:type="pct"/>
            <w:vAlign w:val="center"/>
          </w:tcPr>
          <w:p w14:paraId="55E2E73D">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00D8C62">
            <w:pPr>
              <w:jc w:val="center"/>
              <w:rPr>
                <w:rFonts w:hint="default"/>
                <w:sz w:val="21"/>
                <w:szCs w:val="21"/>
                <w:lang w:val="en-US"/>
              </w:rPr>
            </w:pPr>
            <w:r>
              <w:rPr>
                <w:rFonts w:hint="eastAsia"/>
                <w:sz w:val="21"/>
                <w:szCs w:val="21"/>
                <w:lang w:val="en-US" w:eastAsia="zh-CN"/>
              </w:rPr>
              <w:t>4.4</w:t>
            </w:r>
            <w:r>
              <w:rPr>
                <w:rFonts w:hint="default" w:ascii="Arial" w:hAnsi="Arial" w:cs="Arial"/>
                <w:sz w:val="21"/>
                <w:szCs w:val="21"/>
                <w:lang w:val="en-US" w:eastAsia="zh-CN"/>
              </w:rPr>
              <w:t>×</w:t>
            </w:r>
            <w:r>
              <w:rPr>
                <w:rFonts w:hint="eastAsia"/>
                <w:sz w:val="21"/>
                <w:szCs w:val="21"/>
                <w:lang w:val="en-US" w:eastAsia="zh-CN"/>
              </w:rPr>
              <w:t>10</w:t>
            </w:r>
            <w:r>
              <w:rPr>
                <w:rFonts w:hint="eastAsia"/>
                <w:sz w:val="21"/>
                <w:szCs w:val="21"/>
                <w:vertAlign w:val="superscript"/>
                <w:lang w:val="en-US" w:eastAsia="zh-CN"/>
              </w:rPr>
              <w:t>-2</w:t>
            </w:r>
          </w:p>
        </w:tc>
        <w:tc>
          <w:tcPr>
            <w:tcW w:w="944" w:type="pct"/>
            <w:vAlign w:val="center"/>
          </w:tcPr>
          <w:p w14:paraId="55594B68">
            <w:pPr>
              <w:jc w:val="center"/>
              <w:rPr>
                <w:rFonts w:hint="default" w:eastAsia="宋体"/>
                <w:sz w:val="21"/>
                <w:szCs w:val="21"/>
                <w:lang w:val="en-US" w:eastAsia="zh-CN"/>
              </w:rPr>
            </w:pPr>
            <w:r>
              <w:rPr>
                <w:rFonts w:hint="eastAsia"/>
                <w:sz w:val="21"/>
                <w:szCs w:val="21"/>
                <w:lang w:val="en-US" w:eastAsia="zh-CN"/>
              </w:rPr>
              <w:t>616</w:t>
            </w:r>
          </w:p>
        </w:tc>
      </w:tr>
      <w:tr w14:paraId="5AC49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3E62BA27">
            <w:pPr>
              <w:jc w:val="center"/>
              <w:rPr>
                <w:sz w:val="21"/>
                <w:szCs w:val="21"/>
              </w:rPr>
            </w:pPr>
          </w:p>
        </w:tc>
        <w:tc>
          <w:tcPr>
            <w:tcW w:w="1395" w:type="pct"/>
            <w:vAlign w:val="center"/>
          </w:tcPr>
          <w:p w14:paraId="7462C34D">
            <w:pPr>
              <w:jc w:val="center"/>
              <w:rPr>
                <w:sz w:val="21"/>
                <w:szCs w:val="21"/>
              </w:rPr>
            </w:pPr>
            <w:r>
              <w:rPr>
                <w:sz w:val="21"/>
                <w:szCs w:val="21"/>
              </w:rPr>
              <w:t>1,2-二氯丙烷</w:t>
            </w:r>
          </w:p>
        </w:tc>
        <w:tc>
          <w:tcPr>
            <w:tcW w:w="704" w:type="pct"/>
            <w:vAlign w:val="center"/>
          </w:tcPr>
          <w:p w14:paraId="4B08A2FA">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232CF0A">
            <w:pPr>
              <w:jc w:val="center"/>
              <w:rPr>
                <w:sz w:val="21"/>
                <w:szCs w:val="21"/>
              </w:rPr>
            </w:pPr>
            <w:r>
              <w:rPr>
                <w:rFonts w:hint="eastAsia"/>
                <w:sz w:val="21"/>
                <w:szCs w:val="21"/>
                <w:lang w:val="en-US" w:eastAsia="zh-CN"/>
              </w:rPr>
              <w:t>未检出</w:t>
            </w:r>
          </w:p>
        </w:tc>
        <w:tc>
          <w:tcPr>
            <w:tcW w:w="944" w:type="pct"/>
            <w:vAlign w:val="center"/>
          </w:tcPr>
          <w:p w14:paraId="5B24BBD6">
            <w:pPr>
              <w:jc w:val="center"/>
              <w:rPr>
                <w:rFonts w:hint="eastAsia" w:eastAsia="宋体"/>
                <w:sz w:val="21"/>
                <w:szCs w:val="21"/>
                <w:lang w:val="en-US" w:eastAsia="zh-CN"/>
              </w:rPr>
            </w:pPr>
            <w:r>
              <w:rPr>
                <w:rFonts w:hint="eastAsia"/>
                <w:sz w:val="21"/>
                <w:szCs w:val="21"/>
                <w:lang w:val="en-US" w:eastAsia="zh-CN"/>
              </w:rPr>
              <w:t>5</w:t>
            </w:r>
          </w:p>
        </w:tc>
      </w:tr>
      <w:tr w14:paraId="49946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5BEBE83B">
            <w:pPr>
              <w:jc w:val="center"/>
              <w:rPr>
                <w:sz w:val="21"/>
                <w:szCs w:val="21"/>
              </w:rPr>
            </w:pPr>
          </w:p>
        </w:tc>
        <w:tc>
          <w:tcPr>
            <w:tcW w:w="1395" w:type="pct"/>
            <w:vAlign w:val="center"/>
          </w:tcPr>
          <w:p w14:paraId="08B65C75">
            <w:pPr>
              <w:jc w:val="center"/>
              <w:rPr>
                <w:sz w:val="21"/>
                <w:szCs w:val="21"/>
              </w:rPr>
            </w:pPr>
            <w:r>
              <w:rPr>
                <w:sz w:val="21"/>
                <w:szCs w:val="21"/>
              </w:rPr>
              <w:t>1,1,1,2-四氯乙烷</w:t>
            </w:r>
          </w:p>
        </w:tc>
        <w:tc>
          <w:tcPr>
            <w:tcW w:w="704" w:type="pct"/>
            <w:vAlign w:val="center"/>
          </w:tcPr>
          <w:p w14:paraId="7C5AD745">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E7FDCCC">
            <w:pPr>
              <w:jc w:val="center"/>
              <w:rPr>
                <w:sz w:val="21"/>
                <w:szCs w:val="21"/>
              </w:rPr>
            </w:pPr>
            <w:r>
              <w:rPr>
                <w:rFonts w:hint="eastAsia"/>
                <w:sz w:val="21"/>
                <w:szCs w:val="21"/>
                <w:lang w:val="en-US" w:eastAsia="zh-CN"/>
              </w:rPr>
              <w:t>未检出</w:t>
            </w:r>
          </w:p>
        </w:tc>
        <w:tc>
          <w:tcPr>
            <w:tcW w:w="944" w:type="pct"/>
            <w:vAlign w:val="center"/>
          </w:tcPr>
          <w:p w14:paraId="62D09987">
            <w:pPr>
              <w:jc w:val="center"/>
              <w:rPr>
                <w:rFonts w:hint="default" w:eastAsia="宋体"/>
                <w:sz w:val="21"/>
                <w:szCs w:val="21"/>
                <w:lang w:val="en-US" w:eastAsia="zh-CN"/>
              </w:rPr>
            </w:pPr>
            <w:r>
              <w:rPr>
                <w:rFonts w:hint="eastAsia"/>
                <w:sz w:val="21"/>
                <w:szCs w:val="21"/>
                <w:lang w:val="en-US" w:eastAsia="zh-CN"/>
              </w:rPr>
              <w:t>10</w:t>
            </w:r>
          </w:p>
        </w:tc>
      </w:tr>
      <w:tr w14:paraId="0439A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4D6DE8C0">
            <w:pPr>
              <w:jc w:val="center"/>
              <w:rPr>
                <w:sz w:val="21"/>
                <w:szCs w:val="21"/>
              </w:rPr>
            </w:pPr>
          </w:p>
        </w:tc>
        <w:tc>
          <w:tcPr>
            <w:tcW w:w="1395" w:type="pct"/>
            <w:vAlign w:val="center"/>
          </w:tcPr>
          <w:p w14:paraId="47285B94">
            <w:pPr>
              <w:jc w:val="center"/>
              <w:rPr>
                <w:sz w:val="21"/>
                <w:szCs w:val="21"/>
              </w:rPr>
            </w:pPr>
            <w:r>
              <w:rPr>
                <w:sz w:val="21"/>
                <w:szCs w:val="21"/>
              </w:rPr>
              <w:t>1,1,2,2-四氯乙烷</w:t>
            </w:r>
          </w:p>
        </w:tc>
        <w:tc>
          <w:tcPr>
            <w:tcW w:w="704" w:type="pct"/>
            <w:vAlign w:val="center"/>
          </w:tcPr>
          <w:p w14:paraId="2EF6AD97">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7162063F">
            <w:pPr>
              <w:jc w:val="center"/>
              <w:rPr>
                <w:sz w:val="21"/>
                <w:szCs w:val="21"/>
              </w:rPr>
            </w:pPr>
            <w:r>
              <w:rPr>
                <w:rFonts w:hint="eastAsia"/>
                <w:sz w:val="21"/>
                <w:szCs w:val="21"/>
                <w:lang w:val="en-US" w:eastAsia="zh-CN"/>
              </w:rPr>
              <w:t>未检出</w:t>
            </w:r>
          </w:p>
        </w:tc>
        <w:tc>
          <w:tcPr>
            <w:tcW w:w="944" w:type="pct"/>
            <w:vAlign w:val="center"/>
          </w:tcPr>
          <w:p w14:paraId="6C298487">
            <w:pPr>
              <w:jc w:val="center"/>
              <w:rPr>
                <w:rFonts w:hint="default" w:eastAsia="宋体"/>
                <w:sz w:val="21"/>
                <w:szCs w:val="21"/>
                <w:lang w:val="en-US" w:eastAsia="zh-CN"/>
              </w:rPr>
            </w:pPr>
            <w:r>
              <w:rPr>
                <w:rFonts w:hint="eastAsia"/>
                <w:sz w:val="21"/>
                <w:szCs w:val="21"/>
                <w:lang w:val="en-US" w:eastAsia="zh-CN"/>
              </w:rPr>
              <w:t>6.8</w:t>
            </w:r>
          </w:p>
        </w:tc>
      </w:tr>
      <w:tr w14:paraId="71138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671B633A">
            <w:pPr>
              <w:jc w:val="center"/>
              <w:rPr>
                <w:sz w:val="21"/>
                <w:szCs w:val="21"/>
              </w:rPr>
            </w:pPr>
          </w:p>
        </w:tc>
        <w:tc>
          <w:tcPr>
            <w:tcW w:w="1395" w:type="pct"/>
            <w:vAlign w:val="center"/>
          </w:tcPr>
          <w:p w14:paraId="63BF3510">
            <w:pPr>
              <w:jc w:val="center"/>
              <w:rPr>
                <w:sz w:val="21"/>
                <w:szCs w:val="21"/>
              </w:rPr>
            </w:pPr>
            <w:r>
              <w:rPr>
                <w:sz w:val="21"/>
                <w:szCs w:val="21"/>
              </w:rPr>
              <w:t>四氯乙烯</w:t>
            </w:r>
          </w:p>
        </w:tc>
        <w:tc>
          <w:tcPr>
            <w:tcW w:w="704" w:type="pct"/>
            <w:vAlign w:val="center"/>
          </w:tcPr>
          <w:p w14:paraId="4EAD8990">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7EC16ABF">
            <w:pPr>
              <w:jc w:val="center"/>
              <w:rPr>
                <w:sz w:val="21"/>
                <w:szCs w:val="21"/>
              </w:rPr>
            </w:pPr>
            <w:r>
              <w:rPr>
                <w:rFonts w:hint="eastAsia"/>
                <w:sz w:val="21"/>
                <w:szCs w:val="21"/>
                <w:lang w:val="en-US" w:eastAsia="zh-CN"/>
              </w:rPr>
              <w:t>未检出</w:t>
            </w:r>
          </w:p>
        </w:tc>
        <w:tc>
          <w:tcPr>
            <w:tcW w:w="944" w:type="pct"/>
            <w:vAlign w:val="center"/>
          </w:tcPr>
          <w:p w14:paraId="35E4E12C">
            <w:pPr>
              <w:jc w:val="center"/>
              <w:rPr>
                <w:rFonts w:hint="default" w:eastAsia="宋体"/>
                <w:sz w:val="21"/>
                <w:szCs w:val="21"/>
                <w:lang w:val="en-US" w:eastAsia="zh-CN"/>
              </w:rPr>
            </w:pPr>
            <w:r>
              <w:rPr>
                <w:rFonts w:hint="eastAsia"/>
                <w:sz w:val="21"/>
                <w:szCs w:val="21"/>
                <w:lang w:val="en-US" w:eastAsia="zh-CN"/>
              </w:rPr>
              <w:t>53</w:t>
            </w:r>
          </w:p>
        </w:tc>
      </w:tr>
      <w:tr w14:paraId="67BD3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4875042F">
            <w:pPr>
              <w:jc w:val="center"/>
              <w:rPr>
                <w:sz w:val="21"/>
                <w:szCs w:val="21"/>
              </w:rPr>
            </w:pPr>
          </w:p>
        </w:tc>
        <w:tc>
          <w:tcPr>
            <w:tcW w:w="1395" w:type="pct"/>
            <w:vAlign w:val="center"/>
          </w:tcPr>
          <w:p w14:paraId="6D711C11">
            <w:pPr>
              <w:jc w:val="center"/>
              <w:rPr>
                <w:sz w:val="21"/>
                <w:szCs w:val="21"/>
              </w:rPr>
            </w:pPr>
            <w:r>
              <w:rPr>
                <w:sz w:val="21"/>
                <w:szCs w:val="21"/>
              </w:rPr>
              <w:t>1,1,1-三氯乙烷</w:t>
            </w:r>
          </w:p>
        </w:tc>
        <w:tc>
          <w:tcPr>
            <w:tcW w:w="704" w:type="pct"/>
            <w:vAlign w:val="center"/>
          </w:tcPr>
          <w:p w14:paraId="37641901">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70113DD5">
            <w:pPr>
              <w:jc w:val="center"/>
              <w:rPr>
                <w:sz w:val="21"/>
                <w:szCs w:val="21"/>
              </w:rPr>
            </w:pPr>
            <w:r>
              <w:rPr>
                <w:rFonts w:hint="eastAsia"/>
                <w:sz w:val="21"/>
                <w:szCs w:val="21"/>
                <w:lang w:val="en-US" w:eastAsia="zh-CN"/>
              </w:rPr>
              <w:t>未检出</w:t>
            </w:r>
          </w:p>
        </w:tc>
        <w:tc>
          <w:tcPr>
            <w:tcW w:w="944" w:type="pct"/>
            <w:vAlign w:val="center"/>
          </w:tcPr>
          <w:p w14:paraId="2C7713FC">
            <w:pPr>
              <w:jc w:val="center"/>
              <w:rPr>
                <w:rFonts w:hint="default" w:eastAsia="宋体"/>
                <w:sz w:val="21"/>
                <w:szCs w:val="21"/>
                <w:lang w:val="en-US" w:eastAsia="zh-CN"/>
              </w:rPr>
            </w:pPr>
            <w:r>
              <w:rPr>
                <w:rFonts w:hint="eastAsia"/>
                <w:sz w:val="21"/>
                <w:szCs w:val="21"/>
                <w:lang w:val="en-US" w:eastAsia="zh-CN"/>
              </w:rPr>
              <w:t>840</w:t>
            </w:r>
          </w:p>
        </w:tc>
      </w:tr>
      <w:tr w14:paraId="1BB4C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220DF4CB">
            <w:pPr>
              <w:jc w:val="center"/>
              <w:rPr>
                <w:sz w:val="21"/>
                <w:szCs w:val="21"/>
              </w:rPr>
            </w:pPr>
          </w:p>
        </w:tc>
        <w:tc>
          <w:tcPr>
            <w:tcW w:w="1395" w:type="pct"/>
            <w:vAlign w:val="center"/>
          </w:tcPr>
          <w:p w14:paraId="13013C6C">
            <w:pPr>
              <w:jc w:val="center"/>
              <w:rPr>
                <w:sz w:val="21"/>
                <w:szCs w:val="21"/>
              </w:rPr>
            </w:pPr>
            <w:r>
              <w:rPr>
                <w:sz w:val="21"/>
                <w:szCs w:val="21"/>
              </w:rPr>
              <w:t>1,1,2-三氯乙烷</w:t>
            </w:r>
          </w:p>
        </w:tc>
        <w:tc>
          <w:tcPr>
            <w:tcW w:w="704" w:type="pct"/>
            <w:vAlign w:val="center"/>
          </w:tcPr>
          <w:p w14:paraId="525DB8D0">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339C991F">
            <w:pPr>
              <w:jc w:val="center"/>
              <w:rPr>
                <w:sz w:val="21"/>
                <w:szCs w:val="21"/>
              </w:rPr>
            </w:pPr>
            <w:r>
              <w:rPr>
                <w:rFonts w:hint="eastAsia"/>
                <w:sz w:val="21"/>
                <w:szCs w:val="21"/>
                <w:lang w:val="en-US" w:eastAsia="zh-CN"/>
              </w:rPr>
              <w:t>未检出</w:t>
            </w:r>
          </w:p>
        </w:tc>
        <w:tc>
          <w:tcPr>
            <w:tcW w:w="944" w:type="pct"/>
            <w:vAlign w:val="center"/>
          </w:tcPr>
          <w:p w14:paraId="469B42FA">
            <w:pPr>
              <w:jc w:val="center"/>
              <w:rPr>
                <w:rFonts w:hint="default" w:eastAsia="宋体"/>
                <w:sz w:val="21"/>
                <w:szCs w:val="21"/>
                <w:lang w:val="en-US" w:eastAsia="zh-CN"/>
              </w:rPr>
            </w:pPr>
            <w:r>
              <w:rPr>
                <w:rFonts w:hint="eastAsia"/>
                <w:sz w:val="21"/>
                <w:szCs w:val="21"/>
                <w:lang w:val="en-US" w:eastAsia="zh-CN"/>
              </w:rPr>
              <w:t>2.8</w:t>
            </w:r>
          </w:p>
        </w:tc>
      </w:tr>
      <w:tr w14:paraId="2C2A7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2F5AC7E">
            <w:pPr>
              <w:jc w:val="center"/>
              <w:rPr>
                <w:sz w:val="21"/>
                <w:szCs w:val="21"/>
              </w:rPr>
            </w:pPr>
          </w:p>
        </w:tc>
        <w:tc>
          <w:tcPr>
            <w:tcW w:w="1395" w:type="pct"/>
            <w:vAlign w:val="center"/>
          </w:tcPr>
          <w:p w14:paraId="04851C10">
            <w:pPr>
              <w:jc w:val="center"/>
              <w:rPr>
                <w:sz w:val="21"/>
                <w:szCs w:val="21"/>
              </w:rPr>
            </w:pPr>
            <w:r>
              <w:rPr>
                <w:sz w:val="21"/>
                <w:szCs w:val="21"/>
              </w:rPr>
              <w:t>三氯乙烯</w:t>
            </w:r>
          </w:p>
        </w:tc>
        <w:tc>
          <w:tcPr>
            <w:tcW w:w="704" w:type="pct"/>
            <w:vAlign w:val="center"/>
          </w:tcPr>
          <w:p w14:paraId="6AE149AD">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5C070B6C">
            <w:pPr>
              <w:jc w:val="center"/>
              <w:rPr>
                <w:sz w:val="21"/>
                <w:szCs w:val="21"/>
              </w:rPr>
            </w:pPr>
            <w:r>
              <w:rPr>
                <w:rFonts w:hint="eastAsia"/>
                <w:sz w:val="21"/>
                <w:szCs w:val="21"/>
                <w:lang w:val="en-US" w:eastAsia="zh-CN"/>
              </w:rPr>
              <w:t>未检出</w:t>
            </w:r>
          </w:p>
        </w:tc>
        <w:tc>
          <w:tcPr>
            <w:tcW w:w="944" w:type="pct"/>
            <w:vAlign w:val="center"/>
          </w:tcPr>
          <w:p w14:paraId="4144274C">
            <w:pPr>
              <w:jc w:val="center"/>
              <w:rPr>
                <w:rFonts w:hint="default" w:eastAsia="宋体"/>
                <w:sz w:val="21"/>
                <w:szCs w:val="21"/>
                <w:lang w:val="en-US" w:eastAsia="zh-CN"/>
              </w:rPr>
            </w:pPr>
            <w:r>
              <w:rPr>
                <w:rFonts w:hint="eastAsia"/>
                <w:sz w:val="21"/>
                <w:szCs w:val="21"/>
                <w:lang w:val="en-US" w:eastAsia="zh-CN"/>
              </w:rPr>
              <w:t>2.8</w:t>
            </w:r>
          </w:p>
        </w:tc>
      </w:tr>
      <w:tr w14:paraId="2DB27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08C0987A">
            <w:pPr>
              <w:jc w:val="center"/>
              <w:rPr>
                <w:sz w:val="21"/>
                <w:szCs w:val="21"/>
              </w:rPr>
            </w:pPr>
          </w:p>
        </w:tc>
        <w:tc>
          <w:tcPr>
            <w:tcW w:w="1395" w:type="pct"/>
            <w:vAlign w:val="center"/>
          </w:tcPr>
          <w:p w14:paraId="2EA4DD2B">
            <w:pPr>
              <w:jc w:val="center"/>
              <w:rPr>
                <w:sz w:val="21"/>
                <w:szCs w:val="21"/>
              </w:rPr>
            </w:pPr>
            <w:r>
              <w:rPr>
                <w:sz w:val="21"/>
                <w:szCs w:val="21"/>
              </w:rPr>
              <w:t>1,2,3-三氯丙烷</w:t>
            </w:r>
          </w:p>
        </w:tc>
        <w:tc>
          <w:tcPr>
            <w:tcW w:w="704" w:type="pct"/>
            <w:vAlign w:val="center"/>
          </w:tcPr>
          <w:p w14:paraId="33565D6C">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BA66984">
            <w:pPr>
              <w:jc w:val="center"/>
              <w:rPr>
                <w:sz w:val="21"/>
                <w:szCs w:val="21"/>
              </w:rPr>
            </w:pPr>
            <w:r>
              <w:rPr>
                <w:rFonts w:hint="eastAsia"/>
                <w:sz w:val="21"/>
                <w:szCs w:val="21"/>
                <w:lang w:val="en-US" w:eastAsia="zh-CN"/>
              </w:rPr>
              <w:t>未检出</w:t>
            </w:r>
          </w:p>
        </w:tc>
        <w:tc>
          <w:tcPr>
            <w:tcW w:w="944" w:type="pct"/>
            <w:vAlign w:val="center"/>
          </w:tcPr>
          <w:p w14:paraId="5519C300">
            <w:pPr>
              <w:jc w:val="center"/>
              <w:rPr>
                <w:rFonts w:hint="default" w:eastAsia="宋体"/>
                <w:sz w:val="21"/>
                <w:szCs w:val="21"/>
                <w:lang w:val="en-US" w:eastAsia="zh-CN"/>
              </w:rPr>
            </w:pPr>
            <w:r>
              <w:rPr>
                <w:rFonts w:hint="eastAsia"/>
                <w:sz w:val="21"/>
                <w:szCs w:val="21"/>
                <w:lang w:val="en-US" w:eastAsia="zh-CN"/>
              </w:rPr>
              <w:t>0.5</w:t>
            </w:r>
          </w:p>
        </w:tc>
      </w:tr>
      <w:tr w14:paraId="0444E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6B37BD0E">
            <w:pPr>
              <w:jc w:val="center"/>
              <w:rPr>
                <w:sz w:val="21"/>
                <w:szCs w:val="21"/>
              </w:rPr>
            </w:pPr>
          </w:p>
        </w:tc>
        <w:tc>
          <w:tcPr>
            <w:tcW w:w="1395" w:type="pct"/>
            <w:vAlign w:val="center"/>
          </w:tcPr>
          <w:p w14:paraId="2FF9BF9F">
            <w:pPr>
              <w:jc w:val="center"/>
              <w:rPr>
                <w:sz w:val="21"/>
                <w:szCs w:val="21"/>
              </w:rPr>
            </w:pPr>
            <w:r>
              <w:rPr>
                <w:sz w:val="21"/>
                <w:szCs w:val="21"/>
              </w:rPr>
              <w:t>氯乙烯</w:t>
            </w:r>
          </w:p>
        </w:tc>
        <w:tc>
          <w:tcPr>
            <w:tcW w:w="704" w:type="pct"/>
            <w:vAlign w:val="center"/>
          </w:tcPr>
          <w:p w14:paraId="586A9CF2">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F820E2C">
            <w:pPr>
              <w:jc w:val="center"/>
              <w:rPr>
                <w:sz w:val="21"/>
                <w:szCs w:val="21"/>
              </w:rPr>
            </w:pPr>
            <w:r>
              <w:rPr>
                <w:rFonts w:hint="eastAsia"/>
                <w:sz w:val="21"/>
                <w:szCs w:val="21"/>
                <w:lang w:val="en-US" w:eastAsia="zh-CN"/>
              </w:rPr>
              <w:t>未检出</w:t>
            </w:r>
          </w:p>
        </w:tc>
        <w:tc>
          <w:tcPr>
            <w:tcW w:w="944" w:type="pct"/>
            <w:vAlign w:val="center"/>
          </w:tcPr>
          <w:p w14:paraId="5B1F940E">
            <w:pPr>
              <w:jc w:val="center"/>
              <w:rPr>
                <w:rFonts w:hint="default" w:eastAsia="宋体"/>
                <w:sz w:val="21"/>
                <w:szCs w:val="21"/>
                <w:lang w:val="en-US" w:eastAsia="zh-CN"/>
              </w:rPr>
            </w:pPr>
            <w:r>
              <w:rPr>
                <w:rFonts w:hint="eastAsia"/>
                <w:sz w:val="21"/>
                <w:szCs w:val="21"/>
                <w:lang w:val="en-US" w:eastAsia="zh-CN"/>
              </w:rPr>
              <w:t>0.43</w:t>
            </w:r>
          </w:p>
        </w:tc>
      </w:tr>
      <w:tr w14:paraId="6A1E5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1292731A">
            <w:pPr>
              <w:jc w:val="center"/>
              <w:rPr>
                <w:sz w:val="21"/>
                <w:szCs w:val="21"/>
              </w:rPr>
            </w:pPr>
          </w:p>
        </w:tc>
        <w:tc>
          <w:tcPr>
            <w:tcW w:w="1395" w:type="pct"/>
            <w:vAlign w:val="center"/>
          </w:tcPr>
          <w:p w14:paraId="3DF44D6B">
            <w:pPr>
              <w:jc w:val="center"/>
              <w:rPr>
                <w:sz w:val="21"/>
                <w:szCs w:val="21"/>
              </w:rPr>
            </w:pPr>
            <w:r>
              <w:rPr>
                <w:sz w:val="21"/>
                <w:szCs w:val="21"/>
              </w:rPr>
              <w:t>苯</w:t>
            </w:r>
          </w:p>
        </w:tc>
        <w:tc>
          <w:tcPr>
            <w:tcW w:w="704" w:type="pct"/>
            <w:vAlign w:val="center"/>
          </w:tcPr>
          <w:p w14:paraId="1AEA0900">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62E3331D">
            <w:pPr>
              <w:jc w:val="center"/>
              <w:rPr>
                <w:sz w:val="21"/>
                <w:szCs w:val="21"/>
              </w:rPr>
            </w:pPr>
            <w:r>
              <w:rPr>
                <w:rFonts w:hint="eastAsia"/>
                <w:sz w:val="21"/>
                <w:szCs w:val="21"/>
                <w:lang w:val="en-US" w:eastAsia="zh-CN"/>
              </w:rPr>
              <w:t>未检出</w:t>
            </w:r>
          </w:p>
        </w:tc>
        <w:tc>
          <w:tcPr>
            <w:tcW w:w="944" w:type="pct"/>
            <w:vAlign w:val="center"/>
          </w:tcPr>
          <w:p w14:paraId="3484437D">
            <w:pPr>
              <w:jc w:val="center"/>
              <w:rPr>
                <w:rFonts w:hint="eastAsia" w:eastAsia="宋体"/>
                <w:sz w:val="21"/>
                <w:szCs w:val="21"/>
                <w:lang w:val="en-US" w:eastAsia="zh-CN"/>
              </w:rPr>
            </w:pPr>
            <w:r>
              <w:rPr>
                <w:rFonts w:hint="eastAsia"/>
                <w:sz w:val="21"/>
                <w:szCs w:val="21"/>
                <w:lang w:val="en-US" w:eastAsia="zh-CN"/>
              </w:rPr>
              <w:t>4</w:t>
            </w:r>
          </w:p>
        </w:tc>
      </w:tr>
      <w:tr w14:paraId="1DAC0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85CA40A">
            <w:pPr>
              <w:jc w:val="center"/>
              <w:rPr>
                <w:sz w:val="21"/>
                <w:szCs w:val="21"/>
              </w:rPr>
            </w:pPr>
          </w:p>
        </w:tc>
        <w:tc>
          <w:tcPr>
            <w:tcW w:w="1395" w:type="pct"/>
            <w:vAlign w:val="center"/>
          </w:tcPr>
          <w:p w14:paraId="36E52F76">
            <w:pPr>
              <w:jc w:val="center"/>
              <w:rPr>
                <w:sz w:val="21"/>
                <w:szCs w:val="21"/>
              </w:rPr>
            </w:pPr>
            <w:r>
              <w:rPr>
                <w:sz w:val="21"/>
                <w:szCs w:val="21"/>
              </w:rPr>
              <w:t>氯苯</w:t>
            </w:r>
          </w:p>
        </w:tc>
        <w:tc>
          <w:tcPr>
            <w:tcW w:w="704" w:type="pct"/>
            <w:vAlign w:val="center"/>
          </w:tcPr>
          <w:p w14:paraId="0E88C22B">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6F6788C2">
            <w:pPr>
              <w:jc w:val="center"/>
              <w:rPr>
                <w:sz w:val="21"/>
                <w:szCs w:val="21"/>
              </w:rPr>
            </w:pPr>
            <w:r>
              <w:rPr>
                <w:rFonts w:hint="eastAsia"/>
                <w:sz w:val="21"/>
                <w:szCs w:val="21"/>
                <w:lang w:val="en-US" w:eastAsia="zh-CN"/>
              </w:rPr>
              <w:t>未检出</w:t>
            </w:r>
          </w:p>
        </w:tc>
        <w:tc>
          <w:tcPr>
            <w:tcW w:w="944" w:type="pct"/>
            <w:vAlign w:val="center"/>
          </w:tcPr>
          <w:p w14:paraId="17C62FFD">
            <w:pPr>
              <w:jc w:val="center"/>
              <w:rPr>
                <w:rFonts w:hint="default" w:eastAsia="宋体"/>
                <w:sz w:val="21"/>
                <w:szCs w:val="21"/>
                <w:lang w:val="en-US" w:eastAsia="zh-CN"/>
              </w:rPr>
            </w:pPr>
            <w:r>
              <w:rPr>
                <w:rFonts w:hint="eastAsia"/>
                <w:sz w:val="21"/>
                <w:szCs w:val="21"/>
                <w:lang w:val="en-US" w:eastAsia="zh-CN"/>
              </w:rPr>
              <w:t>270</w:t>
            </w:r>
          </w:p>
        </w:tc>
      </w:tr>
      <w:tr w14:paraId="509B9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0BBDC0DA">
            <w:pPr>
              <w:jc w:val="center"/>
              <w:rPr>
                <w:sz w:val="21"/>
                <w:szCs w:val="21"/>
              </w:rPr>
            </w:pPr>
          </w:p>
        </w:tc>
        <w:tc>
          <w:tcPr>
            <w:tcW w:w="1395" w:type="pct"/>
            <w:vAlign w:val="center"/>
          </w:tcPr>
          <w:p w14:paraId="5805E0F0">
            <w:pPr>
              <w:jc w:val="center"/>
              <w:rPr>
                <w:sz w:val="21"/>
                <w:szCs w:val="21"/>
              </w:rPr>
            </w:pPr>
            <w:r>
              <w:rPr>
                <w:sz w:val="21"/>
                <w:szCs w:val="21"/>
              </w:rPr>
              <w:t>1,2-二氯苯</w:t>
            </w:r>
          </w:p>
        </w:tc>
        <w:tc>
          <w:tcPr>
            <w:tcW w:w="704" w:type="pct"/>
            <w:vAlign w:val="center"/>
          </w:tcPr>
          <w:p w14:paraId="7855C0CB">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36155120">
            <w:pPr>
              <w:jc w:val="center"/>
              <w:rPr>
                <w:sz w:val="21"/>
                <w:szCs w:val="21"/>
              </w:rPr>
            </w:pPr>
            <w:r>
              <w:rPr>
                <w:rFonts w:hint="eastAsia"/>
                <w:sz w:val="21"/>
                <w:szCs w:val="21"/>
                <w:lang w:val="en-US" w:eastAsia="zh-CN"/>
              </w:rPr>
              <w:t>未检出</w:t>
            </w:r>
          </w:p>
        </w:tc>
        <w:tc>
          <w:tcPr>
            <w:tcW w:w="944" w:type="pct"/>
            <w:vAlign w:val="center"/>
          </w:tcPr>
          <w:p w14:paraId="6B12E785">
            <w:pPr>
              <w:jc w:val="center"/>
              <w:rPr>
                <w:rFonts w:hint="default" w:eastAsia="宋体"/>
                <w:sz w:val="21"/>
                <w:szCs w:val="21"/>
                <w:lang w:val="en-US" w:eastAsia="zh-CN"/>
              </w:rPr>
            </w:pPr>
            <w:r>
              <w:rPr>
                <w:rFonts w:hint="eastAsia"/>
                <w:sz w:val="21"/>
                <w:szCs w:val="21"/>
                <w:lang w:val="en-US" w:eastAsia="zh-CN"/>
              </w:rPr>
              <w:t>560</w:t>
            </w:r>
          </w:p>
        </w:tc>
      </w:tr>
      <w:tr w14:paraId="1ED8C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1BFED4F5">
            <w:pPr>
              <w:jc w:val="center"/>
              <w:rPr>
                <w:sz w:val="21"/>
                <w:szCs w:val="21"/>
              </w:rPr>
            </w:pPr>
          </w:p>
        </w:tc>
        <w:tc>
          <w:tcPr>
            <w:tcW w:w="1395" w:type="pct"/>
            <w:vAlign w:val="center"/>
          </w:tcPr>
          <w:p w14:paraId="6BCD67F5">
            <w:pPr>
              <w:jc w:val="center"/>
              <w:rPr>
                <w:sz w:val="21"/>
                <w:szCs w:val="21"/>
              </w:rPr>
            </w:pPr>
            <w:r>
              <w:rPr>
                <w:sz w:val="21"/>
                <w:szCs w:val="21"/>
              </w:rPr>
              <w:t>1,4-二氯苯</w:t>
            </w:r>
          </w:p>
        </w:tc>
        <w:tc>
          <w:tcPr>
            <w:tcW w:w="704" w:type="pct"/>
            <w:vAlign w:val="center"/>
          </w:tcPr>
          <w:p w14:paraId="54F2DBC7">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A0EC589">
            <w:pPr>
              <w:jc w:val="center"/>
              <w:rPr>
                <w:sz w:val="21"/>
                <w:szCs w:val="21"/>
              </w:rPr>
            </w:pPr>
            <w:r>
              <w:rPr>
                <w:rFonts w:hint="eastAsia"/>
                <w:sz w:val="21"/>
                <w:szCs w:val="21"/>
                <w:lang w:val="en-US" w:eastAsia="zh-CN"/>
              </w:rPr>
              <w:t>未检出</w:t>
            </w:r>
          </w:p>
        </w:tc>
        <w:tc>
          <w:tcPr>
            <w:tcW w:w="944" w:type="pct"/>
            <w:vAlign w:val="center"/>
          </w:tcPr>
          <w:p w14:paraId="7ACD39AC">
            <w:pPr>
              <w:jc w:val="center"/>
              <w:rPr>
                <w:rFonts w:hint="default" w:eastAsia="宋体"/>
                <w:sz w:val="21"/>
                <w:szCs w:val="21"/>
                <w:lang w:val="en-US" w:eastAsia="zh-CN"/>
              </w:rPr>
            </w:pPr>
            <w:r>
              <w:rPr>
                <w:rFonts w:hint="eastAsia"/>
                <w:sz w:val="21"/>
                <w:szCs w:val="21"/>
                <w:lang w:val="en-US" w:eastAsia="zh-CN"/>
              </w:rPr>
              <w:t>20</w:t>
            </w:r>
          </w:p>
        </w:tc>
      </w:tr>
      <w:tr w14:paraId="36F3D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556B743">
            <w:pPr>
              <w:jc w:val="center"/>
              <w:rPr>
                <w:sz w:val="21"/>
                <w:szCs w:val="21"/>
              </w:rPr>
            </w:pPr>
          </w:p>
        </w:tc>
        <w:tc>
          <w:tcPr>
            <w:tcW w:w="1395" w:type="pct"/>
            <w:vAlign w:val="center"/>
          </w:tcPr>
          <w:p w14:paraId="1BF34FFA">
            <w:pPr>
              <w:jc w:val="center"/>
              <w:rPr>
                <w:sz w:val="21"/>
                <w:szCs w:val="21"/>
              </w:rPr>
            </w:pPr>
            <w:r>
              <w:rPr>
                <w:sz w:val="21"/>
                <w:szCs w:val="21"/>
              </w:rPr>
              <w:t>乙苯</w:t>
            </w:r>
          </w:p>
        </w:tc>
        <w:tc>
          <w:tcPr>
            <w:tcW w:w="704" w:type="pct"/>
            <w:vAlign w:val="center"/>
          </w:tcPr>
          <w:p w14:paraId="076CD6E1">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2B68D27E">
            <w:pPr>
              <w:jc w:val="center"/>
              <w:rPr>
                <w:sz w:val="21"/>
                <w:szCs w:val="21"/>
              </w:rPr>
            </w:pPr>
            <w:r>
              <w:rPr>
                <w:rFonts w:hint="eastAsia"/>
                <w:sz w:val="21"/>
                <w:szCs w:val="21"/>
                <w:lang w:val="en-US" w:eastAsia="zh-CN"/>
              </w:rPr>
              <w:t>未检出</w:t>
            </w:r>
          </w:p>
        </w:tc>
        <w:tc>
          <w:tcPr>
            <w:tcW w:w="944" w:type="pct"/>
            <w:vAlign w:val="center"/>
          </w:tcPr>
          <w:p w14:paraId="16EC0133">
            <w:pPr>
              <w:jc w:val="center"/>
              <w:rPr>
                <w:rFonts w:hint="default" w:eastAsia="宋体"/>
                <w:sz w:val="21"/>
                <w:szCs w:val="21"/>
                <w:lang w:val="en-US" w:eastAsia="zh-CN"/>
              </w:rPr>
            </w:pPr>
            <w:r>
              <w:rPr>
                <w:rFonts w:hint="eastAsia"/>
                <w:sz w:val="21"/>
                <w:szCs w:val="21"/>
                <w:lang w:val="en-US" w:eastAsia="zh-CN"/>
              </w:rPr>
              <w:t>28</w:t>
            </w:r>
          </w:p>
        </w:tc>
      </w:tr>
      <w:tr w14:paraId="15381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0818C6AF">
            <w:pPr>
              <w:jc w:val="center"/>
              <w:rPr>
                <w:sz w:val="21"/>
                <w:szCs w:val="21"/>
              </w:rPr>
            </w:pPr>
          </w:p>
        </w:tc>
        <w:tc>
          <w:tcPr>
            <w:tcW w:w="1395" w:type="pct"/>
            <w:vAlign w:val="center"/>
          </w:tcPr>
          <w:p w14:paraId="74F78700">
            <w:pPr>
              <w:jc w:val="center"/>
              <w:rPr>
                <w:sz w:val="21"/>
                <w:szCs w:val="21"/>
              </w:rPr>
            </w:pPr>
            <w:r>
              <w:rPr>
                <w:sz w:val="21"/>
                <w:szCs w:val="21"/>
              </w:rPr>
              <w:t>苯乙烯</w:t>
            </w:r>
          </w:p>
        </w:tc>
        <w:tc>
          <w:tcPr>
            <w:tcW w:w="704" w:type="pct"/>
            <w:vAlign w:val="center"/>
          </w:tcPr>
          <w:p w14:paraId="1BAE8B2A">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0BD95CCB">
            <w:pPr>
              <w:jc w:val="center"/>
              <w:rPr>
                <w:sz w:val="21"/>
                <w:szCs w:val="21"/>
              </w:rPr>
            </w:pPr>
            <w:r>
              <w:rPr>
                <w:rFonts w:hint="eastAsia"/>
                <w:sz w:val="21"/>
                <w:szCs w:val="21"/>
                <w:lang w:val="en-US" w:eastAsia="zh-CN"/>
              </w:rPr>
              <w:t>未检出</w:t>
            </w:r>
          </w:p>
        </w:tc>
        <w:tc>
          <w:tcPr>
            <w:tcW w:w="944" w:type="pct"/>
            <w:vAlign w:val="center"/>
          </w:tcPr>
          <w:p w14:paraId="6BF15F77">
            <w:pPr>
              <w:jc w:val="center"/>
              <w:rPr>
                <w:rFonts w:hint="default" w:eastAsia="宋体"/>
                <w:sz w:val="21"/>
                <w:szCs w:val="21"/>
                <w:lang w:val="en-US" w:eastAsia="zh-CN"/>
              </w:rPr>
            </w:pPr>
            <w:r>
              <w:rPr>
                <w:rFonts w:hint="eastAsia"/>
                <w:sz w:val="21"/>
                <w:szCs w:val="21"/>
                <w:lang w:val="en-US" w:eastAsia="zh-CN"/>
              </w:rPr>
              <w:t>1290</w:t>
            </w:r>
          </w:p>
        </w:tc>
      </w:tr>
      <w:tr w14:paraId="43F28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38AE5F31">
            <w:pPr>
              <w:jc w:val="center"/>
              <w:rPr>
                <w:sz w:val="21"/>
                <w:szCs w:val="21"/>
              </w:rPr>
            </w:pPr>
          </w:p>
        </w:tc>
        <w:tc>
          <w:tcPr>
            <w:tcW w:w="1395" w:type="pct"/>
            <w:vAlign w:val="center"/>
          </w:tcPr>
          <w:p w14:paraId="31503620">
            <w:pPr>
              <w:jc w:val="center"/>
              <w:rPr>
                <w:sz w:val="21"/>
                <w:szCs w:val="21"/>
              </w:rPr>
            </w:pPr>
            <w:r>
              <w:rPr>
                <w:sz w:val="21"/>
                <w:szCs w:val="21"/>
              </w:rPr>
              <w:t>甲苯</w:t>
            </w:r>
          </w:p>
        </w:tc>
        <w:tc>
          <w:tcPr>
            <w:tcW w:w="704" w:type="pct"/>
            <w:vAlign w:val="center"/>
          </w:tcPr>
          <w:p w14:paraId="6AB87449">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4F73FE7D">
            <w:pPr>
              <w:jc w:val="center"/>
              <w:rPr>
                <w:sz w:val="21"/>
                <w:szCs w:val="21"/>
              </w:rPr>
            </w:pPr>
            <w:r>
              <w:rPr>
                <w:rFonts w:hint="eastAsia"/>
                <w:sz w:val="21"/>
                <w:szCs w:val="21"/>
                <w:lang w:val="en-US" w:eastAsia="zh-CN"/>
              </w:rPr>
              <w:t>未检出</w:t>
            </w:r>
          </w:p>
        </w:tc>
        <w:tc>
          <w:tcPr>
            <w:tcW w:w="944" w:type="pct"/>
            <w:vAlign w:val="center"/>
          </w:tcPr>
          <w:p w14:paraId="403BEC37">
            <w:pPr>
              <w:jc w:val="center"/>
              <w:rPr>
                <w:rFonts w:hint="default" w:eastAsia="宋体"/>
                <w:sz w:val="21"/>
                <w:szCs w:val="21"/>
                <w:lang w:val="en-US" w:eastAsia="zh-CN"/>
              </w:rPr>
            </w:pPr>
            <w:r>
              <w:rPr>
                <w:rFonts w:hint="eastAsia"/>
                <w:sz w:val="21"/>
                <w:szCs w:val="21"/>
                <w:lang w:val="en-US" w:eastAsia="zh-CN"/>
              </w:rPr>
              <w:t>1200</w:t>
            </w:r>
          </w:p>
        </w:tc>
      </w:tr>
      <w:tr w14:paraId="2DF62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071" w:type="pct"/>
            <w:vMerge w:val="continue"/>
            <w:vAlign w:val="center"/>
          </w:tcPr>
          <w:p w14:paraId="66F5FA79">
            <w:pPr>
              <w:jc w:val="center"/>
              <w:rPr>
                <w:sz w:val="21"/>
                <w:szCs w:val="21"/>
              </w:rPr>
            </w:pPr>
          </w:p>
        </w:tc>
        <w:tc>
          <w:tcPr>
            <w:tcW w:w="1395" w:type="pct"/>
            <w:vAlign w:val="center"/>
          </w:tcPr>
          <w:p w14:paraId="0468C1D5">
            <w:pPr>
              <w:jc w:val="center"/>
              <w:rPr>
                <w:sz w:val="21"/>
                <w:szCs w:val="21"/>
              </w:rPr>
            </w:pPr>
            <w:r>
              <w:rPr>
                <w:sz w:val="21"/>
                <w:szCs w:val="21"/>
              </w:rPr>
              <w:t>间二甲苯+对二甲苯</w:t>
            </w:r>
          </w:p>
        </w:tc>
        <w:tc>
          <w:tcPr>
            <w:tcW w:w="704" w:type="pct"/>
            <w:vAlign w:val="center"/>
          </w:tcPr>
          <w:p w14:paraId="423A5EDA">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3E009322">
            <w:pPr>
              <w:jc w:val="center"/>
              <w:rPr>
                <w:sz w:val="21"/>
                <w:szCs w:val="21"/>
              </w:rPr>
            </w:pPr>
            <w:r>
              <w:rPr>
                <w:rFonts w:hint="eastAsia"/>
                <w:sz w:val="21"/>
                <w:szCs w:val="21"/>
                <w:lang w:val="en-US" w:eastAsia="zh-CN"/>
              </w:rPr>
              <w:t>未检出</w:t>
            </w:r>
          </w:p>
        </w:tc>
        <w:tc>
          <w:tcPr>
            <w:tcW w:w="944" w:type="pct"/>
            <w:vAlign w:val="center"/>
          </w:tcPr>
          <w:p w14:paraId="5C816602">
            <w:pPr>
              <w:jc w:val="center"/>
              <w:rPr>
                <w:rFonts w:hint="default" w:eastAsia="宋体"/>
                <w:sz w:val="21"/>
                <w:szCs w:val="21"/>
                <w:lang w:val="en-US" w:eastAsia="zh-CN"/>
              </w:rPr>
            </w:pPr>
            <w:r>
              <w:rPr>
                <w:rFonts w:hint="eastAsia"/>
                <w:sz w:val="21"/>
                <w:szCs w:val="21"/>
                <w:lang w:val="en-US" w:eastAsia="zh-CN"/>
              </w:rPr>
              <w:t>570</w:t>
            </w:r>
          </w:p>
        </w:tc>
      </w:tr>
      <w:tr w14:paraId="74A42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274A71F4">
            <w:pPr>
              <w:jc w:val="center"/>
              <w:rPr>
                <w:sz w:val="21"/>
                <w:szCs w:val="21"/>
              </w:rPr>
            </w:pPr>
          </w:p>
        </w:tc>
        <w:tc>
          <w:tcPr>
            <w:tcW w:w="1395" w:type="pct"/>
            <w:vAlign w:val="center"/>
          </w:tcPr>
          <w:p w14:paraId="4136844F">
            <w:pPr>
              <w:jc w:val="center"/>
              <w:rPr>
                <w:sz w:val="21"/>
                <w:szCs w:val="21"/>
              </w:rPr>
            </w:pPr>
            <w:r>
              <w:rPr>
                <w:sz w:val="21"/>
                <w:szCs w:val="21"/>
              </w:rPr>
              <w:t>邻二甲苯</w:t>
            </w:r>
          </w:p>
        </w:tc>
        <w:tc>
          <w:tcPr>
            <w:tcW w:w="704" w:type="pct"/>
            <w:vAlign w:val="center"/>
          </w:tcPr>
          <w:p w14:paraId="2D531A6F">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5E12BB3D">
            <w:pPr>
              <w:jc w:val="center"/>
              <w:rPr>
                <w:sz w:val="21"/>
                <w:szCs w:val="21"/>
              </w:rPr>
            </w:pPr>
            <w:r>
              <w:rPr>
                <w:rFonts w:hint="eastAsia"/>
                <w:sz w:val="21"/>
                <w:szCs w:val="21"/>
                <w:lang w:val="en-US" w:eastAsia="zh-CN"/>
              </w:rPr>
              <w:t>未检出</w:t>
            </w:r>
          </w:p>
        </w:tc>
        <w:tc>
          <w:tcPr>
            <w:tcW w:w="944" w:type="pct"/>
            <w:vAlign w:val="center"/>
          </w:tcPr>
          <w:p w14:paraId="0B7F80BC">
            <w:pPr>
              <w:jc w:val="center"/>
              <w:rPr>
                <w:rFonts w:hint="default" w:eastAsia="宋体"/>
                <w:sz w:val="21"/>
                <w:szCs w:val="21"/>
                <w:lang w:val="en-US" w:eastAsia="zh-CN"/>
              </w:rPr>
            </w:pPr>
            <w:r>
              <w:rPr>
                <w:rFonts w:hint="eastAsia"/>
                <w:sz w:val="21"/>
                <w:szCs w:val="21"/>
                <w:lang w:val="en-US" w:eastAsia="zh-CN"/>
              </w:rPr>
              <w:t>640</w:t>
            </w:r>
          </w:p>
        </w:tc>
      </w:tr>
      <w:tr w14:paraId="5EB48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43D155F5">
            <w:pPr>
              <w:jc w:val="center"/>
              <w:rPr>
                <w:sz w:val="21"/>
                <w:szCs w:val="21"/>
              </w:rPr>
            </w:pPr>
          </w:p>
        </w:tc>
        <w:tc>
          <w:tcPr>
            <w:tcW w:w="1395" w:type="pct"/>
            <w:vAlign w:val="center"/>
          </w:tcPr>
          <w:p w14:paraId="1699826B">
            <w:pPr>
              <w:jc w:val="center"/>
              <w:rPr>
                <w:sz w:val="21"/>
                <w:szCs w:val="21"/>
              </w:rPr>
            </w:pPr>
            <w:r>
              <w:rPr>
                <w:sz w:val="21"/>
                <w:szCs w:val="21"/>
              </w:rPr>
              <w:t>硝基苯</w:t>
            </w:r>
          </w:p>
        </w:tc>
        <w:tc>
          <w:tcPr>
            <w:tcW w:w="704" w:type="pct"/>
            <w:vAlign w:val="center"/>
          </w:tcPr>
          <w:p w14:paraId="1BC5679D">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015F4FD1">
            <w:pPr>
              <w:jc w:val="center"/>
              <w:rPr>
                <w:sz w:val="21"/>
                <w:szCs w:val="21"/>
              </w:rPr>
            </w:pPr>
            <w:r>
              <w:rPr>
                <w:rFonts w:hint="eastAsia"/>
                <w:sz w:val="21"/>
                <w:szCs w:val="21"/>
                <w:lang w:val="en-US" w:eastAsia="zh-CN"/>
              </w:rPr>
              <w:t>未检出</w:t>
            </w:r>
          </w:p>
        </w:tc>
        <w:tc>
          <w:tcPr>
            <w:tcW w:w="944" w:type="pct"/>
            <w:vAlign w:val="center"/>
          </w:tcPr>
          <w:p w14:paraId="3E49EC95">
            <w:pPr>
              <w:jc w:val="center"/>
              <w:rPr>
                <w:rFonts w:hint="default" w:eastAsia="宋体"/>
                <w:sz w:val="21"/>
                <w:szCs w:val="21"/>
                <w:lang w:val="en-US" w:eastAsia="zh-CN"/>
              </w:rPr>
            </w:pPr>
            <w:r>
              <w:rPr>
                <w:rFonts w:hint="eastAsia"/>
                <w:sz w:val="21"/>
                <w:szCs w:val="21"/>
                <w:lang w:val="en-US" w:eastAsia="zh-CN"/>
              </w:rPr>
              <w:t>76</w:t>
            </w:r>
          </w:p>
        </w:tc>
      </w:tr>
      <w:tr w14:paraId="46C39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5DEDB84E">
            <w:pPr>
              <w:jc w:val="center"/>
              <w:rPr>
                <w:sz w:val="21"/>
                <w:szCs w:val="21"/>
              </w:rPr>
            </w:pPr>
          </w:p>
        </w:tc>
        <w:tc>
          <w:tcPr>
            <w:tcW w:w="1395" w:type="pct"/>
            <w:vAlign w:val="center"/>
          </w:tcPr>
          <w:p w14:paraId="54A9EA13">
            <w:pPr>
              <w:jc w:val="center"/>
              <w:rPr>
                <w:sz w:val="21"/>
                <w:szCs w:val="21"/>
              </w:rPr>
            </w:pPr>
            <w:r>
              <w:rPr>
                <w:sz w:val="21"/>
                <w:szCs w:val="21"/>
              </w:rPr>
              <w:t>苯胺</w:t>
            </w:r>
          </w:p>
        </w:tc>
        <w:tc>
          <w:tcPr>
            <w:tcW w:w="704" w:type="pct"/>
            <w:vAlign w:val="center"/>
          </w:tcPr>
          <w:p w14:paraId="0EEC5144">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3DBDC335">
            <w:pPr>
              <w:jc w:val="center"/>
              <w:rPr>
                <w:sz w:val="21"/>
                <w:szCs w:val="21"/>
              </w:rPr>
            </w:pPr>
            <w:r>
              <w:rPr>
                <w:rFonts w:hint="eastAsia"/>
                <w:sz w:val="21"/>
                <w:szCs w:val="21"/>
                <w:lang w:val="en-US" w:eastAsia="zh-CN"/>
              </w:rPr>
              <w:t>未检出</w:t>
            </w:r>
          </w:p>
        </w:tc>
        <w:tc>
          <w:tcPr>
            <w:tcW w:w="944" w:type="pct"/>
            <w:vAlign w:val="center"/>
          </w:tcPr>
          <w:p w14:paraId="1B1B2FA2">
            <w:pPr>
              <w:jc w:val="center"/>
              <w:rPr>
                <w:rFonts w:hint="default" w:eastAsia="宋体"/>
                <w:sz w:val="21"/>
                <w:szCs w:val="21"/>
                <w:lang w:val="en-US" w:eastAsia="zh-CN"/>
              </w:rPr>
            </w:pPr>
            <w:r>
              <w:rPr>
                <w:rFonts w:hint="eastAsia"/>
                <w:sz w:val="21"/>
                <w:szCs w:val="21"/>
                <w:lang w:val="en-US" w:eastAsia="zh-CN"/>
              </w:rPr>
              <w:t>260</w:t>
            </w:r>
          </w:p>
        </w:tc>
      </w:tr>
      <w:tr w14:paraId="3C995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5B6DE3A3">
            <w:pPr>
              <w:jc w:val="center"/>
              <w:rPr>
                <w:sz w:val="21"/>
                <w:szCs w:val="21"/>
              </w:rPr>
            </w:pPr>
          </w:p>
        </w:tc>
        <w:tc>
          <w:tcPr>
            <w:tcW w:w="1395" w:type="pct"/>
            <w:vAlign w:val="center"/>
          </w:tcPr>
          <w:p w14:paraId="09478EFE">
            <w:pPr>
              <w:jc w:val="center"/>
              <w:rPr>
                <w:sz w:val="21"/>
                <w:szCs w:val="21"/>
              </w:rPr>
            </w:pPr>
            <w:r>
              <w:rPr>
                <w:sz w:val="21"/>
                <w:szCs w:val="21"/>
              </w:rPr>
              <w:t>2-氯苯酚</w:t>
            </w:r>
          </w:p>
        </w:tc>
        <w:tc>
          <w:tcPr>
            <w:tcW w:w="704" w:type="pct"/>
            <w:vAlign w:val="center"/>
          </w:tcPr>
          <w:p w14:paraId="4F2F23A6">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6F518E48">
            <w:pPr>
              <w:jc w:val="center"/>
              <w:rPr>
                <w:sz w:val="21"/>
                <w:szCs w:val="21"/>
              </w:rPr>
            </w:pPr>
            <w:r>
              <w:rPr>
                <w:rFonts w:hint="eastAsia"/>
                <w:sz w:val="21"/>
                <w:szCs w:val="21"/>
                <w:lang w:val="en-US" w:eastAsia="zh-CN"/>
              </w:rPr>
              <w:t>未检出</w:t>
            </w:r>
          </w:p>
        </w:tc>
        <w:tc>
          <w:tcPr>
            <w:tcW w:w="944" w:type="pct"/>
            <w:vAlign w:val="center"/>
          </w:tcPr>
          <w:p w14:paraId="65E88CA2">
            <w:pPr>
              <w:jc w:val="center"/>
              <w:rPr>
                <w:rFonts w:hint="default" w:eastAsia="宋体"/>
                <w:sz w:val="21"/>
                <w:szCs w:val="21"/>
                <w:lang w:val="en-US" w:eastAsia="zh-CN"/>
              </w:rPr>
            </w:pPr>
            <w:r>
              <w:rPr>
                <w:rFonts w:hint="eastAsia"/>
                <w:sz w:val="21"/>
                <w:szCs w:val="21"/>
                <w:lang w:val="en-US" w:eastAsia="zh-CN"/>
              </w:rPr>
              <w:t>2256</w:t>
            </w:r>
          </w:p>
        </w:tc>
      </w:tr>
      <w:tr w14:paraId="65C31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0CD33036">
            <w:pPr>
              <w:jc w:val="center"/>
              <w:rPr>
                <w:sz w:val="21"/>
                <w:szCs w:val="21"/>
              </w:rPr>
            </w:pPr>
          </w:p>
        </w:tc>
        <w:tc>
          <w:tcPr>
            <w:tcW w:w="1395" w:type="pct"/>
            <w:vAlign w:val="center"/>
          </w:tcPr>
          <w:p w14:paraId="339D2EF8">
            <w:pPr>
              <w:jc w:val="center"/>
              <w:rPr>
                <w:sz w:val="21"/>
                <w:szCs w:val="21"/>
              </w:rPr>
            </w:pPr>
            <w:r>
              <w:rPr>
                <w:sz w:val="21"/>
                <w:szCs w:val="21"/>
              </w:rPr>
              <w:t>苯并[a]蒽</w:t>
            </w:r>
          </w:p>
        </w:tc>
        <w:tc>
          <w:tcPr>
            <w:tcW w:w="704" w:type="pct"/>
            <w:vAlign w:val="center"/>
          </w:tcPr>
          <w:p w14:paraId="1D16ECD0">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765F449A">
            <w:pPr>
              <w:jc w:val="center"/>
              <w:rPr>
                <w:sz w:val="21"/>
                <w:szCs w:val="21"/>
              </w:rPr>
            </w:pPr>
            <w:r>
              <w:rPr>
                <w:rFonts w:hint="eastAsia"/>
                <w:sz w:val="21"/>
                <w:szCs w:val="21"/>
                <w:lang w:val="en-US" w:eastAsia="zh-CN"/>
              </w:rPr>
              <w:t>未检出</w:t>
            </w:r>
          </w:p>
        </w:tc>
        <w:tc>
          <w:tcPr>
            <w:tcW w:w="944" w:type="pct"/>
            <w:vAlign w:val="center"/>
          </w:tcPr>
          <w:p w14:paraId="7FF5F28E">
            <w:pPr>
              <w:jc w:val="center"/>
              <w:rPr>
                <w:rFonts w:hint="default" w:eastAsia="宋体"/>
                <w:sz w:val="21"/>
                <w:szCs w:val="21"/>
                <w:lang w:val="en-US" w:eastAsia="zh-CN"/>
              </w:rPr>
            </w:pPr>
            <w:r>
              <w:rPr>
                <w:rFonts w:hint="eastAsia"/>
                <w:sz w:val="21"/>
                <w:szCs w:val="21"/>
                <w:lang w:val="en-US" w:eastAsia="zh-CN"/>
              </w:rPr>
              <w:t>15</w:t>
            </w:r>
          </w:p>
        </w:tc>
      </w:tr>
      <w:tr w14:paraId="7EA00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643E7C0E">
            <w:pPr>
              <w:jc w:val="center"/>
              <w:rPr>
                <w:sz w:val="21"/>
                <w:szCs w:val="21"/>
              </w:rPr>
            </w:pPr>
          </w:p>
        </w:tc>
        <w:tc>
          <w:tcPr>
            <w:tcW w:w="1395" w:type="pct"/>
            <w:vAlign w:val="center"/>
          </w:tcPr>
          <w:p w14:paraId="043212EB">
            <w:pPr>
              <w:jc w:val="center"/>
              <w:rPr>
                <w:sz w:val="21"/>
                <w:szCs w:val="21"/>
              </w:rPr>
            </w:pPr>
            <w:r>
              <w:rPr>
                <w:sz w:val="21"/>
                <w:szCs w:val="21"/>
              </w:rPr>
              <w:t>苯并[a]芘</w:t>
            </w:r>
          </w:p>
        </w:tc>
        <w:tc>
          <w:tcPr>
            <w:tcW w:w="704" w:type="pct"/>
            <w:vAlign w:val="center"/>
          </w:tcPr>
          <w:p w14:paraId="6D8DD99D">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5FD2359">
            <w:pPr>
              <w:jc w:val="center"/>
              <w:rPr>
                <w:sz w:val="21"/>
                <w:szCs w:val="21"/>
              </w:rPr>
            </w:pPr>
            <w:r>
              <w:rPr>
                <w:rFonts w:hint="eastAsia"/>
                <w:sz w:val="21"/>
                <w:szCs w:val="21"/>
                <w:lang w:val="en-US" w:eastAsia="zh-CN"/>
              </w:rPr>
              <w:t>未检出</w:t>
            </w:r>
          </w:p>
        </w:tc>
        <w:tc>
          <w:tcPr>
            <w:tcW w:w="944" w:type="pct"/>
            <w:vAlign w:val="center"/>
          </w:tcPr>
          <w:p w14:paraId="43641ABB">
            <w:pPr>
              <w:jc w:val="center"/>
              <w:rPr>
                <w:rFonts w:hint="default" w:eastAsia="宋体"/>
                <w:sz w:val="21"/>
                <w:szCs w:val="21"/>
                <w:lang w:val="en-US" w:eastAsia="zh-CN"/>
              </w:rPr>
            </w:pPr>
            <w:r>
              <w:rPr>
                <w:rFonts w:hint="eastAsia"/>
                <w:sz w:val="21"/>
                <w:szCs w:val="21"/>
                <w:lang w:val="en-US" w:eastAsia="zh-CN"/>
              </w:rPr>
              <w:t>1.5</w:t>
            </w:r>
          </w:p>
        </w:tc>
      </w:tr>
      <w:tr w14:paraId="3410A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471596ED">
            <w:pPr>
              <w:jc w:val="center"/>
              <w:rPr>
                <w:sz w:val="21"/>
                <w:szCs w:val="21"/>
              </w:rPr>
            </w:pPr>
          </w:p>
        </w:tc>
        <w:tc>
          <w:tcPr>
            <w:tcW w:w="1395" w:type="pct"/>
            <w:vAlign w:val="center"/>
          </w:tcPr>
          <w:p w14:paraId="52C4E76A">
            <w:pPr>
              <w:jc w:val="center"/>
              <w:rPr>
                <w:sz w:val="21"/>
                <w:szCs w:val="21"/>
              </w:rPr>
            </w:pPr>
            <w:r>
              <w:rPr>
                <w:sz w:val="21"/>
                <w:szCs w:val="21"/>
              </w:rPr>
              <w:t>苯并[b]荧蒽</w:t>
            </w:r>
          </w:p>
        </w:tc>
        <w:tc>
          <w:tcPr>
            <w:tcW w:w="704" w:type="pct"/>
            <w:vAlign w:val="center"/>
          </w:tcPr>
          <w:p w14:paraId="3913EB05">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7D05C76D">
            <w:pPr>
              <w:jc w:val="center"/>
              <w:rPr>
                <w:sz w:val="21"/>
                <w:szCs w:val="21"/>
              </w:rPr>
            </w:pPr>
            <w:r>
              <w:rPr>
                <w:rFonts w:hint="eastAsia"/>
                <w:sz w:val="21"/>
                <w:szCs w:val="21"/>
                <w:lang w:val="en-US" w:eastAsia="zh-CN"/>
              </w:rPr>
              <w:t>未检出</w:t>
            </w:r>
          </w:p>
        </w:tc>
        <w:tc>
          <w:tcPr>
            <w:tcW w:w="944" w:type="pct"/>
            <w:vAlign w:val="center"/>
          </w:tcPr>
          <w:p w14:paraId="2DA9FA71">
            <w:pPr>
              <w:jc w:val="center"/>
              <w:rPr>
                <w:rFonts w:hint="default" w:eastAsia="宋体"/>
                <w:sz w:val="21"/>
                <w:szCs w:val="21"/>
                <w:lang w:val="en-US" w:eastAsia="zh-CN"/>
              </w:rPr>
            </w:pPr>
            <w:r>
              <w:rPr>
                <w:rFonts w:hint="eastAsia"/>
                <w:sz w:val="21"/>
                <w:szCs w:val="21"/>
                <w:lang w:val="en-US" w:eastAsia="zh-CN"/>
              </w:rPr>
              <w:t>15</w:t>
            </w:r>
          </w:p>
        </w:tc>
      </w:tr>
      <w:tr w14:paraId="0FDEE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3D0EBACE">
            <w:pPr>
              <w:jc w:val="center"/>
              <w:rPr>
                <w:sz w:val="21"/>
                <w:szCs w:val="21"/>
              </w:rPr>
            </w:pPr>
          </w:p>
        </w:tc>
        <w:tc>
          <w:tcPr>
            <w:tcW w:w="1395" w:type="pct"/>
            <w:vAlign w:val="center"/>
          </w:tcPr>
          <w:p w14:paraId="797B3AF9">
            <w:pPr>
              <w:jc w:val="center"/>
              <w:rPr>
                <w:sz w:val="21"/>
                <w:szCs w:val="21"/>
              </w:rPr>
            </w:pPr>
            <w:r>
              <w:rPr>
                <w:sz w:val="21"/>
                <w:szCs w:val="21"/>
              </w:rPr>
              <w:t>苯并[k]荧蒽</w:t>
            </w:r>
          </w:p>
        </w:tc>
        <w:tc>
          <w:tcPr>
            <w:tcW w:w="704" w:type="pct"/>
            <w:vAlign w:val="center"/>
          </w:tcPr>
          <w:p w14:paraId="351FD55D">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846FDDA">
            <w:pPr>
              <w:jc w:val="center"/>
              <w:rPr>
                <w:sz w:val="21"/>
                <w:szCs w:val="21"/>
              </w:rPr>
            </w:pPr>
            <w:r>
              <w:rPr>
                <w:rFonts w:hint="eastAsia"/>
                <w:sz w:val="21"/>
                <w:szCs w:val="21"/>
                <w:lang w:val="en-US" w:eastAsia="zh-CN"/>
              </w:rPr>
              <w:t>未检出</w:t>
            </w:r>
          </w:p>
        </w:tc>
        <w:tc>
          <w:tcPr>
            <w:tcW w:w="944" w:type="pct"/>
            <w:vAlign w:val="center"/>
          </w:tcPr>
          <w:p w14:paraId="4A420064">
            <w:pPr>
              <w:jc w:val="center"/>
              <w:rPr>
                <w:rFonts w:hint="default" w:eastAsia="宋体"/>
                <w:sz w:val="21"/>
                <w:szCs w:val="21"/>
                <w:lang w:val="en-US" w:eastAsia="zh-CN"/>
              </w:rPr>
            </w:pPr>
            <w:r>
              <w:rPr>
                <w:rFonts w:hint="eastAsia"/>
                <w:sz w:val="21"/>
                <w:szCs w:val="21"/>
                <w:lang w:val="en-US" w:eastAsia="zh-CN"/>
              </w:rPr>
              <w:t>151</w:t>
            </w:r>
          </w:p>
        </w:tc>
      </w:tr>
      <w:tr w14:paraId="6955F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68971E1A">
            <w:pPr>
              <w:jc w:val="center"/>
              <w:rPr>
                <w:sz w:val="21"/>
                <w:szCs w:val="21"/>
              </w:rPr>
            </w:pPr>
          </w:p>
        </w:tc>
        <w:tc>
          <w:tcPr>
            <w:tcW w:w="1395" w:type="pct"/>
            <w:vAlign w:val="center"/>
          </w:tcPr>
          <w:p w14:paraId="7212B1C2">
            <w:pPr>
              <w:jc w:val="center"/>
              <w:rPr>
                <w:sz w:val="21"/>
                <w:szCs w:val="21"/>
              </w:rPr>
            </w:pPr>
            <w:r>
              <w:rPr>
                <w:sz w:val="21"/>
                <w:szCs w:val="21"/>
              </w:rPr>
              <w:t>䓛</w:t>
            </w:r>
          </w:p>
        </w:tc>
        <w:tc>
          <w:tcPr>
            <w:tcW w:w="704" w:type="pct"/>
            <w:vAlign w:val="center"/>
          </w:tcPr>
          <w:p w14:paraId="26447898">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08112942">
            <w:pPr>
              <w:jc w:val="center"/>
              <w:rPr>
                <w:sz w:val="21"/>
                <w:szCs w:val="21"/>
              </w:rPr>
            </w:pPr>
            <w:r>
              <w:rPr>
                <w:rFonts w:hint="eastAsia"/>
                <w:sz w:val="21"/>
                <w:szCs w:val="21"/>
                <w:lang w:val="en-US" w:eastAsia="zh-CN"/>
              </w:rPr>
              <w:t>未检出</w:t>
            </w:r>
          </w:p>
        </w:tc>
        <w:tc>
          <w:tcPr>
            <w:tcW w:w="944" w:type="pct"/>
            <w:vAlign w:val="center"/>
          </w:tcPr>
          <w:p w14:paraId="01E383F4">
            <w:pPr>
              <w:jc w:val="center"/>
              <w:rPr>
                <w:rFonts w:hint="default" w:eastAsia="宋体"/>
                <w:sz w:val="21"/>
                <w:szCs w:val="21"/>
                <w:lang w:val="en-US" w:eastAsia="zh-CN"/>
              </w:rPr>
            </w:pPr>
            <w:r>
              <w:rPr>
                <w:rFonts w:hint="eastAsia"/>
                <w:sz w:val="21"/>
                <w:szCs w:val="21"/>
                <w:lang w:val="en-US" w:eastAsia="zh-CN"/>
              </w:rPr>
              <w:t>1293</w:t>
            </w:r>
          </w:p>
        </w:tc>
      </w:tr>
      <w:tr w14:paraId="4B2F8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8240C67">
            <w:pPr>
              <w:jc w:val="center"/>
              <w:rPr>
                <w:sz w:val="21"/>
                <w:szCs w:val="21"/>
              </w:rPr>
            </w:pPr>
          </w:p>
        </w:tc>
        <w:tc>
          <w:tcPr>
            <w:tcW w:w="1395" w:type="pct"/>
            <w:vAlign w:val="center"/>
          </w:tcPr>
          <w:p w14:paraId="22B35C14">
            <w:pPr>
              <w:jc w:val="center"/>
              <w:rPr>
                <w:sz w:val="21"/>
                <w:szCs w:val="21"/>
              </w:rPr>
            </w:pPr>
            <w:r>
              <w:rPr>
                <w:sz w:val="21"/>
                <w:szCs w:val="21"/>
              </w:rPr>
              <w:t>二苯并[a, h]蒽</w:t>
            </w:r>
          </w:p>
        </w:tc>
        <w:tc>
          <w:tcPr>
            <w:tcW w:w="704" w:type="pct"/>
            <w:vAlign w:val="center"/>
          </w:tcPr>
          <w:p w14:paraId="285F796E">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5FFE2892">
            <w:pPr>
              <w:jc w:val="center"/>
              <w:rPr>
                <w:sz w:val="21"/>
                <w:szCs w:val="21"/>
              </w:rPr>
            </w:pPr>
            <w:r>
              <w:rPr>
                <w:rFonts w:hint="eastAsia"/>
                <w:sz w:val="21"/>
                <w:szCs w:val="21"/>
                <w:lang w:val="en-US" w:eastAsia="zh-CN"/>
              </w:rPr>
              <w:t>未检出</w:t>
            </w:r>
          </w:p>
        </w:tc>
        <w:tc>
          <w:tcPr>
            <w:tcW w:w="944" w:type="pct"/>
            <w:vAlign w:val="center"/>
          </w:tcPr>
          <w:p w14:paraId="40D2A601">
            <w:pPr>
              <w:jc w:val="center"/>
              <w:rPr>
                <w:rFonts w:hint="default" w:eastAsia="宋体"/>
                <w:sz w:val="21"/>
                <w:szCs w:val="21"/>
                <w:lang w:val="en-US" w:eastAsia="zh-CN"/>
              </w:rPr>
            </w:pPr>
            <w:r>
              <w:rPr>
                <w:rFonts w:hint="eastAsia"/>
                <w:sz w:val="21"/>
                <w:szCs w:val="21"/>
                <w:lang w:val="en-US" w:eastAsia="zh-CN"/>
              </w:rPr>
              <w:t>1.5</w:t>
            </w:r>
          </w:p>
        </w:tc>
      </w:tr>
      <w:tr w14:paraId="6C8CC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071" w:type="pct"/>
            <w:vMerge w:val="continue"/>
            <w:vAlign w:val="center"/>
          </w:tcPr>
          <w:p w14:paraId="792BBC9C">
            <w:pPr>
              <w:jc w:val="center"/>
              <w:rPr>
                <w:sz w:val="21"/>
                <w:szCs w:val="21"/>
              </w:rPr>
            </w:pPr>
          </w:p>
        </w:tc>
        <w:tc>
          <w:tcPr>
            <w:tcW w:w="1395" w:type="pct"/>
            <w:vAlign w:val="center"/>
          </w:tcPr>
          <w:p w14:paraId="358103A3">
            <w:pPr>
              <w:jc w:val="center"/>
              <w:rPr>
                <w:sz w:val="21"/>
                <w:szCs w:val="21"/>
              </w:rPr>
            </w:pPr>
            <w:r>
              <w:rPr>
                <w:sz w:val="21"/>
                <w:szCs w:val="21"/>
              </w:rPr>
              <w:t>茚并[1,2,3-cd]芘</w:t>
            </w:r>
          </w:p>
        </w:tc>
        <w:tc>
          <w:tcPr>
            <w:tcW w:w="704" w:type="pct"/>
            <w:vAlign w:val="center"/>
          </w:tcPr>
          <w:p w14:paraId="7A1971A8">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18F13C28">
            <w:pPr>
              <w:jc w:val="center"/>
              <w:rPr>
                <w:sz w:val="21"/>
                <w:szCs w:val="21"/>
              </w:rPr>
            </w:pPr>
            <w:r>
              <w:rPr>
                <w:rFonts w:hint="eastAsia"/>
                <w:sz w:val="21"/>
                <w:szCs w:val="21"/>
                <w:lang w:val="en-US" w:eastAsia="zh-CN"/>
              </w:rPr>
              <w:t>未检出</w:t>
            </w:r>
          </w:p>
        </w:tc>
        <w:tc>
          <w:tcPr>
            <w:tcW w:w="944" w:type="pct"/>
            <w:vAlign w:val="center"/>
          </w:tcPr>
          <w:p w14:paraId="0A198604">
            <w:pPr>
              <w:jc w:val="center"/>
              <w:rPr>
                <w:rFonts w:hint="default" w:eastAsia="宋体"/>
                <w:sz w:val="21"/>
                <w:szCs w:val="21"/>
                <w:lang w:val="en-US" w:eastAsia="zh-CN"/>
              </w:rPr>
            </w:pPr>
            <w:r>
              <w:rPr>
                <w:rFonts w:hint="eastAsia"/>
                <w:sz w:val="21"/>
                <w:szCs w:val="21"/>
                <w:lang w:val="en-US" w:eastAsia="zh-CN"/>
              </w:rPr>
              <w:t>15</w:t>
            </w:r>
          </w:p>
        </w:tc>
      </w:tr>
      <w:tr w14:paraId="2B5C8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071" w:type="pct"/>
            <w:vMerge w:val="continue"/>
            <w:vAlign w:val="center"/>
          </w:tcPr>
          <w:p w14:paraId="33EF836F">
            <w:pPr>
              <w:jc w:val="center"/>
              <w:rPr>
                <w:sz w:val="21"/>
                <w:szCs w:val="21"/>
              </w:rPr>
            </w:pPr>
          </w:p>
        </w:tc>
        <w:tc>
          <w:tcPr>
            <w:tcW w:w="1395" w:type="pct"/>
            <w:vAlign w:val="center"/>
          </w:tcPr>
          <w:p w14:paraId="055EBB50">
            <w:pPr>
              <w:jc w:val="center"/>
              <w:rPr>
                <w:sz w:val="21"/>
                <w:szCs w:val="21"/>
              </w:rPr>
            </w:pPr>
            <w:r>
              <w:rPr>
                <w:sz w:val="21"/>
                <w:szCs w:val="21"/>
              </w:rPr>
              <w:t>萘</w:t>
            </w:r>
          </w:p>
        </w:tc>
        <w:tc>
          <w:tcPr>
            <w:tcW w:w="704" w:type="pct"/>
            <w:vAlign w:val="center"/>
          </w:tcPr>
          <w:p w14:paraId="0317F093">
            <w:pPr>
              <w:jc w:val="center"/>
              <w:rPr>
                <w:rFonts w:hint="eastAsia"/>
                <w:sz w:val="21"/>
                <w:szCs w:val="21"/>
                <w:lang w:val="en-US" w:eastAsia="zh-CN"/>
              </w:rPr>
            </w:pPr>
            <w:r>
              <w:rPr>
                <w:rFonts w:hint="eastAsia"/>
                <w:sz w:val="21"/>
                <w:szCs w:val="21"/>
                <w:lang w:val="en-US" w:eastAsia="zh-CN"/>
              </w:rPr>
              <w:t>mg/kg</w:t>
            </w:r>
          </w:p>
        </w:tc>
        <w:tc>
          <w:tcPr>
            <w:tcW w:w="883" w:type="pct"/>
            <w:vAlign w:val="center"/>
          </w:tcPr>
          <w:p w14:paraId="0B4F9D98">
            <w:pPr>
              <w:jc w:val="center"/>
              <w:rPr>
                <w:sz w:val="21"/>
                <w:szCs w:val="21"/>
              </w:rPr>
            </w:pPr>
            <w:r>
              <w:rPr>
                <w:rFonts w:hint="eastAsia"/>
                <w:sz w:val="21"/>
                <w:szCs w:val="21"/>
                <w:lang w:val="en-US" w:eastAsia="zh-CN"/>
              </w:rPr>
              <w:t>未检出</w:t>
            </w:r>
          </w:p>
        </w:tc>
        <w:tc>
          <w:tcPr>
            <w:tcW w:w="944" w:type="pct"/>
            <w:vAlign w:val="center"/>
          </w:tcPr>
          <w:p w14:paraId="48FF688F">
            <w:pPr>
              <w:jc w:val="center"/>
              <w:rPr>
                <w:rFonts w:hint="default" w:eastAsia="宋体"/>
                <w:sz w:val="21"/>
                <w:szCs w:val="21"/>
                <w:lang w:val="en-US" w:eastAsia="zh-CN"/>
              </w:rPr>
            </w:pPr>
            <w:r>
              <w:rPr>
                <w:rFonts w:hint="eastAsia"/>
                <w:sz w:val="21"/>
                <w:szCs w:val="21"/>
                <w:lang w:val="en-US" w:eastAsia="zh-CN"/>
              </w:rPr>
              <w:t>70</w:t>
            </w:r>
          </w:p>
        </w:tc>
      </w:tr>
      <w:tr w14:paraId="258AB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1" w:type="pct"/>
            <w:vMerge w:val="restart"/>
            <w:tcBorders>
              <w:tl2br w:val="nil"/>
              <w:tr2bl w:val="nil"/>
            </w:tcBorders>
            <w:vAlign w:val="center"/>
          </w:tcPr>
          <w:p w14:paraId="30D1E540">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r>
              <w:rPr>
                <w:rFonts w:hint="eastAsia" w:cs="Times New Roman"/>
                <w:sz w:val="21"/>
                <w:szCs w:val="21"/>
                <w:lang w:val="en-US" w:eastAsia="zh-CN"/>
              </w:rPr>
              <w:t>酒精</w:t>
            </w:r>
            <w:r>
              <w:rPr>
                <w:rFonts w:hint="eastAsia" w:ascii="Times New Roman" w:hAnsi="Times New Roman" w:eastAsia="宋体" w:cs="Times New Roman"/>
                <w:sz w:val="21"/>
                <w:szCs w:val="21"/>
                <w:lang w:val="en-US" w:eastAsia="zh-CN"/>
              </w:rPr>
              <w:t>罐区</w:t>
            </w:r>
          </w:p>
          <w:p w14:paraId="47199207">
            <w:pPr>
              <w:jc w:val="center"/>
              <w:rPr>
                <w:rFonts w:hint="default"/>
                <w:lang w:val="en-US" w:eastAsia="zh-CN"/>
              </w:rPr>
            </w:pPr>
          </w:p>
        </w:tc>
        <w:tc>
          <w:tcPr>
            <w:tcW w:w="1395" w:type="pct"/>
            <w:tcBorders>
              <w:tl2br w:val="nil"/>
              <w:tr2bl w:val="nil"/>
            </w:tcBorders>
            <w:shd w:val="clear" w:color="auto" w:fill="auto"/>
            <w:vAlign w:val="center"/>
          </w:tcPr>
          <w:p w14:paraId="583E4B74">
            <w:pPr>
              <w:jc w:val="center"/>
              <w:rPr>
                <w:rFonts w:hint="eastAsia" w:ascii="Times New Roman" w:hAnsi="Times New Roman" w:eastAsia="宋体" w:cs="Times New Roman"/>
                <w:sz w:val="21"/>
                <w:szCs w:val="21"/>
                <w:lang w:val="en-US" w:eastAsia="zh-CN" w:bidi="ar-SA"/>
              </w:rPr>
            </w:pPr>
            <w:r>
              <w:rPr>
                <w:rFonts w:hint="eastAsia"/>
                <w:sz w:val="21"/>
                <w:szCs w:val="21"/>
              </w:rPr>
              <w:t>pH</w:t>
            </w:r>
          </w:p>
        </w:tc>
        <w:tc>
          <w:tcPr>
            <w:tcW w:w="704" w:type="pct"/>
            <w:tcBorders>
              <w:tl2br w:val="nil"/>
              <w:tr2bl w:val="nil"/>
            </w:tcBorders>
            <w:shd w:val="clear" w:color="auto" w:fill="auto"/>
            <w:vAlign w:val="center"/>
          </w:tcPr>
          <w:p w14:paraId="252184DF">
            <w:pPr>
              <w:jc w:val="center"/>
              <w:rPr>
                <w:rFonts w:hint="default" w:ascii="Times New Roman" w:hAnsi="Times New Roman" w:eastAsia="宋体" w:cs="Times New Roman"/>
                <w:sz w:val="21"/>
                <w:szCs w:val="21"/>
                <w:lang w:val="en-US" w:eastAsia="zh-CN" w:bidi="ar-SA"/>
              </w:rPr>
            </w:pPr>
            <w:r>
              <w:rPr>
                <w:rFonts w:hint="eastAsia"/>
                <w:sz w:val="21"/>
                <w:szCs w:val="21"/>
                <w:lang w:val="en-US" w:eastAsia="zh-CN"/>
              </w:rPr>
              <w:t>无量纲</w:t>
            </w:r>
          </w:p>
        </w:tc>
        <w:tc>
          <w:tcPr>
            <w:tcW w:w="1605" w:type="dxa"/>
            <w:tcBorders>
              <w:tl2br w:val="nil"/>
              <w:tr2bl w:val="nil"/>
            </w:tcBorders>
            <w:shd w:val="clear" w:color="auto" w:fill="auto"/>
            <w:vAlign w:val="top"/>
          </w:tcPr>
          <w:p w14:paraId="61A56306">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8.21</w:t>
            </w:r>
          </w:p>
        </w:tc>
        <w:tc>
          <w:tcPr>
            <w:tcW w:w="944" w:type="pct"/>
            <w:tcBorders>
              <w:tl2br w:val="nil"/>
              <w:tr2bl w:val="nil"/>
            </w:tcBorders>
            <w:shd w:val="clear" w:color="auto" w:fill="auto"/>
            <w:vAlign w:val="center"/>
          </w:tcPr>
          <w:p w14:paraId="282BA630">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14:paraId="15555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1" w:type="pct"/>
            <w:vMerge w:val="continue"/>
            <w:tcBorders>
              <w:tl2br w:val="nil"/>
              <w:tr2bl w:val="nil"/>
            </w:tcBorders>
            <w:vAlign w:val="center"/>
          </w:tcPr>
          <w:p w14:paraId="48DDB277">
            <w:pPr>
              <w:jc w:val="center"/>
              <w:rPr>
                <w:rFonts w:hint="default"/>
                <w:lang w:val="en-US" w:eastAsia="zh-CN"/>
              </w:rPr>
            </w:pPr>
          </w:p>
        </w:tc>
        <w:tc>
          <w:tcPr>
            <w:tcW w:w="1395" w:type="pct"/>
            <w:tcBorders>
              <w:tl2br w:val="nil"/>
              <w:tr2bl w:val="nil"/>
            </w:tcBorders>
            <w:shd w:val="clear" w:color="auto" w:fill="auto"/>
            <w:vAlign w:val="center"/>
          </w:tcPr>
          <w:p w14:paraId="2FF0F725">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砷</w:t>
            </w:r>
          </w:p>
        </w:tc>
        <w:tc>
          <w:tcPr>
            <w:tcW w:w="704" w:type="pct"/>
            <w:tcBorders>
              <w:tl2br w:val="nil"/>
              <w:tr2bl w:val="nil"/>
            </w:tcBorders>
            <w:shd w:val="clear" w:color="auto" w:fill="auto"/>
            <w:vAlign w:val="center"/>
          </w:tcPr>
          <w:p w14:paraId="64515C82">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shd w:val="clear" w:color="auto" w:fill="auto"/>
            <w:vAlign w:val="top"/>
          </w:tcPr>
          <w:p w14:paraId="7E7CA3B7">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7.44</w:t>
            </w:r>
          </w:p>
        </w:tc>
        <w:tc>
          <w:tcPr>
            <w:tcW w:w="944" w:type="pct"/>
            <w:tcBorders>
              <w:tl2br w:val="nil"/>
              <w:tr2bl w:val="nil"/>
            </w:tcBorders>
            <w:shd w:val="clear" w:color="auto" w:fill="auto"/>
            <w:vAlign w:val="center"/>
          </w:tcPr>
          <w:p w14:paraId="3238782B">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r>
      <w:tr w14:paraId="1686F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1" w:type="pct"/>
            <w:vMerge w:val="continue"/>
            <w:tcBorders>
              <w:tl2br w:val="nil"/>
              <w:tr2bl w:val="nil"/>
            </w:tcBorders>
            <w:vAlign w:val="center"/>
          </w:tcPr>
          <w:p w14:paraId="7BBF411D">
            <w:pPr>
              <w:jc w:val="center"/>
              <w:rPr>
                <w:rFonts w:hint="eastAsia"/>
                <w:sz w:val="21"/>
                <w:szCs w:val="21"/>
              </w:rPr>
            </w:pPr>
          </w:p>
        </w:tc>
        <w:tc>
          <w:tcPr>
            <w:tcW w:w="1395" w:type="pct"/>
            <w:tcBorders>
              <w:tl2br w:val="nil"/>
              <w:tr2bl w:val="nil"/>
            </w:tcBorders>
            <w:vAlign w:val="center"/>
          </w:tcPr>
          <w:p w14:paraId="299AD006">
            <w:pPr>
              <w:jc w:val="center"/>
              <w:rPr>
                <w:rFonts w:hint="eastAsia" w:eastAsia="宋体"/>
                <w:sz w:val="21"/>
                <w:szCs w:val="21"/>
                <w:lang w:val="en-US" w:eastAsia="zh-CN"/>
              </w:rPr>
            </w:pPr>
            <w:r>
              <w:rPr>
                <w:rFonts w:hint="eastAsia"/>
                <w:sz w:val="21"/>
                <w:szCs w:val="21"/>
                <w:lang w:val="en-US" w:eastAsia="zh-CN"/>
              </w:rPr>
              <w:t>镉</w:t>
            </w:r>
          </w:p>
        </w:tc>
        <w:tc>
          <w:tcPr>
            <w:tcW w:w="704" w:type="pct"/>
            <w:tcBorders>
              <w:tl2br w:val="nil"/>
              <w:tr2bl w:val="nil"/>
            </w:tcBorders>
            <w:vAlign w:val="center"/>
          </w:tcPr>
          <w:p w14:paraId="2C0D0EF3">
            <w:pPr>
              <w:jc w:val="center"/>
              <w:rPr>
                <w:rFonts w:hint="eastAsia"/>
                <w:sz w:val="21"/>
                <w:szCs w:val="21"/>
              </w:rPr>
            </w:pPr>
            <w:r>
              <w:rPr>
                <w:rFonts w:hint="eastAsia"/>
                <w:sz w:val="21"/>
                <w:szCs w:val="21"/>
                <w:lang w:val="en-US" w:eastAsia="zh-CN"/>
              </w:rPr>
              <w:t>mg/kg</w:t>
            </w:r>
          </w:p>
        </w:tc>
        <w:tc>
          <w:tcPr>
            <w:tcW w:w="1605" w:type="dxa"/>
            <w:tcBorders>
              <w:tl2br w:val="nil"/>
              <w:tr2bl w:val="nil"/>
            </w:tcBorders>
            <w:vAlign w:val="top"/>
          </w:tcPr>
          <w:p w14:paraId="133CAAB0">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0.43</w:t>
            </w:r>
          </w:p>
        </w:tc>
        <w:tc>
          <w:tcPr>
            <w:tcW w:w="944" w:type="pct"/>
            <w:tcBorders>
              <w:tl2br w:val="nil"/>
              <w:tr2bl w:val="nil"/>
            </w:tcBorders>
            <w:vAlign w:val="center"/>
          </w:tcPr>
          <w:p w14:paraId="60286D9B">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65</w:t>
            </w:r>
          </w:p>
        </w:tc>
      </w:tr>
      <w:tr w14:paraId="230F0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071" w:type="pct"/>
            <w:vMerge w:val="continue"/>
            <w:tcBorders>
              <w:tl2br w:val="nil"/>
              <w:tr2bl w:val="nil"/>
            </w:tcBorders>
            <w:vAlign w:val="center"/>
          </w:tcPr>
          <w:p w14:paraId="54E5F4B4">
            <w:pPr>
              <w:jc w:val="center"/>
              <w:rPr>
                <w:sz w:val="21"/>
                <w:szCs w:val="21"/>
              </w:rPr>
            </w:pPr>
          </w:p>
        </w:tc>
        <w:tc>
          <w:tcPr>
            <w:tcW w:w="1395" w:type="pct"/>
            <w:tcBorders>
              <w:tl2br w:val="nil"/>
              <w:tr2bl w:val="nil"/>
            </w:tcBorders>
            <w:vAlign w:val="center"/>
          </w:tcPr>
          <w:p w14:paraId="5BD84E07">
            <w:pPr>
              <w:jc w:val="center"/>
              <w:rPr>
                <w:rFonts w:hint="eastAsia" w:eastAsia="宋体"/>
                <w:sz w:val="21"/>
                <w:szCs w:val="21"/>
                <w:lang w:val="en-US" w:eastAsia="zh-CN"/>
              </w:rPr>
            </w:pPr>
            <w:r>
              <w:rPr>
                <w:rFonts w:hint="eastAsia"/>
                <w:sz w:val="21"/>
                <w:szCs w:val="21"/>
                <w:lang w:val="en-US" w:eastAsia="zh-CN"/>
              </w:rPr>
              <w:t>铜</w:t>
            </w:r>
          </w:p>
        </w:tc>
        <w:tc>
          <w:tcPr>
            <w:tcW w:w="704" w:type="pct"/>
            <w:tcBorders>
              <w:tl2br w:val="nil"/>
              <w:tr2bl w:val="nil"/>
            </w:tcBorders>
            <w:vAlign w:val="center"/>
          </w:tcPr>
          <w:p w14:paraId="0A8925C3">
            <w:pPr>
              <w:jc w:val="center"/>
              <w:rPr>
                <w:sz w:val="21"/>
                <w:szCs w:val="21"/>
              </w:rPr>
            </w:pPr>
            <w:r>
              <w:rPr>
                <w:rFonts w:hint="eastAsia"/>
                <w:sz w:val="21"/>
                <w:szCs w:val="21"/>
                <w:lang w:val="en-US" w:eastAsia="zh-CN"/>
              </w:rPr>
              <w:t>mg/kg</w:t>
            </w:r>
          </w:p>
        </w:tc>
        <w:tc>
          <w:tcPr>
            <w:tcW w:w="1605" w:type="dxa"/>
            <w:tcBorders>
              <w:tl2br w:val="nil"/>
              <w:tr2bl w:val="nil"/>
            </w:tcBorders>
            <w:vAlign w:val="top"/>
          </w:tcPr>
          <w:p w14:paraId="194CCBB7">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36</w:t>
            </w:r>
          </w:p>
        </w:tc>
        <w:tc>
          <w:tcPr>
            <w:tcW w:w="944" w:type="pct"/>
            <w:tcBorders>
              <w:tl2br w:val="nil"/>
              <w:tr2bl w:val="nil"/>
            </w:tcBorders>
            <w:vAlign w:val="center"/>
          </w:tcPr>
          <w:p w14:paraId="74FA8DE1">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18000</w:t>
            </w:r>
          </w:p>
        </w:tc>
      </w:tr>
      <w:tr w14:paraId="62B1F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071" w:type="pct"/>
            <w:vMerge w:val="continue"/>
            <w:tcBorders>
              <w:tl2br w:val="nil"/>
              <w:tr2bl w:val="nil"/>
            </w:tcBorders>
            <w:vAlign w:val="center"/>
          </w:tcPr>
          <w:p w14:paraId="253A4AB6">
            <w:pPr>
              <w:jc w:val="center"/>
              <w:rPr>
                <w:rFonts w:hint="eastAsia"/>
                <w:sz w:val="21"/>
                <w:szCs w:val="21"/>
              </w:rPr>
            </w:pPr>
          </w:p>
        </w:tc>
        <w:tc>
          <w:tcPr>
            <w:tcW w:w="1395" w:type="pct"/>
            <w:tcBorders>
              <w:tl2br w:val="nil"/>
              <w:tr2bl w:val="nil"/>
            </w:tcBorders>
            <w:vAlign w:val="center"/>
          </w:tcPr>
          <w:p w14:paraId="30EB1031">
            <w:pPr>
              <w:jc w:val="center"/>
              <w:rPr>
                <w:rFonts w:hint="eastAsia" w:eastAsia="宋体"/>
                <w:sz w:val="21"/>
                <w:szCs w:val="21"/>
                <w:lang w:val="en-US" w:eastAsia="zh-CN"/>
              </w:rPr>
            </w:pPr>
            <w:r>
              <w:rPr>
                <w:rFonts w:hint="eastAsia"/>
                <w:sz w:val="21"/>
                <w:szCs w:val="21"/>
                <w:lang w:val="en-US" w:eastAsia="zh-CN"/>
              </w:rPr>
              <w:t>铅</w:t>
            </w:r>
          </w:p>
        </w:tc>
        <w:tc>
          <w:tcPr>
            <w:tcW w:w="704" w:type="pct"/>
            <w:tcBorders>
              <w:tl2br w:val="nil"/>
              <w:tr2bl w:val="nil"/>
            </w:tcBorders>
            <w:vAlign w:val="center"/>
          </w:tcPr>
          <w:p w14:paraId="06C1F29A">
            <w:pPr>
              <w:jc w:val="center"/>
              <w:rPr>
                <w:rFonts w:hint="eastAsia"/>
                <w:sz w:val="21"/>
                <w:szCs w:val="21"/>
              </w:rPr>
            </w:pPr>
            <w:r>
              <w:rPr>
                <w:rFonts w:hint="eastAsia"/>
                <w:sz w:val="21"/>
                <w:szCs w:val="21"/>
                <w:lang w:val="en-US" w:eastAsia="zh-CN"/>
              </w:rPr>
              <w:t>mg/kg</w:t>
            </w:r>
          </w:p>
        </w:tc>
        <w:tc>
          <w:tcPr>
            <w:tcW w:w="1605" w:type="dxa"/>
            <w:tcBorders>
              <w:tl2br w:val="nil"/>
              <w:tr2bl w:val="nil"/>
            </w:tcBorders>
            <w:vAlign w:val="top"/>
          </w:tcPr>
          <w:p w14:paraId="57BCA00E">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23.4</w:t>
            </w:r>
          </w:p>
        </w:tc>
        <w:tc>
          <w:tcPr>
            <w:tcW w:w="944" w:type="pct"/>
            <w:tcBorders>
              <w:tl2br w:val="nil"/>
              <w:tr2bl w:val="nil"/>
            </w:tcBorders>
            <w:vAlign w:val="center"/>
          </w:tcPr>
          <w:p w14:paraId="341366C6">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800</w:t>
            </w:r>
          </w:p>
        </w:tc>
      </w:tr>
      <w:tr w14:paraId="445D2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071" w:type="pct"/>
            <w:vMerge w:val="continue"/>
            <w:tcBorders>
              <w:tl2br w:val="nil"/>
              <w:tr2bl w:val="nil"/>
            </w:tcBorders>
            <w:vAlign w:val="center"/>
          </w:tcPr>
          <w:p w14:paraId="6D8008BF">
            <w:pPr>
              <w:jc w:val="center"/>
              <w:rPr>
                <w:rFonts w:hint="eastAsia"/>
                <w:sz w:val="21"/>
                <w:szCs w:val="21"/>
              </w:rPr>
            </w:pPr>
          </w:p>
        </w:tc>
        <w:tc>
          <w:tcPr>
            <w:tcW w:w="1395" w:type="pct"/>
            <w:tcBorders>
              <w:tl2br w:val="nil"/>
              <w:tr2bl w:val="nil"/>
            </w:tcBorders>
            <w:vAlign w:val="center"/>
          </w:tcPr>
          <w:p w14:paraId="00E1FF2B">
            <w:pPr>
              <w:jc w:val="center"/>
              <w:rPr>
                <w:rFonts w:hint="eastAsia" w:eastAsia="宋体"/>
                <w:sz w:val="21"/>
                <w:szCs w:val="21"/>
                <w:lang w:val="en-US" w:eastAsia="zh-CN"/>
              </w:rPr>
            </w:pPr>
            <w:r>
              <w:rPr>
                <w:rFonts w:hint="eastAsia"/>
                <w:sz w:val="21"/>
                <w:szCs w:val="21"/>
                <w:lang w:val="en-US" w:eastAsia="zh-CN"/>
              </w:rPr>
              <w:t>汞</w:t>
            </w:r>
          </w:p>
        </w:tc>
        <w:tc>
          <w:tcPr>
            <w:tcW w:w="704" w:type="pct"/>
            <w:tcBorders>
              <w:tl2br w:val="nil"/>
              <w:tr2bl w:val="nil"/>
            </w:tcBorders>
            <w:vAlign w:val="center"/>
          </w:tcPr>
          <w:p w14:paraId="63A95C9F">
            <w:pPr>
              <w:jc w:val="center"/>
              <w:rPr>
                <w:rFonts w:hint="eastAsia"/>
                <w:sz w:val="21"/>
                <w:szCs w:val="21"/>
              </w:rPr>
            </w:pPr>
            <w:r>
              <w:rPr>
                <w:rFonts w:hint="eastAsia"/>
                <w:sz w:val="21"/>
                <w:szCs w:val="21"/>
                <w:lang w:val="en-US" w:eastAsia="zh-CN"/>
              </w:rPr>
              <w:t>mg/kg</w:t>
            </w:r>
          </w:p>
        </w:tc>
        <w:tc>
          <w:tcPr>
            <w:tcW w:w="1605" w:type="dxa"/>
            <w:tcBorders>
              <w:tl2br w:val="nil"/>
              <w:tr2bl w:val="nil"/>
            </w:tcBorders>
            <w:vAlign w:val="top"/>
          </w:tcPr>
          <w:p w14:paraId="6EAA808D">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0.322</w:t>
            </w:r>
          </w:p>
        </w:tc>
        <w:tc>
          <w:tcPr>
            <w:tcW w:w="944" w:type="pct"/>
            <w:tcBorders>
              <w:tl2br w:val="nil"/>
              <w:tr2bl w:val="nil"/>
            </w:tcBorders>
            <w:vAlign w:val="center"/>
          </w:tcPr>
          <w:p w14:paraId="3BE7403C">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38</w:t>
            </w:r>
          </w:p>
        </w:tc>
      </w:tr>
      <w:tr w14:paraId="6F18E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071" w:type="pct"/>
            <w:vMerge w:val="continue"/>
            <w:tcBorders>
              <w:tl2br w:val="nil"/>
              <w:tr2bl w:val="nil"/>
            </w:tcBorders>
            <w:vAlign w:val="center"/>
          </w:tcPr>
          <w:p w14:paraId="757D5305">
            <w:pPr>
              <w:jc w:val="center"/>
              <w:rPr>
                <w:rFonts w:hint="eastAsia"/>
                <w:sz w:val="21"/>
                <w:szCs w:val="21"/>
              </w:rPr>
            </w:pPr>
          </w:p>
        </w:tc>
        <w:tc>
          <w:tcPr>
            <w:tcW w:w="1395" w:type="pct"/>
            <w:tcBorders>
              <w:tl2br w:val="nil"/>
              <w:tr2bl w:val="nil"/>
            </w:tcBorders>
            <w:vAlign w:val="center"/>
          </w:tcPr>
          <w:p w14:paraId="5A73AB38">
            <w:pPr>
              <w:jc w:val="center"/>
              <w:rPr>
                <w:rFonts w:hint="eastAsia" w:eastAsia="宋体"/>
                <w:sz w:val="21"/>
                <w:szCs w:val="21"/>
                <w:lang w:val="en-US" w:eastAsia="zh-CN"/>
              </w:rPr>
            </w:pPr>
            <w:r>
              <w:rPr>
                <w:rFonts w:hint="eastAsia"/>
                <w:sz w:val="21"/>
                <w:szCs w:val="21"/>
                <w:lang w:val="en-US" w:eastAsia="zh-CN"/>
              </w:rPr>
              <w:t>镍</w:t>
            </w:r>
          </w:p>
        </w:tc>
        <w:tc>
          <w:tcPr>
            <w:tcW w:w="704" w:type="pct"/>
            <w:tcBorders>
              <w:tl2br w:val="nil"/>
              <w:tr2bl w:val="nil"/>
            </w:tcBorders>
            <w:vAlign w:val="center"/>
          </w:tcPr>
          <w:p w14:paraId="537224D5">
            <w:pPr>
              <w:jc w:val="center"/>
              <w:rPr>
                <w:rFonts w:hint="eastAsia"/>
                <w:sz w:val="21"/>
                <w:szCs w:val="21"/>
              </w:rPr>
            </w:pPr>
            <w:r>
              <w:rPr>
                <w:rFonts w:hint="eastAsia"/>
                <w:sz w:val="21"/>
                <w:szCs w:val="21"/>
                <w:lang w:val="en-US" w:eastAsia="zh-CN"/>
              </w:rPr>
              <w:t>mg/kg</w:t>
            </w:r>
          </w:p>
        </w:tc>
        <w:tc>
          <w:tcPr>
            <w:tcW w:w="1605" w:type="dxa"/>
            <w:tcBorders>
              <w:tl2br w:val="nil"/>
              <w:tr2bl w:val="nil"/>
            </w:tcBorders>
            <w:vAlign w:val="top"/>
          </w:tcPr>
          <w:p w14:paraId="3E7EA3F1">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w:t>
            </w:r>
          </w:p>
        </w:tc>
        <w:tc>
          <w:tcPr>
            <w:tcW w:w="944" w:type="pct"/>
            <w:tcBorders>
              <w:tl2br w:val="nil"/>
              <w:tr2bl w:val="nil"/>
            </w:tcBorders>
            <w:vAlign w:val="center"/>
          </w:tcPr>
          <w:p w14:paraId="209AE23C">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900</w:t>
            </w:r>
          </w:p>
        </w:tc>
      </w:tr>
      <w:tr w14:paraId="586CA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071" w:type="pct"/>
            <w:vMerge w:val="continue"/>
            <w:tcBorders>
              <w:tl2br w:val="nil"/>
              <w:tr2bl w:val="nil"/>
            </w:tcBorders>
            <w:vAlign w:val="center"/>
          </w:tcPr>
          <w:p w14:paraId="2E6DB4D0">
            <w:pPr>
              <w:jc w:val="center"/>
              <w:rPr>
                <w:rFonts w:hint="eastAsia"/>
                <w:sz w:val="21"/>
                <w:szCs w:val="21"/>
              </w:rPr>
            </w:pPr>
          </w:p>
        </w:tc>
        <w:tc>
          <w:tcPr>
            <w:tcW w:w="1395" w:type="pct"/>
            <w:tcBorders>
              <w:tl2br w:val="nil"/>
              <w:tr2bl w:val="nil"/>
            </w:tcBorders>
            <w:shd w:val="clear" w:color="auto" w:fill="auto"/>
            <w:vAlign w:val="center"/>
          </w:tcPr>
          <w:p w14:paraId="58F451F5">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六价铬</w:t>
            </w:r>
          </w:p>
        </w:tc>
        <w:tc>
          <w:tcPr>
            <w:tcW w:w="704" w:type="pct"/>
            <w:tcBorders>
              <w:tl2br w:val="nil"/>
              <w:tr2bl w:val="nil"/>
            </w:tcBorders>
            <w:shd w:val="clear" w:color="auto" w:fill="auto"/>
            <w:vAlign w:val="center"/>
          </w:tcPr>
          <w:p w14:paraId="0B271438">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shd w:val="clear" w:color="auto" w:fill="auto"/>
            <w:vAlign w:val="top"/>
          </w:tcPr>
          <w:p w14:paraId="00B2DFE3">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未检出</w:t>
            </w:r>
          </w:p>
        </w:tc>
        <w:tc>
          <w:tcPr>
            <w:tcW w:w="944" w:type="pct"/>
            <w:tcBorders>
              <w:tl2br w:val="nil"/>
              <w:tr2bl w:val="nil"/>
            </w:tcBorders>
            <w:shd w:val="clear" w:color="auto" w:fill="auto"/>
            <w:vAlign w:val="center"/>
          </w:tcPr>
          <w:p w14:paraId="138748E1">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5.7</w:t>
            </w:r>
          </w:p>
        </w:tc>
      </w:tr>
      <w:tr w14:paraId="5374A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restart"/>
            <w:tcBorders>
              <w:tl2br w:val="nil"/>
              <w:tr2bl w:val="nil"/>
            </w:tcBorders>
            <w:vAlign w:val="center"/>
          </w:tcPr>
          <w:p w14:paraId="649FB420">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w:t>
            </w:r>
            <w:r>
              <w:rPr>
                <w:rFonts w:hint="eastAsia" w:eastAsia="宋体"/>
                <w:bCs/>
                <w:sz w:val="21"/>
                <w:szCs w:val="21"/>
                <w:lang w:val="en-US" w:eastAsia="zh-CN"/>
              </w:rPr>
              <w:t>厂区西南角</w:t>
            </w:r>
          </w:p>
          <w:p w14:paraId="293F252F">
            <w:pPr>
              <w:jc w:val="center"/>
              <w:rPr>
                <w:rFonts w:hint="eastAsia" w:ascii="Times New Roman" w:hAnsi="Times New Roman" w:eastAsia="宋体" w:cs="Times New Roman"/>
                <w:sz w:val="24"/>
                <w:szCs w:val="24"/>
                <w:lang w:val="en-US" w:eastAsia="zh-CN" w:bidi="ar-SA"/>
              </w:rPr>
            </w:pPr>
          </w:p>
        </w:tc>
        <w:tc>
          <w:tcPr>
            <w:tcW w:w="2535" w:type="dxa"/>
            <w:tcBorders>
              <w:tl2br w:val="nil"/>
              <w:tr2bl w:val="nil"/>
            </w:tcBorders>
            <w:vAlign w:val="center"/>
          </w:tcPr>
          <w:p w14:paraId="0B73917A">
            <w:pPr>
              <w:jc w:val="center"/>
              <w:rPr>
                <w:rFonts w:hint="eastAsia" w:ascii="Times New Roman" w:hAnsi="Times New Roman" w:eastAsia="宋体" w:cs="Times New Roman"/>
                <w:sz w:val="21"/>
                <w:szCs w:val="21"/>
                <w:lang w:val="en-US" w:eastAsia="zh-CN" w:bidi="ar-SA"/>
              </w:rPr>
            </w:pPr>
            <w:r>
              <w:rPr>
                <w:rFonts w:hint="eastAsia"/>
                <w:sz w:val="21"/>
                <w:szCs w:val="21"/>
              </w:rPr>
              <w:t>pH</w:t>
            </w:r>
          </w:p>
        </w:tc>
        <w:tc>
          <w:tcPr>
            <w:tcW w:w="1280" w:type="dxa"/>
            <w:tcBorders>
              <w:tl2br w:val="nil"/>
              <w:tr2bl w:val="nil"/>
            </w:tcBorders>
            <w:vAlign w:val="center"/>
          </w:tcPr>
          <w:p w14:paraId="155ACC7D">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无量纲</w:t>
            </w:r>
          </w:p>
        </w:tc>
        <w:tc>
          <w:tcPr>
            <w:tcW w:w="1605" w:type="dxa"/>
            <w:tcBorders>
              <w:tl2br w:val="nil"/>
              <w:tr2bl w:val="nil"/>
            </w:tcBorders>
            <w:vAlign w:val="top"/>
          </w:tcPr>
          <w:p w14:paraId="029356F7">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8.23</w:t>
            </w:r>
          </w:p>
        </w:tc>
        <w:tc>
          <w:tcPr>
            <w:tcW w:w="1716" w:type="dxa"/>
            <w:tcBorders>
              <w:tl2br w:val="nil"/>
              <w:tr2bl w:val="nil"/>
            </w:tcBorders>
            <w:vAlign w:val="center"/>
          </w:tcPr>
          <w:p w14:paraId="677F63C2">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14:paraId="10579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continue"/>
            <w:tcBorders>
              <w:tl2br w:val="nil"/>
              <w:tr2bl w:val="nil"/>
            </w:tcBorders>
            <w:vAlign w:val="center"/>
          </w:tcPr>
          <w:p w14:paraId="68F78ABD">
            <w:pPr>
              <w:jc w:val="center"/>
              <w:rPr>
                <w:rFonts w:hint="eastAsia"/>
                <w:sz w:val="21"/>
                <w:szCs w:val="21"/>
              </w:rPr>
            </w:pPr>
          </w:p>
        </w:tc>
        <w:tc>
          <w:tcPr>
            <w:tcW w:w="2535" w:type="dxa"/>
            <w:tcBorders>
              <w:tl2br w:val="nil"/>
              <w:tr2bl w:val="nil"/>
            </w:tcBorders>
            <w:vAlign w:val="center"/>
          </w:tcPr>
          <w:p w14:paraId="645BF3A8">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砷</w:t>
            </w:r>
          </w:p>
        </w:tc>
        <w:tc>
          <w:tcPr>
            <w:tcW w:w="1280" w:type="dxa"/>
            <w:tcBorders>
              <w:tl2br w:val="nil"/>
              <w:tr2bl w:val="nil"/>
            </w:tcBorders>
            <w:vAlign w:val="center"/>
          </w:tcPr>
          <w:p w14:paraId="407ECC98">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vAlign w:val="top"/>
          </w:tcPr>
          <w:p w14:paraId="27D49E3A">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7.05</w:t>
            </w:r>
          </w:p>
        </w:tc>
        <w:tc>
          <w:tcPr>
            <w:tcW w:w="1716" w:type="dxa"/>
            <w:tcBorders>
              <w:tl2br w:val="nil"/>
              <w:tr2bl w:val="nil"/>
            </w:tcBorders>
            <w:vAlign w:val="center"/>
          </w:tcPr>
          <w:p w14:paraId="42C6EE61">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60</w:t>
            </w:r>
          </w:p>
        </w:tc>
      </w:tr>
      <w:tr w14:paraId="303F7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continue"/>
            <w:tcBorders>
              <w:tl2br w:val="nil"/>
              <w:tr2bl w:val="nil"/>
            </w:tcBorders>
            <w:vAlign w:val="center"/>
          </w:tcPr>
          <w:p w14:paraId="7D75FD23">
            <w:pPr>
              <w:jc w:val="center"/>
              <w:rPr>
                <w:rFonts w:hint="eastAsia"/>
                <w:sz w:val="21"/>
                <w:szCs w:val="21"/>
              </w:rPr>
            </w:pPr>
          </w:p>
        </w:tc>
        <w:tc>
          <w:tcPr>
            <w:tcW w:w="2535" w:type="dxa"/>
            <w:tcBorders>
              <w:tl2br w:val="nil"/>
              <w:tr2bl w:val="nil"/>
            </w:tcBorders>
            <w:vAlign w:val="center"/>
          </w:tcPr>
          <w:p w14:paraId="44CD2343">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镉</w:t>
            </w:r>
          </w:p>
        </w:tc>
        <w:tc>
          <w:tcPr>
            <w:tcW w:w="1280" w:type="dxa"/>
            <w:tcBorders>
              <w:tl2br w:val="nil"/>
              <w:tr2bl w:val="nil"/>
            </w:tcBorders>
            <w:vAlign w:val="center"/>
          </w:tcPr>
          <w:p w14:paraId="43F5E15C">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vAlign w:val="top"/>
          </w:tcPr>
          <w:p w14:paraId="3591AE7F">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0.43</w:t>
            </w:r>
          </w:p>
        </w:tc>
        <w:tc>
          <w:tcPr>
            <w:tcW w:w="1716" w:type="dxa"/>
            <w:tcBorders>
              <w:tl2br w:val="nil"/>
              <w:tr2bl w:val="nil"/>
            </w:tcBorders>
            <w:vAlign w:val="center"/>
          </w:tcPr>
          <w:p w14:paraId="4146C8CE">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65</w:t>
            </w:r>
          </w:p>
        </w:tc>
      </w:tr>
      <w:tr w14:paraId="1926A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continue"/>
            <w:tcBorders>
              <w:tl2br w:val="nil"/>
              <w:tr2bl w:val="nil"/>
            </w:tcBorders>
            <w:vAlign w:val="center"/>
          </w:tcPr>
          <w:p w14:paraId="73C201B9">
            <w:pPr>
              <w:jc w:val="center"/>
              <w:rPr>
                <w:rFonts w:hint="eastAsia"/>
                <w:sz w:val="21"/>
                <w:szCs w:val="21"/>
              </w:rPr>
            </w:pPr>
          </w:p>
        </w:tc>
        <w:tc>
          <w:tcPr>
            <w:tcW w:w="2535" w:type="dxa"/>
            <w:tcBorders>
              <w:tl2br w:val="nil"/>
              <w:tr2bl w:val="nil"/>
            </w:tcBorders>
            <w:vAlign w:val="center"/>
          </w:tcPr>
          <w:p w14:paraId="02E0B61B">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铜</w:t>
            </w:r>
          </w:p>
        </w:tc>
        <w:tc>
          <w:tcPr>
            <w:tcW w:w="1280" w:type="dxa"/>
            <w:tcBorders>
              <w:tl2br w:val="nil"/>
              <w:tr2bl w:val="nil"/>
            </w:tcBorders>
            <w:vAlign w:val="center"/>
          </w:tcPr>
          <w:p w14:paraId="568E4670">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vAlign w:val="top"/>
          </w:tcPr>
          <w:p w14:paraId="1F1C563D">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35</w:t>
            </w:r>
          </w:p>
        </w:tc>
        <w:tc>
          <w:tcPr>
            <w:tcW w:w="1716" w:type="dxa"/>
            <w:tcBorders>
              <w:tl2br w:val="nil"/>
              <w:tr2bl w:val="nil"/>
            </w:tcBorders>
            <w:vAlign w:val="center"/>
          </w:tcPr>
          <w:p w14:paraId="757C807C">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18000</w:t>
            </w:r>
          </w:p>
        </w:tc>
      </w:tr>
      <w:tr w14:paraId="68595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continue"/>
            <w:tcBorders>
              <w:tl2br w:val="nil"/>
              <w:tr2bl w:val="nil"/>
            </w:tcBorders>
            <w:vAlign w:val="center"/>
          </w:tcPr>
          <w:p w14:paraId="61723E6C">
            <w:pPr>
              <w:jc w:val="center"/>
              <w:rPr>
                <w:rFonts w:hint="eastAsia"/>
                <w:sz w:val="21"/>
                <w:szCs w:val="21"/>
              </w:rPr>
            </w:pPr>
          </w:p>
        </w:tc>
        <w:tc>
          <w:tcPr>
            <w:tcW w:w="2535" w:type="dxa"/>
            <w:tcBorders>
              <w:tl2br w:val="nil"/>
              <w:tr2bl w:val="nil"/>
            </w:tcBorders>
            <w:vAlign w:val="center"/>
          </w:tcPr>
          <w:p w14:paraId="69FA204F">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铅</w:t>
            </w:r>
          </w:p>
        </w:tc>
        <w:tc>
          <w:tcPr>
            <w:tcW w:w="1280" w:type="dxa"/>
            <w:tcBorders>
              <w:tl2br w:val="nil"/>
              <w:tr2bl w:val="nil"/>
            </w:tcBorders>
            <w:vAlign w:val="center"/>
          </w:tcPr>
          <w:p w14:paraId="1D25A6CD">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vAlign w:val="top"/>
          </w:tcPr>
          <w:p w14:paraId="0B0DFA0D">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22.7</w:t>
            </w:r>
          </w:p>
        </w:tc>
        <w:tc>
          <w:tcPr>
            <w:tcW w:w="1716" w:type="dxa"/>
            <w:tcBorders>
              <w:tl2br w:val="nil"/>
              <w:tr2bl w:val="nil"/>
            </w:tcBorders>
            <w:vAlign w:val="center"/>
          </w:tcPr>
          <w:p w14:paraId="33F988EB">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800</w:t>
            </w:r>
          </w:p>
        </w:tc>
      </w:tr>
      <w:tr w14:paraId="5D196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continue"/>
            <w:tcBorders>
              <w:tl2br w:val="nil"/>
              <w:tr2bl w:val="nil"/>
            </w:tcBorders>
            <w:vAlign w:val="center"/>
          </w:tcPr>
          <w:p w14:paraId="6485B700">
            <w:pPr>
              <w:jc w:val="center"/>
              <w:rPr>
                <w:rFonts w:hint="eastAsia"/>
                <w:sz w:val="21"/>
                <w:szCs w:val="21"/>
              </w:rPr>
            </w:pPr>
          </w:p>
        </w:tc>
        <w:tc>
          <w:tcPr>
            <w:tcW w:w="2535" w:type="dxa"/>
            <w:tcBorders>
              <w:tl2br w:val="nil"/>
              <w:tr2bl w:val="nil"/>
            </w:tcBorders>
            <w:vAlign w:val="center"/>
          </w:tcPr>
          <w:p w14:paraId="70A3F27A">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汞</w:t>
            </w:r>
          </w:p>
        </w:tc>
        <w:tc>
          <w:tcPr>
            <w:tcW w:w="1280" w:type="dxa"/>
            <w:tcBorders>
              <w:tl2br w:val="nil"/>
              <w:tr2bl w:val="nil"/>
            </w:tcBorders>
            <w:vAlign w:val="center"/>
          </w:tcPr>
          <w:p w14:paraId="40DF0BC1">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vAlign w:val="top"/>
          </w:tcPr>
          <w:p w14:paraId="2B469720">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0.400</w:t>
            </w:r>
          </w:p>
        </w:tc>
        <w:tc>
          <w:tcPr>
            <w:tcW w:w="1716" w:type="dxa"/>
            <w:tcBorders>
              <w:tl2br w:val="nil"/>
              <w:tr2bl w:val="nil"/>
            </w:tcBorders>
            <w:vAlign w:val="center"/>
          </w:tcPr>
          <w:p w14:paraId="55254AC3">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38</w:t>
            </w:r>
          </w:p>
        </w:tc>
      </w:tr>
      <w:tr w14:paraId="57D80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continue"/>
            <w:tcBorders>
              <w:tl2br w:val="nil"/>
              <w:tr2bl w:val="nil"/>
            </w:tcBorders>
            <w:vAlign w:val="center"/>
          </w:tcPr>
          <w:p w14:paraId="70886A0D">
            <w:pPr>
              <w:jc w:val="center"/>
              <w:rPr>
                <w:rFonts w:hint="eastAsia"/>
                <w:sz w:val="21"/>
                <w:szCs w:val="21"/>
              </w:rPr>
            </w:pPr>
          </w:p>
        </w:tc>
        <w:tc>
          <w:tcPr>
            <w:tcW w:w="2535" w:type="dxa"/>
            <w:tcBorders>
              <w:tl2br w:val="nil"/>
              <w:tr2bl w:val="nil"/>
            </w:tcBorders>
            <w:vAlign w:val="center"/>
          </w:tcPr>
          <w:p w14:paraId="366713EC">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镍</w:t>
            </w:r>
          </w:p>
        </w:tc>
        <w:tc>
          <w:tcPr>
            <w:tcW w:w="1280" w:type="dxa"/>
            <w:tcBorders>
              <w:tl2br w:val="nil"/>
              <w:tr2bl w:val="nil"/>
            </w:tcBorders>
            <w:vAlign w:val="center"/>
          </w:tcPr>
          <w:p w14:paraId="41353398">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vAlign w:val="top"/>
          </w:tcPr>
          <w:p w14:paraId="3D468BA7">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36</w:t>
            </w:r>
          </w:p>
        </w:tc>
        <w:tc>
          <w:tcPr>
            <w:tcW w:w="1716" w:type="dxa"/>
            <w:tcBorders>
              <w:tl2br w:val="nil"/>
              <w:tr2bl w:val="nil"/>
            </w:tcBorders>
            <w:vAlign w:val="center"/>
          </w:tcPr>
          <w:p w14:paraId="1F0AE65D">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900</w:t>
            </w:r>
          </w:p>
        </w:tc>
      </w:tr>
      <w:tr w14:paraId="1CCE9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071" w:type="pct"/>
            <w:vMerge w:val="continue"/>
            <w:tcBorders>
              <w:tl2br w:val="nil"/>
              <w:tr2bl w:val="nil"/>
            </w:tcBorders>
            <w:vAlign w:val="center"/>
          </w:tcPr>
          <w:p w14:paraId="44C2CE2A">
            <w:pPr>
              <w:jc w:val="center"/>
              <w:rPr>
                <w:rFonts w:hint="eastAsia"/>
                <w:sz w:val="21"/>
                <w:szCs w:val="21"/>
              </w:rPr>
            </w:pPr>
          </w:p>
        </w:tc>
        <w:tc>
          <w:tcPr>
            <w:tcW w:w="2535" w:type="dxa"/>
            <w:tcBorders>
              <w:tl2br w:val="nil"/>
              <w:tr2bl w:val="nil"/>
            </w:tcBorders>
            <w:vAlign w:val="center"/>
          </w:tcPr>
          <w:p w14:paraId="01B8565D">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六价铬</w:t>
            </w:r>
          </w:p>
        </w:tc>
        <w:tc>
          <w:tcPr>
            <w:tcW w:w="1280" w:type="dxa"/>
            <w:tcBorders>
              <w:tl2br w:val="nil"/>
              <w:tr2bl w:val="nil"/>
            </w:tcBorders>
            <w:vAlign w:val="center"/>
          </w:tcPr>
          <w:p w14:paraId="341BBF98">
            <w:pPr>
              <w:jc w:val="center"/>
              <w:rPr>
                <w:rFonts w:hint="eastAsia" w:ascii="Times New Roman" w:hAnsi="Times New Roman" w:eastAsia="宋体" w:cs="Times New Roman"/>
                <w:sz w:val="21"/>
                <w:szCs w:val="21"/>
                <w:lang w:val="en-US" w:eastAsia="zh-CN" w:bidi="ar-SA"/>
              </w:rPr>
            </w:pPr>
            <w:r>
              <w:rPr>
                <w:rFonts w:hint="eastAsia"/>
                <w:sz w:val="21"/>
                <w:szCs w:val="21"/>
                <w:lang w:val="en-US" w:eastAsia="zh-CN"/>
              </w:rPr>
              <w:t>mg/kg</w:t>
            </w:r>
          </w:p>
        </w:tc>
        <w:tc>
          <w:tcPr>
            <w:tcW w:w="1605" w:type="dxa"/>
            <w:tcBorders>
              <w:tl2br w:val="nil"/>
              <w:tr2bl w:val="nil"/>
            </w:tcBorders>
            <w:vAlign w:val="top"/>
          </w:tcPr>
          <w:p w14:paraId="1127806D">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未检出</w:t>
            </w:r>
          </w:p>
        </w:tc>
        <w:tc>
          <w:tcPr>
            <w:tcW w:w="1716" w:type="dxa"/>
            <w:tcBorders>
              <w:tl2br w:val="nil"/>
              <w:tr2bl w:val="nil"/>
            </w:tcBorders>
            <w:vAlign w:val="center"/>
          </w:tcPr>
          <w:p w14:paraId="7BB5460E">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5.7</w:t>
            </w:r>
          </w:p>
        </w:tc>
      </w:tr>
    </w:tbl>
    <w:p w14:paraId="1C775834">
      <w:pPr>
        <w:pStyle w:val="5"/>
      </w:pPr>
      <w:r>
        <w:t>4.3.4.5土壤环境质量现状评价结论</w:t>
      </w:r>
    </w:p>
    <w:p w14:paraId="615AD7A9">
      <w:pPr>
        <w:spacing w:line="360" w:lineRule="auto"/>
        <w:ind w:firstLine="480" w:firstLineChars="200"/>
        <w:rPr>
          <w:rFonts w:hint="eastAsia"/>
          <w:color w:val="auto"/>
          <w:lang w:val="en-US" w:eastAsia="zh-CN"/>
        </w:rPr>
      </w:pPr>
      <w:r>
        <w:rPr>
          <w:rFonts w:hint="eastAsia"/>
          <w:color w:val="auto"/>
          <w:lang w:val="en-US" w:eastAsia="zh-CN"/>
        </w:rPr>
        <w:t>本项目所在区域土壤环境监测值满足《土壤环境质量建设用地土壤污染风险管控标准》（试行）（GB36600-2018）中第二类用地筛选值标准，土壤质量状况良好；土壤 pH 属于 5.5-8.5 范围， 土壤现状为“未盐化”、“无酸化或碱化”。</w:t>
      </w:r>
    </w:p>
    <w:p w14:paraId="6916529C">
      <w:pPr>
        <w:pStyle w:val="4"/>
      </w:pPr>
      <w:bookmarkStart w:id="276" w:name="_Toc499301284"/>
      <w:bookmarkStart w:id="277" w:name="_Toc503714107"/>
      <w:r>
        <w:t>4.3.</w:t>
      </w:r>
      <w:r>
        <w:rPr>
          <w:rFonts w:hint="eastAsia"/>
          <w:lang w:val="en-US" w:eastAsia="zh-CN"/>
        </w:rPr>
        <w:t>5地下水</w:t>
      </w:r>
      <w:r>
        <w:t>环境现状</w:t>
      </w:r>
    </w:p>
    <w:p w14:paraId="436B59AF">
      <w:pPr>
        <w:pStyle w:val="5"/>
      </w:pPr>
      <w:r>
        <w:t>4.3.</w:t>
      </w:r>
      <w:r>
        <w:rPr>
          <w:rFonts w:hint="eastAsia" w:eastAsia="宋体"/>
          <w:lang w:val="en-US" w:eastAsia="zh-CN"/>
        </w:rPr>
        <w:t>5</w:t>
      </w:r>
      <w:r>
        <w:t>.1监测点位</w:t>
      </w:r>
    </w:p>
    <w:p w14:paraId="497AEBA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lang w:val="en-US" w:eastAsia="zh-CN"/>
        </w:rPr>
      </w:pPr>
      <w:r>
        <w:rPr>
          <w:rFonts w:hint="eastAsia"/>
          <w:color w:val="auto"/>
        </w:rPr>
        <w:t>地下水的评价范围应为</w:t>
      </w:r>
      <w:r>
        <w:rPr>
          <w:rFonts w:hint="eastAsia"/>
          <w:color w:val="auto"/>
          <w:lang w:val="en-US" w:eastAsia="zh-CN"/>
        </w:rPr>
        <w:t>面积6平方公里</w:t>
      </w:r>
      <w:r>
        <w:rPr>
          <w:rFonts w:hint="eastAsia"/>
          <w:color w:val="auto"/>
        </w:rPr>
        <w:t>，地下水径流方向由</w:t>
      </w:r>
      <w:r>
        <w:rPr>
          <w:rFonts w:hint="eastAsia"/>
          <w:color w:val="auto"/>
          <w:lang w:val="en-US" w:eastAsia="zh-CN"/>
        </w:rPr>
        <w:t>东北向西南</w:t>
      </w:r>
      <w:r>
        <w:rPr>
          <w:rFonts w:hint="eastAsia"/>
          <w:color w:val="auto"/>
        </w:rPr>
        <w:t>。根据本项目的布局特点及所处环境特征，</w:t>
      </w:r>
      <w:r>
        <w:rPr>
          <w:rFonts w:hint="eastAsia"/>
          <w:lang w:val="en-US" w:eastAsia="zh-CN"/>
        </w:rPr>
        <w:t>采用评价范围内近3年与项目排放的其他污染物有关的历史监测资料，</w:t>
      </w:r>
      <w:r>
        <w:rPr>
          <w:rFonts w:hint="eastAsia" w:ascii="Times New Roman" w:hAnsi="Times New Roman" w:eastAsia="宋体" w:cs="Times New Roman"/>
          <w:lang w:val="en-US" w:eastAsia="zh-CN"/>
        </w:rPr>
        <w:t>为黑龙江纳河经济开发区管理委员会对园区例行监测。</w:t>
      </w:r>
    </w:p>
    <w:p w14:paraId="48CB42A3">
      <w:pPr>
        <w:spacing w:line="360" w:lineRule="auto"/>
        <w:ind w:firstLine="480" w:firstLineChars="200"/>
        <w:rPr>
          <w:rFonts w:hint="eastAsia"/>
          <w:color w:val="auto"/>
        </w:rPr>
      </w:pPr>
      <w:r>
        <w:rPr>
          <w:rFonts w:hint="eastAsia"/>
          <w:color w:val="auto"/>
        </w:rPr>
        <w:t>本次布设水质监测点的具体位置详见表4.2-1</w:t>
      </w:r>
      <w:r>
        <w:rPr>
          <w:rFonts w:hint="eastAsia"/>
          <w:color w:val="auto"/>
          <w:lang w:val="en-US" w:eastAsia="zh-CN"/>
        </w:rPr>
        <w:t>1</w:t>
      </w:r>
      <w:r>
        <w:rPr>
          <w:rFonts w:hint="eastAsia"/>
          <w:color w:val="auto"/>
        </w:rPr>
        <w:t>和图4.2-4。</w:t>
      </w:r>
    </w:p>
    <w:p w14:paraId="1D9F48A8">
      <w:pPr>
        <w:spacing w:line="360" w:lineRule="auto"/>
        <w:jc w:val="center"/>
      </w:pPr>
      <w:r>
        <w:drawing>
          <wp:inline distT="0" distB="0" distL="114300" distR="114300">
            <wp:extent cx="5265420" cy="4397375"/>
            <wp:effectExtent l="0" t="0" r="11430" b="3175"/>
            <wp:docPr id="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pic:cNvPicPr>
                      <a:picLocks noChangeAspect="1"/>
                    </pic:cNvPicPr>
                  </pic:nvPicPr>
                  <pic:blipFill>
                    <a:blip r:embed="rId73"/>
                    <a:stretch>
                      <a:fillRect/>
                    </a:stretch>
                  </pic:blipFill>
                  <pic:spPr>
                    <a:xfrm>
                      <a:off x="0" y="0"/>
                      <a:ext cx="5265420" cy="4397375"/>
                    </a:xfrm>
                    <a:prstGeom prst="rect">
                      <a:avLst/>
                    </a:prstGeom>
                    <a:noFill/>
                    <a:ln>
                      <a:noFill/>
                    </a:ln>
                  </pic:spPr>
                </pic:pic>
              </a:graphicData>
            </a:graphic>
          </wp:inline>
        </w:drawing>
      </w:r>
    </w:p>
    <w:p w14:paraId="4EC40FA4">
      <w:pPr>
        <w:spacing w:line="360" w:lineRule="auto"/>
        <w:jc w:val="center"/>
        <w:rPr>
          <w:b/>
          <w:bCs/>
        </w:rPr>
      </w:pPr>
      <w:r>
        <w:rPr>
          <w:b/>
          <w:bCs/>
        </w:rPr>
        <w:t>图4.3-</w:t>
      </w:r>
      <w:r>
        <w:rPr>
          <w:rFonts w:hint="eastAsia"/>
          <w:b/>
          <w:bCs/>
          <w:lang w:val="en-US" w:eastAsia="zh-CN"/>
        </w:rPr>
        <w:t>4</w:t>
      </w:r>
      <w:r>
        <w:rPr>
          <w:b/>
          <w:bCs/>
        </w:rPr>
        <w:t xml:space="preserve">  </w:t>
      </w:r>
      <w:r>
        <w:rPr>
          <w:rFonts w:hint="eastAsia"/>
          <w:b/>
          <w:bCs/>
          <w:lang w:val="en-US" w:eastAsia="zh-CN"/>
        </w:rPr>
        <w:t>地下水</w:t>
      </w:r>
      <w:r>
        <w:rPr>
          <w:b/>
          <w:bCs/>
        </w:rPr>
        <w:t>监测点位示意图</w:t>
      </w:r>
    </w:p>
    <w:p w14:paraId="17BAA413">
      <w:pPr>
        <w:spacing w:line="360" w:lineRule="auto"/>
        <w:jc w:val="center"/>
        <w:textAlignment w:val="center"/>
        <w:rPr>
          <w:rFonts w:hint="eastAsia"/>
          <w:b/>
          <w:bCs/>
        </w:rPr>
      </w:pPr>
      <w:r>
        <w:rPr>
          <w:rFonts w:hint="eastAsia"/>
          <w:b/>
          <w:bCs/>
        </w:rPr>
        <w:t>表4.2-1</w:t>
      </w:r>
      <w:r>
        <w:rPr>
          <w:rFonts w:hint="eastAsia"/>
          <w:b/>
          <w:bCs/>
          <w:lang w:val="en-US" w:eastAsia="zh-CN"/>
        </w:rPr>
        <w:t>1</w:t>
      </w:r>
      <w:r>
        <w:rPr>
          <w:rFonts w:hint="eastAsia"/>
          <w:b/>
          <w:bCs/>
        </w:rPr>
        <w:t xml:space="preserve"> 地下水水质监测点布设情况</w:t>
      </w:r>
    </w:p>
    <w:tbl>
      <w:tblPr>
        <w:tblStyle w:val="53"/>
        <w:tblW w:w="85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22"/>
        <w:gridCol w:w="1613"/>
        <w:gridCol w:w="1133"/>
        <w:gridCol w:w="1123"/>
        <w:gridCol w:w="985"/>
        <w:gridCol w:w="1201"/>
        <w:gridCol w:w="1959"/>
      </w:tblGrid>
      <w:tr w14:paraId="16B82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6" w:hRule="atLeast"/>
          <w:jc w:val="center"/>
        </w:trPr>
        <w:tc>
          <w:tcPr>
            <w:tcW w:w="522" w:type="dxa"/>
            <w:vAlign w:val="center"/>
          </w:tcPr>
          <w:p w14:paraId="29B44C8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1613" w:type="dxa"/>
            <w:vAlign w:val="center"/>
          </w:tcPr>
          <w:p w14:paraId="66C1DD9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监测点名称</w:t>
            </w:r>
          </w:p>
        </w:tc>
        <w:tc>
          <w:tcPr>
            <w:tcW w:w="1133" w:type="dxa"/>
            <w:vAlign w:val="center"/>
          </w:tcPr>
          <w:p w14:paraId="0237CD3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监测井深m</w:t>
            </w:r>
          </w:p>
        </w:tc>
        <w:tc>
          <w:tcPr>
            <w:tcW w:w="1123" w:type="dxa"/>
            <w:vAlign w:val="center"/>
          </w:tcPr>
          <w:p w14:paraId="3FABEDF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取水层m</w:t>
            </w:r>
          </w:p>
        </w:tc>
        <w:tc>
          <w:tcPr>
            <w:tcW w:w="985" w:type="dxa"/>
            <w:vAlign w:val="center"/>
          </w:tcPr>
          <w:p w14:paraId="7612439A">
            <w:pPr>
              <w:jc w:val="center"/>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val="en-US" w:eastAsia="zh-CN"/>
              </w:rPr>
              <w:t>地下水</w:t>
            </w:r>
            <w:r>
              <w:rPr>
                <w:rFonts w:hint="default" w:ascii="Times New Roman" w:hAnsi="Times New Roman" w:eastAsia="宋体" w:cs="Times New Roman"/>
                <w:color w:val="auto"/>
                <w:sz w:val="21"/>
                <w:szCs w:val="21"/>
              </w:rPr>
              <w:t>位</w:t>
            </w:r>
            <w:r>
              <w:rPr>
                <w:rFonts w:hint="eastAsia" w:ascii="Times New Roman" w:hAnsi="Times New Roman" w:cs="Times New Roman"/>
                <w:color w:val="auto"/>
                <w:sz w:val="21"/>
                <w:szCs w:val="21"/>
                <w:lang w:val="en-US" w:eastAsia="zh-CN"/>
              </w:rPr>
              <w:t>标高</w:t>
            </w:r>
            <w:r>
              <w:rPr>
                <w:rFonts w:hint="default" w:ascii="Times New Roman" w:hAnsi="Times New Roman" w:eastAsia="宋体" w:cs="Times New Roman"/>
                <w:color w:val="auto"/>
                <w:sz w:val="21"/>
                <w:szCs w:val="21"/>
              </w:rPr>
              <w:t>m</w:t>
            </w:r>
          </w:p>
        </w:tc>
        <w:tc>
          <w:tcPr>
            <w:tcW w:w="1201" w:type="dxa"/>
            <w:vAlign w:val="center"/>
          </w:tcPr>
          <w:p w14:paraId="0647468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井口标高m</w:t>
            </w:r>
          </w:p>
        </w:tc>
        <w:tc>
          <w:tcPr>
            <w:tcW w:w="1959" w:type="dxa"/>
            <w:vAlign w:val="center"/>
          </w:tcPr>
          <w:p w14:paraId="47B50A47">
            <w:pPr>
              <w:pStyle w:val="385"/>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水井坐标</w:t>
            </w:r>
          </w:p>
        </w:tc>
      </w:tr>
      <w:tr w14:paraId="7F768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5" w:hRule="atLeast"/>
          <w:jc w:val="center"/>
        </w:trPr>
        <w:tc>
          <w:tcPr>
            <w:tcW w:w="522" w:type="dxa"/>
            <w:vAlign w:val="center"/>
          </w:tcPr>
          <w:p w14:paraId="1DA5BFB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613" w:type="dxa"/>
            <w:vAlign w:val="center"/>
          </w:tcPr>
          <w:p w14:paraId="3D418070">
            <w:pPr>
              <w:pStyle w:val="385"/>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场地上游水井</w:t>
            </w:r>
          </w:p>
        </w:tc>
        <w:tc>
          <w:tcPr>
            <w:tcW w:w="1133" w:type="dxa"/>
            <w:vAlign w:val="center"/>
          </w:tcPr>
          <w:p w14:paraId="6D0BE141">
            <w:pPr>
              <w:pStyle w:val="385"/>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15</w:t>
            </w:r>
          </w:p>
        </w:tc>
        <w:tc>
          <w:tcPr>
            <w:tcW w:w="1123" w:type="dxa"/>
            <w:vAlign w:val="center"/>
          </w:tcPr>
          <w:p w14:paraId="1E1D68ED">
            <w:pPr>
              <w:pStyle w:val="385"/>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潜水层</w:t>
            </w:r>
          </w:p>
        </w:tc>
        <w:tc>
          <w:tcPr>
            <w:tcW w:w="985" w:type="dxa"/>
            <w:vAlign w:val="center"/>
          </w:tcPr>
          <w:p w14:paraId="472BBB5D">
            <w:pPr>
              <w:pStyle w:val="385"/>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186</w:t>
            </w:r>
          </w:p>
        </w:tc>
        <w:tc>
          <w:tcPr>
            <w:tcW w:w="1201" w:type="dxa"/>
            <w:vAlign w:val="center"/>
          </w:tcPr>
          <w:p w14:paraId="2CC07BA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191</w:t>
            </w:r>
          </w:p>
        </w:tc>
        <w:tc>
          <w:tcPr>
            <w:tcW w:w="1959" w:type="dxa"/>
            <w:vAlign w:val="center"/>
          </w:tcPr>
          <w:p w14:paraId="11C463D9">
            <w:pPr>
              <w:pStyle w:val="385"/>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N48°13'43.29" </w:t>
            </w:r>
          </w:p>
          <w:p w14:paraId="5FEBDB25">
            <w:pPr>
              <w:pStyle w:val="385"/>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E124°36'30.97"</w:t>
            </w:r>
          </w:p>
        </w:tc>
      </w:tr>
      <w:tr w14:paraId="26DE4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5" w:hRule="atLeast"/>
          <w:jc w:val="center"/>
        </w:trPr>
        <w:tc>
          <w:tcPr>
            <w:tcW w:w="522" w:type="dxa"/>
            <w:vAlign w:val="center"/>
          </w:tcPr>
          <w:p w14:paraId="3D95E59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613" w:type="dxa"/>
            <w:vAlign w:val="center"/>
          </w:tcPr>
          <w:p w14:paraId="78243213">
            <w:pPr>
              <w:pStyle w:val="385"/>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项目场地水井</w:t>
            </w:r>
          </w:p>
        </w:tc>
        <w:tc>
          <w:tcPr>
            <w:tcW w:w="1133" w:type="dxa"/>
            <w:vAlign w:val="center"/>
          </w:tcPr>
          <w:p w14:paraId="30D08963">
            <w:pPr>
              <w:pStyle w:val="385"/>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7</w:t>
            </w:r>
            <w:r>
              <w:rPr>
                <w:rFonts w:hint="default" w:ascii="Times New Roman" w:hAnsi="Times New Roman" w:eastAsia="宋体" w:cs="Times New Roman"/>
                <w:color w:val="auto"/>
                <w:sz w:val="21"/>
                <w:szCs w:val="21"/>
              </w:rPr>
              <w:t>0</w:t>
            </w:r>
          </w:p>
        </w:tc>
        <w:tc>
          <w:tcPr>
            <w:tcW w:w="1123" w:type="dxa"/>
            <w:vAlign w:val="center"/>
          </w:tcPr>
          <w:p w14:paraId="44841610">
            <w:pPr>
              <w:pStyle w:val="385"/>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潜水层</w:t>
            </w:r>
          </w:p>
        </w:tc>
        <w:tc>
          <w:tcPr>
            <w:tcW w:w="985" w:type="dxa"/>
            <w:vAlign w:val="center"/>
          </w:tcPr>
          <w:p w14:paraId="39B49F44">
            <w:pPr>
              <w:pStyle w:val="385"/>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183</w:t>
            </w:r>
          </w:p>
        </w:tc>
        <w:tc>
          <w:tcPr>
            <w:tcW w:w="1201" w:type="dxa"/>
            <w:vAlign w:val="center"/>
          </w:tcPr>
          <w:p w14:paraId="2692416C">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189</w:t>
            </w:r>
          </w:p>
        </w:tc>
        <w:tc>
          <w:tcPr>
            <w:tcW w:w="1959" w:type="dxa"/>
            <w:vAlign w:val="center"/>
          </w:tcPr>
          <w:p w14:paraId="121C1545">
            <w:pPr>
              <w:pStyle w:val="385"/>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N48°12'55.96"</w:t>
            </w:r>
          </w:p>
          <w:p w14:paraId="2D36CD2F">
            <w:pPr>
              <w:pStyle w:val="385"/>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E124°36'16.78"</w:t>
            </w:r>
          </w:p>
        </w:tc>
      </w:tr>
      <w:tr w14:paraId="0971F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5" w:hRule="atLeast"/>
          <w:jc w:val="center"/>
        </w:trPr>
        <w:tc>
          <w:tcPr>
            <w:tcW w:w="522" w:type="dxa"/>
            <w:vAlign w:val="center"/>
          </w:tcPr>
          <w:p w14:paraId="32C6935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613" w:type="dxa"/>
            <w:vAlign w:val="center"/>
          </w:tcPr>
          <w:p w14:paraId="38B74DF8">
            <w:pPr>
              <w:pStyle w:val="385"/>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场地下游灌溉井</w:t>
            </w:r>
          </w:p>
        </w:tc>
        <w:tc>
          <w:tcPr>
            <w:tcW w:w="1133" w:type="dxa"/>
            <w:vAlign w:val="center"/>
          </w:tcPr>
          <w:p w14:paraId="2A42A6A4">
            <w:pPr>
              <w:pStyle w:val="385"/>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8</w:t>
            </w:r>
          </w:p>
        </w:tc>
        <w:tc>
          <w:tcPr>
            <w:tcW w:w="1123" w:type="dxa"/>
            <w:vAlign w:val="center"/>
          </w:tcPr>
          <w:p w14:paraId="269B98F5">
            <w:pPr>
              <w:pStyle w:val="385"/>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潜水层</w:t>
            </w:r>
          </w:p>
        </w:tc>
        <w:tc>
          <w:tcPr>
            <w:tcW w:w="985" w:type="dxa"/>
            <w:vAlign w:val="center"/>
          </w:tcPr>
          <w:p w14:paraId="408EAE08">
            <w:pPr>
              <w:pStyle w:val="385"/>
              <w:jc w:val="center"/>
              <w:rPr>
                <w:rFonts w:hint="default" w:ascii="Times New Roman" w:hAnsi="Times New Roman" w:eastAsia="宋体" w:cs="Times New Roman"/>
                <w:color w:val="auto"/>
                <w:sz w:val="21"/>
                <w:szCs w:val="21"/>
                <w:lang w:val="en-US"/>
              </w:rPr>
            </w:pPr>
            <w:r>
              <w:rPr>
                <w:rFonts w:hint="eastAsia" w:ascii="Times New Roman" w:hAnsi="Times New Roman" w:cs="Times New Roman"/>
                <w:color w:val="auto"/>
                <w:sz w:val="21"/>
                <w:szCs w:val="21"/>
                <w:lang w:val="en-US" w:eastAsia="zh-CN"/>
              </w:rPr>
              <w:t>179</w:t>
            </w:r>
          </w:p>
        </w:tc>
        <w:tc>
          <w:tcPr>
            <w:tcW w:w="1201" w:type="dxa"/>
            <w:vAlign w:val="center"/>
          </w:tcPr>
          <w:p w14:paraId="2908E3B5">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184</w:t>
            </w:r>
          </w:p>
        </w:tc>
        <w:tc>
          <w:tcPr>
            <w:tcW w:w="1959" w:type="dxa"/>
            <w:vAlign w:val="center"/>
          </w:tcPr>
          <w:p w14:paraId="1ED551E3">
            <w:pPr>
              <w:pStyle w:val="385"/>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N48°12'22.76"</w:t>
            </w:r>
            <w:r>
              <w:rPr>
                <w:rFonts w:hint="eastAsia"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E124°35'50.47"</w:t>
            </w:r>
          </w:p>
        </w:tc>
      </w:tr>
    </w:tbl>
    <w:p w14:paraId="25756E1F">
      <w:pPr>
        <w:pStyle w:val="5"/>
        <w:rPr>
          <w:rFonts w:hint="eastAsia"/>
        </w:rPr>
      </w:pPr>
      <w:r>
        <w:rPr>
          <w:rFonts w:hint="eastAsia"/>
        </w:rPr>
        <w:t>4.</w:t>
      </w:r>
      <w:r>
        <w:rPr>
          <w:rFonts w:hint="eastAsia" w:eastAsia="宋体"/>
          <w:lang w:val="en-US" w:eastAsia="zh-CN"/>
        </w:rPr>
        <w:t>3.5</w:t>
      </w:r>
      <w:r>
        <w:rPr>
          <w:rFonts w:hint="eastAsia"/>
        </w:rPr>
        <w:t>.2监测时间与频率</w:t>
      </w:r>
    </w:p>
    <w:p w14:paraId="60C7718B">
      <w:pPr>
        <w:spacing w:line="360" w:lineRule="auto"/>
        <w:ind w:firstLine="480" w:firstLineChars="200"/>
        <w:rPr>
          <w:rFonts w:hint="eastAsia"/>
        </w:rPr>
      </w:pPr>
      <w:r>
        <w:rPr>
          <w:rFonts w:hint="eastAsia"/>
        </w:rPr>
        <w:t>本次地下水监测时间为20</w:t>
      </w:r>
      <w:r>
        <w:rPr>
          <w:rFonts w:hint="eastAsia"/>
          <w:lang w:val="en-US" w:eastAsia="zh-CN"/>
        </w:rPr>
        <w:t>26</w:t>
      </w:r>
      <w:r>
        <w:rPr>
          <w:rFonts w:hint="eastAsia"/>
        </w:rPr>
        <w:t>年0</w:t>
      </w:r>
      <w:r>
        <w:rPr>
          <w:rFonts w:hint="eastAsia"/>
          <w:lang w:val="en-US" w:eastAsia="zh-CN"/>
        </w:rPr>
        <w:t>4</w:t>
      </w:r>
      <w:r>
        <w:rPr>
          <w:rFonts w:hint="eastAsia"/>
        </w:rPr>
        <w:t>月</w:t>
      </w:r>
      <w:r>
        <w:rPr>
          <w:rFonts w:hint="eastAsia"/>
          <w:lang w:val="en-US" w:eastAsia="zh-CN"/>
        </w:rPr>
        <w:t>29</w:t>
      </w:r>
      <w:r>
        <w:rPr>
          <w:rFonts w:hint="eastAsia"/>
        </w:rPr>
        <w:t>日，共监测1天，每天1次。</w:t>
      </w:r>
    </w:p>
    <w:p w14:paraId="408C1A6B">
      <w:pPr>
        <w:pStyle w:val="5"/>
        <w:rPr>
          <w:rFonts w:hint="eastAsia" w:eastAsia="宋体"/>
          <w:lang w:eastAsia="zh-CN"/>
        </w:rPr>
      </w:pPr>
      <w:r>
        <w:rPr>
          <w:rFonts w:hint="eastAsia"/>
        </w:rPr>
        <w:t>4.</w:t>
      </w:r>
      <w:r>
        <w:rPr>
          <w:rFonts w:hint="eastAsia" w:eastAsia="宋体"/>
          <w:lang w:val="en-US" w:eastAsia="zh-CN"/>
        </w:rPr>
        <w:t>3.5</w:t>
      </w:r>
      <w:r>
        <w:rPr>
          <w:rFonts w:hint="eastAsia"/>
        </w:rPr>
        <w:t>.3监测</w:t>
      </w:r>
      <w:r>
        <w:rPr>
          <w:rFonts w:hint="eastAsia" w:eastAsia="宋体"/>
          <w:lang w:val="en-US" w:eastAsia="zh-CN"/>
        </w:rPr>
        <w:t>因子</w:t>
      </w:r>
    </w:p>
    <w:p w14:paraId="0CA1AC27">
      <w:pPr>
        <w:spacing w:line="360" w:lineRule="auto"/>
        <w:ind w:firstLine="480" w:firstLineChars="200"/>
        <w:rPr>
          <w:rFonts w:hint="default"/>
        </w:rPr>
      </w:pPr>
      <w:r>
        <w:rPr>
          <w:rFonts w:hint="default"/>
        </w:rPr>
        <w:t>基本检测项目：pH值、氨氮、硝酸盐、亚硝酸盐、挥发</w:t>
      </w:r>
      <w:r>
        <w:rPr>
          <w:rFonts w:hint="default"/>
          <w:lang w:val="en-US" w:eastAsia="zh-CN"/>
        </w:rPr>
        <w:t>性酚类</w:t>
      </w:r>
      <w:r>
        <w:rPr>
          <w:rFonts w:hint="default"/>
        </w:rPr>
        <w:t>、氰化物、砷、汞、铬（六价）、总硬度、铅、氟</w:t>
      </w:r>
      <w:r>
        <w:rPr>
          <w:rFonts w:hint="default"/>
          <w:lang w:val="en-US" w:eastAsia="zh-CN"/>
        </w:rPr>
        <w:t>化物</w:t>
      </w:r>
      <w:r>
        <w:rPr>
          <w:rFonts w:hint="default"/>
        </w:rPr>
        <w:t>、镉、铁、锰、溶解性总固体、</w:t>
      </w:r>
      <w:r>
        <w:rPr>
          <w:rFonts w:hint="eastAsia"/>
          <w:lang w:val="en-US" w:eastAsia="zh-CN"/>
        </w:rPr>
        <w:t>高锰酸盐指数</w:t>
      </w:r>
      <w:r>
        <w:rPr>
          <w:rFonts w:hint="default"/>
          <w:lang w:eastAsia="zh-CN"/>
        </w:rPr>
        <w:t>、</w:t>
      </w:r>
      <w:r>
        <w:rPr>
          <w:rFonts w:hint="default"/>
        </w:rPr>
        <w:t>硫酸盐、氯化物、总大肠菌群、细菌总数</w:t>
      </w:r>
      <w:r>
        <w:rPr>
          <w:rFonts w:hint="eastAsia"/>
          <w:lang w:eastAsia="zh-CN"/>
        </w:rPr>
        <w:t>、</w:t>
      </w:r>
      <w:r>
        <w:rPr>
          <w:rFonts w:hint="eastAsia"/>
          <w:lang w:val="en-US" w:eastAsia="zh-CN"/>
        </w:rPr>
        <w:t>铜、锌、甲苯</w:t>
      </w:r>
      <w:r>
        <w:rPr>
          <w:rFonts w:hint="default"/>
        </w:rPr>
        <w:t>。</w:t>
      </w:r>
    </w:p>
    <w:p w14:paraId="49F46B63">
      <w:pPr>
        <w:spacing w:line="360" w:lineRule="auto"/>
        <w:ind w:firstLine="480" w:firstLineChars="200"/>
        <w:rPr>
          <w:rFonts w:hint="default"/>
        </w:rPr>
      </w:pPr>
      <w:r>
        <w:rPr>
          <w:rFonts w:hint="default"/>
        </w:rPr>
        <w:t>八大离子检测项目：K</w:t>
      </w:r>
      <w:r>
        <w:rPr>
          <w:rFonts w:hint="eastAsia"/>
          <w:vertAlign w:val="superscript"/>
          <w:lang w:val="en-US" w:eastAsia="zh-CN"/>
        </w:rPr>
        <w:t>+</w:t>
      </w:r>
      <w:r>
        <w:rPr>
          <w:rFonts w:hint="default"/>
        </w:rPr>
        <w:t>、Na</w:t>
      </w:r>
      <w:r>
        <w:rPr>
          <w:rFonts w:hint="default"/>
          <w:vertAlign w:val="superscript"/>
        </w:rPr>
        <w:t>+</w:t>
      </w:r>
      <w:r>
        <w:rPr>
          <w:rFonts w:hint="default"/>
        </w:rPr>
        <w:t>、Ca</w:t>
      </w:r>
      <w:r>
        <w:rPr>
          <w:rFonts w:hint="default"/>
          <w:vertAlign w:val="superscript"/>
        </w:rPr>
        <w:t>2+</w:t>
      </w:r>
      <w:r>
        <w:rPr>
          <w:rFonts w:hint="default"/>
        </w:rPr>
        <w:t>、Mg</w:t>
      </w:r>
      <w:r>
        <w:rPr>
          <w:rFonts w:hint="default"/>
          <w:vertAlign w:val="superscript"/>
        </w:rPr>
        <w:t>2+</w:t>
      </w:r>
      <w:r>
        <w:rPr>
          <w:rFonts w:hint="default"/>
        </w:rPr>
        <w:t>、CO</w:t>
      </w:r>
      <w:r>
        <w:rPr>
          <w:rFonts w:hint="default"/>
          <w:vertAlign w:val="subscript"/>
        </w:rPr>
        <w:t>3</w:t>
      </w:r>
      <w:r>
        <w:rPr>
          <w:rFonts w:hint="default"/>
          <w:vertAlign w:val="superscript"/>
        </w:rPr>
        <w:t>2-</w:t>
      </w:r>
      <w:r>
        <w:rPr>
          <w:rFonts w:hint="default"/>
        </w:rPr>
        <w:t>、HCO</w:t>
      </w:r>
      <w:r>
        <w:rPr>
          <w:rFonts w:hint="default"/>
          <w:vertAlign w:val="subscript"/>
        </w:rPr>
        <w:t>3</w:t>
      </w:r>
      <w:r>
        <w:rPr>
          <w:rFonts w:hint="default"/>
          <w:vertAlign w:val="superscript"/>
        </w:rPr>
        <w:t>-</w:t>
      </w:r>
      <w:r>
        <w:rPr>
          <w:rFonts w:hint="default"/>
        </w:rPr>
        <w:t>、Cl</w:t>
      </w:r>
      <w:r>
        <w:rPr>
          <w:rFonts w:hint="default"/>
          <w:vertAlign w:val="superscript"/>
        </w:rPr>
        <w:t>-</w:t>
      </w:r>
      <w:r>
        <w:rPr>
          <w:rFonts w:hint="default"/>
        </w:rPr>
        <w:t>、SO</w:t>
      </w:r>
      <w:r>
        <w:rPr>
          <w:rFonts w:hint="default"/>
          <w:vertAlign w:val="subscript"/>
        </w:rPr>
        <w:t>4</w:t>
      </w:r>
      <w:r>
        <w:rPr>
          <w:rFonts w:hint="default"/>
          <w:vertAlign w:val="superscript"/>
        </w:rPr>
        <w:t>2-</w:t>
      </w:r>
      <w:r>
        <w:rPr>
          <w:rFonts w:hint="default"/>
        </w:rPr>
        <w:t>。</w:t>
      </w:r>
    </w:p>
    <w:p w14:paraId="16C75CF3">
      <w:pPr>
        <w:spacing w:line="360" w:lineRule="auto"/>
        <w:ind w:firstLine="480" w:firstLineChars="200"/>
        <w:rPr>
          <w:rFonts w:hint="default"/>
        </w:rPr>
      </w:pPr>
      <w:r>
        <w:rPr>
          <w:rFonts w:hint="default"/>
        </w:rPr>
        <w:t>水质采样、样品的保存和管理依据国家环境保护标准水质样品的保存和管理技术规定（HJ493-2009），地下水环境检测依据地下水环境检测技术规范（HJ/T164-2004），检测分析方法表4.2-12。</w:t>
      </w:r>
    </w:p>
    <w:p w14:paraId="64A71F08">
      <w:pPr>
        <w:spacing w:line="360" w:lineRule="auto"/>
        <w:jc w:val="center"/>
        <w:textAlignment w:val="center"/>
        <w:rPr>
          <w:rFonts w:hint="eastAsia"/>
          <w:b/>
          <w:bCs/>
        </w:rPr>
      </w:pPr>
      <w:r>
        <w:rPr>
          <w:rFonts w:hint="eastAsia"/>
          <w:b/>
          <w:bCs/>
        </w:rPr>
        <w:t>表4.2-12 地下水检测方法</w:t>
      </w:r>
    </w:p>
    <w:tbl>
      <w:tblPr>
        <w:tblStyle w:val="53"/>
        <w:tblW w:w="50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0" w:type="dxa"/>
        </w:tblCellMar>
      </w:tblPr>
      <w:tblGrid>
        <w:gridCol w:w="548"/>
        <w:gridCol w:w="1711"/>
        <w:gridCol w:w="6578"/>
      </w:tblGrid>
      <w:tr w14:paraId="7CB06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B5A2CA4">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序号</w:t>
            </w:r>
          </w:p>
        </w:tc>
        <w:tc>
          <w:tcPr>
            <w:tcW w:w="968" w:type="pct"/>
            <w:vAlign w:val="center"/>
          </w:tcPr>
          <w:p w14:paraId="13E777FC">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项目</w:t>
            </w:r>
          </w:p>
        </w:tc>
        <w:tc>
          <w:tcPr>
            <w:tcW w:w="3721" w:type="pct"/>
            <w:vAlign w:val="center"/>
          </w:tcPr>
          <w:p w14:paraId="7E3B7F72">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标准方法名称及代号</w:t>
            </w:r>
          </w:p>
        </w:tc>
      </w:tr>
      <w:tr w14:paraId="68F3C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5F5EEBAD">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968" w:type="pct"/>
            <w:vAlign w:val="center"/>
          </w:tcPr>
          <w:p w14:paraId="0FE4103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pH</w:t>
            </w:r>
          </w:p>
        </w:tc>
        <w:tc>
          <w:tcPr>
            <w:tcW w:w="3721" w:type="pct"/>
            <w:vAlign w:val="center"/>
          </w:tcPr>
          <w:p w14:paraId="284B58D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水质pH值的测定电极法HJ 1147-2020</w:t>
            </w:r>
          </w:p>
        </w:tc>
      </w:tr>
      <w:tr w14:paraId="16C09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0DACE660">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968" w:type="pct"/>
            <w:vAlign w:val="center"/>
          </w:tcPr>
          <w:p w14:paraId="230B9D2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总硬度</w:t>
            </w:r>
          </w:p>
        </w:tc>
        <w:tc>
          <w:tcPr>
            <w:tcW w:w="3721" w:type="pct"/>
            <w:vAlign w:val="center"/>
          </w:tcPr>
          <w:p w14:paraId="5445A84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生活饮用水标准检验方法第4部分：感官 性状和物理指标(10.1总硬度乙二胺四乙酸二钠滴定法)GB/T 5750.4-2023</w:t>
            </w:r>
          </w:p>
        </w:tc>
      </w:tr>
      <w:tr w14:paraId="13F9C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4AA8E1D3">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968" w:type="pct"/>
            <w:vAlign w:val="center"/>
          </w:tcPr>
          <w:p w14:paraId="2A8F1B1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硫酸盐</w:t>
            </w:r>
          </w:p>
        </w:tc>
        <w:tc>
          <w:tcPr>
            <w:tcW w:w="3721" w:type="pct"/>
            <w:vAlign w:val="center"/>
          </w:tcPr>
          <w:p w14:paraId="6FC2E1A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水质无机阴离子(F、CL、NO₂ 、Br、NO₃、PO₄³、SO₃²、SO₄²-)的测定离子色谱法HJ 84-2016</w:t>
            </w:r>
          </w:p>
        </w:tc>
      </w:tr>
      <w:tr w14:paraId="6D993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52366F7B">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968" w:type="pct"/>
            <w:vAlign w:val="center"/>
          </w:tcPr>
          <w:p w14:paraId="2503C38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氯化物</w:t>
            </w:r>
          </w:p>
        </w:tc>
        <w:tc>
          <w:tcPr>
            <w:tcW w:w="3721" w:type="pct"/>
            <w:vAlign w:val="center"/>
          </w:tcPr>
          <w:p w14:paraId="3E39E81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水质无机阴离子(F、CL、NO₂ 、Br、NO₃、 PO₄³、SO₃²、SO₄² )的测定离子色谱法HJ 84-2016</w:t>
            </w:r>
          </w:p>
        </w:tc>
      </w:tr>
      <w:tr w14:paraId="6A2F9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1B318DD9">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968" w:type="pct"/>
            <w:vAlign w:val="center"/>
          </w:tcPr>
          <w:p w14:paraId="7A5E3AD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氨氮</w:t>
            </w:r>
          </w:p>
        </w:tc>
        <w:tc>
          <w:tcPr>
            <w:tcW w:w="3721" w:type="pct"/>
            <w:vAlign w:val="center"/>
          </w:tcPr>
          <w:p w14:paraId="6FDE68A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水质氨氮的测定纳氏试剂分光光度法HJ 535-2009</w:t>
            </w:r>
          </w:p>
        </w:tc>
      </w:tr>
      <w:tr w14:paraId="50260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24A7DC8">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968" w:type="pct"/>
            <w:vAlign w:val="center"/>
          </w:tcPr>
          <w:p w14:paraId="41FC2AF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氟化物</w:t>
            </w:r>
          </w:p>
        </w:tc>
        <w:tc>
          <w:tcPr>
            <w:tcW w:w="3721" w:type="pct"/>
            <w:vAlign w:val="center"/>
          </w:tcPr>
          <w:p w14:paraId="19AA070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 无机阴离子(F</w:t>
            </w:r>
            <w:r>
              <w:rPr>
                <w:rFonts w:hint="default" w:ascii="Times New Roman" w:hAnsi="Times New Roman" w:cs="Times New Roman"/>
                <w:bCs/>
                <w:color w:val="auto"/>
                <w:sz w:val="21"/>
                <w:szCs w:val="21"/>
                <w:vertAlign w:val="superscript"/>
              </w:rPr>
              <w:t>-</w:t>
            </w:r>
            <w:r>
              <w:rPr>
                <w:rFonts w:hint="default" w:ascii="Times New Roman" w:hAnsi="Times New Roman" w:cs="Times New Roman"/>
                <w:bCs/>
                <w:color w:val="auto"/>
                <w:sz w:val="21"/>
                <w:szCs w:val="21"/>
              </w:rPr>
              <w:t>、CL</w:t>
            </w:r>
            <w:r>
              <w:rPr>
                <w:rFonts w:hint="default" w:ascii="Times New Roman" w:hAnsi="Times New Roman" w:cs="Times New Roman"/>
                <w:bCs/>
                <w:color w:val="auto"/>
                <w:sz w:val="21"/>
                <w:szCs w:val="21"/>
                <w:vertAlign w:val="superscript"/>
              </w:rPr>
              <w:t>-</w:t>
            </w:r>
            <w:r>
              <w:rPr>
                <w:rFonts w:hint="default" w:ascii="Times New Roman" w:hAnsi="Times New Roman" w:cs="Times New Roman"/>
                <w:bCs/>
                <w:color w:val="auto"/>
                <w:sz w:val="21"/>
                <w:szCs w:val="21"/>
              </w:rPr>
              <w:t>、NO</w:t>
            </w:r>
            <w:r>
              <w:rPr>
                <w:rFonts w:hint="default" w:ascii="Times New Roman" w:hAnsi="Times New Roman" w:cs="Times New Roman"/>
                <w:bCs/>
                <w:color w:val="auto"/>
                <w:sz w:val="21"/>
                <w:szCs w:val="21"/>
                <w:vertAlign w:val="subscript"/>
              </w:rPr>
              <w:t>2</w:t>
            </w:r>
            <w:r>
              <w:rPr>
                <w:rFonts w:hint="default" w:ascii="Times New Roman" w:hAnsi="Times New Roman" w:cs="Times New Roman"/>
                <w:bCs/>
                <w:color w:val="auto"/>
                <w:sz w:val="21"/>
                <w:szCs w:val="21"/>
                <w:vertAlign w:val="superscript"/>
              </w:rPr>
              <w:t>-</w:t>
            </w:r>
            <w:r>
              <w:rPr>
                <w:rFonts w:hint="default" w:ascii="Times New Roman" w:hAnsi="Times New Roman" w:cs="Times New Roman"/>
                <w:bCs/>
                <w:color w:val="auto"/>
                <w:sz w:val="21"/>
                <w:szCs w:val="21"/>
              </w:rPr>
              <w:t>、Br</w:t>
            </w:r>
            <w:r>
              <w:rPr>
                <w:rFonts w:hint="default" w:ascii="Times New Roman" w:hAnsi="Times New Roman" w:cs="Times New Roman"/>
                <w:bCs/>
                <w:color w:val="auto"/>
                <w:sz w:val="21"/>
                <w:szCs w:val="21"/>
                <w:vertAlign w:val="superscript"/>
              </w:rPr>
              <w:t>-</w:t>
            </w:r>
            <w:r>
              <w:rPr>
                <w:rFonts w:hint="default" w:ascii="Times New Roman" w:hAnsi="Times New Roman" w:cs="Times New Roman"/>
                <w:bCs/>
                <w:color w:val="auto"/>
                <w:sz w:val="21"/>
                <w:szCs w:val="21"/>
              </w:rPr>
              <w:t>、NO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w:t>
            </w:r>
            <w:r>
              <w:rPr>
                <w:rFonts w:hint="default" w:ascii="Times New Roman" w:hAnsi="Times New Roman" w:cs="Times New Roman"/>
                <w:bCs/>
                <w:color w:val="auto"/>
                <w:sz w:val="21"/>
                <w:szCs w:val="21"/>
              </w:rPr>
              <w:t>、 P</w:t>
            </w:r>
            <w:r>
              <w:rPr>
                <w:rFonts w:hint="eastAsia" w:cs="Times New Roman"/>
                <w:bCs/>
                <w:color w:val="auto"/>
                <w:sz w:val="21"/>
                <w:szCs w:val="21"/>
                <w:lang w:val="en-US" w:eastAsia="zh-CN"/>
              </w:rPr>
              <w:t>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3-</w:t>
            </w:r>
            <w:r>
              <w:rPr>
                <w:rFonts w:hint="default" w:ascii="Times New Roman" w:hAnsi="Times New Roman" w:cs="Times New Roman"/>
                <w:bCs/>
                <w:color w:val="auto"/>
                <w:sz w:val="21"/>
                <w:szCs w:val="21"/>
              </w:rPr>
              <w:t>、S</w:t>
            </w:r>
            <w:r>
              <w:rPr>
                <w:rFonts w:hint="eastAsia" w:cs="Times New Roman"/>
                <w:bCs/>
                <w:color w:val="auto"/>
                <w:sz w:val="21"/>
                <w:szCs w:val="21"/>
                <w:lang w:val="en-US" w:eastAsia="zh-CN"/>
              </w:rPr>
              <w:t>O</w:t>
            </w:r>
            <w:r>
              <w:rPr>
                <w:rFonts w:hint="default" w:ascii="Times New Roman" w:hAnsi="Times New Roman" w:cs="Times New Roman"/>
                <w:bCs/>
                <w:color w:val="auto"/>
                <w:sz w:val="21"/>
                <w:szCs w:val="21"/>
                <w:vertAlign w:val="subscript"/>
              </w:rPr>
              <w:t>3</w:t>
            </w:r>
            <w:r>
              <w:rPr>
                <w:rFonts w:hint="default" w:ascii="Times New Roman" w:hAnsi="Times New Roman" w:cs="Times New Roman"/>
                <w:bCs/>
                <w:color w:val="auto"/>
                <w:sz w:val="21"/>
                <w:szCs w:val="21"/>
                <w:vertAlign w:val="superscript"/>
              </w:rPr>
              <w:t>2</w:t>
            </w:r>
            <w:r>
              <w:rPr>
                <w:rFonts w:hint="default" w:ascii="Times New Roman" w:hAnsi="Times New Roman" w:cs="Times New Roman"/>
                <w:bCs/>
                <w:color w:val="auto"/>
                <w:sz w:val="21"/>
                <w:szCs w:val="21"/>
              </w:rPr>
              <w:t>-、S</w:t>
            </w:r>
            <w:r>
              <w:rPr>
                <w:rFonts w:hint="eastAsia" w:cs="Times New Roman"/>
                <w:bCs/>
                <w:color w:val="auto"/>
                <w:sz w:val="21"/>
                <w:szCs w:val="21"/>
                <w:lang w:val="en-US" w:eastAsia="zh-CN"/>
              </w:rPr>
              <w:t>O</w:t>
            </w:r>
            <w:r>
              <w:rPr>
                <w:rFonts w:hint="default" w:ascii="Times New Roman" w:hAnsi="Times New Roman" w:cs="Times New Roman"/>
                <w:bCs/>
                <w:color w:val="auto"/>
                <w:sz w:val="21"/>
                <w:szCs w:val="21"/>
                <w:vertAlign w:val="subscript"/>
              </w:rPr>
              <w:t>4</w:t>
            </w:r>
            <w:r>
              <w:rPr>
                <w:rFonts w:hint="default" w:ascii="Times New Roman" w:hAnsi="Times New Roman" w:cs="Times New Roman"/>
                <w:bCs/>
                <w:color w:val="auto"/>
                <w:sz w:val="21"/>
                <w:szCs w:val="21"/>
                <w:vertAlign w:val="superscript"/>
              </w:rPr>
              <w:t>2-</w:t>
            </w:r>
            <w:r>
              <w:rPr>
                <w:rFonts w:hint="default" w:ascii="Times New Roman" w:hAnsi="Times New Roman" w:cs="Times New Roman"/>
                <w:bCs/>
                <w:color w:val="auto"/>
                <w:sz w:val="21"/>
                <w:szCs w:val="21"/>
              </w:rPr>
              <w:t>)的测定离子色谱法HJ 84-2016</w:t>
            </w:r>
          </w:p>
        </w:tc>
      </w:tr>
      <w:tr w14:paraId="0BB48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4CB88B3">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968" w:type="pct"/>
            <w:vAlign w:val="center"/>
          </w:tcPr>
          <w:p w14:paraId="180FF57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总大肠菌群</w:t>
            </w:r>
          </w:p>
        </w:tc>
        <w:tc>
          <w:tcPr>
            <w:tcW w:w="3721" w:type="pct"/>
            <w:vAlign w:val="center"/>
          </w:tcPr>
          <w:p w14:paraId="2595F91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生活饮用水标准检验方法第12部分：微生物指标(5.1总大肠菌群多管发酵法)GB/T 5750.12-2023</w:t>
            </w:r>
          </w:p>
        </w:tc>
      </w:tr>
      <w:tr w14:paraId="793AB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1321BD0">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968" w:type="pct"/>
            <w:vAlign w:val="center"/>
          </w:tcPr>
          <w:p w14:paraId="26CEEAF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挥发性酚类</w:t>
            </w:r>
          </w:p>
        </w:tc>
        <w:tc>
          <w:tcPr>
            <w:tcW w:w="3721" w:type="pct"/>
            <w:vAlign w:val="center"/>
          </w:tcPr>
          <w:p w14:paraId="0AD12A3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水质挥发酚的测定4-氨基安替比林分光光度法(方法1萃取分光光度法)</w:t>
            </w:r>
          </w:p>
          <w:p w14:paraId="2342D7A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HJ 503-2009</w:t>
            </w:r>
          </w:p>
        </w:tc>
      </w:tr>
      <w:tr w14:paraId="5EA3E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4AB2B8D9">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968" w:type="pct"/>
            <w:vAlign w:val="center"/>
          </w:tcPr>
          <w:p w14:paraId="2E20753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硝酸盐(以N计)</w:t>
            </w:r>
          </w:p>
        </w:tc>
        <w:tc>
          <w:tcPr>
            <w:tcW w:w="3721" w:type="pct"/>
            <w:vAlign w:val="center"/>
          </w:tcPr>
          <w:p w14:paraId="2A0BC20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水质无机阴离子(F、CL、NO₂ 、Br、NO₃、 PO₄³、SO₃ 、SO₄²)的测定离子色谱法HJ 84-2016</w:t>
            </w:r>
          </w:p>
        </w:tc>
      </w:tr>
      <w:tr w14:paraId="432C3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0543D42E">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968" w:type="pct"/>
            <w:vAlign w:val="center"/>
          </w:tcPr>
          <w:p w14:paraId="0068BAE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亚硝酸盐(以N计)</w:t>
            </w:r>
          </w:p>
        </w:tc>
        <w:tc>
          <w:tcPr>
            <w:tcW w:w="3721" w:type="pct"/>
            <w:vAlign w:val="center"/>
          </w:tcPr>
          <w:p w14:paraId="4DE4295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水质亚硝酸盐氮的测定分光光度法GB 7493-87</w:t>
            </w:r>
          </w:p>
        </w:tc>
      </w:tr>
      <w:tr w14:paraId="687F7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09404463">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968" w:type="pct"/>
            <w:vAlign w:val="center"/>
          </w:tcPr>
          <w:p w14:paraId="72562D8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铁</w:t>
            </w:r>
          </w:p>
        </w:tc>
        <w:tc>
          <w:tcPr>
            <w:tcW w:w="3721" w:type="pct"/>
            <w:vAlign w:val="center"/>
          </w:tcPr>
          <w:p w14:paraId="2982511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水质铁、锰的测定火焰原子吸收分光光度法GB 11911-89</w:t>
            </w:r>
          </w:p>
        </w:tc>
      </w:tr>
      <w:tr w14:paraId="1D389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E9E2461">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968" w:type="pct"/>
            <w:vAlign w:val="center"/>
          </w:tcPr>
          <w:p w14:paraId="6023C82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锰</w:t>
            </w:r>
          </w:p>
        </w:tc>
        <w:tc>
          <w:tcPr>
            <w:tcW w:w="3721" w:type="pct"/>
            <w:vAlign w:val="center"/>
          </w:tcPr>
          <w:p w14:paraId="5AE28B8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水质铁、锰的测定火焰原子吸收分光光度法GB 11911-89</w:t>
            </w:r>
          </w:p>
        </w:tc>
      </w:tr>
      <w:tr w14:paraId="14A2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FAB34EC">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968" w:type="pct"/>
            <w:vAlign w:val="center"/>
          </w:tcPr>
          <w:p w14:paraId="714D51D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铜</w:t>
            </w:r>
          </w:p>
        </w:tc>
        <w:tc>
          <w:tcPr>
            <w:tcW w:w="3721" w:type="pct"/>
            <w:vAlign w:val="center"/>
          </w:tcPr>
          <w:p w14:paraId="3E8EF6F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水质铜、锌、铅、镉的测定原子吸收分光光度法(第二部分螯合萃取法)</w:t>
            </w:r>
          </w:p>
          <w:p w14:paraId="1E01A85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GB 7475-87</w:t>
            </w:r>
          </w:p>
        </w:tc>
      </w:tr>
      <w:tr w14:paraId="6ED49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3667B555">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968" w:type="pct"/>
            <w:vAlign w:val="center"/>
          </w:tcPr>
          <w:p w14:paraId="1ADD149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锌</w:t>
            </w:r>
          </w:p>
        </w:tc>
        <w:tc>
          <w:tcPr>
            <w:tcW w:w="3721" w:type="pct"/>
            <w:vAlign w:val="center"/>
          </w:tcPr>
          <w:p w14:paraId="17781CA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水质铜、锌、铅、镉的测定原子吸收分光光度法(第一部分直接法)</w:t>
            </w:r>
          </w:p>
          <w:p w14:paraId="54B0DA5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GB 7475-87</w:t>
            </w:r>
          </w:p>
        </w:tc>
      </w:tr>
      <w:tr w14:paraId="3C1BD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3C523B10">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968" w:type="pct"/>
            <w:vAlign w:val="center"/>
          </w:tcPr>
          <w:p w14:paraId="0F8646F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氰化物</w:t>
            </w:r>
          </w:p>
        </w:tc>
        <w:tc>
          <w:tcPr>
            <w:tcW w:w="3721" w:type="pct"/>
            <w:vAlign w:val="center"/>
          </w:tcPr>
          <w:p w14:paraId="3317373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水质氰化物的测定容量法和分光光度法(方法3异烟酸-巴比妥酸分光光度法) HJ 484-2009</w:t>
            </w:r>
          </w:p>
        </w:tc>
      </w:tr>
      <w:tr w14:paraId="3FBF3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0F4C47F">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968" w:type="pct"/>
            <w:vAlign w:val="center"/>
          </w:tcPr>
          <w:p w14:paraId="2D81800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汞</w:t>
            </w:r>
          </w:p>
        </w:tc>
        <w:tc>
          <w:tcPr>
            <w:tcW w:w="3721" w:type="pct"/>
            <w:vAlign w:val="center"/>
          </w:tcPr>
          <w:p w14:paraId="183E2A9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水质汞、砷、硒、铋和锑的测定原子荧光法HJ 694-2014</w:t>
            </w:r>
          </w:p>
        </w:tc>
      </w:tr>
      <w:tr w14:paraId="260DD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1D3230E9">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968" w:type="pct"/>
            <w:vAlign w:val="center"/>
          </w:tcPr>
          <w:p w14:paraId="216DCAD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砷</w:t>
            </w:r>
          </w:p>
        </w:tc>
        <w:tc>
          <w:tcPr>
            <w:tcW w:w="3721" w:type="pct"/>
            <w:vAlign w:val="center"/>
          </w:tcPr>
          <w:p w14:paraId="79F50C2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水质汞、砷、硒、铋和锑的测定原子荧光法HJ 694-2014</w:t>
            </w:r>
          </w:p>
        </w:tc>
      </w:tr>
      <w:tr w14:paraId="6995B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1F6704F3">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968" w:type="pct"/>
            <w:vAlign w:val="center"/>
          </w:tcPr>
          <w:p w14:paraId="617A2DD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镉</w:t>
            </w:r>
          </w:p>
        </w:tc>
        <w:tc>
          <w:tcPr>
            <w:tcW w:w="3721" w:type="pct"/>
            <w:vAlign w:val="center"/>
          </w:tcPr>
          <w:p w14:paraId="5230BAB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水质铜、锌、铅、镉的测定原子吸收分光光度法(第二部分螯合萃取法)</w:t>
            </w:r>
          </w:p>
          <w:p w14:paraId="5C2CC0C4">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GB 7475-87</w:t>
            </w:r>
          </w:p>
        </w:tc>
      </w:tr>
      <w:tr w14:paraId="5663D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0471E42C">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968" w:type="pct"/>
            <w:vAlign w:val="center"/>
          </w:tcPr>
          <w:p w14:paraId="3B3BD62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铬(六价)</w:t>
            </w:r>
          </w:p>
        </w:tc>
        <w:tc>
          <w:tcPr>
            <w:tcW w:w="3721" w:type="pct"/>
            <w:vAlign w:val="center"/>
          </w:tcPr>
          <w:p w14:paraId="31F7106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水质六价铬的测定二苯碳酰二肼分光光度法GB 7467-87</w:t>
            </w:r>
          </w:p>
        </w:tc>
      </w:tr>
      <w:tr w14:paraId="65356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679950C">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968" w:type="pct"/>
            <w:vAlign w:val="center"/>
          </w:tcPr>
          <w:p w14:paraId="1544861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铅</w:t>
            </w:r>
          </w:p>
        </w:tc>
        <w:tc>
          <w:tcPr>
            <w:tcW w:w="3721" w:type="pct"/>
            <w:vAlign w:val="center"/>
          </w:tcPr>
          <w:p w14:paraId="17D5B95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水质铜、锌、铅、镉的测定原子吸收分光光度法(第二部分螯合萃取法) GB 7475-87</w:t>
            </w:r>
          </w:p>
        </w:tc>
      </w:tr>
      <w:tr w14:paraId="3D3FC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25EC816C">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968" w:type="pct"/>
            <w:vAlign w:val="center"/>
          </w:tcPr>
          <w:p w14:paraId="2728DF6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溶解性总固体</w:t>
            </w:r>
          </w:p>
        </w:tc>
        <w:tc>
          <w:tcPr>
            <w:tcW w:w="3721" w:type="pct"/>
            <w:vAlign w:val="center"/>
          </w:tcPr>
          <w:p w14:paraId="2F8D6C3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生活饮用水标准检验方法第4部分：感官性状和物理指标(11.1溶解性总固体称量法)GB/T 5750.4-2023</w:t>
            </w:r>
          </w:p>
        </w:tc>
      </w:tr>
      <w:tr w14:paraId="521B6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3FD43707">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968" w:type="pct"/>
            <w:vAlign w:val="center"/>
          </w:tcPr>
          <w:p w14:paraId="22A1ECB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高锰酸盐指数</w:t>
            </w:r>
          </w:p>
        </w:tc>
        <w:tc>
          <w:tcPr>
            <w:tcW w:w="3721" w:type="pct"/>
            <w:vAlign w:val="center"/>
          </w:tcPr>
          <w:p w14:paraId="371803D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水质高锰酸盐指数的测定 GB 11892-89</w:t>
            </w:r>
          </w:p>
        </w:tc>
      </w:tr>
      <w:tr w14:paraId="60A03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58B2FF03">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968" w:type="pct"/>
            <w:vAlign w:val="center"/>
          </w:tcPr>
          <w:p w14:paraId="0AFF81D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钠</w:t>
            </w:r>
          </w:p>
        </w:tc>
        <w:tc>
          <w:tcPr>
            <w:tcW w:w="3721" w:type="pct"/>
            <w:vAlign w:val="center"/>
          </w:tcPr>
          <w:p w14:paraId="3AB5677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生活饮用水标准检验方法第6部分：金属和类金属指标(25.1钠火焰原子</w:t>
            </w:r>
          </w:p>
          <w:p w14:paraId="5D6B9F8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吸收分光光度法)GB/T5750.6-2023</w:t>
            </w:r>
          </w:p>
        </w:tc>
      </w:tr>
      <w:tr w14:paraId="3524A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05A02746">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968" w:type="pct"/>
            <w:vAlign w:val="center"/>
          </w:tcPr>
          <w:p w14:paraId="5D01CC6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甲苯</w:t>
            </w:r>
          </w:p>
        </w:tc>
        <w:tc>
          <w:tcPr>
            <w:tcW w:w="3721" w:type="pct"/>
            <w:vAlign w:val="center"/>
          </w:tcPr>
          <w:p w14:paraId="407FB4A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水质挥发性有机物的测定吹扫捕集/气相色谱-质谱法HJ 639-2012</w:t>
            </w:r>
          </w:p>
        </w:tc>
      </w:tr>
      <w:tr w14:paraId="1D5A5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0B99358D">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968" w:type="pct"/>
            <w:vAlign w:val="center"/>
          </w:tcPr>
          <w:p w14:paraId="487711D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钾</w:t>
            </w:r>
          </w:p>
        </w:tc>
        <w:tc>
          <w:tcPr>
            <w:tcW w:w="3721" w:type="pct"/>
            <w:vAlign w:val="center"/>
          </w:tcPr>
          <w:p w14:paraId="2C262A8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水质钾和钠的测定火焰原子吸收分光光度法GB 11904-89</w:t>
            </w:r>
          </w:p>
        </w:tc>
      </w:tr>
      <w:tr w14:paraId="2521C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11804476">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968" w:type="pct"/>
            <w:vAlign w:val="center"/>
          </w:tcPr>
          <w:p w14:paraId="0C47E5C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钙</w:t>
            </w:r>
          </w:p>
        </w:tc>
        <w:tc>
          <w:tcPr>
            <w:tcW w:w="3721" w:type="pct"/>
            <w:vAlign w:val="center"/>
          </w:tcPr>
          <w:p w14:paraId="410FF71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水质钙和镁的测定原子吸收分光光度法GB 11905-89</w:t>
            </w:r>
          </w:p>
        </w:tc>
      </w:tr>
      <w:tr w14:paraId="79806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55BDCA02">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w:t>
            </w:r>
          </w:p>
        </w:tc>
        <w:tc>
          <w:tcPr>
            <w:tcW w:w="968" w:type="pct"/>
            <w:vAlign w:val="center"/>
          </w:tcPr>
          <w:p w14:paraId="52328BD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镁</w:t>
            </w:r>
          </w:p>
        </w:tc>
        <w:tc>
          <w:tcPr>
            <w:tcW w:w="3721" w:type="pct"/>
            <w:vAlign w:val="center"/>
          </w:tcPr>
          <w:p w14:paraId="66E2F95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水质钙和镁的测定原子吸收分光光度法GB 11905-89</w:t>
            </w:r>
          </w:p>
        </w:tc>
      </w:tr>
      <w:tr w14:paraId="55891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477D016C">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968" w:type="pct"/>
            <w:vAlign w:val="center"/>
          </w:tcPr>
          <w:p w14:paraId="3D71BA8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细菌总数</w:t>
            </w:r>
          </w:p>
        </w:tc>
        <w:tc>
          <w:tcPr>
            <w:tcW w:w="3721" w:type="pct"/>
            <w:vAlign w:val="center"/>
          </w:tcPr>
          <w:p w14:paraId="46E3111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水质细菌总数的测定平皿计数法 HJ 1000-2018</w:t>
            </w:r>
          </w:p>
        </w:tc>
      </w:tr>
      <w:tr w14:paraId="5EF54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10B82220">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w:t>
            </w:r>
          </w:p>
        </w:tc>
        <w:tc>
          <w:tcPr>
            <w:tcW w:w="968" w:type="pct"/>
            <w:vAlign w:val="center"/>
          </w:tcPr>
          <w:p w14:paraId="00FCA2A4">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碳酸盐碱度</w:t>
            </w:r>
          </w:p>
        </w:tc>
        <w:tc>
          <w:tcPr>
            <w:tcW w:w="3721" w:type="pct"/>
            <w:vAlign w:val="center"/>
          </w:tcPr>
          <w:p w14:paraId="2CC8058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水和废水监测分析方法(第四版)国家 环境保护总局(2002年)酸碱指示剂滴定法</w:t>
            </w:r>
          </w:p>
        </w:tc>
      </w:tr>
      <w:tr w14:paraId="71018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0" w:type="dxa"/>
          </w:tblCellMar>
        </w:tblPrEx>
        <w:trPr>
          <w:cantSplit/>
          <w:trHeight w:val="397" w:hRule="atLeast"/>
          <w:jc w:val="center"/>
        </w:trPr>
        <w:tc>
          <w:tcPr>
            <w:tcW w:w="310" w:type="pct"/>
            <w:vAlign w:val="center"/>
          </w:tcPr>
          <w:p w14:paraId="0F52560A">
            <w:pPr>
              <w:widowControl/>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30</w:t>
            </w:r>
          </w:p>
        </w:tc>
        <w:tc>
          <w:tcPr>
            <w:tcW w:w="968" w:type="pct"/>
            <w:vAlign w:val="center"/>
          </w:tcPr>
          <w:p w14:paraId="422065F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重碳酸盐碱度</w:t>
            </w:r>
          </w:p>
        </w:tc>
        <w:tc>
          <w:tcPr>
            <w:tcW w:w="3721" w:type="pct"/>
            <w:vAlign w:val="center"/>
          </w:tcPr>
          <w:p w14:paraId="4BF22D5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水和废水监测分析方法(第四版)国家环境保护总局(2002年)酸碱指示剂滴定法</w:t>
            </w:r>
          </w:p>
        </w:tc>
      </w:tr>
    </w:tbl>
    <w:p w14:paraId="4243CE76">
      <w:pPr>
        <w:pStyle w:val="5"/>
        <w:rPr>
          <w:rFonts w:hint="eastAsia"/>
        </w:rPr>
      </w:pPr>
      <w:r>
        <w:rPr>
          <w:rFonts w:hint="eastAsia"/>
        </w:rPr>
        <w:t>4.</w:t>
      </w:r>
      <w:r>
        <w:rPr>
          <w:rFonts w:hint="eastAsia" w:eastAsia="宋体"/>
          <w:lang w:val="en-US" w:eastAsia="zh-CN"/>
        </w:rPr>
        <w:t>3.5</w:t>
      </w:r>
      <w:r>
        <w:rPr>
          <w:rFonts w:hint="eastAsia"/>
        </w:rPr>
        <w:t>.4地下水监测结果</w:t>
      </w:r>
    </w:p>
    <w:p w14:paraId="6A7CA56F">
      <w:pPr>
        <w:spacing w:line="360" w:lineRule="auto"/>
        <w:jc w:val="center"/>
        <w:textAlignment w:val="center"/>
        <w:rPr>
          <w:rFonts w:hint="eastAsia"/>
          <w:b/>
          <w:bCs/>
        </w:rPr>
      </w:pPr>
      <w:r>
        <w:rPr>
          <w:rFonts w:hint="eastAsia"/>
          <w:b/>
          <w:bCs/>
        </w:rPr>
        <w:t>表4.2-13  地下水现状监测结果统计表</w:t>
      </w:r>
    </w:p>
    <w:tbl>
      <w:tblPr>
        <w:tblStyle w:val="53"/>
        <w:tblW w:w="5077"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1743"/>
        <w:gridCol w:w="1263"/>
        <w:gridCol w:w="1366"/>
        <w:gridCol w:w="1479"/>
        <w:gridCol w:w="1802"/>
        <w:gridCol w:w="1258"/>
      </w:tblGrid>
      <w:tr w14:paraId="13BF035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1CD592AD">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检测项目</w:t>
            </w:r>
          </w:p>
        </w:tc>
        <w:tc>
          <w:tcPr>
            <w:tcW w:w="710" w:type="pct"/>
            <w:vAlign w:val="center"/>
          </w:tcPr>
          <w:p w14:paraId="7BA41786">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单位</w:t>
            </w:r>
          </w:p>
        </w:tc>
        <w:tc>
          <w:tcPr>
            <w:tcW w:w="2610" w:type="pct"/>
            <w:gridSpan w:val="3"/>
            <w:vAlign w:val="center"/>
          </w:tcPr>
          <w:p w14:paraId="1627716C">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采样点位及检测结果</w:t>
            </w:r>
          </w:p>
        </w:tc>
        <w:tc>
          <w:tcPr>
            <w:tcW w:w="701" w:type="pct"/>
            <w:vAlign w:val="center"/>
          </w:tcPr>
          <w:p w14:paraId="64F95BF1">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限值</w:t>
            </w:r>
          </w:p>
        </w:tc>
      </w:tr>
      <w:tr w14:paraId="4CD8158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0276D83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bCs/>
                <w:color w:val="auto"/>
                <w:sz w:val="21"/>
                <w:szCs w:val="21"/>
              </w:rPr>
            </w:pPr>
            <w:r>
              <w:rPr>
                <w:rFonts w:hint="default" w:ascii="Times New Roman" w:hAnsi="Times New Roman" w:cs="Times New Roman"/>
                <w:b/>
                <w:bCs w:val="0"/>
                <w:color w:val="auto"/>
                <w:sz w:val="21"/>
                <w:szCs w:val="21"/>
              </w:rPr>
              <w:t>/</w:t>
            </w:r>
          </w:p>
        </w:tc>
        <w:tc>
          <w:tcPr>
            <w:tcW w:w="710" w:type="pct"/>
            <w:vAlign w:val="center"/>
          </w:tcPr>
          <w:p w14:paraId="3F8932F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767" w:type="pct"/>
            <w:vAlign w:val="center"/>
          </w:tcPr>
          <w:p w14:paraId="264C089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w:t>
            </w:r>
            <w:r>
              <w:rPr>
                <w:rFonts w:hint="eastAsia" w:ascii="Times New Roman" w:hAnsi="Times New Roman" w:cs="Times New Roman"/>
                <w:bCs/>
                <w:color w:val="auto"/>
                <w:sz w:val="21"/>
                <w:szCs w:val="21"/>
                <w:lang w:val="en-US" w:eastAsia="zh-CN"/>
              </w:rPr>
              <w:t>上游水井</w:t>
            </w:r>
          </w:p>
        </w:tc>
        <w:tc>
          <w:tcPr>
            <w:tcW w:w="830" w:type="pct"/>
            <w:vAlign w:val="center"/>
          </w:tcPr>
          <w:p w14:paraId="3D27F12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w:t>
            </w:r>
            <w:r>
              <w:rPr>
                <w:rFonts w:hint="eastAsia" w:ascii="Times New Roman" w:hAnsi="Times New Roman" w:cs="Times New Roman"/>
                <w:bCs/>
                <w:color w:val="auto"/>
                <w:sz w:val="21"/>
                <w:szCs w:val="21"/>
                <w:lang w:val="en-US" w:eastAsia="zh-CN"/>
              </w:rPr>
              <w:t>#鸿展</w:t>
            </w:r>
            <w:r>
              <w:rPr>
                <w:rFonts w:hint="default" w:ascii="Times New Roman" w:hAnsi="Times New Roman" w:cs="Times New Roman"/>
                <w:bCs/>
                <w:color w:val="auto"/>
                <w:sz w:val="21"/>
                <w:szCs w:val="21"/>
              </w:rPr>
              <w:t>水井</w:t>
            </w:r>
          </w:p>
        </w:tc>
        <w:tc>
          <w:tcPr>
            <w:tcW w:w="1012" w:type="pct"/>
            <w:vAlign w:val="center"/>
          </w:tcPr>
          <w:p w14:paraId="7FDFA4B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w:t>
            </w:r>
            <w:r>
              <w:rPr>
                <w:rFonts w:hint="eastAsia" w:ascii="Times New Roman" w:hAnsi="Times New Roman" w:cs="Times New Roman"/>
                <w:bCs/>
                <w:color w:val="auto"/>
                <w:sz w:val="21"/>
                <w:szCs w:val="21"/>
                <w:lang w:val="en-US" w:eastAsia="zh-CN"/>
              </w:rPr>
              <w:t>下游水井</w:t>
            </w:r>
          </w:p>
        </w:tc>
        <w:tc>
          <w:tcPr>
            <w:tcW w:w="701" w:type="pct"/>
            <w:vAlign w:val="center"/>
          </w:tcPr>
          <w:p w14:paraId="3306FF0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r>
      <w:tr w14:paraId="6360752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1A5C00EB">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pH</w:t>
            </w:r>
          </w:p>
        </w:tc>
        <w:tc>
          <w:tcPr>
            <w:tcW w:w="710" w:type="pct"/>
            <w:vAlign w:val="center"/>
          </w:tcPr>
          <w:p w14:paraId="789164C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无量纲</w:t>
            </w:r>
          </w:p>
        </w:tc>
        <w:tc>
          <w:tcPr>
            <w:tcW w:w="1366" w:type="dxa"/>
            <w:vAlign w:val="center"/>
          </w:tcPr>
          <w:p w14:paraId="34577D6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7.0</w:t>
            </w:r>
          </w:p>
        </w:tc>
        <w:tc>
          <w:tcPr>
            <w:tcW w:w="1479" w:type="dxa"/>
            <w:vAlign w:val="center"/>
          </w:tcPr>
          <w:p w14:paraId="6A72E6E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7.2</w:t>
            </w:r>
          </w:p>
        </w:tc>
        <w:tc>
          <w:tcPr>
            <w:tcW w:w="1802" w:type="dxa"/>
            <w:vAlign w:val="center"/>
          </w:tcPr>
          <w:p w14:paraId="70F9DAC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7.0</w:t>
            </w:r>
          </w:p>
        </w:tc>
        <w:tc>
          <w:tcPr>
            <w:tcW w:w="1248" w:type="dxa"/>
            <w:vAlign w:val="center"/>
          </w:tcPr>
          <w:p w14:paraId="4D2E74B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6.5-8.5</w:t>
            </w:r>
          </w:p>
        </w:tc>
      </w:tr>
      <w:tr w14:paraId="0447C34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51130E39">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总硬度</w:t>
            </w:r>
          </w:p>
        </w:tc>
        <w:tc>
          <w:tcPr>
            <w:tcW w:w="710" w:type="pct"/>
            <w:vAlign w:val="center"/>
          </w:tcPr>
          <w:p w14:paraId="667828F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5AAE912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106</w:t>
            </w:r>
          </w:p>
        </w:tc>
        <w:tc>
          <w:tcPr>
            <w:tcW w:w="1479" w:type="dxa"/>
            <w:vAlign w:val="center"/>
          </w:tcPr>
          <w:p w14:paraId="1E7E68D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rPr>
            </w:pPr>
            <w:r>
              <w:rPr>
                <w:rFonts w:hint="default" w:ascii="Times New Roman" w:hAnsi="Times New Roman" w:cs="Times New Roman"/>
                <w:bCs/>
                <w:color w:val="auto"/>
                <w:sz w:val="21"/>
                <w:szCs w:val="21"/>
              </w:rPr>
              <w:t>152</w:t>
            </w:r>
          </w:p>
        </w:tc>
        <w:tc>
          <w:tcPr>
            <w:tcW w:w="1802" w:type="dxa"/>
            <w:vAlign w:val="center"/>
          </w:tcPr>
          <w:p w14:paraId="6BFA668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248</w:t>
            </w:r>
          </w:p>
        </w:tc>
        <w:tc>
          <w:tcPr>
            <w:tcW w:w="1248" w:type="dxa"/>
            <w:vAlign w:val="center"/>
          </w:tcPr>
          <w:p w14:paraId="7A0146A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450</w:t>
            </w:r>
          </w:p>
        </w:tc>
      </w:tr>
      <w:tr w14:paraId="7FBDB0C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20" w:hRule="atLeast"/>
          <w:jc w:val="center"/>
        </w:trPr>
        <w:tc>
          <w:tcPr>
            <w:tcW w:w="977" w:type="pct"/>
            <w:vAlign w:val="center"/>
          </w:tcPr>
          <w:p w14:paraId="08224EE7">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硫酸盐</w:t>
            </w:r>
          </w:p>
        </w:tc>
        <w:tc>
          <w:tcPr>
            <w:tcW w:w="710" w:type="pct"/>
            <w:vAlign w:val="center"/>
          </w:tcPr>
          <w:p w14:paraId="0209DF4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203DB65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eastAsia="zh-CN"/>
              </w:rPr>
            </w:pPr>
            <w:r>
              <w:rPr>
                <w:rFonts w:hint="default" w:ascii="Times New Roman" w:hAnsi="Times New Roman" w:cs="Times New Roman"/>
                <w:bCs/>
                <w:color w:val="auto"/>
                <w:sz w:val="21"/>
                <w:szCs w:val="21"/>
              </w:rPr>
              <w:t>1.24</w:t>
            </w:r>
          </w:p>
        </w:tc>
        <w:tc>
          <w:tcPr>
            <w:tcW w:w="1479" w:type="dxa"/>
            <w:vAlign w:val="center"/>
          </w:tcPr>
          <w:p w14:paraId="090B01B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eastAsia="zh-CN"/>
              </w:rPr>
            </w:pPr>
            <w:r>
              <w:rPr>
                <w:rFonts w:hint="default" w:ascii="Times New Roman" w:hAnsi="Times New Roman" w:cs="Times New Roman"/>
                <w:bCs/>
                <w:color w:val="auto"/>
                <w:sz w:val="21"/>
                <w:szCs w:val="21"/>
              </w:rPr>
              <w:t>10.5</w:t>
            </w:r>
          </w:p>
        </w:tc>
        <w:tc>
          <w:tcPr>
            <w:tcW w:w="1802" w:type="dxa"/>
            <w:vAlign w:val="center"/>
          </w:tcPr>
          <w:p w14:paraId="73ADC65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eastAsia="zh-CN"/>
              </w:rPr>
            </w:pPr>
            <w:r>
              <w:rPr>
                <w:rFonts w:hint="default" w:ascii="Times New Roman" w:hAnsi="Times New Roman" w:cs="Times New Roman"/>
                <w:bCs/>
                <w:color w:val="auto"/>
                <w:sz w:val="21"/>
                <w:szCs w:val="21"/>
              </w:rPr>
              <w:t>20.5</w:t>
            </w:r>
          </w:p>
        </w:tc>
        <w:tc>
          <w:tcPr>
            <w:tcW w:w="1248" w:type="dxa"/>
            <w:vAlign w:val="center"/>
          </w:tcPr>
          <w:p w14:paraId="32E8DF5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250</w:t>
            </w:r>
          </w:p>
        </w:tc>
      </w:tr>
      <w:tr w14:paraId="3625ED3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5A3ABB00">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氯化物</w:t>
            </w:r>
          </w:p>
        </w:tc>
        <w:tc>
          <w:tcPr>
            <w:tcW w:w="710" w:type="pct"/>
            <w:vAlign w:val="center"/>
          </w:tcPr>
          <w:p w14:paraId="5039978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3121445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0.906</w:t>
            </w:r>
          </w:p>
        </w:tc>
        <w:tc>
          <w:tcPr>
            <w:tcW w:w="1479" w:type="dxa"/>
            <w:vAlign w:val="center"/>
          </w:tcPr>
          <w:p w14:paraId="11FB0E8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10.6</w:t>
            </w:r>
          </w:p>
        </w:tc>
        <w:tc>
          <w:tcPr>
            <w:tcW w:w="1802" w:type="dxa"/>
            <w:vAlign w:val="center"/>
          </w:tcPr>
          <w:p w14:paraId="30A6253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36.0</w:t>
            </w:r>
          </w:p>
        </w:tc>
        <w:tc>
          <w:tcPr>
            <w:tcW w:w="1248" w:type="dxa"/>
            <w:vAlign w:val="center"/>
          </w:tcPr>
          <w:p w14:paraId="75183D7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250</w:t>
            </w:r>
          </w:p>
        </w:tc>
      </w:tr>
      <w:tr w14:paraId="4FE7995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5B5F8EC1">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氨氮</w:t>
            </w:r>
          </w:p>
        </w:tc>
        <w:tc>
          <w:tcPr>
            <w:tcW w:w="710" w:type="pct"/>
            <w:vAlign w:val="center"/>
          </w:tcPr>
          <w:p w14:paraId="166A143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04160C1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0.040</w:t>
            </w:r>
          </w:p>
        </w:tc>
        <w:tc>
          <w:tcPr>
            <w:tcW w:w="1479" w:type="dxa"/>
            <w:vAlign w:val="center"/>
          </w:tcPr>
          <w:p w14:paraId="1F99E3F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0.044</w:t>
            </w:r>
          </w:p>
        </w:tc>
        <w:tc>
          <w:tcPr>
            <w:tcW w:w="1802" w:type="dxa"/>
            <w:vAlign w:val="center"/>
          </w:tcPr>
          <w:p w14:paraId="5F85F81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0.061</w:t>
            </w:r>
          </w:p>
        </w:tc>
        <w:tc>
          <w:tcPr>
            <w:tcW w:w="1248" w:type="dxa"/>
            <w:vAlign w:val="center"/>
          </w:tcPr>
          <w:p w14:paraId="189E010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0.50</w:t>
            </w:r>
          </w:p>
        </w:tc>
      </w:tr>
      <w:tr w14:paraId="5684F86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0EBC97AB">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氟化物</w:t>
            </w:r>
          </w:p>
        </w:tc>
        <w:tc>
          <w:tcPr>
            <w:tcW w:w="710" w:type="pct"/>
            <w:vAlign w:val="center"/>
          </w:tcPr>
          <w:p w14:paraId="3511858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735ED27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0.376</w:t>
            </w:r>
          </w:p>
        </w:tc>
        <w:tc>
          <w:tcPr>
            <w:tcW w:w="1479" w:type="dxa"/>
            <w:vAlign w:val="center"/>
          </w:tcPr>
          <w:p w14:paraId="51DEE4C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0.251</w:t>
            </w:r>
          </w:p>
        </w:tc>
        <w:tc>
          <w:tcPr>
            <w:tcW w:w="1802" w:type="dxa"/>
            <w:vAlign w:val="center"/>
          </w:tcPr>
          <w:p w14:paraId="754902C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0.492</w:t>
            </w:r>
          </w:p>
        </w:tc>
        <w:tc>
          <w:tcPr>
            <w:tcW w:w="1248" w:type="dxa"/>
            <w:vAlign w:val="center"/>
          </w:tcPr>
          <w:p w14:paraId="184AB60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1.0</w:t>
            </w:r>
          </w:p>
        </w:tc>
      </w:tr>
      <w:tr w14:paraId="48DACCE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6FE1285E">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总大肠菌群</w:t>
            </w:r>
          </w:p>
        </w:tc>
        <w:tc>
          <w:tcPr>
            <w:tcW w:w="710" w:type="pct"/>
            <w:vAlign w:val="center"/>
          </w:tcPr>
          <w:p w14:paraId="312712A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MPN/100ml</w:t>
            </w:r>
          </w:p>
        </w:tc>
        <w:tc>
          <w:tcPr>
            <w:tcW w:w="1366" w:type="dxa"/>
            <w:vAlign w:val="center"/>
          </w:tcPr>
          <w:p w14:paraId="70412D4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2L</w:t>
            </w:r>
          </w:p>
        </w:tc>
        <w:tc>
          <w:tcPr>
            <w:tcW w:w="1479" w:type="dxa"/>
            <w:vAlign w:val="center"/>
          </w:tcPr>
          <w:p w14:paraId="2619F47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2L</w:t>
            </w:r>
          </w:p>
        </w:tc>
        <w:tc>
          <w:tcPr>
            <w:tcW w:w="1802" w:type="dxa"/>
            <w:vAlign w:val="center"/>
          </w:tcPr>
          <w:p w14:paraId="4420670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2L</w:t>
            </w:r>
          </w:p>
        </w:tc>
        <w:tc>
          <w:tcPr>
            <w:tcW w:w="1248" w:type="dxa"/>
            <w:vAlign w:val="center"/>
          </w:tcPr>
          <w:p w14:paraId="4CB6FA7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3.0</w:t>
            </w:r>
          </w:p>
        </w:tc>
      </w:tr>
      <w:tr w14:paraId="74EB46A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0C6D58F6">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挥发性酚类</w:t>
            </w:r>
          </w:p>
        </w:tc>
        <w:tc>
          <w:tcPr>
            <w:tcW w:w="1265" w:type="dxa"/>
            <w:vAlign w:val="center"/>
          </w:tcPr>
          <w:p w14:paraId="0A7BF4C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536483C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0.0003L</w:t>
            </w:r>
          </w:p>
        </w:tc>
        <w:tc>
          <w:tcPr>
            <w:tcW w:w="1479" w:type="dxa"/>
            <w:vAlign w:val="center"/>
          </w:tcPr>
          <w:p w14:paraId="21ED953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0.0003L</w:t>
            </w:r>
          </w:p>
        </w:tc>
        <w:tc>
          <w:tcPr>
            <w:tcW w:w="1802" w:type="dxa"/>
            <w:vAlign w:val="center"/>
          </w:tcPr>
          <w:p w14:paraId="422C5C2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0.0003L</w:t>
            </w:r>
          </w:p>
        </w:tc>
        <w:tc>
          <w:tcPr>
            <w:tcW w:w="1248" w:type="dxa"/>
            <w:vAlign w:val="center"/>
          </w:tcPr>
          <w:p w14:paraId="3483192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0.002</w:t>
            </w:r>
          </w:p>
        </w:tc>
      </w:tr>
      <w:tr w14:paraId="11AC8B2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13C316FC">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硝酸盐(以N计)</w:t>
            </w:r>
          </w:p>
        </w:tc>
        <w:tc>
          <w:tcPr>
            <w:tcW w:w="1265" w:type="dxa"/>
            <w:vAlign w:val="center"/>
          </w:tcPr>
          <w:p w14:paraId="2526D38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58ABCC2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1.58</w:t>
            </w:r>
          </w:p>
        </w:tc>
        <w:tc>
          <w:tcPr>
            <w:tcW w:w="1479" w:type="dxa"/>
            <w:vAlign w:val="center"/>
          </w:tcPr>
          <w:p w14:paraId="13ACDC8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3.48</w:t>
            </w:r>
          </w:p>
        </w:tc>
        <w:tc>
          <w:tcPr>
            <w:tcW w:w="1802" w:type="dxa"/>
            <w:vAlign w:val="center"/>
          </w:tcPr>
          <w:p w14:paraId="089FE0A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18.1</w:t>
            </w:r>
          </w:p>
        </w:tc>
        <w:tc>
          <w:tcPr>
            <w:tcW w:w="1248" w:type="dxa"/>
            <w:vAlign w:val="center"/>
          </w:tcPr>
          <w:p w14:paraId="67E66BC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20.0</w:t>
            </w:r>
          </w:p>
        </w:tc>
      </w:tr>
      <w:tr w14:paraId="2F59888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0AF20740">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亚硝酸盐(以N计)</w:t>
            </w:r>
          </w:p>
        </w:tc>
        <w:tc>
          <w:tcPr>
            <w:tcW w:w="1265" w:type="dxa"/>
            <w:vAlign w:val="center"/>
          </w:tcPr>
          <w:p w14:paraId="634E316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1A672BC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0.003L</w:t>
            </w:r>
          </w:p>
        </w:tc>
        <w:tc>
          <w:tcPr>
            <w:tcW w:w="1479" w:type="dxa"/>
            <w:vAlign w:val="center"/>
          </w:tcPr>
          <w:p w14:paraId="547E680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0.003L</w:t>
            </w:r>
          </w:p>
        </w:tc>
        <w:tc>
          <w:tcPr>
            <w:tcW w:w="1802" w:type="dxa"/>
            <w:vAlign w:val="center"/>
          </w:tcPr>
          <w:p w14:paraId="7B445B64">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0.003L</w:t>
            </w:r>
          </w:p>
        </w:tc>
        <w:tc>
          <w:tcPr>
            <w:tcW w:w="1248" w:type="dxa"/>
            <w:vAlign w:val="center"/>
          </w:tcPr>
          <w:p w14:paraId="263A4F1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1.00</w:t>
            </w:r>
          </w:p>
        </w:tc>
      </w:tr>
      <w:tr w14:paraId="4C67B5D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56AD3845">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铁</w:t>
            </w:r>
          </w:p>
        </w:tc>
        <w:tc>
          <w:tcPr>
            <w:tcW w:w="1265" w:type="dxa"/>
            <w:vAlign w:val="center"/>
          </w:tcPr>
          <w:p w14:paraId="28A49EF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35290EC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0.13</w:t>
            </w:r>
          </w:p>
        </w:tc>
        <w:tc>
          <w:tcPr>
            <w:tcW w:w="1479" w:type="dxa"/>
            <w:vAlign w:val="center"/>
          </w:tcPr>
          <w:p w14:paraId="206BBCB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0.07</w:t>
            </w:r>
          </w:p>
        </w:tc>
        <w:tc>
          <w:tcPr>
            <w:tcW w:w="1802" w:type="dxa"/>
            <w:vAlign w:val="center"/>
          </w:tcPr>
          <w:p w14:paraId="4F39817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0.11</w:t>
            </w:r>
          </w:p>
        </w:tc>
        <w:tc>
          <w:tcPr>
            <w:tcW w:w="1248" w:type="dxa"/>
            <w:vAlign w:val="center"/>
          </w:tcPr>
          <w:p w14:paraId="07B6EAA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0.3</w:t>
            </w:r>
          </w:p>
        </w:tc>
      </w:tr>
      <w:tr w14:paraId="5A7633A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1BD154A6">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锰</w:t>
            </w:r>
          </w:p>
        </w:tc>
        <w:tc>
          <w:tcPr>
            <w:tcW w:w="1265" w:type="dxa"/>
            <w:vAlign w:val="center"/>
          </w:tcPr>
          <w:p w14:paraId="14773F9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16D841B4">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0.08</w:t>
            </w:r>
          </w:p>
        </w:tc>
        <w:tc>
          <w:tcPr>
            <w:tcW w:w="1479" w:type="dxa"/>
            <w:vAlign w:val="center"/>
          </w:tcPr>
          <w:p w14:paraId="687547E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0.01L</w:t>
            </w:r>
          </w:p>
        </w:tc>
        <w:tc>
          <w:tcPr>
            <w:tcW w:w="1802" w:type="dxa"/>
            <w:vAlign w:val="center"/>
          </w:tcPr>
          <w:p w14:paraId="5D8EC6E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0.01L</w:t>
            </w:r>
          </w:p>
        </w:tc>
        <w:tc>
          <w:tcPr>
            <w:tcW w:w="1248" w:type="dxa"/>
            <w:vAlign w:val="center"/>
          </w:tcPr>
          <w:p w14:paraId="5C0F7A2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0.10</w:t>
            </w:r>
          </w:p>
        </w:tc>
      </w:tr>
      <w:tr w14:paraId="5462861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229E9716">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铜</w:t>
            </w:r>
          </w:p>
        </w:tc>
        <w:tc>
          <w:tcPr>
            <w:tcW w:w="1265" w:type="dxa"/>
            <w:vAlign w:val="center"/>
          </w:tcPr>
          <w:p w14:paraId="2DF914A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718EC1D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479" w:type="dxa"/>
            <w:vAlign w:val="center"/>
          </w:tcPr>
          <w:p w14:paraId="7A980EE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802" w:type="dxa"/>
            <w:vAlign w:val="center"/>
          </w:tcPr>
          <w:p w14:paraId="638308F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248" w:type="dxa"/>
            <w:vAlign w:val="center"/>
          </w:tcPr>
          <w:p w14:paraId="00796CF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1.00</w:t>
            </w:r>
          </w:p>
        </w:tc>
      </w:tr>
      <w:tr w14:paraId="53432F5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3A0ED778">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锌</w:t>
            </w:r>
          </w:p>
        </w:tc>
        <w:tc>
          <w:tcPr>
            <w:tcW w:w="1265" w:type="dxa"/>
            <w:vAlign w:val="center"/>
          </w:tcPr>
          <w:p w14:paraId="273FAA7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030D6E2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0.05L</w:t>
            </w:r>
          </w:p>
        </w:tc>
        <w:tc>
          <w:tcPr>
            <w:tcW w:w="1479" w:type="dxa"/>
            <w:vAlign w:val="center"/>
          </w:tcPr>
          <w:p w14:paraId="7962CFE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0.05L</w:t>
            </w:r>
          </w:p>
        </w:tc>
        <w:tc>
          <w:tcPr>
            <w:tcW w:w="1802" w:type="dxa"/>
            <w:vAlign w:val="center"/>
          </w:tcPr>
          <w:p w14:paraId="51B3B0A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0.05L</w:t>
            </w:r>
          </w:p>
        </w:tc>
        <w:tc>
          <w:tcPr>
            <w:tcW w:w="1248" w:type="dxa"/>
            <w:vAlign w:val="center"/>
          </w:tcPr>
          <w:p w14:paraId="10D08ED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1.00</w:t>
            </w:r>
          </w:p>
        </w:tc>
      </w:tr>
      <w:tr w14:paraId="0381819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00321105">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氰化物</w:t>
            </w:r>
          </w:p>
        </w:tc>
        <w:tc>
          <w:tcPr>
            <w:tcW w:w="1265" w:type="dxa"/>
            <w:vAlign w:val="center"/>
          </w:tcPr>
          <w:p w14:paraId="59D3034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1D561B3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479" w:type="dxa"/>
            <w:vAlign w:val="center"/>
          </w:tcPr>
          <w:p w14:paraId="7E66185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802" w:type="dxa"/>
            <w:vAlign w:val="center"/>
          </w:tcPr>
          <w:p w14:paraId="6C81A39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248" w:type="dxa"/>
            <w:vAlign w:val="center"/>
          </w:tcPr>
          <w:p w14:paraId="0AA7E96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0.05</w:t>
            </w:r>
          </w:p>
        </w:tc>
      </w:tr>
      <w:tr w14:paraId="1A76146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36B8F815">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汞</w:t>
            </w:r>
          </w:p>
        </w:tc>
        <w:tc>
          <w:tcPr>
            <w:tcW w:w="1265" w:type="dxa"/>
            <w:vAlign w:val="center"/>
          </w:tcPr>
          <w:p w14:paraId="6A6E9F3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4D4734F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0.00004L</w:t>
            </w:r>
          </w:p>
        </w:tc>
        <w:tc>
          <w:tcPr>
            <w:tcW w:w="1479" w:type="dxa"/>
            <w:vAlign w:val="center"/>
          </w:tcPr>
          <w:p w14:paraId="722AD3E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0.00004L</w:t>
            </w:r>
          </w:p>
        </w:tc>
        <w:tc>
          <w:tcPr>
            <w:tcW w:w="1802" w:type="dxa"/>
            <w:vAlign w:val="center"/>
          </w:tcPr>
          <w:p w14:paraId="564132C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0.00004L</w:t>
            </w:r>
          </w:p>
        </w:tc>
        <w:tc>
          <w:tcPr>
            <w:tcW w:w="1248" w:type="dxa"/>
            <w:vAlign w:val="center"/>
          </w:tcPr>
          <w:p w14:paraId="6807425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w:t>
            </w:r>
          </w:p>
        </w:tc>
      </w:tr>
      <w:tr w14:paraId="69A4FDF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385BB5EA">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砷</w:t>
            </w:r>
          </w:p>
        </w:tc>
        <w:tc>
          <w:tcPr>
            <w:tcW w:w="1265" w:type="dxa"/>
            <w:vAlign w:val="center"/>
          </w:tcPr>
          <w:p w14:paraId="1E25F7E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43F670F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0.0003L</w:t>
            </w:r>
          </w:p>
        </w:tc>
        <w:tc>
          <w:tcPr>
            <w:tcW w:w="1479" w:type="dxa"/>
            <w:vAlign w:val="center"/>
          </w:tcPr>
          <w:p w14:paraId="551AC53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0.0003L</w:t>
            </w:r>
          </w:p>
        </w:tc>
        <w:tc>
          <w:tcPr>
            <w:tcW w:w="1802" w:type="dxa"/>
            <w:vAlign w:val="center"/>
          </w:tcPr>
          <w:p w14:paraId="638C4D34">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0.0003L</w:t>
            </w:r>
          </w:p>
        </w:tc>
        <w:tc>
          <w:tcPr>
            <w:tcW w:w="1248" w:type="dxa"/>
            <w:vAlign w:val="center"/>
          </w:tcPr>
          <w:p w14:paraId="46E6751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0.01</w:t>
            </w:r>
          </w:p>
        </w:tc>
      </w:tr>
      <w:tr w14:paraId="7E40668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22BEB0EC">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镉</w:t>
            </w:r>
          </w:p>
        </w:tc>
        <w:tc>
          <w:tcPr>
            <w:tcW w:w="1265" w:type="dxa"/>
            <w:vAlign w:val="center"/>
          </w:tcPr>
          <w:p w14:paraId="6337968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7F96002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479" w:type="dxa"/>
            <w:vAlign w:val="center"/>
          </w:tcPr>
          <w:p w14:paraId="3A76CB4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802" w:type="dxa"/>
            <w:vAlign w:val="center"/>
          </w:tcPr>
          <w:p w14:paraId="77ED14E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0.001L</w:t>
            </w:r>
          </w:p>
        </w:tc>
        <w:tc>
          <w:tcPr>
            <w:tcW w:w="1248" w:type="dxa"/>
            <w:vAlign w:val="center"/>
          </w:tcPr>
          <w:p w14:paraId="1804742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0.005</w:t>
            </w:r>
          </w:p>
        </w:tc>
      </w:tr>
      <w:tr w14:paraId="752443D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53015881">
            <w:pPr>
              <w:pStyle w:val="385"/>
              <w:autoSpaceDE w:val="0"/>
              <w:autoSpaceDN w:val="0"/>
              <w:adjustRightIn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铬(六价)</w:t>
            </w:r>
          </w:p>
        </w:tc>
        <w:tc>
          <w:tcPr>
            <w:tcW w:w="1265" w:type="dxa"/>
            <w:vAlign w:val="center"/>
          </w:tcPr>
          <w:p w14:paraId="43AC389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mg/L</w:t>
            </w:r>
          </w:p>
        </w:tc>
        <w:tc>
          <w:tcPr>
            <w:tcW w:w="1366" w:type="dxa"/>
            <w:vAlign w:val="center"/>
          </w:tcPr>
          <w:p w14:paraId="47D2A55E">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0.004L</w:t>
            </w:r>
          </w:p>
        </w:tc>
        <w:tc>
          <w:tcPr>
            <w:tcW w:w="1479" w:type="dxa"/>
            <w:vAlign w:val="center"/>
          </w:tcPr>
          <w:p w14:paraId="54C6C05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0.004L</w:t>
            </w:r>
          </w:p>
        </w:tc>
        <w:tc>
          <w:tcPr>
            <w:tcW w:w="1802" w:type="dxa"/>
            <w:vAlign w:val="center"/>
          </w:tcPr>
          <w:p w14:paraId="261AE9D4">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0.004L</w:t>
            </w:r>
          </w:p>
        </w:tc>
        <w:tc>
          <w:tcPr>
            <w:tcW w:w="1248" w:type="dxa"/>
            <w:vAlign w:val="center"/>
          </w:tcPr>
          <w:p w14:paraId="5D61D38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0.05</w:t>
            </w:r>
          </w:p>
        </w:tc>
      </w:tr>
      <w:tr w14:paraId="363BFCD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82" w:hRule="atLeast"/>
          <w:jc w:val="center"/>
        </w:trPr>
        <w:tc>
          <w:tcPr>
            <w:tcW w:w="977" w:type="pct"/>
            <w:vAlign w:val="center"/>
          </w:tcPr>
          <w:p w14:paraId="0298935C">
            <w:pPr>
              <w:pStyle w:val="385"/>
              <w:autoSpaceDE w:val="0"/>
              <w:autoSpaceDN w:val="0"/>
              <w:adjustRightIn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铅</w:t>
            </w:r>
          </w:p>
        </w:tc>
        <w:tc>
          <w:tcPr>
            <w:tcW w:w="1265" w:type="dxa"/>
            <w:vAlign w:val="center"/>
          </w:tcPr>
          <w:p w14:paraId="1FD2547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mg/L</w:t>
            </w:r>
          </w:p>
        </w:tc>
        <w:tc>
          <w:tcPr>
            <w:tcW w:w="1366" w:type="dxa"/>
            <w:vAlign w:val="center"/>
          </w:tcPr>
          <w:p w14:paraId="6066867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0.01L</w:t>
            </w:r>
          </w:p>
        </w:tc>
        <w:tc>
          <w:tcPr>
            <w:tcW w:w="1479" w:type="dxa"/>
            <w:vAlign w:val="center"/>
          </w:tcPr>
          <w:p w14:paraId="071A45B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0.01L</w:t>
            </w:r>
          </w:p>
        </w:tc>
        <w:tc>
          <w:tcPr>
            <w:tcW w:w="1802" w:type="dxa"/>
            <w:vAlign w:val="center"/>
          </w:tcPr>
          <w:p w14:paraId="323DDCF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0.01L</w:t>
            </w:r>
          </w:p>
        </w:tc>
        <w:tc>
          <w:tcPr>
            <w:tcW w:w="1248" w:type="dxa"/>
            <w:vAlign w:val="center"/>
          </w:tcPr>
          <w:p w14:paraId="75A0003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0.01</w:t>
            </w:r>
          </w:p>
        </w:tc>
      </w:tr>
      <w:tr w14:paraId="2DD67C4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17187E72">
            <w:pPr>
              <w:pStyle w:val="385"/>
              <w:autoSpaceDE w:val="0"/>
              <w:autoSpaceDN w:val="0"/>
              <w:adjustRightIn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溶解性总固体</w:t>
            </w:r>
          </w:p>
        </w:tc>
        <w:tc>
          <w:tcPr>
            <w:tcW w:w="1265" w:type="dxa"/>
            <w:vAlign w:val="center"/>
          </w:tcPr>
          <w:p w14:paraId="79D4CB5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mg/L</w:t>
            </w:r>
          </w:p>
        </w:tc>
        <w:tc>
          <w:tcPr>
            <w:tcW w:w="1366" w:type="dxa"/>
            <w:vAlign w:val="center"/>
          </w:tcPr>
          <w:p w14:paraId="18B941C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387</w:t>
            </w:r>
          </w:p>
        </w:tc>
        <w:tc>
          <w:tcPr>
            <w:tcW w:w="1479" w:type="dxa"/>
            <w:vAlign w:val="center"/>
          </w:tcPr>
          <w:p w14:paraId="0B22D2D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462</w:t>
            </w:r>
          </w:p>
        </w:tc>
        <w:tc>
          <w:tcPr>
            <w:tcW w:w="1802" w:type="dxa"/>
            <w:vAlign w:val="center"/>
          </w:tcPr>
          <w:p w14:paraId="6A233CF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594</w:t>
            </w:r>
          </w:p>
        </w:tc>
        <w:tc>
          <w:tcPr>
            <w:tcW w:w="1248" w:type="dxa"/>
            <w:vAlign w:val="center"/>
          </w:tcPr>
          <w:p w14:paraId="048AF6A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1000</w:t>
            </w:r>
          </w:p>
        </w:tc>
      </w:tr>
      <w:tr w14:paraId="62E32D5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59CE33D5">
            <w:pPr>
              <w:pStyle w:val="385"/>
              <w:autoSpaceDE w:val="0"/>
              <w:autoSpaceDN w:val="0"/>
              <w:adjustRightIn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高锰酸盐指数</w:t>
            </w:r>
          </w:p>
        </w:tc>
        <w:tc>
          <w:tcPr>
            <w:tcW w:w="1265" w:type="dxa"/>
            <w:vAlign w:val="center"/>
          </w:tcPr>
          <w:p w14:paraId="41B8B3E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mg/L</w:t>
            </w:r>
          </w:p>
        </w:tc>
        <w:tc>
          <w:tcPr>
            <w:tcW w:w="1366" w:type="dxa"/>
            <w:vAlign w:val="center"/>
          </w:tcPr>
          <w:p w14:paraId="4B59E07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1.0</w:t>
            </w:r>
          </w:p>
        </w:tc>
        <w:tc>
          <w:tcPr>
            <w:tcW w:w="1479" w:type="dxa"/>
            <w:vAlign w:val="center"/>
          </w:tcPr>
          <w:p w14:paraId="1301EAF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0.9</w:t>
            </w:r>
          </w:p>
        </w:tc>
        <w:tc>
          <w:tcPr>
            <w:tcW w:w="1802" w:type="dxa"/>
            <w:vAlign w:val="center"/>
          </w:tcPr>
          <w:p w14:paraId="1A44557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1.1</w:t>
            </w:r>
          </w:p>
        </w:tc>
        <w:tc>
          <w:tcPr>
            <w:tcW w:w="1248" w:type="dxa"/>
            <w:vAlign w:val="center"/>
          </w:tcPr>
          <w:p w14:paraId="0ABF0B4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3.0</w:t>
            </w:r>
          </w:p>
        </w:tc>
      </w:tr>
      <w:tr w14:paraId="01FF590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07F1A44B">
            <w:pPr>
              <w:pStyle w:val="385"/>
              <w:autoSpaceDE w:val="0"/>
              <w:autoSpaceDN w:val="0"/>
              <w:adjustRightIn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钠</w:t>
            </w:r>
          </w:p>
        </w:tc>
        <w:tc>
          <w:tcPr>
            <w:tcW w:w="1265" w:type="dxa"/>
            <w:vAlign w:val="center"/>
          </w:tcPr>
          <w:p w14:paraId="60CCD62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mg/L</w:t>
            </w:r>
          </w:p>
        </w:tc>
        <w:tc>
          <w:tcPr>
            <w:tcW w:w="1366" w:type="dxa"/>
            <w:vAlign w:val="center"/>
          </w:tcPr>
          <w:p w14:paraId="225C9FB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33.6</w:t>
            </w:r>
          </w:p>
        </w:tc>
        <w:tc>
          <w:tcPr>
            <w:tcW w:w="1479" w:type="dxa"/>
            <w:vAlign w:val="center"/>
          </w:tcPr>
          <w:p w14:paraId="08FF573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31.6</w:t>
            </w:r>
          </w:p>
        </w:tc>
        <w:tc>
          <w:tcPr>
            <w:tcW w:w="1802" w:type="dxa"/>
            <w:vAlign w:val="center"/>
          </w:tcPr>
          <w:p w14:paraId="6AC5EBA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30.6</w:t>
            </w:r>
          </w:p>
        </w:tc>
        <w:tc>
          <w:tcPr>
            <w:tcW w:w="1248" w:type="dxa"/>
            <w:vAlign w:val="center"/>
          </w:tcPr>
          <w:p w14:paraId="3366A9F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200</w:t>
            </w:r>
          </w:p>
        </w:tc>
      </w:tr>
      <w:tr w14:paraId="5D3E4D2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72" w:hRule="atLeast"/>
          <w:jc w:val="center"/>
        </w:trPr>
        <w:tc>
          <w:tcPr>
            <w:tcW w:w="977" w:type="pct"/>
            <w:vAlign w:val="center"/>
          </w:tcPr>
          <w:p w14:paraId="437C7DEA">
            <w:pPr>
              <w:pStyle w:val="385"/>
              <w:autoSpaceDE w:val="0"/>
              <w:autoSpaceDN w:val="0"/>
              <w:adjustRightIn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甲苯</w:t>
            </w:r>
          </w:p>
        </w:tc>
        <w:tc>
          <w:tcPr>
            <w:tcW w:w="1265" w:type="dxa"/>
            <w:vAlign w:val="center"/>
          </w:tcPr>
          <w:p w14:paraId="593A2BC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μg /L</w:t>
            </w:r>
          </w:p>
        </w:tc>
        <w:tc>
          <w:tcPr>
            <w:tcW w:w="1366" w:type="dxa"/>
            <w:vAlign w:val="center"/>
          </w:tcPr>
          <w:p w14:paraId="4CFE63C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1.4L</w:t>
            </w:r>
          </w:p>
        </w:tc>
        <w:tc>
          <w:tcPr>
            <w:tcW w:w="1479" w:type="dxa"/>
            <w:vAlign w:val="center"/>
          </w:tcPr>
          <w:p w14:paraId="646A9D8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1.4L</w:t>
            </w:r>
          </w:p>
        </w:tc>
        <w:tc>
          <w:tcPr>
            <w:tcW w:w="1802" w:type="dxa"/>
            <w:vAlign w:val="center"/>
          </w:tcPr>
          <w:p w14:paraId="71D8A07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1.4L</w:t>
            </w:r>
          </w:p>
        </w:tc>
        <w:tc>
          <w:tcPr>
            <w:tcW w:w="1248" w:type="dxa"/>
            <w:vAlign w:val="center"/>
          </w:tcPr>
          <w:p w14:paraId="3AB2EB99">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700</w:t>
            </w:r>
          </w:p>
        </w:tc>
      </w:tr>
      <w:tr w14:paraId="6EF5464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vAlign w:val="center"/>
          </w:tcPr>
          <w:p w14:paraId="36873EF8">
            <w:pPr>
              <w:pStyle w:val="385"/>
              <w:autoSpaceDE w:val="0"/>
              <w:autoSpaceDN w:val="0"/>
              <w:adjustRightIn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钾</w:t>
            </w:r>
          </w:p>
        </w:tc>
        <w:tc>
          <w:tcPr>
            <w:tcW w:w="1265" w:type="dxa"/>
            <w:vAlign w:val="center"/>
          </w:tcPr>
          <w:p w14:paraId="46DC0BC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mg/L</w:t>
            </w:r>
          </w:p>
        </w:tc>
        <w:tc>
          <w:tcPr>
            <w:tcW w:w="1366" w:type="dxa"/>
            <w:vAlign w:val="center"/>
          </w:tcPr>
          <w:p w14:paraId="7D72650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1.75</w:t>
            </w:r>
          </w:p>
        </w:tc>
        <w:tc>
          <w:tcPr>
            <w:tcW w:w="1479" w:type="dxa"/>
            <w:vAlign w:val="center"/>
          </w:tcPr>
          <w:p w14:paraId="47E3A42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2.46</w:t>
            </w:r>
          </w:p>
        </w:tc>
        <w:tc>
          <w:tcPr>
            <w:tcW w:w="1802" w:type="dxa"/>
            <w:vAlign w:val="center"/>
          </w:tcPr>
          <w:p w14:paraId="245B605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1.75</w:t>
            </w:r>
          </w:p>
        </w:tc>
        <w:tc>
          <w:tcPr>
            <w:tcW w:w="1248" w:type="dxa"/>
            <w:vAlign w:val="center"/>
          </w:tcPr>
          <w:p w14:paraId="183B48F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r>
      <w:tr w14:paraId="147B351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shd w:val="clear" w:color="auto" w:fill="auto"/>
            <w:vAlign w:val="center"/>
          </w:tcPr>
          <w:p w14:paraId="1290E035">
            <w:pPr>
              <w:pStyle w:val="385"/>
              <w:autoSpaceDE w:val="0"/>
              <w:autoSpaceDN w:val="0"/>
              <w:adjustRightInd w:val="0"/>
              <w:jc w:val="center"/>
              <w:rPr>
                <w:rFonts w:hint="default" w:ascii="Times New Roman" w:hAnsi="Times New Roman" w:eastAsia="宋体" w:cs="Times New Roman"/>
                <w:bCs/>
                <w:color w:val="auto"/>
                <w:sz w:val="21"/>
                <w:szCs w:val="21"/>
                <w:lang w:val="en-US" w:eastAsia="en-US"/>
              </w:rPr>
            </w:pPr>
            <w:r>
              <w:rPr>
                <w:rFonts w:hint="default" w:ascii="Times New Roman" w:hAnsi="Times New Roman" w:eastAsia="宋体" w:cs="Times New Roman"/>
                <w:bCs/>
                <w:color w:val="auto"/>
                <w:sz w:val="21"/>
                <w:szCs w:val="21"/>
              </w:rPr>
              <w:t>钙</w:t>
            </w:r>
          </w:p>
        </w:tc>
        <w:tc>
          <w:tcPr>
            <w:tcW w:w="1265" w:type="dxa"/>
            <w:vAlign w:val="center"/>
          </w:tcPr>
          <w:p w14:paraId="2C81C1B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46E6614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32.6</w:t>
            </w:r>
          </w:p>
        </w:tc>
        <w:tc>
          <w:tcPr>
            <w:tcW w:w="1479" w:type="dxa"/>
            <w:vAlign w:val="center"/>
          </w:tcPr>
          <w:p w14:paraId="353E945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43.3</w:t>
            </w:r>
          </w:p>
        </w:tc>
        <w:tc>
          <w:tcPr>
            <w:tcW w:w="1802" w:type="dxa"/>
            <w:vAlign w:val="center"/>
          </w:tcPr>
          <w:p w14:paraId="25F4E8B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55.7</w:t>
            </w:r>
          </w:p>
        </w:tc>
        <w:tc>
          <w:tcPr>
            <w:tcW w:w="1248" w:type="dxa"/>
            <w:vAlign w:val="center"/>
          </w:tcPr>
          <w:p w14:paraId="61A82BC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w:t>
            </w:r>
          </w:p>
        </w:tc>
      </w:tr>
      <w:tr w14:paraId="2B97AD9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shd w:val="clear" w:color="auto" w:fill="auto"/>
            <w:vAlign w:val="center"/>
          </w:tcPr>
          <w:p w14:paraId="79DF52A1">
            <w:pPr>
              <w:pStyle w:val="385"/>
              <w:autoSpaceDE w:val="0"/>
              <w:autoSpaceDN w:val="0"/>
              <w:adjustRightInd w:val="0"/>
              <w:jc w:val="center"/>
              <w:rPr>
                <w:rFonts w:hint="default" w:ascii="Times New Roman" w:hAnsi="Times New Roman" w:eastAsia="宋体" w:cs="Times New Roman"/>
                <w:bCs/>
                <w:color w:val="auto"/>
                <w:sz w:val="21"/>
                <w:szCs w:val="21"/>
                <w:lang w:val="en-US" w:eastAsia="en-US"/>
              </w:rPr>
            </w:pPr>
            <w:r>
              <w:rPr>
                <w:rFonts w:hint="default" w:ascii="Times New Roman" w:hAnsi="Times New Roman" w:eastAsia="宋体" w:cs="Times New Roman"/>
                <w:bCs/>
                <w:color w:val="auto"/>
                <w:sz w:val="21"/>
                <w:szCs w:val="21"/>
              </w:rPr>
              <w:t>镁</w:t>
            </w:r>
          </w:p>
        </w:tc>
        <w:tc>
          <w:tcPr>
            <w:tcW w:w="1265" w:type="dxa"/>
            <w:vAlign w:val="center"/>
          </w:tcPr>
          <w:p w14:paraId="5BC2590C">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6C320EE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8.73</w:t>
            </w:r>
          </w:p>
        </w:tc>
        <w:tc>
          <w:tcPr>
            <w:tcW w:w="1479" w:type="dxa"/>
            <w:vAlign w:val="center"/>
          </w:tcPr>
          <w:p w14:paraId="11428130">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14.0</w:t>
            </w:r>
          </w:p>
        </w:tc>
        <w:tc>
          <w:tcPr>
            <w:tcW w:w="1802" w:type="dxa"/>
            <w:vAlign w:val="center"/>
          </w:tcPr>
          <w:p w14:paraId="69612D65">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23.2</w:t>
            </w:r>
          </w:p>
        </w:tc>
        <w:tc>
          <w:tcPr>
            <w:tcW w:w="1248" w:type="dxa"/>
            <w:vAlign w:val="center"/>
          </w:tcPr>
          <w:p w14:paraId="03E4A48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w:t>
            </w:r>
          </w:p>
        </w:tc>
      </w:tr>
      <w:tr w14:paraId="461CFED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shd w:val="clear" w:color="auto" w:fill="auto"/>
            <w:vAlign w:val="center"/>
          </w:tcPr>
          <w:p w14:paraId="204182F2">
            <w:pPr>
              <w:pStyle w:val="385"/>
              <w:autoSpaceDE w:val="0"/>
              <w:autoSpaceDN w:val="0"/>
              <w:adjustRightInd w:val="0"/>
              <w:jc w:val="center"/>
              <w:rPr>
                <w:rFonts w:hint="default" w:ascii="Times New Roman" w:hAnsi="Times New Roman" w:eastAsia="宋体" w:cs="Times New Roman"/>
                <w:bCs/>
                <w:color w:val="auto"/>
                <w:sz w:val="21"/>
                <w:szCs w:val="21"/>
                <w:lang w:val="en-US" w:eastAsia="en-US"/>
              </w:rPr>
            </w:pPr>
            <w:r>
              <w:rPr>
                <w:rFonts w:hint="default" w:ascii="Times New Roman" w:hAnsi="Times New Roman" w:eastAsia="宋体" w:cs="Times New Roman"/>
                <w:bCs/>
                <w:color w:val="auto"/>
                <w:sz w:val="21"/>
                <w:szCs w:val="21"/>
              </w:rPr>
              <w:t>细菌总数</w:t>
            </w:r>
          </w:p>
        </w:tc>
        <w:tc>
          <w:tcPr>
            <w:tcW w:w="1265" w:type="dxa"/>
            <w:vAlign w:val="center"/>
          </w:tcPr>
          <w:p w14:paraId="7FC3F376">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CFU/mL</w:t>
            </w:r>
          </w:p>
        </w:tc>
        <w:tc>
          <w:tcPr>
            <w:tcW w:w="1366" w:type="dxa"/>
            <w:vAlign w:val="center"/>
          </w:tcPr>
          <w:p w14:paraId="1428BBB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8</w:t>
            </w:r>
          </w:p>
        </w:tc>
        <w:tc>
          <w:tcPr>
            <w:tcW w:w="1479" w:type="dxa"/>
            <w:vAlign w:val="center"/>
          </w:tcPr>
          <w:p w14:paraId="08B44944">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14</w:t>
            </w:r>
          </w:p>
        </w:tc>
        <w:tc>
          <w:tcPr>
            <w:tcW w:w="1802" w:type="dxa"/>
            <w:vAlign w:val="center"/>
          </w:tcPr>
          <w:p w14:paraId="1CCF020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6</w:t>
            </w:r>
          </w:p>
        </w:tc>
        <w:tc>
          <w:tcPr>
            <w:tcW w:w="1248" w:type="dxa"/>
            <w:vAlign w:val="center"/>
          </w:tcPr>
          <w:p w14:paraId="6F968CF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100</w:t>
            </w:r>
          </w:p>
        </w:tc>
      </w:tr>
      <w:tr w14:paraId="6497E7C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shd w:val="clear" w:color="auto" w:fill="auto"/>
            <w:vAlign w:val="center"/>
          </w:tcPr>
          <w:p w14:paraId="551AB3BE">
            <w:pPr>
              <w:pStyle w:val="385"/>
              <w:autoSpaceDE w:val="0"/>
              <w:autoSpaceDN w:val="0"/>
              <w:adjustRightInd w:val="0"/>
              <w:jc w:val="center"/>
              <w:rPr>
                <w:rFonts w:hint="default" w:ascii="Times New Roman" w:hAnsi="Times New Roman" w:eastAsia="宋体" w:cs="Times New Roman"/>
                <w:bCs/>
                <w:color w:val="auto"/>
                <w:sz w:val="21"/>
                <w:szCs w:val="21"/>
                <w:lang w:val="en-US" w:eastAsia="en-US"/>
              </w:rPr>
            </w:pPr>
            <w:r>
              <w:rPr>
                <w:rFonts w:hint="default" w:ascii="Times New Roman" w:hAnsi="Times New Roman" w:eastAsia="宋体" w:cs="Times New Roman"/>
                <w:bCs/>
                <w:color w:val="auto"/>
                <w:sz w:val="21"/>
                <w:szCs w:val="21"/>
              </w:rPr>
              <w:t>碳酸盐碱度</w:t>
            </w:r>
          </w:p>
        </w:tc>
        <w:tc>
          <w:tcPr>
            <w:tcW w:w="1265" w:type="dxa"/>
            <w:vAlign w:val="center"/>
          </w:tcPr>
          <w:p w14:paraId="5781F0CD">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329F03B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w:t>
            </w:r>
          </w:p>
        </w:tc>
        <w:tc>
          <w:tcPr>
            <w:tcW w:w="1479" w:type="dxa"/>
            <w:vAlign w:val="center"/>
          </w:tcPr>
          <w:p w14:paraId="37752C93">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w:t>
            </w:r>
          </w:p>
        </w:tc>
        <w:tc>
          <w:tcPr>
            <w:tcW w:w="1802" w:type="dxa"/>
            <w:vAlign w:val="center"/>
          </w:tcPr>
          <w:p w14:paraId="3526A25F">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0</w:t>
            </w:r>
          </w:p>
        </w:tc>
        <w:tc>
          <w:tcPr>
            <w:tcW w:w="1248" w:type="dxa"/>
            <w:vAlign w:val="center"/>
          </w:tcPr>
          <w:p w14:paraId="4460DA02">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w:t>
            </w:r>
          </w:p>
        </w:tc>
      </w:tr>
      <w:tr w14:paraId="1177068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977" w:type="pct"/>
            <w:shd w:val="clear" w:color="auto" w:fill="auto"/>
            <w:vAlign w:val="center"/>
          </w:tcPr>
          <w:p w14:paraId="6CB42C57">
            <w:pPr>
              <w:pStyle w:val="385"/>
              <w:autoSpaceDE w:val="0"/>
              <w:autoSpaceDN w:val="0"/>
              <w:adjustRightInd w:val="0"/>
              <w:jc w:val="center"/>
              <w:rPr>
                <w:rFonts w:hint="default" w:ascii="Times New Roman" w:hAnsi="Times New Roman" w:eastAsia="宋体" w:cs="Times New Roman"/>
                <w:bCs/>
                <w:color w:val="auto"/>
                <w:sz w:val="21"/>
                <w:szCs w:val="21"/>
                <w:lang w:val="en-US" w:eastAsia="en-US"/>
              </w:rPr>
            </w:pPr>
            <w:r>
              <w:rPr>
                <w:rFonts w:hint="default" w:ascii="Times New Roman" w:hAnsi="Times New Roman" w:eastAsia="宋体" w:cs="Times New Roman"/>
                <w:bCs/>
                <w:color w:val="auto"/>
                <w:sz w:val="21"/>
                <w:szCs w:val="21"/>
              </w:rPr>
              <w:t>重碳酸盐碱度</w:t>
            </w:r>
          </w:p>
        </w:tc>
        <w:tc>
          <w:tcPr>
            <w:tcW w:w="1265" w:type="dxa"/>
            <w:vAlign w:val="center"/>
          </w:tcPr>
          <w:p w14:paraId="499BD87A">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mg/L</w:t>
            </w:r>
          </w:p>
        </w:tc>
        <w:tc>
          <w:tcPr>
            <w:tcW w:w="1366" w:type="dxa"/>
            <w:vAlign w:val="center"/>
          </w:tcPr>
          <w:p w14:paraId="07E0419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125</w:t>
            </w:r>
          </w:p>
        </w:tc>
        <w:tc>
          <w:tcPr>
            <w:tcW w:w="1479" w:type="dxa"/>
            <w:vAlign w:val="center"/>
          </w:tcPr>
          <w:p w14:paraId="6C0D439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157</w:t>
            </w:r>
          </w:p>
        </w:tc>
        <w:tc>
          <w:tcPr>
            <w:tcW w:w="1802" w:type="dxa"/>
            <w:vAlign w:val="center"/>
          </w:tcPr>
          <w:p w14:paraId="4710DE18">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213</w:t>
            </w:r>
          </w:p>
        </w:tc>
        <w:tc>
          <w:tcPr>
            <w:tcW w:w="1248" w:type="dxa"/>
            <w:vAlign w:val="center"/>
          </w:tcPr>
          <w:p w14:paraId="66E39381">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w:t>
            </w:r>
          </w:p>
        </w:tc>
      </w:tr>
      <w:tr w14:paraId="013B727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977" w:type="pct"/>
            <w:vAlign w:val="center"/>
          </w:tcPr>
          <w:p w14:paraId="3B462F60">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备注</w:t>
            </w:r>
          </w:p>
        </w:tc>
        <w:tc>
          <w:tcPr>
            <w:tcW w:w="4022" w:type="pct"/>
            <w:gridSpan w:val="5"/>
            <w:vAlign w:val="center"/>
          </w:tcPr>
          <w:p w14:paraId="332E3D61">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限值参照《地下水质量标准》</w:t>
            </w:r>
            <w:r>
              <w:rPr>
                <w:rFonts w:hint="eastAsia" w:cs="Times New Roman"/>
                <w:bCs/>
                <w:color w:val="auto"/>
                <w:sz w:val="21"/>
                <w:szCs w:val="21"/>
                <w:lang w:eastAsia="zh-CN"/>
              </w:rPr>
              <w:t>（</w:t>
            </w:r>
            <w:r>
              <w:rPr>
                <w:rFonts w:hint="default" w:ascii="Times New Roman" w:hAnsi="Times New Roman" w:eastAsia="宋体" w:cs="Times New Roman"/>
                <w:bCs/>
                <w:color w:val="auto"/>
                <w:sz w:val="21"/>
                <w:szCs w:val="21"/>
              </w:rPr>
              <w:t xml:space="preserve">GB/T 14848-2017 </w:t>
            </w:r>
            <w:r>
              <w:rPr>
                <w:rFonts w:hint="eastAsia"/>
                <w:sz w:val="21"/>
                <w:szCs w:val="21"/>
                <w:lang w:eastAsia="zh-CN"/>
              </w:rPr>
              <w:t>）</w:t>
            </w:r>
            <w:r>
              <w:rPr>
                <w:rFonts w:hint="default"/>
                <w:sz w:val="21"/>
                <w:szCs w:val="21"/>
              </w:rPr>
              <w:fldChar w:fldCharType="begin"/>
            </w:r>
            <w:r>
              <w:rPr>
                <w:rFonts w:hint="default"/>
                <w:sz w:val="21"/>
                <w:szCs w:val="21"/>
              </w:rPr>
              <w:instrText xml:space="preserve"> = 3 \* ROMAN \* MERGEFORMAT </w:instrText>
            </w:r>
            <w:r>
              <w:rPr>
                <w:rFonts w:hint="default"/>
                <w:sz w:val="21"/>
                <w:szCs w:val="21"/>
              </w:rPr>
              <w:fldChar w:fldCharType="separate"/>
            </w:r>
            <w:r>
              <w:rPr>
                <w:sz w:val="21"/>
                <w:szCs w:val="21"/>
              </w:rPr>
              <w:t>III</w:t>
            </w:r>
            <w:r>
              <w:rPr>
                <w:rFonts w:hint="default"/>
                <w:sz w:val="21"/>
                <w:szCs w:val="21"/>
              </w:rPr>
              <w:fldChar w:fldCharType="end"/>
            </w:r>
            <w:r>
              <w:rPr>
                <w:rFonts w:hint="default"/>
                <w:sz w:val="21"/>
                <w:szCs w:val="21"/>
              </w:rPr>
              <w:t>类</w:t>
            </w:r>
            <w:r>
              <w:rPr>
                <w:rFonts w:hint="default" w:ascii="Times New Roman" w:hAnsi="Times New Roman" w:eastAsia="宋体" w:cs="Times New Roman"/>
                <w:bCs/>
                <w:color w:val="auto"/>
                <w:sz w:val="21"/>
                <w:szCs w:val="21"/>
              </w:rPr>
              <w:t>标准限值。</w:t>
            </w:r>
          </w:p>
          <w:p w14:paraId="5D8C68FC">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检测结果小于最低检出限时报告最低检出限加"L"</w:t>
            </w:r>
          </w:p>
        </w:tc>
      </w:tr>
    </w:tbl>
    <w:p w14:paraId="6F4CDA92">
      <w:pPr>
        <w:pStyle w:val="5"/>
        <w:rPr>
          <w:rFonts w:hint="eastAsia"/>
        </w:rPr>
      </w:pPr>
      <w:r>
        <w:rPr>
          <w:rFonts w:hint="eastAsia"/>
        </w:rPr>
        <w:t>4.</w:t>
      </w:r>
      <w:r>
        <w:rPr>
          <w:rFonts w:hint="eastAsia" w:eastAsia="宋体"/>
          <w:lang w:val="en-US" w:eastAsia="zh-CN"/>
        </w:rPr>
        <w:t>3.5</w:t>
      </w:r>
      <w:r>
        <w:rPr>
          <w:rFonts w:hint="eastAsia"/>
        </w:rPr>
        <w:t>.5地下水现状评价方法及标准</w:t>
      </w:r>
    </w:p>
    <w:p w14:paraId="65F4594F">
      <w:pPr>
        <w:spacing w:line="360" w:lineRule="auto"/>
        <w:ind w:firstLine="480" w:firstLineChars="200"/>
        <w:rPr>
          <w:rFonts w:hint="eastAsia"/>
        </w:rPr>
      </w:pPr>
      <w:r>
        <w:rPr>
          <w:rFonts w:hint="eastAsia"/>
        </w:rPr>
        <w:t>（1）评价方法</w:t>
      </w:r>
    </w:p>
    <w:p w14:paraId="0E0A9CFB">
      <w:pPr>
        <w:spacing w:line="360" w:lineRule="auto"/>
        <w:ind w:firstLine="480" w:firstLineChars="200"/>
        <w:rPr>
          <w:rFonts w:hint="eastAsia"/>
        </w:rPr>
      </w:pPr>
      <w:r>
        <w:rPr>
          <w:rFonts w:hint="eastAsia"/>
        </w:rPr>
        <w:t>根据评价区地下水水质状况和使用功能，地下水评价执行《地下水质量标准》（GB/T14848-2017）Ⅲ类标准，Ⅲ类以人体健康基准值为依据。</w:t>
      </w:r>
    </w:p>
    <w:p w14:paraId="5749647F">
      <w:pPr>
        <w:spacing w:line="360" w:lineRule="auto"/>
        <w:ind w:firstLine="480" w:firstLineChars="200"/>
        <w:rPr>
          <w:rFonts w:hint="eastAsia"/>
        </w:rPr>
      </w:pPr>
      <w:r>
        <w:rPr>
          <w:rFonts w:hint="eastAsia"/>
        </w:rPr>
        <w:t>（2）评价方法</w:t>
      </w:r>
    </w:p>
    <w:p w14:paraId="566650F7">
      <w:pPr>
        <w:spacing w:line="360" w:lineRule="auto"/>
        <w:ind w:firstLine="480" w:firstLineChars="200"/>
        <w:rPr>
          <w:rFonts w:hint="eastAsia"/>
        </w:rPr>
      </w:pPr>
      <w:r>
        <w:rPr>
          <w:rFonts w:hint="eastAsia"/>
        </w:rPr>
        <w:t>根据《环境影响评价技术导则 地下水环境》（HJ610-2016），本次地下水现状评价以评价区域地下水水体各监测点位的水质单项指标测定值作为水质评价参数，对照《地下水质量标准》（GB14848-2017）Ⅲ类标准，采用标准指数法进行水质参数的评价。</w:t>
      </w:r>
    </w:p>
    <w:p w14:paraId="006C778F">
      <w:pPr>
        <w:spacing w:line="360" w:lineRule="auto"/>
        <w:ind w:firstLine="480" w:firstLineChars="200"/>
        <w:rPr>
          <w:rFonts w:hint="eastAsia"/>
        </w:rPr>
      </w:pPr>
      <w:r>
        <w:rPr>
          <w:rFonts w:hint="eastAsia"/>
        </w:rPr>
        <w:pict>
          <v:shape id="_x0000_s2050" o:spid="_x0000_s2050" o:spt="75" alt="" type="#_x0000_t75" style="position:absolute;left:0pt;margin-left:125.25pt;margin-top:24.1pt;height:32.9pt;width:42.65pt;z-index:251698176;mso-width-relative:page;mso-height-relative:page;" o:ole="t" filled="f" o:preferrelative="t" stroked="f" coordsize="21600,21600">
            <v:path/>
            <v:fill on="f" focussize="0,0"/>
            <v:stroke on="f"/>
            <v:imagedata r:id="rId75" o:title=""/>
            <o:lock v:ext="edit" aspectratio="t"/>
          </v:shape>
          <o:OLEObject Type="Embed" ProgID="" ShapeID="_x0000_s2050" DrawAspect="Content" ObjectID="_1468075727" r:id="rId74">
            <o:LockedField>false</o:LockedField>
          </o:OLEObject>
        </w:pict>
      </w:r>
      <w:r>
        <w:rPr>
          <w:rFonts w:hint="eastAsia"/>
        </w:rPr>
        <w:t>对于评价标准为定值的水质因子，其标准指数计算公式：</w:t>
      </w:r>
    </w:p>
    <w:p w14:paraId="1EA3DC16">
      <w:pPr>
        <w:spacing w:line="360" w:lineRule="auto"/>
        <w:ind w:firstLine="480" w:firstLineChars="200"/>
        <w:rPr>
          <w:rFonts w:hint="eastAsia"/>
        </w:rPr>
      </w:pPr>
    </w:p>
    <w:p w14:paraId="097ADE41">
      <w:pPr>
        <w:spacing w:line="360" w:lineRule="auto"/>
        <w:ind w:firstLine="480" w:firstLineChars="200"/>
        <w:rPr>
          <w:rFonts w:hint="eastAsia"/>
        </w:rPr>
      </w:pPr>
    </w:p>
    <w:p w14:paraId="53A63D66">
      <w:pPr>
        <w:spacing w:line="360" w:lineRule="auto"/>
        <w:ind w:firstLine="480" w:firstLineChars="200"/>
        <w:rPr>
          <w:rFonts w:hint="eastAsia"/>
        </w:rPr>
      </w:pPr>
      <w:r>
        <w:rPr>
          <w:rFonts w:hint="eastAsia"/>
        </w:rPr>
        <w:t>式中：Pi —第i个水质因子的标准指数，无量纲；</w:t>
      </w:r>
    </w:p>
    <w:p w14:paraId="06C0B92E">
      <w:pPr>
        <w:spacing w:line="360" w:lineRule="auto"/>
        <w:ind w:firstLine="480" w:firstLineChars="200"/>
        <w:rPr>
          <w:rFonts w:hint="eastAsia"/>
        </w:rPr>
      </w:pPr>
      <w:r>
        <w:rPr>
          <w:rFonts w:hint="eastAsia"/>
        </w:rPr>
        <w:t>Ci—第i个水质因子的监测浓度值，mg/L；</w:t>
      </w:r>
    </w:p>
    <w:p w14:paraId="5D2F674B">
      <w:pPr>
        <w:spacing w:line="360" w:lineRule="auto"/>
        <w:ind w:firstLine="480" w:firstLineChars="200"/>
        <w:rPr>
          <w:rFonts w:hint="eastAsia"/>
        </w:rPr>
      </w:pPr>
      <w:r>
        <w:rPr>
          <w:rFonts w:hint="eastAsia"/>
        </w:rPr>
        <w:t>Csi—第i个水质因子的标准浓度值，mg/L。</w:t>
      </w:r>
    </w:p>
    <w:p w14:paraId="7C5F048B">
      <w:pPr>
        <w:spacing w:line="360" w:lineRule="auto"/>
        <w:ind w:firstLine="480" w:firstLineChars="200"/>
        <w:rPr>
          <w:rFonts w:hint="eastAsia"/>
        </w:rPr>
      </w:pPr>
      <w:r>
        <w:rPr>
          <w:rFonts w:hint="eastAsia"/>
        </w:rPr>
        <w:t>对于评价标准为区间值的水质因子（如pH值），其标准指数计算公式：</w:t>
      </w:r>
    </w:p>
    <w:p w14:paraId="396B12A8">
      <w:pPr>
        <w:spacing w:line="360" w:lineRule="auto"/>
        <w:ind w:firstLine="480" w:firstLineChars="200"/>
        <w:rPr>
          <w:rFonts w:hint="eastAsia"/>
        </w:rPr>
      </w:pPr>
      <w:r>
        <w:rPr>
          <w:rFonts w:hint="eastAsia"/>
        </w:rPr>
        <w:pict>
          <v:shape id="_x0000_s2051" o:spid="_x0000_s2051" o:spt="75" alt="" type="#_x0000_t75" style="position:absolute;left:0pt;margin-left:73.5pt;margin-top:0.35pt;height:33.15pt;width:82.5pt;z-index:251696128;mso-width-relative:page;mso-height-relative:page;" o:ole="t" filled="f" o:preferrelative="t" stroked="f" coordsize="21600,21600">
            <v:path/>
            <v:fill on="f" focussize="0,0"/>
            <v:stroke on="f"/>
            <v:imagedata r:id="rId77" o:title=""/>
            <o:lock v:ext="edit" aspectratio="t"/>
          </v:shape>
          <o:OLEObject Type="Embed" ProgID="" ShapeID="_x0000_s2051" DrawAspect="Content" ObjectID="_1468075728" r:id="rId76">
            <o:LockedField>false</o:LockedField>
          </o:OLEObject>
        </w:pict>
      </w:r>
      <w:r>
        <w:rPr>
          <w:rFonts w:hint="eastAsia"/>
        </w:rPr>
        <w:pict>
          <v:shape id="_x0000_s2052" o:spid="_x0000_s2052" o:spt="75" alt="" type="#_x0000_t75" style="position:absolute;left:0pt;margin-left:207pt;margin-top:3.95pt;height:16.8pt;width:43.5pt;z-index:251697152;mso-width-relative:page;mso-height-relative:page;" o:ole="t" filled="f" o:preferrelative="t" stroked="f" coordsize="21600,21600">
            <v:path/>
            <v:fill on="f" focussize="0,0"/>
            <v:stroke on="f"/>
            <v:imagedata r:id="rId79" o:title=""/>
            <o:lock v:ext="edit" aspectratio="t"/>
          </v:shape>
          <o:OLEObject Type="Embed" ProgID="" ShapeID="_x0000_s2052" DrawAspect="Content" ObjectID="_1468075729" r:id="rId78">
            <o:LockedField>false</o:LockedField>
          </o:OLEObject>
        </w:pict>
      </w:r>
      <w:r>
        <w:rPr>
          <w:rFonts w:hint="eastAsia"/>
        </w:rPr>
        <w:t xml:space="preserve">      </w:t>
      </w:r>
    </w:p>
    <w:p w14:paraId="07A5E7A3">
      <w:pPr>
        <w:spacing w:line="360" w:lineRule="auto"/>
        <w:ind w:firstLine="480" w:firstLineChars="200"/>
        <w:rPr>
          <w:rFonts w:hint="eastAsia"/>
        </w:rPr>
      </w:pPr>
      <w:r>
        <w:rPr>
          <w:rFonts w:hint="eastAsia"/>
        </w:rPr>
        <w:pict>
          <v:shape id="_x0000_s2053" o:spid="_x0000_s2053" o:spt="75" alt="" type="#_x0000_t75" style="position:absolute;left:0pt;margin-left:73.5pt;margin-top:20.35pt;height:33.65pt;width:86.3pt;z-index:251694080;mso-width-relative:page;mso-height-relative:page;" o:ole="t" filled="f" o:preferrelative="t" stroked="f" coordsize="21600,21600">
            <v:path/>
            <v:fill on="f" focussize="0,0"/>
            <v:stroke on="f"/>
            <v:imagedata r:id="rId81" o:title=""/>
            <o:lock v:ext="edit" aspectratio="t"/>
          </v:shape>
          <o:OLEObject Type="Embed" ProgID="" ShapeID="_x0000_s2053" DrawAspect="Content" ObjectID="_1468075730" r:id="rId80">
            <o:LockedField>false</o:LockedField>
          </o:OLEObject>
        </w:pict>
      </w:r>
    </w:p>
    <w:p w14:paraId="091CB761">
      <w:pPr>
        <w:spacing w:line="360" w:lineRule="auto"/>
        <w:ind w:firstLine="480" w:firstLineChars="200"/>
        <w:rPr>
          <w:rFonts w:hint="eastAsia"/>
        </w:rPr>
      </w:pPr>
      <w:r>
        <w:rPr>
          <w:rFonts w:hint="eastAsia"/>
        </w:rPr>
        <w:pict>
          <v:shape id="_x0000_s2054" o:spid="_x0000_s2054" o:spt="75" alt="" type="#_x0000_t75" style="position:absolute;left:0pt;margin-left:206.25pt;margin-top:1.95pt;height:17.3pt;width:44.8pt;z-index:251695104;mso-width-relative:page;mso-height-relative:page;" o:ole="t" filled="f" o:preferrelative="t" stroked="f" coordsize="21600,21600">
            <v:path/>
            <v:fill on="f" focussize="0,0"/>
            <v:stroke on="f"/>
            <v:imagedata r:id="rId83" o:title=""/>
            <o:lock v:ext="edit" aspectratio="t"/>
          </v:shape>
          <o:OLEObject Type="Embed" ProgID="Equations" ShapeID="_x0000_s2054" DrawAspect="Content" ObjectID="_1468075731" r:id="rId82">
            <o:LockedField>false</o:LockedField>
          </o:OLEObject>
        </w:pict>
      </w:r>
      <w:r>
        <w:rPr>
          <w:rFonts w:hint="eastAsia"/>
        </w:rPr>
        <w:t xml:space="preserve">      </w:t>
      </w:r>
    </w:p>
    <w:p w14:paraId="534591A1">
      <w:pPr>
        <w:spacing w:line="360" w:lineRule="auto"/>
        <w:ind w:firstLine="480" w:firstLineChars="200"/>
        <w:rPr>
          <w:rFonts w:hint="eastAsia"/>
        </w:rPr>
      </w:pPr>
    </w:p>
    <w:p w14:paraId="149C22FD">
      <w:pPr>
        <w:spacing w:line="360" w:lineRule="auto"/>
        <w:ind w:firstLine="480" w:firstLineChars="200"/>
        <w:rPr>
          <w:rFonts w:hint="eastAsia"/>
        </w:rPr>
      </w:pPr>
      <w:r>
        <w:rPr>
          <w:rFonts w:hint="eastAsia"/>
        </w:rPr>
        <w:t>式中：PpH—pH的标准指数，无量纲；</w:t>
      </w:r>
    </w:p>
    <w:p w14:paraId="7A845BF3">
      <w:pPr>
        <w:spacing w:line="360" w:lineRule="auto"/>
        <w:ind w:firstLine="480" w:firstLineChars="200"/>
        <w:rPr>
          <w:rFonts w:hint="eastAsia"/>
        </w:rPr>
      </w:pPr>
      <w:r>
        <w:rPr>
          <w:rFonts w:hint="eastAsia"/>
        </w:rPr>
        <w:t>pH—pH监测值；</w:t>
      </w:r>
    </w:p>
    <w:p w14:paraId="0BF02BBA">
      <w:pPr>
        <w:spacing w:line="360" w:lineRule="auto"/>
        <w:ind w:firstLine="480" w:firstLineChars="200"/>
        <w:rPr>
          <w:rFonts w:hint="eastAsia"/>
        </w:rPr>
      </w:pPr>
      <w:r>
        <w:rPr>
          <w:rFonts w:hint="eastAsia"/>
        </w:rPr>
        <w:t>pHsu—标准中pH的上限值；</w:t>
      </w:r>
    </w:p>
    <w:p w14:paraId="68001E68">
      <w:pPr>
        <w:spacing w:line="360" w:lineRule="auto"/>
        <w:ind w:firstLine="480" w:firstLineChars="200"/>
        <w:rPr>
          <w:rFonts w:hint="eastAsia"/>
        </w:rPr>
      </w:pPr>
      <w:r>
        <w:rPr>
          <w:rFonts w:hint="eastAsia"/>
        </w:rPr>
        <w:t>pHsd—标准中pH的下限值。</w:t>
      </w:r>
    </w:p>
    <w:p w14:paraId="7D9999F3">
      <w:pPr>
        <w:spacing w:line="360" w:lineRule="auto"/>
        <w:ind w:firstLine="480" w:firstLineChars="200"/>
        <w:rPr>
          <w:rFonts w:hint="eastAsia"/>
        </w:rPr>
      </w:pPr>
      <w:r>
        <w:rPr>
          <w:rFonts w:hint="eastAsia"/>
        </w:rPr>
        <w:t>标准指数P&gt;1时，即表明该水质因子已经超过了规定的水质标准，且指数越大，超标越严重。</w:t>
      </w:r>
    </w:p>
    <w:p w14:paraId="624B3A89">
      <w:pPr>
        <w:spacing w:line="360" w:lineRule="auto"/>
        <w:ind w:firstLine="480" w:firstLineChars="200"/>
        <w:rPr>
          <w:rFonts w:hint="eastAsia"/>
        </w:rPr>
      </w:pPr>
      <w:r>
        <w:rPr>
          <w:rFonts w:hint="eastAsia"/>
        </w:rPr>
        <w:t>（3）评价结果</w:t>
      </w:r>
    </w:p>
    <w:p w14:paraId="4FE5D0B7">
      <w:pPr>
        <w:spacing w:line="360" w:lineRule="auto"/>
        <w:ind w:firstLine="480" w:firstLineChars="200"/>
        <w:rPr>
          <w:rFonts w:hint="eastAsia"/>
        </w:rPr>
      </w:pPr>
      <w:r>
        <w:rPr>
          <w:rFonts w:hint="eastAsia"/>
        </w:rPr>
        <w:t>地下水水质评价结果见表4.2-14。</w:t>
      </w:r>
    </w:p>
    <w:p w14:paraId="1D4D81D1">
      <w:pPr>
        <w:spacing w:line="360" w:lineRule="auto"/>
        <w:jc w:val="center"/>
        <w:textAlignment w:val="center"/>
        <w:rPr>
          <w:rFonts w:hint="eastAsia"/>
          <w:b/>
          <w:bCs/>
        </w:rPr>
      </w:pPr>
      <w:r>
        <w:rPr>
          <w:rFonts w:hint="eastAsia"/>
          <w:b/>
          <w:bCs/>
        </w:rPr>
        <w:t>表4.2-14  地下水水质监测结果及标准指数</w:t>
      </w:r>
    </w:p>
    <w:tbl>
      <w:tblPr>
        <w:tblStyle w:val="53"/>
        <w:tblW w:w="486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1827"/>
        <w:gridCol w:w="1454"/>
        <w:gridCol w:w="1690"/>
        <w:gridCol w:w="1615"/>
        <w:gridCol w:w="1450"/>
      </w:tblGrid>
      <w:tr w14:paraId="6FEAC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05" w:type="pct"/>
            <w:vMerge w:val="restart"/>
            <w:vAlign w:val="center"/>
          </w:tcPr>
          <w:p w14:paraId="5418677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044" w:type="pct"/>
            <w:vMerge w:val="restart"/>
            <w:vAlign w:val="center"/>
          </w:tcPr>
          <w:p w14:paraId="7EBA4B1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检测项目</w:t>
            </w:r>
          </w:p>
        </w:tc>
        <w:tc>
          <w:tcPr>
            <w:tcW w:w="2720" w:type="pct"/>
            <w:gridSpan w:val="3"/>
            <w:vAlign w:val="center"/>
          </w:tcPr>
          <w:p w14:paraId="4FEBD36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Pi</w:t>
            </w:r>
          </w:p>
        </w:tc>
        <w:tc>
          <w:tcPr>
            <w:tcW w:w="829" w:type="pct"/>
            <w:vMerge w:val="restart"/>
            <w:vAlign w:val="center"/>
          </w:tcPr>
          <w:p w14:paraId="2C1951B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最大超标倍数</w:t>
            </w:r>
          </w:p>
        </w:tc>
      </w:tr>
      <w:tr w14:paraId="14206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05" w:type="pct"/>
            <w:vMerge w:val="continue"/>
            <w:vAlign w:val="center"/>
          </w:tcPr>
          <w:p w14:paraId="6F34C18A">
            <w:pPr>
              <w:jc w:val="center"/>
              <w:rPr>
                <w:rFonts w:hint="default" w:ascii="Times New Roman" w:hAnsi="Times New Roman" w:eastAsia="宋体" w:cs="Times New Roman"/>
                <w:color w:val="auto"/>
                <w:sz w:val="21"/>
                <w:szCs w:val="21"/>
              </w:rPr>
            </w:pPr>
          </w:p>
        </w:tc>
        <w:tc>
          <w:tcPr>
            <w:tcW w:w="1044" w:type="pct"/>
            <w:vMerge w:val="continue"/>
            <w:vAlign w:val="center"/>
          </w:tcPr>
          <w:p w14:paraId="284B6517">
            <w:pPr>
              <w:jc w:val="center"/>
              <w:rPr>
                <w:rFonts w:hint="default" w:ascii="Times New Roman" w:hAnsi="Times New Roman" w:eastAsia="宋体" w:cs="Times New Roman"/>
                <w:color w:val="auto"/>
                <w:sz w:val="21"/>
                <w:szCs w:val="21"/>
              </w:rPr>
            </w:pPr>
          </w:p>
        </w:tc>
        <w:tc>
          <w:tcPr>
            <w:tcW w:w="831" w:type="pct"/>
            <w:vAlign w:val="center"/>
          </w:tcPr>
          <w:p w14:paraId="582925C7">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b w:val="0"/>
                <w:bCs/>
                <w:color w:val="auto"/>
                <w:sz w:val="21"/>
                <w:szCs w:val="21"/>
              </w:rPr>
              <w:t>1#</w:t>
            </w:r>
            <w:r>
              <w:rPr>
                <w:rFonts w:hint="eastAsia" w:ascii="Times New Roman" w:hAnsi="Times New Roman" w:cs="Times New Roman"/>
                <w:b w:val="0"/>
                <w:bCs/>
                <w:color w:val="auto"/>
                <w:sz w:val="21"/>
                <w:szCs w:val="21"/>
                <w:lang w:val="en-US" w:eastAsia="zh-CN"/>
              </w:rPr>
              <w:t>上游水井</w:t>
            </w:r>
          </w:p>
        </w:tc>
        <w:tc>
          <w:tcPr>
            <w:tcW w:w="966" w:type="pct"/>
            <w:vAlign w:val="center"/>
          </w:tcPr>
          <w:p w14:paraId="25CEBD8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b w:val="0"/>
                <w:bCs/>
                <w:color w:val="auto"/>
                <w:sz w:val="21"/>
                <w:szCs w:val="21"/>
              </w:rPr>
              <w:t>2</w:t>
            </w:r>
            <w:r>
              <w:rPr>
                <w:rFonts w:hint="eastAsia" w:ascii="Times New Roman" w:hAnsi="Times New Roman" w:cs="Times New Roman"/>
                <w:b w:val="0"/>
                <w:bCs/>
                <w:color w:val="auto"/>
                <w:sz w:val="21"/>
                <w:szCs w:val="21"/>
                <w:lang w:val="en-US" w:eastAsia="zh-CN"/>
              </w:rPr>
              <w:t>#鸿展</w:t>
            </w:r>
            <w:r>
              <w:rPr>
                <w:rFonts w:hint="default" w:ascii="Times New Roman" w:hAnsi="Times New Roman" w:cs="Times New Roman"/>
                <w:b w:val="0"/>
                <w:bCs/>
                <w:color w:val="auto"/>
                <w:sz w:val="21"/>
                <w:szCs w:val="21"/>
              </w:rPr>
              <w:t>水井</w:t>
            </w:r>
          </w:p>
        </w:tc>
        <w:tc>
          <w:tcPr>
            <w:tcW w:w="922" w:type="pct"/>
            <w:vAlign w:val="center"/>
          </w:tcPr>
          <w:p w14:paraId="04556F0B">
            <w:pPr>
              <w:pStyle w:val="385"/>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b w:val="0"/>
                <w:bCs/>
                <w:color w:val="auto"/>
                <w:sz w:val="21"/>
                <w:szCs w:val="21"/>
              </w:rPr>
              <w:t>3#</w:t>
            </w:r>
            <w:r>
              <w:rPr>
                <w:rFonts w:hint="eastAsia" w:ascii="Times New Roman" w:hAnsi="Times New Roman" w:cs="Times New Roman"/>
                <w:b w:val="0"/>
                <w:bCs/>
                <w:color w:val="auto"/>
                <w:sz w:val="21"/>
                <w:szCs w:val="21"/>
                <w:lang w:val="en-US" w:eastAsia="zh-CN"/>
              </w:rPr>
              <w:t>下游水井</w:t>
            </w:r>
          </w:p>
        </w:tc>
        <w:tc>
          <w:tcPr>
            <w:tcW w:w="829" w:type="pct"/>
            <w:vMerge w:val="continue"/>
            <w:vAlign w:val="center"/>
          </w:tcPr>
          <w:p w14:paraId="347545F1">
            <w:pPr>
              <w:jc w:val="center"/>
              <w:rPr>
                <w:rFonts w:hint="default" w:ascii="Times New Roman" w:hAnsi="Times New Roman" w:eastAsia="宋体" w:cs="Times New Roman"/>
                <w:color w:val="auto"/>
                <w:sz w:val="21"/>
                <w:szCs w:val="21"/>
              </w:rPr>
            </w:pPr>
          </w:p>
        </w:tc>
      </w:tr>
      <w:tr w14:paraId="79BC0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405" w:type="pct"/>
            <w:vAlign w:val="center"/>
          </w:tcPr>
          <w:p w14:paraId="0445DD7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44" w:type="pct"/>
            <w:vAlign w:val="center"/>
          </w:tcPr>
          <w:p w14:paraId="4ABD0804">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pH</w:t>
            </w:r>
          </w:p>
        </w:tc>
        <w:tc>
          <w:tcPr>
            <w:tcW w:w="831" w:type="pct"/>
            <w:vAlign w:val="center"/>
          </w:tcPr>
          <w:p w14:paraId="169527E0">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966" w:type="pct"/>
            <w:vAlign w:val="center"/>
          </w:tcPr>
          <w:p w14:paraId="6661780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0.13</w:t>
            </w:r>
          </w:p>
        </w:tc>
        <w:tc>
          <w:tcPr>
            <w:tcW w:w="922" w:type="pct"/>
            <w:vAlign w:val="center"/>
          </w:tcPr>
          <w:p w14:paraId="27418DBD">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c>
          <w:tcPr>
            <w:tcW w:w="829" w:type="pct"/>
            <w:vAlign w:val="center"/>
          </w:tcPr>
          <w:p w14:paraId="1EEAD29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7AA4B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05" w:type="pct"/>
            <w:vAlign w:val="center"/>
          </w:tcPr>
          <w:p w14:paraId="0E54AFB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1044" w:type="pct"/>
            <w:vAlign w:val="center"/>
          </w:tcPr>
          <w:p w14:paraId="43F6644A">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总硬度</w:t>
            </w:r>
          </w:p>
        </w:tc>
        <w:tc>
          <w:tcPr>
            <w:tcW w:w="1454" w:type="dxa"/>
            <w:vAlign w:val="center"/>
          </w:tcPr>
          <w:p w14:paraId="0D91EB9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0.24</w:t>
            </w:r>
          </w:p>
        </w:tc>
        <w:tc>
          <w:tcPr>
            <w:tcW w:w="1690" w:type="dxa"/>
            <w:vAlign w:val="center"/>
          </w:tcPr>
          <w:p w14:paraId="7CC4995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0.34</w:t>
            </w:r>
          </w:p>
        </w:tc>
        <w:tc>
          <w:tcPr>
            <w:tcW w:w="1615" w:type="dxa"/>
            <w:vAlign w:val="center"/>
          </w:tcPr>
          <w:p w14:paraId="067AC99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0.55</w:t>
            </w:r>
          </w:p>
        </w:tc>
        <w:tc>
          <w:tcPr>
            <w:tcW w:w="829" w:type="pct"/>
            <w:vAlign w:val="center"/>
          </w:tcPr>
          <w:p w14:paraId="25C109C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63495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05" w:type="pct"/>
            <w:vAlign w:val="center"/>
          </w:tcPr>
          <w:p w14:paraId="6715139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1044" w:type="pct"/>
            <w:vAlign w:val="center"/>
          </w:tcPr>
          <w:p w14:paraId="2FE8FA0E">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硫酸盐</w:t>
            </w:r>
          </w:p>
        </w:tc>
        <w:tc>
          <w:tcPr>
            <w:tcW w:w="1454" w:type="dxa"/>
            <w:vAlign w:val="center"/>
          </w:tcPr>
          <w:p w14:paraId="3E588F4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7D6F718F">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0.04</w:t>
            </w:r>
          </w:p>
        </w:tc>
        <w:tc>
          <w:tcPr>
            <w:tcW w:w="1615" w:type="dxa"/>
            <w:vAlign w:val="center"/>
          </w:tcPr>
          <w:p w14:paraId="11D5AE4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0.08</w:t>
            </w:r>
          </w:p>
        </w:tc>
        <w:tc>
          <w:tcPr>
            <w:tcW w:w="829" w:type="pct"/>
            <w:vAlign w:val="center"/>
          </w:tcPr>
          <w:p w14:paraId="48FB0B6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4A615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405" w:type="pct"/>
            <w:vAlign w:val="center"/>
          </w:tcPr>
          <w:p w14:paraId="6564D8E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044" w:type="pct"/>
            <w:vAlign w:val="center"/>
          </w:tcPr>
          <w:p w14:paraId="1629DE6A">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氯化物</w:t>
            </w:r>
          </w:p>
        </w:tc>
        <w:tc>
          <w:tcPr>
            <w:tcW w:w="1454" w:type="dxa"/>
            <w:vAlign w:val="center"/>
          </w:tcPr>
          <w:p w14:paraId="63B9D7B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7120D6BC">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0.04</w:t>
            </w:r>
          </w:p>
        </w:tc>
        <w:tc>
          <w:tcPr>
            <w:tcW w:w="1615" w:type="dxa"/>
            <w:vAlign w:val="center"/>
          </w:tcPr>
          <w:p w14:paraId="188F092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w:t>
            </w:r>
          </w:p>
        </w:tc>
        <w:tc>
          <w:tcPr>
            <w:tcW w:w="829" w:type="pct"/>
            <w:vAlign w:val="center"/>
          </w:tcPr>
          <w:p w14:paraId="5FABD4E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07C97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405" w:type="pct"/>
            <w:vAlign w:val="center"/>
          </w:tcPr>
          <w:p w14:paraId="398AE3D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1044" w:type="pct"/>
            <w:vAlign w:val="center"/>
          </w:tcPr>
          <w:p w14:paraId="398B9314">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氨氮</w:t>
            </w:r>
          </w:p>
        </w:tc>
        <w:tc>
          <w:tcPr>
            <w:tcW w:w="1454" w:type="dxa"/>
            <w:vAlign w:val="center"/>
          </w:tcPr>
          <w:p w14:paraId="05B14DB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0.08</w:t>
            </w:r>
          </w:p>
        </w:tc>
        <w:tc>
          <w:tcPr>
            <w:tcW w:w="1690" w:type="dxa"/>
            <w:vAlign w:val="center"/>
          </w:tcPr>
          <w:p w14:paraId="669A7B6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0.09</w:t>
            </w:r>
          </w:p>
        </w:tc>
        <w:tc>
          <w:tcPr>
            <w:tcW w:w="1615" w:type="dxa"/>
            <w:vAlign w:val="center"/>
          </w:tcPr>
          <w:p w14:paraId="0995B23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0.12</w:t>
            </w:r>
          </w:p>
        </w:tc>
        <w:tc>
          <w:tcPr>
            <w:tcW w:w="829" w:type="pct"/>
            <w:vAlign w:val="center"/>
          </w:tcPr>
          <w:p w14:paraId="34FC6AD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7136C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405" w:type="pct"/>
            <w:vAlign w:val="center"/>
          </w:tcPr>
          <w:p w14:paraId="1F01E3D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044" w:type="pct"/>
            <w:vAlign w:val="center"/>
          </w:tcPr>
          <w:p w14:paraId="14CBAAAE">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氟化物</w:t>
            </w:r>
          </w:p>
        </w:tc>
        <w:tc>
          <w:tcPr>
            <w:tcW w:w="1454" w:type="dxa"/>
            <w:vAlign w:val="center"/>
          </w:tcPr>
          <w:p w14:paraId="7CDB50A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0.38</w:t>
            </w:r>
          </w:p>
        </w:tc>
        <w:tc>
          <w:tcPr>
            <w:tcW w:w="1690" w:type="dxa"/>
            <w:vAlign w:val="center"/>
          </w:tcPr>
          <w:p w14:paraId="26E109F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w:t>
            </w:r>
          </w:p>
        </w:tc>
        <w:tc>
          <w:tcPr>
            <w:tcW w:w="1615" w:type="dxa"/>
            <w:vAlign w:val="center"/>
          </w:tcPr>
          <w:p w14:paraId="2FBE9AD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0.49</w:t>
            </w:r>
          </w:p>
        </w:tc>
        <w:tc>
          <w:tcPr>
            <w:tcW w:w="829" w:type="pct"/>
            <w:vAlign w:val="center"/>
          </w:tcPr>
          <w:p w14:paraId="23D346F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780D5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05" w:type="pct"/>
            <w:vAlign w:val="center"/>
          </w:tcPr>
          <w:p w14:paraId="73F608C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1044" w:type="pct"/>
            <w:vAlign w:val="center"/>
          </w:tcPr>
          <w:p w14:paraId="18F6DC86">
            <w:pPr>
              <w:pStyle w:val="385"/>
              <w:autoSpaceDE w:val="0"/>
              <w:autoSpaceDN w:val="0"/>
              <w:adjustRightInd w:val="0"/>
              <w:jc w:val="center"/>
              <w:rPr>
                <w:rFonts w:hint="default" w:ascii="Times New Roman" w:hAnsi="Times New Roman" w:eastAsia="宋体" w:cs="Times New Roman"/>
                <w:color w:val="auto"/>
                <w:sz w:val="21"/>
                <w:szCs w:val="21"/>
                <w:lang w:eastAsia="en-US"/>
              </w:rPr>
            </w:pPr>
            <w:r>
              <w:rPr>
                <w:rFonts w:hint="default" w:ascii="Times New Roman" w:hAnsi="Times New Roman" w:eastAsia="宋体" w:cs="Times New Roman"/>
                <w:bCs/>
                <w:color w:val="auto"/>
                <w:sz w:val="21"/>
                <w:szCs w:val="21"/>
              </w:rPr>
              <w:t>总大肠菌群</w:t>
            </w:r>
          </w:p>
        </w:tc>
        <w:tc>
          <w:tcPr>
            <w:tcW w:w="1454" w:type="dxa"/>
            <w:vAlign w:val="center"/>
          </w:tcPr>
          <w:p w14:paraId="25C18BB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2B4EC48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2748E13C">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59AB567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25496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05" w:type="pct"/>
            <w:vAlign w:val="center"/>
          </w:tcPr>
          <w:p w14:paraId="0D6249A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044" w:type="pct"/>
            <w:vAlign w:val="center"/>
          </w:tcPr>
          <w:p w14:paraId="2E335939">
            <w:pPr>
              <w:pStyle w:val="385"/>
              <w:autoSpaceDE w:val="0"/>
              <w:autoSpaceDN w:val="0"/>
              <w:adjustRightInd w:val="0"/>
              <w:jc w:val="center"/>
              <w:rPr>
                <w:rFonts w:hint="default" w:ascii="Times New Roman" w:hAnsi="Times New Roman" w:eastAsia="宋体" w:cs="Times New Roman"/>
                <w:color w:val="auto"/>
                <w:sz w:val="21"/>
                <w:szCs w:val="21"/>
                <w:lang w:eastAsia="en-US"/>
              </w:rPr>
            </w:pPr>
            <w:r>
              <w:rPr>
                <w:rFonts w:hint="default" w:ascii="Times New Roman" w:hAnsi="Times New Roman" w:eastAsia="宋体" w:cs="Times New Roman"/>
                <w:bCs/>
                <w:color w:val="auto"/>
                <w:sz w:val="21"/>
                <w:szCs w:val="21"/>
              </w:rPr>
              <w:t>挥发性酚类</w:t>
            </w:r>
          </w:p>
        </w:tc>
        <w:tc>
          <w:tcPr>
            <w:tcW w:w="1454" w:type="dxa"/>
            <w:vAlign w:val="center"/>
          </w:tcPr>
          <w:p w14:paraId="009EFF8C">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31E5600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4845EB2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20B733F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3EA41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405" w:type="pct"/>
            <w:vAlign w:val="center"/>
          </w:tcPr>
          <w:p w14:paraId="1D6AD8B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044" w:type="pct"/>
            <w:vAlign w:val="center"/>
          </w:tcPr>
          <w:p w14:paraId="36E595B0">
            <w:pPr>
              <w:pStyle w:val="385"/>
              <w:autoSpaceDE w:val="0"/>
              <w:autoSpaceDN w:val="0"/>
              <w:adjustRightInd w:val="0"/>
              <w:jc w:val="center"/>
              <w:rPr>
                <w:rFonts w:hint="default" w:ascii="Times New Roman" w:hAnsi="Times New Roman" w:eastAsia="宋体" w:cs="Times New Roman"/>
                <w:color w:val="auto"/>
                <w:sz w:val="21"/>
                <w:szCs w:val="21"/>
                <w:lang w:eastAsia="en-US"/>
              </w:rPr>
            </w:pPr>
            <w:r>
              <w:rPr>
                <w:rFonts w:hint="default" w:ascii="Times New Roman" w:hAnsi="Times New Roman" w:eastAsia="宋体" w:cs="Times New Roman"/>
                <w:bCs/>
                <w:color w:val="auto"/>
                <w:sz w:val="21"/>
                <w:szCs w:val="21"/>
              </w:rPr>
              <w:t>硝酸盐(以N计)</w:t>
            </w:r>
          </w:p>
        </w:tc>
        <w:tc>
          <w:tcPr>
            <w:tcW w:w="1454" w:type="dxa"/>
            <w:vAlign w:val="center"/>
          </w:tcPr>
          <w:p w14:paraId="4A15BBB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0.08</w:t>
            </w:r>
          </w:p>
        </w:tc>
        <w:tc>
          <w:tcPr>
            <w:tcW w:w="1690" w:type="dxa"/>
            <w:vAlign w:val="center"/>
          </w:tcPr>
          <w:p w14:paraId="67E26F7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0.17</w:t>
            </w:r>
          </w:p>
        </w:tc>
        <w:tc>
          <w:tcPr>
            <w:tcW w:w="1615" w:type="dxa"/>
            <w:vAlign w:val="center"/>
          </w:tcPr>
          <w:p w14:paraId="3D28628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0.91</w:t>
            </w:r>
          </w:p>
        </w:tc>
        <w:tc>
          <w:tcPr>
            <w:tcW w:w="829" w:type="pct"/>
            <w:vAlign w:val="center"/>
          </w:tcPr>
          <w:p w14:paraId="2B52769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1A249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405" w:type="pct"/>
            <w:vAlign w:val="center"/>
          </w:tcPr>
          <w:p w14:paraId="4DD2FE6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044" w:type="pct"/>
            <w:vAlign w:val="center"/>
          </w:tcPr>
          <w:p w14:paraId="2A9E0294">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亚硝酸盐(以N计)</w:t>
            </w:r>
          </w:p>
        </w:tc>
        <w:tc>
          <w:tcPr>
            <w:tcW w:w="1454" w:type="dxa"/>
            <w:vAlign w:val="center"/>
          </w:tcPr>
          <w:p w14:paraId="6A21964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1B5E1FB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5F5208E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57365FE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3D65F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5" w:type="pct"/>
            <w:vAlign w:val="center"/>
          </w:tcPr>
          <w:p w14:paraId="17DBF3B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044" w:type="pct"/>
            <w:vAlign w:val="center"/>
          </w:tcPr>
          <w:p w14:paraId="05B1651B">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铁</w:t>
            </w:r>
          </w:p>
        </w:tc>
        <w:tc>
          <w:tcPr>
            <w:tcW w:w="1454" w:type="dxa"/>
            <w:vAlign w:val="center"/>
          </w:tcPr>
          <w:p w14:paraId="69B60F1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0.43</w:t>
            </w:r>
          </w:p>
        </w:tc>
        <w:tc>
          <w:tcPr>
            <w:tcW w:w="1690" w:type="dxa"/>
            <w:vAlign w:val="center"/>
          </w:tcPr>
          <w:p w14:paraId="7274ABBB">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0.23</w:t>
            </w:r>
          </w:p>
        </w:tc>
        <w:tc>
          <w:tcPr>
            <w:tcW w:w="1615" w:type="dxa"/>
            <w:vAlign w:val="center"/>
          </w:tcPr>
          <w:p w14:paraId="07AF3FCB">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0.37</w:t>
            </w:r>
          </w:p>
        </w:tc>
        <w:tc>
          <w:tcPr>
            <w:tcW w:w="829" w:type="pct"/>
            <w:vAlign w:val="center"/>
          </w:tcPr>
          <w:p w14:paraId="554DDA9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72F33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405" w:type="pct"/>
            <w:vAlign w:val="center"/>
          </w:tcPr>
          <w:p w14:paraId="5F4B3D5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044" w:type="pct"/>
            <w:vAlign w:val="center"/>
          </w:tcPr>
          <w:p w14:paraId="73C6A989">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锰</w:t>
            </w:r>
          </w:p>
        </w:tc>
        <w:tc>
          <w:tcPr>
            <w:tcW w:w="1454" w:type="dxa"/>
            <w:vAlign w:val="center"/>
          </w:tcPr>
          <w:p w14:paraId="5F6A06DB">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0.80</w:t>
            </w:r>
          </w:p>
        </w:tc>
        <w:tc>
          <w:tcPr>
            <w:tcW w:w="1690" w:type="dxa"/>
            <w:vAlign w:val="center"/>
          </w:tcPr>
          <w:p w14:paraId="793DFD3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46A717C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1F428D4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3CC80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405" w:type="pct"/>
            <w:vAlign w:val="center"/>
          </w:tcPr>
          <w:p w14:paraId="4DA0F92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044" w:type="pct"/>
            <w:vAlign w:val="center"/>
          </w:tcPr>
          <w:p w14:paraId="7ED90182">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铜</w:t>
            </w:r>
          </w:p>
        </w:tc>
        <w:tc>
          <w:tcPr>
            <w:tcW w:w="1454" w:type="dxa"/>
            <w:vAlign w:val="center"/>
          </w:tcPr>
          <w:p w14:paraId="10F36118">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6E0DFB4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052B508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76B066B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197FB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405" w:type="pct"/>
            <w:vAlign w:val="center"/>
          </w:tcPr>
          <w:p w14:paraId="7DDE679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044" w:type="pct"/>
            <w:vAlign w:val="center"/>
          </w:tcPr>
          <w:p w14:paraId="5E29F223">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锌</w:t>
            </w:r>
          </w:p>
        </w:tc>
        <w:tc>
          <w:tcPr>
            <w:tcW w:w="1454" w:type="dxa"/>
            <w:vAlign w:val="center"/>
          </w:tcPr>
          <w:p w14:paraId="74B643F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29A93B2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3202B37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5945F59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r>
      <w:tr w14:paraId="39180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05" w:type="pct"/>
            <w:vAlign w:val="center"/>
          </w:tcPr>
          <w:p w14:paraId="12E80FD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044" w:type="pct"/>
            <w:vAlign w:val="center"/>
          </w:tcPr>
          <w:p w14:paraId="3231BCD4">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氰化物</w:t>
            </w:r>
          </w:p>
        </w:tc>
        <w:tc>
          <w:tcPr>
            <w:tcW w:w="1454" w:type="dxa"/>
            <w:vAlign w:val="center"/>
          </w:tcPr>
          <w:p w14:paraId="0C9014F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0C3AD7D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04F7948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7C9A8B0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615BC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405" w:type="pct"/>
            <w:vAlign w:val="center"/>
          </w:tcPr>
          <w:p w14:paraId="11FD769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044" w:type="pct"/>
            <w:vAlign w:val="center"/>
          </w:tcPr>
          <w:p w14:paraId="34BF585B">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汞</w:t>
            </w:r>
          </w:p>
        </w:tc>
        <w:tc>
          <w:tcPr>
            <w:tcW w:w="1454" w:type="dxa"/>
            <w:vAlign w:val="center"/>
          </w:tcPr>
          <w:p w14:paraId="0B0421B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1C3A4BF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12937738">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73E9E4A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2B170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05" w:type="pct"/>
            <w:vAlign w:val="center"/>
          </w:tcPr>
          <w:p w14:paraId="4E109B2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1044" w:type="pct"/>
            <w:vAlign w:val="center"/>
          </w:tcPr>
          <w:p w14:paraId="04496B89">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砷</w:t>
            </w:r>
          </w:p>
        </w:tc>
        <w:tc>
          <w:tcPr>
            <w:tcW w:w="1454" w:type="dxa"/>
            <w:vAlign w:val="center"/>
          </w:tcPr>
          <w:p w14:paraId="07E0FB1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5473E11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50837726">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26E4F17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5D84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05" w:type="pct"/>
            <w:vAlign w:val="center"/>
          </w:tcPr>
          <w:p w14:paraId="27EA3CC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044" w:type="pct"/>
            <w:vAlign w:val="center"/>
          </w:tcPr>
          <w:p w14:paraId="61E8C653">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镉</w:t>
            </w:r>
          </w:p>
        </w:tc>
        <w:tc>
          <w:tcPr>
            <w:tcW w:w="1454" w:type="dxa"/>
            <w:vAlign w:val="center"/>
          </w:tcPr>
          <w:p w14:paraId="24C56C6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23F9ABF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061BB4C9">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635C333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200AD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405" w:type="pct"/>
            <w:vAlign w:val="center"/>
          </w:tcPr>
          <w:p w14:paraId="32D962F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1044" w:type="pct"/>
            <w:vAlign w:val="center"/>
          </w:tcPr>
          <w:p w14:paraId="0DBAAF84">
            <w:pPr>
              <w:pStyle w:val="385"/>
              <w:autoSpaceDE w:val="0"/>
              <w:autoSpaceDN w:val="0"/>
              <w:adjustRightIn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铬(六价)</w:t>
            </w:r>
          </w:p>
        </w:tc>
        <w:tc>
          <w:tcPr>
            <w:tcW w:w="1454" w:type="dxa"/>
            <w:vAlign w:val="center"/>
          </w:tcPr>
          <w:p w14:paraId="1DAAF0E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0A8FC0CA">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0FB867AB">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11D16DC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3B80E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05" w:type="pct"/>
            <w:vAlign w:val="center"/>
          </w:tcPr>
          <w:p w14:paraId="7ACACBD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044" w:type="pct"/>
            <w:vAlign w:val="center"/>
          </w:tcPr>
          <w:p w14:paraId="4A4DF55E">
            <w:pPr>
              <w:pStyle w:val="385"/>
              <w:autoSpaceDE w:val="0"/>
              <w:autoSpaceDN w:val="0"/>
              <w:adjustRightInd w:val="0"/>
              <w:jc w:val="center"/>
              <w:rPr>
                <w:rFonts w:hint="default" w:ascii="Times New Roman" w:hAnsi="Times New Roman" w:eastAsia="宋体" w:cs="Times New Roman"/>
                <w:color w:val="auto"/>
                <w:sz w:val="21"/>
                <w:szCs w:val="21"/>
                <w:lang w:eastAsia="en-US"/>
              </w:rPr>
            </w:pPr>
            <w:r>
              <w:rPr>
                <w:rFonts w:hint="default" w:ascii="Times New Roman" w:hAnsi="Times New Roman" w:eastAsia="宋体" w:cs="Times New Roman"/>
                <w:bCs/>
                <w:color w:val="auto"/>
                <w:sz w:val="21"/>
                <w:szCs w:val="21"/>
              </w:rPr>
              <w:t>铅</w:t>
            </w:r>
          </w:p>
        </w:tc>
        <w:tc>
          <w:tcPr>
            <w:tcW w:w="1454" w:type="dxa"/>
            <w:vAlign w:val="center"/>
          </w:tcPr>
          <w:p w14:paraId="658D9602">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7209F3F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6A38C79B">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2B56D0C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2127C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05" w:type="pct"/>
            <w:vAlign w:val="center"/>
          </w:tcPr>
          <w:p w14:paraId="38FDECD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1044" w:type="pct"/>
            <w:vAlign w:val="center"/>
          </w:tcPr>
          <w:p w14:paraId="6BCB3D8D">
            <w:pPr>
              <w:pStyle w:val="385"/>
              <w:autoSpaceDE w:val="0"/>
              <w:autoSpaceDN w:val="0"/>
              <w:adjustRightInd w:val="0"/>
              <w:jc w:val="center"/>
              <w:rPr>
                <w:rFonts w:hint="default" w:ascii="Times New Roman" w:hAnsi="Times New Roman" w:eastAsia="宋体" w:cs="Times New Roman"/>
                <w:color w:val="auto"/>
                <w:sz w:val="21"/>
                <w:szCs w:val="21"/>
                <w:lang w:eastAsia="en-US"/>
              </w:rPr>
            </w:pPr>
            <w:r>
              <w:rPr>
                <w:rFonts w:hint="default" w:ascii="Times New Roman" w:hAnsi="Times New Roman" w:eastAsia="宋体" w:cs="Times New Roman"/>
                <w:bCs/>
                <w:color w:val="auto"/>
                <w:sz w:val="21"/>
                <w:szCs w:val="21"/>
              </w:rPr>
              <w:t>溶解性总固体</w:t>
            </w:r>
          </w:p>
        </w:tc>
        <w:tc>
          <w:tcPr>
            <w:tcW w:w="1454" w:type="dxa"/>
            <w:vAlign w:val="center"/>
          </w:tcPr>
          <w:p w14:paraId="089A5FA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0.39</w:t>
            </w:r>
          </w:p>
        </w:tc>
        <w:tc>
          <w:tcPr>
            <w:tcW w:w="1690" w:type="dxa"/>
            <w:vAlign w:val="center"/>
          </w:tcPr>
          <w:p w14:paraId="5036C453">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0.46</w:t>
            </w:r>
          </w:p>
        </w:tc>
        <w:tc>
          <w:tcPr>
            <w:tcW w:w="1615" w:type="dxa"/>
            <w:vAlign w:val="center"/>
          </w:tcPr>
          <w:p w14:paraId="75C9325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0.59</w:t>
            </w:r>
          </w:p>
        </w:tc>
        <w:tc>
          <w:tcPr>
            <w:tcW w:w="829" w:type="pct"/>
            <w:vAlign w:val="center"/>
          </w:tcPr>
          <w:p w14:paraId="71CA591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r>
      <w:tr w14:paraId="4EB7E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05" w:type="pct"/>
            <w:vAlign w:val="center"/>
          </w:tcPr>
          <w:p w14:paraId="3BEBFCA8">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22</w:t>
            </w:r>
          </w:p>
        </w:tc>
        <w:tc>
          <w:tcPr>
            <w:tcW w:w="1044" w:type="pct"/>
            <w:shd w:val="clear" w:color="auto" w:fill="auto"/>
            <w:vAlign w:val="center"/>
          </w:tcPr>
          <w:p w14:paraId="157882B5">
            <w:pPr>
              <w:pStyle w:val="385"/>
              <w:autoSpaceDE w:val="0"/>
              <w:autoSpaceDN w:val="0"/>
              <w:adjustRightInd w:val="0"/>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rPr>
              <w:t>高锰酸盐指数</w:t>
            </w:r>
          </w:p>
        </w:tc>
        <w:tc>
          <w:tcPr>
            <w:tcW w:w="1454" w:type="dxa"/>
            <w:vAlign w:val="center"/>
          </w:tcPr>
          <w:p w14:paraId="4649F57F">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0.33</w:t>
            </w:r>
          </w:p>
        </w:tc>
        <w:tc>
          <w:tcPr>
            <w:tcW w:w="1690" w:type="dxa"/>
            <w:vAlign w:val="center"/>
          </w:tcPr>
          <w:p w14:paraId="7C458326">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0.30</w:t>
            </w:r>
          </w:p>
        </w:tc>
        <w:tc>
          <w:tcPr>
            <w:tcW w:w="1615" w:type="dxa"/>
            <w:vAlign w:val="center"/>
          </w:tcPr>
          <w:p w14:paraId="1D9BB3E9">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0.37</w:t>
            </w:r>
          </w:p>
        </w:tc>
        <w:tc>
          <w:tcPr>
            <w:tcW w:w="829" w:type="pct"/>
            <w:vAlign w:val="center"/>
          </w:tcPr>
          <w:p w14:paraId="390DEE6E">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r>
      <w:tr w14:paraId="421ED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05" w:type="pct"/>
            <w:vAlign w:val="center"/>
          </w:tcPr>
          <w:p w14:paraId="4DF9FD54">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23</w:t>
            </w:r>
          </w:p>
        </w:tc>
        <w:tc>
          <w:tcPr>
            <w:tcW w:w="1044" w:type="pct"/>
            <w:shd w:val="clear" w:color="auto" w:fill="auto"/>
            <w:vAlign w:val="center"/>
          </w:tcPr>
          <w:p w14:paraId="230BE416">
            <w:pPr>
              <w:pStyle w:val="385"/>
              <w:autoSpaceDE w:val="0"/>
              <w:autoSpaceDN w:val="0"/>
              <w:adjustRightInd w:val="0"/>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rPr>
              <w:t>钠</w:t>
            </w:r>
          </w:p>
        </w:tc>
        <w:tc>
          <w:tcPr>
            <w:tcW w:w="1454" w:type="dxa"/>
            <w:vAlign w:val="center"/>
          </w:tcPr>
          <w:p w14:paraId="7E3D70B7">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0.17</w:t>
            </w:r>
          </w:p>
        </w:tc>
        <w:tc>
          <w:tcPr>
            <w:tcW w:w="1690" w:type="dxa"/>
            <w:vAlign w:val="center"/>
          </w:tcPr>
          <w:p w14:paraId="71BE3BBD">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0.16</w:t>
            </w:r>
          </w:p>
        </w:tc>
        <w:tc>
          <w:tcPr>
            <w:tcW w:w="1615" w:type="dxa"/>
            <w:vAlign w:val="center"/>
          </w:tcPr>
          <w:p w14:paraId="65F80B50">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0.15</w:t>
            </w:r>
          </w:p>
        </w:tc>
        <w:tc>
          <w:tcPr>
            <w:tcW w:w="829" w:type="pct"/>
            <w:vAlign w:val="center"/>
          </w:tcPr>
          <w:p w14:paraId="7D67B601">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r>
      <w:tr w14:paraId="7A8B9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05" w:type="pct"/>
            <w:vAlign w:val="center"/>
          </w:tcPr>
          <w:p w14:paraId="4452DAD1">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24</w:t>
            </w:r>
          </w:p>
        </w:tc>
        <w:tc>
          <w:tcPr>
            <w:tcW w:w="1044" w:type="pct"/>
            <w:shd w:val="clear" w:color="auto" w:fill="auto"/>
            <w:vAlign w:val="center"/>
          </w:tcPr>
          <w:p w14:paraId="087F08C8">
            <w:pPr>
              <w:pStyle w:val="385"/>
              <w:autoSpaceDE w:val="0"/>
              <w:autoSpaceDN w:val="0"/>
              <w:adjustRightInd w:val="0"/>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rPr>
              <w:t>甲苯</w:t>
            </w:r>
          </w:p>
        </w:tc>
        <w:tc>
          <w:tcPr>
            <w:tcW w:w="1454" w:type="dxa"/>
            <w:vAlign w:val="center"/>
          </w:tcPr>
          <w:p w14:paraId="0861DAA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90" w:type="dxa"/>
            <w:vAlign w:val="center"/>
          </w:tcPr>
          <w:p w14:paraId="4891557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615" w:type="dxa"/>
            <w:vAlign w:val="center"/>
          </w:tcPr>
          <w:p w14:paraId="280641FB">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29" w:type="pct"/>
            <w:vAlign w:val="center"/>
          </w:tcPr>
          <w:p w14:paraId="530B174E">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r>
      <w:tr w14:paraId="57DCA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05" w:type="pct"/>
            <w:vAlign w:val="center"/>
          </w:tcPr>
          <w:p w14:paraId="4584BEBD">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25</w:t>
            </w:r>
          </w:p>
        </w:tc>
        <w:tc>
          <w:tcPr>
            <w:tcW w:w="1044" w:type="pct"/>
            <w:vAlign w:val="center"/>
          </w:tcPr>
          <w:p w14:paraId="05E78001">
            <w:pPr>
              <w:pStyle w:val="385"/>
              <w:autoSpaceDE w:val="0"/>
              <w:autoSpaceDN w:val="0"/>
              <w:adjustRightIn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细菌总数</w:t>
            </w:r>
          </w:p>
        </w:tc>
        <w:tc>
          <w:tcPr>
            <w:tcW w:w="831" w:type="pct"/>
            <w:vAlign w:val="center"/>
          </w:tcPr>
          <w:p w14:paraId="6C67BC2F">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0.08</w:t>
            </w:r>
          </w:p>
        </w:tc>
        <w:tc>
          <w:tcPr>
            <w:tcW w:w="966" w:type="pct"/>
            <w:vAlign w:val="center"/>
          </w:tcPr>
          <w:p w14:paraId="32761265">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w:t>
            </w:r>
          </w:p>
        </w:tc>
        <w:tc>
          <w:tcPr>
            <w:tcW w:w="922" w:type="pct"/>
            <w:vAlign w:val="center"/>
          </w:tcPr>
          <w:p w14:paraId="53444F31">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w:t>
            </w:r>
          </w:p>
        </w:tc>
        <w:tc>
          <w:tcPr>
            <w:tcW w:w="829" w:type="pct"/>
            <w:vAlign w:val="center"/>
          </w:tcPr>
          <w:p w14:paraId="6883A503">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w:t>
            </w:r>
          </w:p>
        </w:tc>
      </w:tr>
    </w:tbl>
    <w:p w14:paraId="69567A24">
      <w:pPr>
        <w:spacing w:line="360" w:lineRule="auto"/>
        <w:ind w:firstLine="480" w:firstLineChars="200"/>
        <w:rPr>
          <w:rFonts w:hint="eastAsia"/>
        </w:rPr>
      </w:pPr>
      <w:r>
        <w:rPr>
          <w:rFonts w:hint="eastAsia"/>
        </w:rPr>
        <w:t>根据表4.5-2和表4.5-3地下水水质监测结果及标准指数可知，在监测时段内，</w:t>
      </w:r>
      <w:r>
        <w:rPr>
          <w:rFonts w:hint="eastAsia"/>
          <w:lang w:val="en-US" w:eastAsia="zh-CN"/>
        </w:rPr>
        <w:t>S所有监测因子均满足</w:t>
      </w:r>
      <w:r>
        <w:rPr>
          <w:rFonts w:hint="eastAsia"/>
        </w:rPr>
        <w:t>《地下水质量标准》（GB/T14848-2017）中的Ⅲ类标准限值要求。</w:t>
      </w:r>
    </w:p>
    <w:p w14:paraId="45EA20AB">
      <w:pPr>
        <w:spacing w:line="360" w:lineRule="auto"/>
        <w:ind w:firstLine="480" w:firstLineChars="200"/>
        <w:rPr>
          <w:rFonts w:hint="eastAsia"/>
        </w:rPr>
      </w:pPr>
      <w:r>
        <w:rPr>
          <w:rFonts w:hint="eastAsia"/>
        </w:rPr>
        <w:t>（</w:t>
      </w:r>
      <w:r>
        <w:rPr>
          <w:rFonts w:hint="eastAsia"/>
          <w:lang w:val="en-US"/>
        </w:rPr>
        <w:t>2</w:t>
      </w:r>
      <w:r>
        <w:rPr>
          <w:rFonts w:hint="eastAsia"/>
        </w:rPr>
        <w:t>）地下水化学类型</w:t>
      </w:r>
    </w:p>
    <w:p w14:paraId="365B4E23">
      <w:pPr>
        <w:spacing w:line="360" w:lineRule="auto"/>
        <w:ind w:firstLine="480" w:firstLineChars="200"/>
        <w:rPr>
          <w:rFonts w:hint="eastAsia"/>
        </w:rPr>
      </w:pPr>
      <w:r>
        <w:rPr>
          <w:rFonts w:hint="eastAsia"/>
        </w:rPr>
        <w:t>用舒卡列夫分类法对地下水化学类型进行评价。地下水化学类型的舒卡列夫分类是根据地下水中6种主要离子（Na</w:t>
      </w:r>
      <w:r>
        <w:rPr>
          <w:rFonts w:hint="eastAsia"/>
          <w:vertAlign w:val="superscript"/>
          <w:lang w:val="en-US" w:eastAsia="zh-CN"/>
        </w:rPr>
        <w:t>+</w:t>
      </w:r>
      <w:r>
        <w:rPr>
          <w:rFonts w:hint="eastAsia"/>
        </w:rPr>
        <w:t>、Ca</w:t>
      </w:r>
      <w:r>
        <w:rPr>
          <w:rFonts w:hint="eastAsia"/>
          <w:vertAlign w:val="superscript"/>
        </w:rPr>
        <w:t>2+</w:t>
      </w:r>
      <w:r>
        <w:rPr>
          <w:rFonts w:hint="eastAsia"/>
        </w:rPr>
        <w:t>、Mg</w:t>
      </w:r>
      <w:r>
        <w:rPr>
          <w:rFonts w:hint="eastAsia"/>
          <w:vertAlign w:val="superscript"/>
        </w:rPr>
        <w:t>2+</w:t>
      </w:r>
      <w:r>
        <w:rPr>
          <w:rFonts w:hint="eastAsia"/>
        </w:rPr>
        <w:t>、HCO</w:t>
      </w:r>
      <w:r>
        <w:rPr>
          <w:rFonts w:hint="eastAsia"/>
          <w:vertAlign w:val="subscript"/>
        </w:rPr>
        <w:t>3</w:t>
      </w:r>
      <w:r>
        <w:rPr>
          <w:rFonts w:hint="eastAsia"/>
          <w:vertAlign w:val="superscript"/>
        </w:rPr>
        <w:t>-</w:t>
      </w:r>
      <w:r>
        <w:rPr>
          <w:rFonts w:hint="eastAsia"/>
        </w:rPr>
        <w:t>、SO</w:t>
      </w:r>
      <w:r>
        <w:rPr>
          <w:rFonts w:hint="eastAsia"/>
          <w:vertAlign w:val="subscript"/>
        </w:rPr>
        <w:t>4</w:t>
      </w:r>
      <w:r>
        <w:rPr>
          <w:rFonts w:hint="eastAsia"/>
          <w:vertAlign w:val="superscript"/>
        </w:rPr>
        <w:t>2-</w:t>
      </w:r>
      <w:r>
        <w:rPr>
          <w:rFonts w:hint="eastAsia"/>
        </w:rPr>
        <w:t>、Cl</w:t>
      </w:r>
      <w:r>
        <w:rPr>
          <w:rFonts w:hint="eastAsia"/>
          <w:vertAlign w:val="superscript"/>
        </w:rPr>
        <w:t>-</w:t>
      </w:r>
      <w:r>
        <w:rPr>
          <w:rFonts w:hint="eastAsia"/>
        </w:rPr>
        <w:t>，K</w:t>
      </w:r>
      <w:r>
        <w:rPr>
          <w:rFonts w:hint="eastAsia"/>
          <w:vertAlign w:val="superscript"/>
        </w:rPr>
        <w:t>+</w:t>
      </w:r>
      <w:r>
        <w:rPr>
          <w:rFonts w:hint="eastAsia"/>
        </w:rPr>
        <w:t>合并于Na</w:t>
      </w:r>
      <w:r>
        <w:rPr>
          <w:rFonts w:hint="eastAsia"/>
          <w:vertAlign w:val="superscript"/>
        </w:rPr>
        <w:t>+</w:t>
      </w:r>
      <w:r>
        <w:rPr>
          <w:rFonts w:hint="eastAsia"/>
        </w:rPr>
        <w:t>）。具体步骤如下：</w:t>
      </w:r>
    </w:p>
    <w:p w14:paraId="6A20E7F7">
      <w:pPr>
        <w:spacing w:line="360" w:lineRule="auto"/>
        <w:ind w:firstLine="480" w:firstLineChars="200"/>
        <w:rPr>
          <w:rFonts w:hint="eastAsia"/>
        </w:rPr>
      </w:pPr>
      <w:r>
        <w:rPr>
          <w:rFonts w:hint="eastAsia"/>
        </w:rPr>
        <w:t>将6种主要离子中含量大于25％毫克当量的阴离子和阳离子进行组合，可组合出49型水，并将每型用一个阿拉伯数字作为代号，见表4.2-15。</w:t>
      </w:r>
    </w:p>
    <w:p w14:paraId="696E784B">
      <w:pPr>
        <w:spacing w:line="360" w:lineRule="auto"/>
        <w:jc w:val="center"/>
        <w:textAlignment w:val="center"/>
        <w:rPr>
          <w:rFonts w:hint="eastAsia"/>
          <w:b/>
          <w:bCs/>
        </w:rPr>
      </w:pPr>
      <w:r>
        <w:rPr>
          <w:rFonts w:hint="eastAsia"/>
          <w:b/>
          <w:bCs/>
        </w:rPr>
        <w:t>表4.2-15  舒卡列夫分类表</w:t>
      </w:r>
    </w:p>
    <w:tbl>
      <w:tblPr>
        <w:tblStyle w:val="53"/>
        <w:tblW w:w="9317"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711"/>
        <w:gridCol w:w="981"/>
        <w:gridCol w:w="1022"/>
        <w:gridCol w:w="1252"/>
        <w:gridCol w:w="1274"/>
        <w:gridCol w:w="1011"/>
        <w:gridCol w:w="1285"/>
        <w:gridCol w:w="781"/>
      </w:tblGrid>
      <w:tr w14:paraId="3C11A9B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53" w:hRule="atLeast"/>
        </w:trPr>
        <w:tc>
          <w:tcPr>
            <w:tcW w:w="1711" w:type="dxa"/>
            <w:tcBorders>
              <w:bottom w:val="single" w:color="auto" w:sz="6" w:space="0"/>
              <w:right w:val="single" w:color="auto" w:sz="6" w:space="0"/>
            </w:tcBorders>
            <w:vAlign w:val="center"/>
          </w:tcPr>
          <w:p w14:paraId="14D85B9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超过25%毫克当量的离子</w:t>
            </w:r>
          </w:p>
        </w:tc>
        <w:tc>
          <w:tcPr>
            <w:tcW w:w="981" w:type="dxa"/>
            <w:tcBorders>
              <w:left w:val="single" w:color="auto" w:sz="6" w:space="0"/>
              <w:bottom w:val="single" w:color="auto" w:sz="6" w:space="0"/>
              <w:right w:val="single" w:color="auto" w:sz="6" w:space="0"/>
            </w:tcBorders>
            <w:vAlign w:val="center"/>
          </w:tcPr>
          <w:p w14:paraId="5B2D259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p>
        </w:tc>
        <w:tc>
          <w:tcPr>
            <w:tcW w:w="1022" w:type="dxa"/>
            <w:tcBorders>
              <w:left w:val="single" w:color="auto" w:sz="6" w:space="0"/>
              <w:bottom w:val="single" w:color="auto" w:sz="6" w:space="0"/>
              <w:right w:val="single" w:color="auto" w:sz="6" w:space="0"/>
            </w:tcBorders>
            <w:vAlign w:val="center"/>
          </w:tcPr>
          <w:p w14:paraId="5C1D000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 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252" w:type="dxa"/>
            <w:tcBorders>
              <w:left w:val="single" w:color="auto" w:sz="6" w:space="0"/>
              <w:bottom w:val="single" w:color="auto" w:sz="6" w:space="0"/>
              <w:right w:val="single" w:color="auto" w:sz="6" w:space="0"/>
            </w:tcBorders>
            <w:vAlign w:val="center"/>
          </w:tcPr>
          <w:p w14:paraId="5D07175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 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 Cl-</w:t>
            </w:r>
          </w:p>
        </w:tc>
        <w:tc>
          <w:tcPr>
            <w:tcW w:w="1274" w:type="dxa"/>
            <w:tcBorders>
              <w:left w:val="single" w:color="auto" w:sz="6" w:space="0"/>
              <w:bottom w:val="single" w:color="auto" w:sz="6" w:space="0"/>
              <w:right w:val="single" w:color="auto" w:sz="6" w:space="0"/>
            </w:tcBorders>
            <w:vAlign w:val="center"/>
          </w:tcPr>
          <w:p w14:paraId="0D765B5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 Cl</w:t>
            </w:r>
            <w:r>
              <w:rPr>
                <w:rFonts w:hint="default" w:ascii="Times New Roman" w:hAnsi="Times New Roman" w:eastAsia="宋体" w:cs="Times New Roman"/>
                <w:color w:val="auto"/>
                <w:sz w:val="21"/>
                <w:szCs w:val="21"/>
                <w:vertAlign w:val="superscript"/>
              </w:rPr>
              <w:t>-</w:t>
            </w:r>
          </w:p>
        </w:tc>
        <w:tc>
          <w:tcPr>
            <w:tcW w:w="1011" w:type="dxa"/>
            <w:tcBorders>
              <w:left w:val="single" w:color="auto" w:sz="6" w:space="0"/>
              <w:bottom w:val="single" w:color="auto" w:sz="6" w:space="0"/>
              <w:right w:val="single" w:color="auto" w:sz="6" w:space="0"/>
            </w:tcBorders>
            <w:vAlign w:val="center"/>
          </w:tcPr>
          <w:p w14:paraId="3CDFD01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p>
        </w:tc>
        <w:tc>
          <w:tcPr>
            <w:tcW w:w="1285" w:type="dxa"/>
            <w:tcBorders>
              <w:left w:val="single" w:color="auto" w:sz="6" w:space="0"/>
              <w:bottom w:val="single" w:color="auto" w:sz="6" w:space="0"/>
              <w:right w:val="single" w:color="auto" w:sz="6" w:space="0"/>
            </w:tcBorders>
            <w:vAlign w:val="center"/>
          </w:tcPr>
          <w:p w14:paraId="1CB42A2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4</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 Cl</w:t>
            </w:r>
            <w:r>
              <w:rPr>
                <w:rFonts w:hint="default" w:ascii="Times New Roman" w:hAnsi="Times New Roman" w:eastAsia="宋体" w:cs="Times New Roman"/>
                <w:color w:val="auto"/>
                <w:sz w:val="21"/>
                <w:szCs w:val="21"/>
                <w:vertAlign w:val="superscript"/>
              </w:rPr>
              <w:t>-</w:t>
            </w:r>
          </w:p>
        </w:tc>
        <w:tc>
          <w:tcPr>
            <w:tcW w:w="781" w:type="dxa"/>
            <w:tcBorders>
              <w:left w:val="single" w:color="auto" w:sz="6" w:space="0"/>
              <w:bottom w:val="single" w:color="auto" w:sz="6" w:space="0"/>
            </w:tcBorders>
            <w:vAlign w:val="center"/>
          </w:tcPr>
          <w:p w14:paraId="305A904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Cl</w:t>
            </w:r>
            <w:r>
              <w:rPr>
                <w:rFonts w:hint="default" w:ascii="Times New Roman" w:hAnsi="Times New Roman" w:eastAsia="宋体" w:cs="Times New Roman"/>
                <w:color w:val="auto"/>
                <w:sz w:val="21"/>
                <w:szCs w:val="21"/>
                <w:vertAlign w:val="superscript"/>
              </w:rPr>
              <w:t>-</w:t>
            </w:r>
          </w:p>
        </w:tc>
      </w:tr>
      <w:tr w14:paraId="2025387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1711" w:type="dxa"/>
            <w:tcBorders>
              <w:top w:val="single" w:color="auto" w:sz="6" w:space="0"/>
              <w:bottom w:val="single" w:color="auto" w:sz="6" w:space="0"/>
              <w:right w:val="single" w:color="auto" w:sz="6" w:space="0"/>
            </w:tcBorders>
            <w:vAlign w:val="center"/>
          </w:tcPr>
          <w:p w14:paraId="7AD4A07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981" w:type="dxa"/>
            <w:tcBorders>
              <w:top w:val="single" w:color="auto" w:sz="6" w:space="0"/>
              <w:left w:val="single" w:color="auto" w:sz="6" w:space="0"/>
              <w:bottom w:val="single" w:color="auto" w:sz="6" w:space="0"/>
              <w:right w:val="single" w:color="auto" w:sz="6" w:space="0"/>
            </w:tcBorders>
            <w:vAlign w:val="center"/>
          </w:tcPr>
          <w:p w14:paraId="54442E3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022" w:type="dxa"/>
            <w:tcBorders>
              <w:top w:val="single" w:color="auto" w:sz="6" w:space="0"/>
              <w:left w:val="single" w:color="auto" w:sz="6" w:space="0"/>
              <w:bottom w:val="single" w:color="auto" w:sz="6" w:space="0"/>
              <w:right w:val="single" w:color="auto" w:sz="6" w:space="0"/>
            </w:tcBorders>
            <w:vAlign w:val="center"/>
          </w:tcPr>
          <w:p w14:paraId="4A813B9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252" w:type="dxa"/>
            <w:tcBorders>
              <w:top w:val="single" w:color="auto" w:sz="6" w:space="0"/>
              <w:left w:val="single" w:color="auto" w:sz="6" w:space="0"/>
              <w:bottom w:val="single" w:color="auto" w:sz="6" w:space="0"/>
              <w:right w:val="single" w:color="auto" w:sz="6" w:space="0"/>
            </w:tcBorders>
            <w:vAlign w:val="center"/>
          </w:tcPr>
          <w:p w14:paraId="10C52CD8">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1274" w:type="dxa"/>
            <w:tcBorders>
              <w:top w:val="single" w:color="auto" w:sz="6" w:space="0"/>
              <w:left w:val="single" w:color="auto" w:sz="6" w:space="0"/>
              <w:bottom w:val="single" w:color="auto" w:sz="6" w:space="0"/>
              <w:right w:val="single" w:color="auto" w:sz="6" w:space="0"/>
            </w:tcBorders>
            <w:vAlign w:val="center"/>
          </w:tcPr>
          <w:p w14:paraId="030C3E2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1011" w:type="dxa"/>
            <w:tcBorders>
              <w:top w:val="single" w:color="auto" w:sz="6" w:space="0"/>
              <w:left w:val="single" w:color="auto" w:sz="6" w:space="0"/>
              <w:bottom w:val="single" w:color="auto" w:sz="6" w:space="0"/>
              <w:right w:val="single" w:color="auto" w:sz="6" w:space="0"/>
            </w:tcBorders>
            <w:vAlign w:val="center"/>
          </w:tcPr>
          <w:p w14:paraId="1C61FCD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w:t>
            </w:r>
          </w:p>
        </w:tc>
        <w:tc>
          <w:tcPr>
            <w:tcW w:w="1285" w:type="dxa"/>
            <w:tcBorders>
              <w:top w:val="single" w:color="auto" w:sz="6" w:space="0"/>
              <w:left w:val="single" w:color="auto" w:sz="6" w:space="0"/>
              <w:bottom w:val="single" w:color="auto" w:sz="6" w:space="0"/>
              <w:right w:val="single" w:color="auto" w:sz="6" w:space="0"/>
            </w:tcBorders>
            <w:vAlign w:val="center"/>
          </w:tcPr>
          <w:p w14:paraId="17DB72F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w:t>
            </w:r>
          </w:p>
        </w:tc>
        <w:tc>
          <w:tcPr>
            <w:tcW w:w="781" w:type="dxa"/>
            <w:tcBorders>
              <w:top w:val="single" w:color="auto" w:sz="6" w:space="0"/>
              <w:left w:val="single" w:color="auto" w:sz="6" w:space="0"/>
              <w:bottom w:val="single" w:color="auto" w:sz="6" w:space="0"/>
            </w:tcBorders>
            <w:vAlign w:val="center"/>
          </w:tcPr>
          <w:p w14:paraId="78695C3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43</w:t>
            </w:r>
          </w:p>
        </w:tc>
      </w:tr>
      <w:tr w14:paraId="2682913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1711" w:type="dxa"/>
            <w:tcBorders>
              <w:top w:val="single" w:color="auto" w:sz="6" w:space="0"/>
              <w:bottom w:val="single" w:color="auto" w:sz="6" w:space="0"/>
              <w:right w:val="single" w:color="auto" w:sz="6" w:space="0"/>
            </w:tcBorders>
            <w:vAlign w:val="center"/>
          </w:tcPr>
          <w:p w14:paraId="42933AA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981" w:type="dxa"/>
            <w:tcBorders>
              <w:top w:val="single" w:color="auto" w:sz="6" w:space="0"/>
              <w:left w:val="single" w:color="auto" w:sz="6" w:space="0"/>
              <w:bottom w:val="single" w:color="auto" w:sz="6" w:space="0"/>
              <w:right w:val="single" w:color="auto" w:sz="6" w:space="0"/>
            </w:tcBorders>
            <w:vAlign w:val="center"/>
          </w:tcPr>
          <w:p w14:paraId="695AE15F">
            <w:pPr>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rPr>
              <w:t>2</w:t>
            </w:r>
          </w:p>
        </w:tc>
        <w:tc>
          <w:tcPr>
            <w:tcW w:w="1022" w:type="dxa"/>
            <w:tcBorders>
              <w:top w:val="single" w:color="auto" w:sz="6" w:space="0"/>
              <w:left w:val="single" w:color="auto" w:sz="6" w:space="0"/>
              <w:bottom w:val="single" w:color="auto" w:sz="6" w:space="0"/>
              <w:right w:val="single" w:color="auto" w:sz="6" w:space="0"/>
            </w:tcBorders>
            <w:vAlign w:val="center"/>
          </w:tcPr>
          <w:p w14:paraId="5632097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1252" w:type="dxa"/>
            <w:tcBorders>
              <w:top w:val="single" w:color="auto" w:sz="6" w:space="0"/>
              <w:left w:val="single" w:color="auto" w:sz="6" w:space="0"/>
              <w:bottom w:val="single" w:color="auto" w:sz="6" w:space="0"/>
              <w:right w:val="single" w:color="auto" w:sz="6" w:space="0"/>
            </w:tcBorders>
            <w:vAlign w:val="center"/>
          </w:tcPr>
          <w:p w14:paraId="07FED6E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1274" w:type="dxa"/>
            <w:tcBorders>
              <w:top w:val="single" w:color="auto" w:sz="6" w:space="0"/>
              <w:left w:val="single" w:color="auto" w:sz="6" w:space="0"/>
              <w:bottom w:val="single" w:color="auto" w:sz="6" w:space="0"/>
              <w:right w:val="single" w:color="auto" w:sz="6" w:space="0"/>
            </w:tcBorders>
            <w:vAlign w:val="center"/>
          </w:tcPr>
          <w:p w14:paraId="46109973">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w:t>
            </w:r>
          </w:p>
        </w:tc>
        <w:tc>
          <w:tcPr>
            <w:tcW w:w="1011" w:type="dxa"/>
            <w:tcBorders>
              <w:top w:val="single" w:color="auto" w:sz="6" w:space="0"/>
              <w:left w:val="single" w:color="auto" w:sz="6" w:space="0"/>
              <w:bottom w:val="single" w:color="auto" w:sz="6" w:space="0"/>
              <w:right w:val="single" w:color="auto" w:sz="6" w:space="0"/>
            </w:tcBorders>
            <w:vAlign w:val="center"/>
          </w:tcPr>
          <w:p w14:paraId="700030D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1285" w:type="dxa"/>
            <w:tcBorders>
              <w:top w:val="single" w:color="auto" w:sz="6" w:space="0"/>
              <w:left w:val="single" w:color="auto" w:sz="6" w:space="0"/>
              <w:bottom w:val="single" w:color="auto" w:sz="6" w:space="0"/>
              <w:right w:val="single" w:color="auto" w:sz="6" w:space="0"/>
            </w:tcBorders>
            <w:vAlign w:val="center"/>
          </w:tcPr>
          <w:p w14:paraId="10656A2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w:t>
            </w:r>
          </w:p>
        </w:tc>
        <w:tc>
          <w:tcPr>
            <w:tcW w:w="781" w:type="dxa"/>
            <w:tcBorders>
              <w:top w:val="single" w:color="auto" w:sz="6" w:space="0"/>
              <w:left w:val="single" w:color="auto" w:sz="6" w:space="0"/>
              <w:bottom w:val="single" w:color="auto" w:sz="6" w:space="0"/>
            </w:tcBorders>
            <w:vAlign w:val="center"/>
          </w:tcPr>
          <w:p w14:paraId="51102855">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44</w:t>
            </w:r>
          </w:p>
        </w:tc>
      </w:tr>
      <w:tr w14:paraId="4717DA4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1711" w:type="dxa"/>
            <w:tcBorders>
              <w:top w:val="single" w:color="auto" w:sz="6" w:space="0"/>
              <w:bottom w:val="single" w:color="auto" w:sz="6" w:space="0"/>
              <w:right w:val="single" w:color="auto" w:sz="6" w:space="0"/>
            </w:tcBorders>
            <w:vAlign w:val="center"/>
          </w:tcPr>
          <w:p w14:paraId="3248077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z w:val="21"/>
                <w:szCs w:val="21"/>
                <w:vertAlign w:val="superscript"/>
              </w:rPr>
              <w:t>2+</w:t>
            </w:r>
          </w:p>
        </w:tc>
        <w:tc>
          <w:tcPr>
            <w:tcW w:w="981" w:type="dxa"/>
            <w:tcBorders>
              <w:top w:val="single" w:color="auto" w:sz="6" w:space="0"/>
              <w:left w:val="single" w:color="auto" w:sz="6" w:space="0"/>
              <w:bottom w:val="single" w:color="auto" w:sz="6" w:space="0"/>
              <w:right w:val="single" w:color="auto" w:sz="6" w:space="0"/>
            </w:tcBorders>
            <w:vAlign w:val="center"/>
          </w:tcPr>
          <w:p w14:paraId="682264F8">
            <w:pPr>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3</w:t>
            </w:r>
          </w:p>
        </w:tc>
        <w:tc>
          <w:tcPr>
            <w:tcW w:w="1022" w:type="dxa"/>
            <w:tcBorders>
              <w:top w:val="single" w:color="auto" w:sz="6" w:space="0"/>
              <w:left w:val="single" w:color="auto" w:sz="6" w:space="0"/>
              <w:bottom w:val="single" w:color="auto" w:sz="6" w:space="0"/>
              <w:right w:val="single" w:color="auto" w:sz="6" w:space="0"/>
            </w:tcBorders>
            <w:vAlign w:val="center"/>
          </w:tcPr>
          <w:p w14:paraId="3AE2761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1252" w:type="dxa"/>
            <w:tcBorders>
              <w:top w:val="single" w:color="auto" w:sz="6" w:space="0"/>
              <w:left w:val="single" w:color="auto" w:sz="6" w:space="0"/>
              <w:bottom w:val="single" w:color="auto" w:sz="6" w:space="0"/>
              <w:right w:val="single" w:color="auto" w:sz="6" w:space="0"/>
            </w:tcBorders>
            <w:vAlign w:val="center"/>
          </w:tcPr>
          <w:p w14:paraId="4AFA727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w:t>
            </w:r>
          </w:p>
        </w:tc>
        <w:tc>
          <w:tcPr>
            <w:tcW w:w="1274" w:type="dxa"/>
            <w:tcBorders>
              <w:top w:val="single" w:color="auto" w:sz="6" w:space="0"/>
              <w:left w:val="single" w:color="auto" w:sz="6" w:space="0"/>
              <w:bottom w:val="single" w:color="auto" w:sz="6" w:space="0"/>
              <w:right w:val="single" w:color="auto" w:sz="6" w:space="0"/>
            </w:tcBorders>
            <w:vAlign w:val="center"/>
          </w:tcPr>
          <w:p w14:paraId="4276BDA1">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w:t>
            </w:r>
          </w:p>
        </w:tc>
        <w:tc>
          <w:tcPr>
            <w:tcW w:w="1011" w:type="dxa"/>
            <w:tcBorders>
              <w:top w:val="single" w:color="auto" w:sz="6" w:space="0"/>
              <w:left w:val="single" w:color="auto" w:sz="6" w:space="0"/>
              <w:bottom w:val="single" w:color="auto" w:sz="6" w:space="0"/>
              <w:right w:val="single" w:color="auto" w:sz="6" w:space="0"/>
            </w:tcBorders>
            <w:vAlign w:val="center"/>
          </w:tcPr>
          <w:p w14:paraId="0B50F32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31</w:t>
            </w:r>
          </w:p>
        </w:tc>
        <w:tc>
          <w:tcPr>
            <w:tcW w:w="1285" w:type="dxa"/>
            <w:tcBorders>
              <w:top w:val="single" w:color="auto" w:sz="6" w:space="0"/>
              <w:left w:val="single" w:color="auto" w:sz="6" w:space="0"/>
              <w:bottom w:val="single" w:color="auto" w:sz="6" w:space="0"/>
              <w:right w:val="single" w:color="auto" w:sz="6" w:space="0"/>
            </w:tcBorders>
            <w:vAlign w:val="center"/>
          </w:tcPr>
          <w:p w14:paraId="2A5F2AD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w:t>
            </w:r>
          </w:p>
        </w:tc>
        <w:tc>
          <w:tcPr>
            <w:tcW w:w="781" w:type="dxa"/>
            <w:tcBorders>
              <w:top w:val="single" w:color="auto" w:sz="6" w:space="0"/>
              <w:left w:val="single" w:color="auto" w:sz="6" w:space="0"/>
              <w:bottom w:val="single" w:color="auto" w:sz="6" w:space="0"/>
            </w:tcBorders>
            <w:vAlign w:val="center"/>
          </w:tcPr>
          <w:p w14:paraId="2854FA6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w:t>
            </w:r>
          </w:p>
        </w:tc>
      </w:tr>
      <w:tr w14:paraId="7F5AE7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1711" w:type="dxa"/>
            <w:tcBorders>
              <w:top w:val="single" w:color="auto" w:sz="6" w:space="0"/>
              <w:bottom w:val="single" w:color="auto" w:sz="6" w:space="0"/>
              <w:right w:val="single" w:color="auto" w:sz="6" w:space="0"/>
            </w:tcBorders>
            <w:vAlign w:val="center"/>
          </w:tcPr>
          <w:p w14:paraId="0E3E60A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p>
        </w:tc>
        <w:tc>
          <w:tcPr>
            <w:tcW w:w="981" w:type="dxa"/>
            <w:tcBorders>
              <w:top w:val="single" w:color="auto" w:sz="6" w:space="0"/>
              <w:left w:val="single" w:color="auto" w:sz="6" w:space="0"/>
              <w:bottom w:val="single" w:color="auto" w:sz="6" w:space="0"/>
              <w:right w:val="single" w:color="auto" w:sz="6" w:space="0"/>
            </w:tcBorders>
            <w:vAlign w:val="center"/>
          </w:tcPr>
          <w:p w14:paraId="732EE4A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022" w:type="dxa"/>
            <w:tcBorders>
              <w:top w:val="single" w:color="auto" w:sz="6" w:space="0"/>
              <w:left w:val="single" w:color="auto" w:sz="6" w:space="0"/>
              <w:bottom w:val="single" w:color="auto" w:sz="6" w:space="0"/>
              <w:right w:val="single" w:color="auto" w:sz="6" w:space="0"/>
            </w:tcBorders>
            <w:vAlign w:val="center"/>
          </w:tcPr>
          <w:p w14:paraId="76866C0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1252" w:type="dxa"/>
            <w:tcBorders>
              <w:top w:val="single" w:color="auto" w:sz="6" w:space="0"/>
              <w:left w:val="single" w:color="auto" w:sz="6" w:space="0"/>
              <w:bottom w:val="single" w:color="auto" w:sz="6" w:space="0"/>
              <w:right w:val="single" w:color="auto" w:sz="6" w:space="0"/>
            </w:tcBorders>
            <w:vAlign w:val="center"/>
          </w:tcPr>
          <w:p w14:paraId="1C21C02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w:t>
            </w:r>
          </w:p>
        </w:tc>
        <w:tc>
          <w:tcPr>
            <w:tcW w:w="1274" w:type="dxa"/>
            <w:tcBorders>
              <w:top w:val="single" w:color="auto" w:sz="6" w:space="0"/>
              <w:left w:val="single" w:color="auto" w:sz="6" w:space="0"/>
              <w:bottom w:val="single" w:color="auto" w:sz="6" w:space="0"/>
              <w:right w:val="single" w:color="auto" w:sz="6" w:space="0"/>
            </w:tcBorders>
            <w:vAlign w:val="center"/>
          </w:tcPr>
          <w:p w14:paraId="1E9F253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1011" w:type="dxa"/>
            <w:tcBorders>
              <w:top w:val="single" w:color="auto" w:sz="6" w:space="0"/>
              <w:left w:val="single" w:color="auto" w:sz="6" w:space="0"/>
              <w:bottom w:val="single" w:color="auto" w:sz="6" w:space="0"/>
              <w:right w:val="single" w:color="auto" w:sz="6" w:space="0"/>
            </w:tcBorders>
            <w:vAlign w:val="center"/>
          </w:tcPr>
          <w:p w14:paraId="43DD4AB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w:t>
            </w:r>
          </w:p>
        </w:tc>
        <w:tc>
          <w:tcPr>
            <w:tcW w:w="1285" w:type="dxa"/>
            <w:tcBorders>
              <w:top w:val="single" w:color="auto" w:sz="6" w:space="0"/>
              <w:left w:val="single" w:color="auto" w:sz="6" w:space="0"/>
              <w:bottom w:val="single" w:color="auto" w:sz="6" w:space="0"/>
              <w:right w:val="single" w:color="auto" w:sz="6" w:space="0"/>
            </w:tcBorders>
            <w:vAlign w:val="center"/>
          </w:tcPr>
          <w:p w14:paraId="46E91A0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w:t>
            </w:r>
          </w:p>
        </w:tc>
        <w:tc>
          <w:tcPr>
            <w:tcW w:w="781" w:type="dxa"/>
            <w:tcBorders>
              <w:top w:val="single" w:color="auto" w:sz="6" w:space="0"/>
              <w:left w:val="single" w:color="auto" w:sz="6" w:space="0"/>
              <w:bottom w:val="single" w:color="auto" w:sz="6" w:space="0"/>
            </w:tcBorders>
            <w:vAlign w:val="center"/>
          </w:tcPr>
          <w:p w14:paraId="1DC9E8F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46</w:t>
            </w:r>
          </w:p>
        </w:tc>
      </w:tr>
      <w:tr w14:paraId="23CF7D9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1711" w:type="dxa"/>
            <w:tcBorders>
              <w:top w:val="single" w:color="auto" w:sz="6" w:space="0"/>
              <w:bottom w:val="single" w:color="auto" w:sz="6" w:space="0"/>
              <w:right w:val="single" w:color="auto" w:sz="6" w:space="0"/>
            </w:tcBorders>
            <w:vAlign w:val="center"/>
          </w:tcPr>
          <w:p w14:paraId="1F6E22D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z w:val="21"/>
                <w:szCs w:val="21"/>
                <w:vertAlign w:val="superscript"/>
              </w:rPr>
              <w:t>2+</w:t>
            </w:r>
          </w:p>
        </w:tc>
        <w:tc>
          <w:tcPr>
            <w:tcW w:w="981" w:type="dxa"/>
            <w:tcBorders>
              <w:top w:val="single" w:color="auto" w:sz="6" w:space="0"/>
              <w:left w:val="single" w:color="auto" w:sz="6" w:space="0"/>
              <w:bottom w:val="single" w:color="auto" w:sz="6" w:space="0"/>
              <w:right w:val="single" w:color="auto" w:sz="6" w:space="0"/>
            </w:tcBorders>
            <w:vAlign w:val="center"/>
          </w:tcPr>
          <w:p w14:paraId="2FFDA4BA">
            <w:pPr>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5</w:t>
            </w:r>
          </w:p>
        </w:tc>
        <w:tc>
          <w:tcPr>
            <w:tcW w:w="1022" w:type="dxa"/>
            <w:tcBorders>
              <w:top w:val="single" w:color="auto" w:sz="6" w:space="0"/>
              <w:left w:val="single" w:color="auto" w:sz="6" w:space="0"/>
              <w:bottom w:val="single" w:color="auto" w:sz="6" w:space="0"/>
              <w:right w:val="single" w:color="auto" w:sz="6" w:space="0"/>
            </w:tcBorders>
            <w:vAlign w:val="center"/>
          </w:tcPr>
          <w:p w14:paraId="5BC057BC">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1252" w:type="dxa"/>
            <w:tcBorders>
              <w:top w:val="single" w:color="auto" w:sz="6" w:space="0"/>
              <w:left w:val="single" w:color="auto" w:sz="6" w:space="0"/>
              <w:bottom w:val="single" w:color="auto" w:sz="6" w:space="0"/>
              <w:right w:val="single" w:color="auto" w:sz="6" w:space="0"/>
            </w:tcBorders>
            <w:vAlign w:val="center"/>
          </w:tcPr>
          <w:p w14:paraId="6034668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w:t>
            </w:r>
          </w:p>
        </w:tc>
        <w:tc>
          <w:tcPr>
            <w:tcW w:w="1274" w:type="dxa"/>
            <w:tcBorders>
              <w:top w:val="single" w:color="auto" w:sz="6" w:space="0"/>
              <w:left w:val="single" w:color="auto" w:sz="6" w:space="0"/>
              <w:bottom w:val="single" w:color="auto" w:sz="6" w:space="0"/>
              <w:right w:val="single" w:color="auto" w:sz="6" w:space="0"/>
            </w:tcBorders>
            <w:vAlign w:val="center"/>
          </w:tcPr>
          <w:p w14:paraId="3F6275E2">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w:t>
            </w:r>
          </w:p>
        </w:tc>
        <w:tc>
          <w:tcPr>
            <w:tcW w:w="1011" w:type="dxa"/>
            <w:tcBorders>
              <w:top w:val="single" w:color="auto" w:sz="6" w:space="0"/>
              <w:left w:val="single" w:color="auto" w:sz="6" w:space="0"/>
              <w:bottom w:val="single" w:color="auto" w:sz="6" w:space="0"/>
              <w:right w:val="single" w:color="auto" w:sz="6" w:space="0"/>
            </w:tcBorders>
            <w:vAlign w:val="center"/>
          </w:tcPr>
          <w:p w14:paraId="0EBB2006">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33</w:t>
            </w:r>
          </w:p>
        </w:tc>
        <w:tc>
          <w:tcPr>
            <w:tcW w:w="1285" w:type="dxa"/>
            <w:tcBorders>
              <w:top w:val="single" w:color="auto" w:sz="6" w:space="0"/>
              <w:left w:val="single" w:color="auto" w:sz="6" w:space="0"/>
              <w:bottom w:val="single" w:color="auto" w:sz="6" w:space="0"/>
              <w:right w:val="single" w:color="auto" w:sz="6" w:space="0"/>
            </w:tcBorders>
            <w:vAlign w:val="center"/>
          </w:tcPr>
          <w:p w14:paraId="7EE944E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781" w:type="dxa"/>
            <w:tcBorders>
              <w:top w:val="single" w:color="auto" w:sz="6" w:space="0"/>
              <w:left w:val="single" w:color="auto" w:sz="6" w:space="0"/>
              <w:bottom w:val="single" w:color="auto" w:sz="6" w:space="0"/>
            </w:tcBorders>
            <w:vAlign w:val="center"/>
          </w:tcPr>
          <w:p w14:paraId="10E1D55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w:t>
            </w:r>
          </w:p>
        </w:tc>
      </w:tr>
      <w:tr w14:paraId="33A2D90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1" w:hRule="atLeast"/>
        </w:trPr>
        <w:tc>
          <w:tcPr>
            <w:tcW w:w="1711" w:type="dxa"/>
            <w:tcBorders>
              <w:top w:val="single" w:color="auto" w:sz="6" w:space="0"/>
              <w:bottom w:val="single" w:color="auto" w:sz="6" w:space="0"/>
              <w:right w:val="single" w:color="auto" w:sz="6" w:space="0"/>
            </w:tcBorders>
            <w:vAlign w:val="center"/>
          </w:tcPr>
          <w:p w14:paraId="2772256B">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z w:val="21"/>
                <w:szCs w:val="21"/>
                <w:vertAlign w:val="superscript"/>
              </w:rPr>
              <w:t>2+</w:t>
            </w:r>
          </w:p>
        </w:tc>
        <w:tc>
          <w:tcPr>
            <w:tcW w:w="981" w:type="dxa"/>
            <w:tcBorders>
              <w:top w:val="single" w:color="auto" w:sz="6" w:space="0"/>
              <w:left w:val="single" w:color="auto" w:sz="6" w:space="0"/>
              <w:bottom w:val="single" w:color="auto" w:sz="6" w:space="0"/>
              <w:right w:val="single" w:color="auto" w:sz="6" w:space="0"/>
            </w:tcBorders>
            <w:vAlign w:val="center"/>
          </w:tcPr>
          <w:p w14:paraId="11408C86">
            <w:pPr>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6</w:t>
            </w:r>
          </w:p>
        </w:tc>
        <w:tc>
          <w:tcPr>
            <w:tcW w:w="1022" w:type="dxa"/>
            <w:tcBorders>
              <w:top w:val="single" w:color="auto" w:sz="6" w:space="0"/>
              <w:left w:val="single" w:color="auto" w:sz="6" w:space="0"/>
              <w:bottom w:val="single" w:color="auto" w:sz="6" w:space="0"/>
              <w:right w:val="single" w:color="auto" w:sz="6" w:space="0"/>
            </w:tcBorders>
            <w:vAlign w:val="center"/>
          </w:tcPr>
          <w:p w14:paraId="5AF9828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1252" w:type="dxa"/>
            <w:tcBorders>
              <w:top w:val="single" w:color="auto" w:sz="6" w:space="0"/>
              <w:left w:val="single" w:color="auto" w:sz="6" w:space="0"/>
              <w:bottom w:val="single" w:color="auto" w:sz="6" w:space="0"/>
              <w:right w:val="single" w:color="auto" w:sz="6" w:space="0"/>
            </w:tcBorders>
            <w:vAlign w:val="center"/>
          </w:tcPr>
          <w:p w14:paraId="77F9CCA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w:t>
            </w:r>
          </w:p>
        </w:tc>
        <w:tc>
          <w:tcPr>
            <w:tcW w:w="1274" w:type="dxa"/>
            <w:tcBorders>
              <w:top w:val="single" w:color="auto" w:sz="6" w:space="0"/>
              <w:left w:val="single" w:color="auto" w:sz="6" w:space="0"/>
              <w:bottom w:val="single" w:color="auto" w:sz="6" w:space="0"/>
              <w:right w:val="single" w:color="auto" w:sz="6" w:space="0"/>
            </w:tcBorders>
            <w:vAlign w:val="center"/>
          </w:tcPr>
          <w:p w14:paraId="791714B4">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w:t>
            </w:r>
          </w:p>
        </w:tc>
        <w:tc>
          <w:tcPr>
            <w:tcW w:w="1011" w:type="dxa"/>
            <w:tcBorders>
              <w:top w:val="single" w:color="auto" w:sz="6" w:space="0"/>
              <w:left w:val="single" w:color="auto" w:sz="6" w:space="0"/>
              <w:bottom w:val="single" w:color="auto" w:sz="6" w:space="0"/>
              <w:right w:val="single" w:color="auto" w:sz="6" w:space="0"/>
            </w:tcBorders>
            <w:vAlign w:val="center"/>
          </w:tcPr>
          <w:p w14:paraId="00006AE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1285" w:type="dxa"/>
            <w:tcBorders>
              <w:top w:val="single" w:color="auto" w:sz="6" w:space="0"/>
              <w:left w:val="single" w:color="auto" w:sz="6" w:space="0"/>
              <w:bottom w:val="single" w:color="auto" w:sz="6" w:space="0"/>
              <w:right w:val="single" w:color="auto" w:sz="6" w:space="0"/>
            </w:tcBorders>
            <w:vAlign w:val="center"/>
          </w:tcPr>
          <w:p w14:paraId="4734282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w:t>
            </w:r>
          </w:p>
        </w:tc>
        <w:tc>
          <w:tcPr>
            <w:tcW w:w="781" w:type="dxa"/>
            <w:tcBorders>
              <w:top w:val="single" w:color="auto" w:sz="6" w:space="0"/>
              <w:left w:val="single" w:color="auto" w:sz="6" w:space="0"/>
              <w:bottom w:val="single" w:color="auto" w:sz="6" w:space="0"/>
            </w:tcBorders>
            <w:vAlign w:val="center"/>
          </w:tcPr>
          <w:p w14:paraId="45EA7829">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w:t>
            </w:r>
          </w:p>
        </w:tc>
      </w:tr>
      <w:tr w14:paraId="760187E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1" w:hRule="atLeast"/>
        </w:trPr>
        <w:tc>
          <w:tcPr>
            <w:tcW w:w="1711" w:type="dxa"/>
            <w:tcBorders>
              <w:top w:val="single" w:color="auto" w:sz="6" w:space="0"/>
              <w:right w:val="single" w:color="auto" w:sz="6" w:space="0"/>
            </w:tcBorders>
            <w:vAlign w:val="center"/>
          </w:tcPr>
          <w:p w14:paraId="1F729C6D">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p>
        </w:tc>
        <w:tc>
          <w:tcPr>
            <w:tcW w:w="981" w:type="dxa"/>
            <w:tcBorders>
              <w:top w:val="single" w:color="auto" w:sz="6" w:space="0"/>
              <w:left w:val="single" w:color="auto" w:sz="6" w:space="0"/>
              <w:right w:val="single" w:color="auto" w:sz="6" w:space="0"/>
            </w:tcBorders>
            <w:vAlign w:val="center"/>
          </w:tcPr>
          <w:p w14:paraId="4D607D23">
            <w:pPr>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color w:val="auto"/>
                <w:sz w:val="21"/>
                <w:szCs w:val="21"/>
                <w:lang w:val="zh-CN"/>
              </w:rPr>
              <w:t>7</w:t>
            </w:r>
          </w:p>
        </w:tc>
        <w:tc>
          <w:tcPr>
            <w:tcW w:w="1022" w:type="dxa"/>
            <w:tcBorders>
              <w:top w:val="single" w:color="auto" w:sz="6" w:space="0"/>
              <w:left w:val="single" w:color="auto" w:sz="6" w:space="0"/>
              <w:right w:val="single" w:color="auto" w:sz="6" w:space="0"/>
            </w:tcBorders>
            <w:vAlign w:val="center"/>
          </w:tcPr>
          <w:p w14:paraId="4A294A8E">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1252" w:type="dxa"/>
            <w:tcBorders>
              <w:top w:val="single" w:color="auto" w:sz="6" w:space="0"/>
              <w:left w:val="single" w:color="auto" w:sz="6" w:space="0"/>
              <w:right w:val="single" w:color="auto" w:sz="6" w:space="0"/>
            </w:tcBorders>
            <w:vAlign w:val="center"/>
          </w:tcPr>
          <w:p w14:paraId="2E58A2C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21</w:t>
            </w:r>
          </w:p>
        </w:tc>
        <w:tc>
          <w:tcPr>
            <w:tcW w:w="1274" w:type="dxa"/>
            <w:tcBorders>
              <w:top w:val="single" w:color="auto" w:sz="6" w:space="0"/>
              <w:left w:val="single" w:color="auto" w:sz="6" w:space="0"/>
              <w:right w:val="single" w:color="auto" w:sz="6" w:space="0"/>
            </w:tcBorders>
            <w:vAlign w:val="center"/>
          </w:tcPr>
          <w:p w14:paraId="05D1AEEA">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p>
        </w:tc>
        <w:tc>
          <w:tcPr>
            <w:tcW w:w="1011" w:type="dxa"/>
            <w:tcBorders>
              <w:top w:val="single" w:color="auto" w:sz="6" w:space="0"/>
              <w:left w:val="single" w:color="auto" w:sz="6" w:space="0"/>
              <w:right w:val="single" w:color="auto" w:sz="6" w:space="0"/>
            </w:tcBorders>
            <w:vAlign w:val="center"/>
          </w:tcPr>
          <w:p w14:paraId="3D66C857">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285" w:type="dxa"/>
            <w:tcBorders>
              <w:top w:val="single" w:color="auto" w:sz="6" w:space="0"/>
              <w:left w:val="single" w:color="auto" w:sz="6" w:space="0"/>
              <w:right w:val="single" w:color="auto" w:sz="6" w:space="0"/>
            </w:tcBorders>
            <w:vAlign w:val="center"/>
          </w:tcPr>
          <w:p w14:paraId="65DDAC1F">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w:t>
            </w:r>
          </w:p>
        </w:tc>
        <w:tc>
          <w:tcPr>
            <w:tcW w:w="781" w:type="dxa"/>
            <w:tcBorders>
              <w:top w:val="single" w:color="auto" w:sz="6" w:space="0"/>
              <w:left w:val="single" w:color="auto" w:sz="6" w:space="0"/>
            </w:tcBorders>
            <w:vAlign w:val="center"/>
          </w:tcPr>
          <w:p w14:paraId="7F3DD190">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49</w:t>
            </w:r>
          </w:p>
        </w:tc>
      </w:tr>
    </w:tbl>
    <w:p w14:paraId="266A550D">
      <w:pPr>
        <w:spacing w:line="360" w:lineRule="auto"/>
        <w:ind w:firstLine="480" w:firstLineChars="200"/>
        <w:rPr>
          <w:rFonts w:hint="eastAsia"/>
        </w:rPr>
      </w:pPr>
      <w:r>
        <w:rPr>
          <w:rFonts w:hint="eastAsia"/>
        </w:rPr>
        <w:t>离子毫克当量百分比计算结果见表4.2-16。</w:t>
      </w:r>
    </w:p>
    <w:p w14:paraId="4C42BA89">
      <w:pPr>
        <w:spacing w:line="360" w:lineRule="auto"/>
        <w:jc w:val="center"/>
        <w:textAlignment w:val="center"/>
        <w:rPr>
          <w:rFonts w:hint="eastAsia"/>
          <w:b/>
          <w:bCs/>
        </w:rPr>
      </w:pPr>
      <w:r>
        <w:rPr>
          <w:rFonts w:hint="eastAsia"/>
          <w:b/>
          <w:bCs/>
        </w:rPr>
        <w:t>表4.2-16  离子摩尔百分比</w:t>
      </w:r>
    </w:p>
    <w:tbl>
      <w:tblPr>
        <w:tblStyle w:val="53"/>
        <w:tblW w:w="4997"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Layout w:type="autofit"/>
        <w:tblCellMar>
          <w:top w:w="0" w:type="dxa"/>
          <w:left w:w="28" w:type="dxa"/>
          <w:bottom w:w="0" w:type="dxa"/>
          <w:right w:w="28" w:type="dxa"/>
        </w:tblCellMar>
      </w:tblPr>
      <w:tblGrid>
        <w:gridCol w:w="867"/>
        <w:gridCol w:w="1122"/>
        <w:gridCol w:w="1166"/>
        <w:gridCol w:w="1107"/>
        <w:gridCol w:w="1173"/>
        <w:gridCol w:w="1144"/>
        <w:gridCol w:w="1129"/>
        <w:gridCol w:w="1109"/>
      </w:tblGrid>
      <w:tr w14:paraId="388B9CDF">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vMerge w:val="restart"/>
            <w:noWrap w:val="0"/>
            <w:vAlign w:val="center"/>
          </w:tcPr>
          <w:p w14:paraId="1303798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636" w:type="pct"/>
            <w:vMerge w:val="restart"/>
            <w:noWrap w:val="0"/>
            <w:vAlign w:val="center"/>
          </w:tcPr>
          <w:p w14:paraId="6BCC1BA7">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3871" w:type="pct"/>
            <w:gridSpan w:val="6"/>
            <w:noWrap w:val="0"/>
            <w:vAlign w:val="center"/>
          </w:tcPr>
          <w:p w14:paraId="1895C00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黑龙江泓泽检测评价有限公司检测结果</w:t>
            </w:r>
          </w:p>
        </w:tc>
      </w:tr>
      <w:tr w14:paraId="644D7867">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vMerge w:val="continue"/>
            <w:noWrap w:val="0"/>
            <w:vAlign w:val="center"/>
          </w:tcPr>
          <w:p w14:paraId="32308571">
            <w:pPr>
              <w:jc w:val="center"/>
              <w:rPr>
                <w:rFonts w:hint="default" w:ascii="Times New Roman" w:hAnsi="Times New Roman" w:cs="Times New Roman"/>
                <w:color w:val="auto"/>
                <w:sz w:val="21"/>
                <w:szCs w:val="21"/>
              </w:rPr>
            </w:pPr>
          </w:p>
        </w:tc>
        <w:tc>
          <w:tcPr>
            <w:tcW w:w="636" w:type="pct"/>
            <w:vMerge w:val="continue"/>
            <w:noWrap w:val="0"/>
            <w:vAlign w:val="center"/>
          </w:tcPr>
          <w:p w14:paraId="248645F5">
            <w:pPr>
              <w:jc w:val="center"/>
              <w:rPr>
                <w:rFonts w:hint="default" w:ascii="Times New Roman" w:hAnsi="Times New Roman" w:cs="Times New Roman"/>
                <w:color w:val="auto"/>
                <w:sz w:val="21"/>
                <w:szCs w:val="21"/>
              </w:rPr>
            </w:pPr>
          </w:p>
        </w:tc>
        <w:tc>
          <w:tcPr>
            <w:tcW w:w="1289" w:type="pct"/>
            <w:gridSpan w:val="2"/>
            <w:noWrap w:val="0"/>
            <w:vAlign w:val="center"/>
          </w:tcPr>
          <w:p w14:paraId="5EF9EC3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314" w:type="pct"/>
            <w:gridSpan w:val="2"/>
            <w:noWrap w:val="0"/>
            <w:vAlign w:val="center"/>
          </w:tcPr>
          <w:p w14:paraId="239C0B1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267" w:type="pct"/>
            <w:gridSpan w:val="2"/>
            <w:noWrap w:val="0"/>
            <w:vAlign w:val="center"/>
          </w:tcPr>
          <w:p w14:paraId="0C536BB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r>
      <w:tr w14:paraId="74D65DA2">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vMerge w:val="continue"/>
            <w:noWrap w:val="0"/>
            <w:vAlign w:val="center"/>
          </w:tcPr>
          <w:p w14:paraId="52475C86">
            <w:pPr>
              <w:jc w:val="center"/>
              <w:rPr>
                <w:rFonts w:hint="default" w:ascii="Times New Roman" w:hAnsi="Times New Roman" w:cs="Times New Roman"/>
                <w:color w:val="auto"/>
                <w:sz w:val="21"/>
                <w:szCs w:val="21"/>
              </w:rPr>
            </w:pPr>
          </w:p>
        </w:tc>
        <w:tc>
          <w:tcPr>
            <w:tcW w:w="636" w:type="pct"/>
            <w:vMerge w:val="continue"/>
            <w:noWrap w:val="0"/>
            <w:vAlign w:val="center"/>
          </w:tcPr>
          <w:p w14:paraId="01C8AA21">
            <w:pPr>
              <w:jc w:val="center"/>
              <w:rPr>
                <w:rFonts w:hint="default" w:ascii="Times New Roman" w:hAnsi="Times New Roman" w:cs="Times New Roman"/>
                <w:color w:val="auto"/>
                <w:sz w:val="21"/>
                <w:szCs w:val="21"/>
              </w:rPr>
            </w:pPr>
          </w:p>
        </w:tc>
        <w:tc>
          <w:tcPr>
            <w:tcW w:w="661" w:type="pct"/>
            <w:noWrap w:val="0"/>
            <w:vAlign w:val="center"/>
          </w:tcPr>
          <w:p w14:paraId="1E6A064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毫克当量</w:t>
            </w:r>
          </w:p>
          <w:p w14:paraId="21914C09">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mEq/L</w:t>
            </w:r>
          </w:p>
        </w:tc>
        <w:tc>
          <w:tcPr>
            <w:tcW w:w="627" w:type="pct"/>
            <w:noWrap w:val="0"/>
            <w:vAlign w:val="center"/>
          </w:tcPr>
          <w:p w14:paraId="4608ABA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毫克当量百分比%</w:t>
            </w:r>
          </w:p>
        </w:tc>
        <w:tc>
          <w:tcPr>
            <w:tcW w:w="665" w:type="pct"/>
            <w:noWrap w:val="0"/>
            <w:vAlign w:val="center"/>
          </w:tcPr>
          <w:p w14:paraId="7FEF5C6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毫克当量</w:t>
            </w:r>
          </w:p>
          <w:p w14:paraId="57C05A6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mEq/L</w:t>
            </w:r>
          </w:p>
        </w:tc>
        <w:tc>
          <w:tcPr>
            <w:tcW w:w="648" w:type="pct"/>
            <w:noWrap w:val="0"/>
            <w:vAlign w:val="center"/>
          </w:tcPr>
          <w:p w14:paraId="7631826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毫克当量百分比%</w:t>
            </w:r>
          </w:p>
        </w:tc>
        <w:tc>
          <w:tcPr>
            <w:tcW w:w="640" w:type="pct"/>
            <w:noWrap w:val="0"/>
            <w:vAlign w:val="center"/>
          </w:tcPr>
          <w:p w14:paraId="073E9DF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毫克当量</w:t>
            </w:r>
          </w:p>
          <w:p w14:paraId="59D9163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mEq/L</w:t>
            </w:r>
          </w:p>
        </w:tc>
        <w:tc>
          <w:tcPr>
            <w:tcW w:w="627" w:type="pct"/>
            <w:noWrap w:val="0"/>
            <w:vAlign w:val="center"/>
          </w:tcPr>
          <w:p w14:paraId="536A078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毫克当量百分比%</w:t>
            </w:r>
          </w:p>
        </w:tc>
      </w:tr>
      <w:tr w14:paraId="6B35A449">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339201C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636" w:type="pct"/>
            <w:noWrap w:val="0"/>
            <w:vAlign w:val="center"/>
          </w:tcPr>
          <w:p w14:paraId="6187CD5B">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K</w:t>
            </w:r>
            <w:r>
              <w:rPr>
                <w:rFonts w:hint="default" w:ascii="Times New Roman" w:hAnsi="Times New Roman" w:cs="Times New Roman"/>
                <w:color w:val="auto"/>
                <w:kern w:val="0"/>
                <w:sz w:val="21"/>
                <w:szCs w:val="21"/>
                <w:vertAlign w:val="superscript"/>
                <w:lang w:bidi="ar"/>
              </w:rPr>
              <w:t>+</w:t>
            </w:r>
          </w:p>
        </w:tc>
        <w:tc>
          <w:tcPr>
            <w:tcW w:w="1166" w:type="dxa"/>
            <w:noWrap w:val="0"/>
            <w:vAlign w:val="center"/>
          </w:tcPr>
          <w:p w14:paraId="6FBE3F3A">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2.80</w:t>
            </w:r>
          </w:p>
        </w:tc>
        <w:tc>
          <w:tcPr>
            <w:tcW w:w="1107" w:type="dxa"/>
            <w:noWrap w:val="0"/>
            <w:vAlign w:val="center"/>
          </w:tcPr>
          <w:p w14:paraId="225D65B0">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68.24</w:t>
            </w:r>
          </w:p>
        </w:tc>
        <w:tc>
          <w:tcPr>
            <w:tcW w:w="1173" w:type="dxa"/>
            <w:noWrap w:val="0"/>
            <w:vAlign w:val="center"/>
          </w:tcPr>
          <w:p w14:paraId="003CBF63">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2.63</w:t>
            </w:r>
          </w:p>
        </w:tc>
        <w:tc>
          <w:tcPr>
            <w:tcW w:w="1144" w:type="dxa"/>
            <w:noWrap w:val="0"/>
            <w:vAlign w:val="center"/>
          </w:tcPr>
          <w:p w14:paraId="0AD68700">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58.84</w:t>
            </w:r>
          </w:p>
        </w:tc>
        <w:tc>
          <w:tcPr>
            <w:tcW w:w="1129" w:type="dxa"/>
            <w:noWrap w:val="0"/>
            <w:vAlign w:val="center"/>
          </w:tcPr>
          <w:p w14:paraId="6A29C1AA">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2.55</w:t>
            </w:r>
          </w:p>
        </w:tc>
        <w:tc>
          <w:tcPr>
            <w:tcW w:w="1109" w:type="dxa"/>
            <w:noWrap w:val="0"/>
            <w:vAlign w:val="center"/>
          </w:tcPr>
          <w:p w14:paraId="711B968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50.25</w:t>
            </w:r>
          </w:p>
        </w:tc>
      </w:tr>
      <w:tr w14:paraId="47CE18D7">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315A059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636" w:type="pct"/>
            <w:noWrap w:val="0"/>
            <w:vAlign w:val="center"/>
          </w:tcPr>
          <w:p w14:paraId="4C52A85E">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Na</w:t>
            </w:r>
            <w:r>
              <w:rPr>
                <w:rFonts w:hint="default" w:ascii="Times New Roman" w:hAnsi="Times New Roman" w:cs="Times New Roman"/>
                <w:color w:val="auto"/>
                <w:kern w:val="0"/>
                <w:sz w:val="21"/>
                <w:szCs w:val="21"/>
                <w:vertAlign w:val="superscript"/>
                <w:lang w:bidi="ar"/>
              </w:rPr>
              <w:t>+</w:t>
            </w:r>
          </w:p>
        </w:tc>
        <w:tc>
          <w:tcPr>
            <w:tcW w:w="1166" w:type="dxa"/>
            <w:noWrap w:val="0"/>
            <w:vAlign w:val="center"/>
          </w:tcPr>
          <w:p w14:paraId="44A44ADE">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0.09</w:t>
            </w:r>
          </w:p>
        </w:tc>
        <w:tc>
          <w:tcPr>
            <w:tcW w:w="1107" w:type="dxa"/>
            <w:noWrap w:val="0"/>
            <w:vAlign w:val="center"/>
          </w:tcPr>
          <w:p w14:paraId="09ABF99D">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2.13</w:t>
            </w:r>
          </w:p>
        </w:tc>
        <w:tc>
          <w:tcPr>
            <w:tcW w:w="1173" w:type="dxa"/>
            <w:noWrap w:val="0"/>
            <w:vAlign w:val="center"/>
          </w:tcPr>
          <w:p w14:paraId="3C980D04">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0.12</w:t>
            </w:r>
          </w:p>
        </w:tc>
        <w:tc>
          <w:tcPr>
            <w:tcW w:w="1144" w:type="dxa"/>
            <w:noWrap w:val="0"/>
            <w:vAlign w:val="center"/>
          </w:tcPr>
          <w:p w14:paraId="4B004331">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2.75</w:t>
            </w:r>
          </w:p>
        </w:tc>
        <w:tc>
          <w:tcPr>
            <w:tcW w:w="1129" w:type="dxa"/>
            <w:noWrap w:val="0"/>
            <w:vAlign w:val="center"/>
          </w:tcPr>
          <w:p w14:paraId="1E5AD03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0.09</w:t>
            </w:r>
          </w:p>
        </w:tc>
        <w:tc>
          <w:tcPr>
            <w:tcW w:w="1109" w:type="dxa"/>
            <w:noWrap w:val="0"/>
            <w:vAlign w:val="center"/>
          </w:tcPr>
          <w:p w14:paraId="18BDEBBD">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1.72</w:t>
            </w:r>
          </w:p>
        </w:tc>
      </w:tr>
      <w:tr w14:paraId="03D30C86">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5E8084C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636" w:type="pct"/>
            <w:noWrap w:val="0"/>
            <w:vAlign w:val="center"/>
          </w:tcPr>
          <w:p w14:paraId="4A0D261B">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Ca</w:t>
            </w:r>
            <w:r>
              <w:rPr>
                <w:rFonts w:hint="default" w:ascii="Times New Roman" w:hAnsi="Times New Roman" w:cs="Times New Roman"/>
                <w:color w:val="auto"/>
                <w:kern w:val="0"/>
                <w:sz w:val="21"/>
                <w:szCs w:val="21"/>
                <w:vertAlign w:val="superscript"/>
                <w:lang w:bidi="ar"/>
              </w:rPr>
              <w:t>2+</w:t>
            </w:r>
          </w:p>
        </w:tc>
        <w:tc>
          <w:tcPr>
            <w:tcW w:w="1166" w:type="dxa"/>
            <w:noWrap w:val="0"/>
            <w:vAlign w:val="center"/>
          </w:tcPr>
          <w:p w14:paraId="0223D5F5">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0.84</w:t>
            </w:r>
          </w:p>
        </w:tc>
        <w:tc>
          <w:tcPr>
            <w:tcW w:w="1107" w:type="dxa"/>
            <w:noWrap w:val="0"/>
            <w:vAlign w:val="center"/>
          </w:tcPr>
          <w:p w14:paraId="1E8EE0B8">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20.37</w:t>
            </w:r>
          </w:p>
        </w:tc>
        <w:tc>
          <w:tcPr>
            <w:tcW w:w="1173" w:type="dxa"/>
            <w:noWrap w:val="0"/>
            <w:vAlign w:val="center"/>
          </w:tcPr>
          <w:p w14:paraId="1BBA3225">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1.11</w:t>
            </w:r>
          </w:p>
        </w:tc>
        <w:tc>
          <w:tcPr>
            <w:tcW w:w="1144" w:type="dxa"/>
            <w:noWrap w:val="0"/>
            <w:vAlign w:val="center"/>
          </w:tcPr>
          <w:p w14:paraId="15876B9A">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24.81</w:t>
            </w:r>
          </w:p>
        </w:tc>
        <w:tc>
          <w:tcPr>
            <w:tcW w:w="1129" w:type="dxa"/>
            <w:noWrap w:val="0"/>
            <w:vAlign w:val="center"/>
          </w:tcPr>
          <w:p w14:paraId="099BF4AA">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1.43</w:t>
            </w:r>
          </w:p>
        </w:tc>
        <w:tc>
          <w:tcPr>
            <w:tcW w:w="1109" w:type="dxa"/>
            <w:noWrap w:val="0"/>
            <w:vAlign w:val="center"/>
          </w:tcPr>
          <w:p w14:paraId="2C72BF21">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28.15</w:t>
            </w:r>
          </w:p>
        </w:tc>
      </w:tr>
      <w:tr w14:paraId="71E8EF75">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71FEDAD9">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636" w:type="pct"/>
            <w:noWrap w:val="0"/>
            <w:vAlign w:val="center"/>
          </w:tcPr>
          <w:p w14:paraId="0C805481">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Mg</w:t>
            </w:r>
            <w:r>
              <w:rPr>
                <w:rFonts w:hint="default" w:ascii="Times New Roman" w:hAnsi="Times New Roman" w:cs="Times New Roman"/>
                <w:color w:val="auto"/>
                <w:kern w:val="0"/>
                <w:sz w:val="21"/>
                <w:szCs w:val="21"/>
                <w:vertAlign w:val="superscript"/>
                <w:lang w:bidi="ar"/>
              </w:rPr>
              <w:t>2+</w:t>
            </w:r>
          </w:p>
        </w:tc>
        <w:tc>
          <w:tcPr>
            <w:tcW w:w="1166" w:type="dxa"/>
            <w:noWrap w:val="0"/>
            <w:vAlign w:val="center"/>
          </w:tcPr>
          <w:p w14:paraId="10C645F0">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0.38</w:t>
            </w:r>
          </w:p>
        </w:tc>
        <w:tc>
          <w:tcPr>
            <w:tcW w:w="1107" w:type="dxa"/>
            <w:noWrap w:val="0"/>
            <w:vAlign w:val="center"/>
          </w:tcPr>
          <w:p w14:paraId="41A5390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9.25</w:t>
            </w:r>
          </w:p>
        </w:tc>
        <w:tc>
          <w:tcPr>
            <w:tcW w:w="1173" w:type="dxa"/>
            <w:noWrap w:val="0"/>
            <w:vAlign w:val="center"/>
          </w:tcPr>
          <w:p w14:paraId="2042292F">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0.61</w:t>
            </w:r>
          </w:p>
        </w:tc>
        <w:tc>
          <w:tcPr>
            <w:tcW w:w="1144" w:type="dxa"/>
            <w:noWrap w:val="0"/>
            <w:vAlign w:val="center"/>
          </w:tcPr>
          <w:p w14:paraId="243F8D85">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13.60</w:t>
            </w:r>
          </w:p>
        </w:tc>
        <w:tc>
          <w:tcPr>
            <w:tcW w:w="1129" w:type="dxa"/>
            <w:noWrap w:val="0"/>
            <w:vAlign w:val="center"/>
          </w:tcPr>
          <w:p w14:paraId="076ABD8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1.01</w:t>
            </w:r>
          </w:p>
        </w:tc>
        <w:tc>
          <w:tcPr>
            <w:tcW w:w="1109" w:type="dxa"/>
            <w:noWrap w:val="0"/>
            <w:vAlign w:val="center"/>
          </w:tcPr>
          <w:p w14:paraId="2CC72192">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19.88</w:t>
            </w:r>
          </w:p>
        </w:tc>
      </w:tr>
      <w:tr w14:paraId="5CFE7E19">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3854961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636" w:type="pct"/>
            <w:noWrap w:val="0"/>
            <w:vAlign w:val="center"/>
          </w:tcPr>
          <w:p w14:paraId="3298A314">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CO</w:t>
            </w:r>
            <w:r>
              <w:rPr>
                <w:rFonts w:hint="default" w:ascii="Times New Roman" w:hAnsi="Times New Roman" w:cs="Times New Roman"/>
                <w:color w:val="auto"/>
                <w:kern w:val="0"/>
                <w:sz w:val="21"/>
                <w:szCs w:val="21"/>
                <w:vertAlign w:val="subscript"/>
                <w:lang w:bidi="ar"/>
              </w:rPr>
              <w:t>3</w:t>
            </w:r>
            <w:r>
              <w:rPr>
                <w:rFonts w:hint="default" w:ascii="Times New Roman" w:hAnsi="Times New Roman" w:cs="Times New Roman"/>
                <w:color w:val="auto"/>
                <w:kern w:val="0"/>
                <w:sz w:val="21"/>
                <w:szCs w:val="21"/>
                <w:vertAlign w:val="superscript"/>
                <w:lang w:bidi="ar"/>
              </w:rPr>
              <w:t>2-</w:t>
            </w:r>
          </w:p>
        </w:tc>
        <w:tc>
          <w:tcPr>
            <w:tcW w:w="1166" w:type="dxa"/>
            <w:noWrap w:val="0"/>
            <w:vAlign w:val="center"/>
          </w:tcPr>
          <w:p w14:paraId="71EAB40D">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107" w:type="dxa"/>
            <w:noWrap w:val="0"/>
            <w:vAlign w:val="center"/>
          </w:tcPr>
          <w:p w14:paraId="51D99EB7">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173" w:type="dxa"/>
            <w:noWrap w:val="0"/>
            <w:vAlign w:val="center"/>
          </w:tcPr>
          <w:p w14:paraId="5944B849">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144" w:type="dxa"/>
            <w:noWrap w:val="0"/>
            <w:vAlign w:val="center"/>
          </w:tcPr>
          <w:p w14:paraId="7684AA0B">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129" w:type="dxa"/>
            <w:noWrap w:val="0"/>
            <w:vAlign w:val="center"/>
          </w:tcPr>
          <w:p w14:paraId="2EC60B22">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0.00</w:t>
            </w:r>
          </w:p>
        </w:tc>
        <w:tc>
          <w:tcPr>
            <w:tcW w:w="1109" w:type="dxa"/>
            <w:noWrap w:val="0"/>
            <w:vAlign w:val="center"/>
          </w:tcPr>
          <w:p w14:paraId="57EA918B">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0.00</w:t>
            </w:r>
          </w:p>
        </w:tc>
      </w:tr>
      <w:tr w14:paraId="6E6E2D71">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3EEC776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636" w:type="pct"/>
            <w:noWrap w:val="0"/>
            <w:vAlign w:val="center"/>
          </w:tcPr>
          <w:p w14:paraId="19B4950C">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HCO</w:t>
            </w:r>
            <w:r>
              <w:rPr>
                <w:rFonts w:hint="default" w:ascii="Times New Roman" w:hAnsi="Times New Roman" w:cs="Times New Roman"/>
                <w:color w:val="auto"/>
                <w:kern w:val="0"/>
                <w:sz w:val="21"/>
                <w:szCs w:val="21"/>
                <w:vertAlign w:val="subscript"/>
                <w:lang w:bidi="ar"/>
              </w:rPr>
              <w:t>3</w:t>
            </w:r>
            <w:r>
              <w:rPr>
                <w:rFonts w:hint="default" w:ascii="Times New Roman" w:hAnsi="Times New Roman" w:cs="Times New Roman"/>
                <w:color w:val="auto"/>
                <w:kern w:val="0"/>
                <w:sz w:val="21"/>
                <w:szCs w:val="21"/>
                <w:vertAlign w:val="superscript"/>
                <w:lang w:bidi="ar"/>
              </w:rPr>
              <w:t>-</w:t>
            </w:r>
          </w:p>
        </w:tc>
        <w:tc>
          <w:tcPr>
            <w:tcW w:w="1166" w:type="dxa"/>
            <w:noWrap w:val="0"/>
            <w:vAlign w:val="center"/>
          </w:tcPr>
          <w:p w14:paraId="3B184151">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2.05</w:t>
            </w:r>
          </w:p>
        </w:tc>
        <w:tc>
          <w:tcPr>
            <w:tcW w:w="1107" w:type="dxa"/>
            <w:noWrap w:val="0"/>
            <w:vAlign w:val="center"/>
          </w:tcPr>
          <w:p w14:paraId="36DE7767">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97.56</w:t>
            </w:r>
          </w:p>
        </w:tc>
        <w:tc>
          <w:tcPr>
            <w:tcW w:w="1173" w:type="dxa"/>
            <w:noWrap w:val="0"/>
            <w:vAlign w:val="center"/>
          </w:tcPr>
          <w:p w14:paraId="64A17A78">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2.57</w:t>
            </w:r>
          </w:p>
        </w:tc>
        <w:tc>
          <w:tcPr>
            <w:tcW w:w="1144" w:type="dxa"/>
            <w:noWrap w:val="0"/>
            <w:vAlign w:val="center"/>
          </w:tcPr>
          <w:p w14:paraId="7E35B72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83.26</w:t>
            </w:r>
          </w:p>
        </w:tc>
        <w:tc>
          <w:tcPr>
            <w:tcW w:w="1129" w:type="dxa"/>
            <w:noWrap w:val="0"/>
            <w:vAlign w:val="center"/>
          </w:tcPr>
          <w:p w14:paraId="7C8494F1">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3.49</w:t>
            </w:r>
          </w:p>
        </w:tc>
        <w:tc>
          <w:tcPr>
            <w:tcW w:w="1109" w:type="dxa"/>
            <w:noWrap w:val="0"/>
            <w:vAlign w:val="center"/>
          </w:tcPr>
          <w:p w14:paraId="6A42D0E7">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70.78</w:t>
            </w:r>
          </w:p>
        </w:tc>
      </w:tr>
      <w:tr w14:paraId="4D176AC9">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501392D6">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636" w:type="pct"/>
            <w:noWrap w:val="0"/>
            <w:vAlign w:val="center"/>
          </w:tcPr>
          <w:p w14:paraId="41DD34CF">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Cl</w:t>
            </w:r>
            <w:r>
              <w:rPr>
                <w:rFonts w:hint="default" w:ascii="Times New Roman" w:hAnsi="Times New Roman" w:cs="Times New Roman"/>
                <w:color w:val="auto"/>
                <w:kern w:val="0"/>
                <w:sz w:val="21"/>
                <w:szCs w:val="21"/>
                <w:vertAlign w:val="superscript"/>
                <w:lang w:bidi="ar"/>
              </w:rPr>
              <w:t>-</w:t>
            </w:r>
          </w:p>
        </w:tc>
        <w:tc>
          <w:tcPr>
            <w:tcW w:w="1166" w:type="dxa"/>
            <w:noWrap w:val="0"/>
            <w:vAlign w:val="center"/>
          </w:tcPr>
          <w:p w14:paraId="0A131D95">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107" w:type="dxa"/>
            <w:noWrap w:val="0"/>
            <w:vAlign w:val="center"/>
          </w:tcPr>
          <w:p w14:paraId="3602127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1.21</w:t>
            </w:r>
          </w:p>
        </w:tc>
        <w:tc>
          <w:tcPr>
            <w:tcW w:w="1173" w:type="dxa"/>
            <w:noWrap w:val="0"/>
            <w:vAlign w:val="center"/>
          </w:tcPr>
          <w:p w14:paraId="07A9FF33">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0.30</w:t>
            </w:r>
          </w:p>
        </w:tc>
        <w:tc>
          <w:tcPr>
            <w:tcW w:w="1144" w:type="dxa"/>
            <w:noWrap w:val="0"/>
            <w:vAlign w:val="center"/>
          </w:tcPr>
          <w:p w14:paraId="374CC748">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9.66</w:t>
            </w:r>
          </w:p>
        </w:tc>
        <w:tc>
          <w:tcPr>
            <w:tcW w:w="1129" w:type="dxa"/>
            <w:noWrap w:val="0"/>
            <w:vAlign w:val="center"/>
          </w:tcPr>
          <w:p w14:paraId="13D06A6D">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1.01</w:t>
            </w:r>
          </w:p>
        </w:tc>
        <w:tc>
          <w:tcPr>
            <w:tcW w:w="1109" w:type="dxa"/>
            <w:noWrap w:val="0"/>
            <w:vAlign w:val="center"/>
          </w:tcPr>
          <w:p w14:paraId="07BB13BA">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20.56</w:t>
            </w:r>
          </w:p>
        </w:tc>
      </w:tr>
      <w:tr w14:paraId="20E0555E">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67F7453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636" w:type="pct"/>
            <w:noWrap w:val="0"/>
            <w:vAlign w:val="center"/>
          </w:tcPr>
          <w:p w14:paraId="29F9C5EC">
            <w:pPr>
              <w:widowControl/>
              <w:jc w:val="center"/>
              <w:textAlignment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lang w:bidi="ar"/>
              </w:rPr>
              <w:t>SO</w:t>
            </w:r>
            <w:r>
              <w:rPr>
                <w:rFonts w:hint="default" w:ascii="Times New Roman" w:hAnsi="Times New Roman" w:cs="Times New Roman"/>
                <w:color w:val="auto"/>
                <w:kern w:val="0"/>
                <w:sz w:val="21"/>
                <w:szCs w:val="21"/>
                <w:vertAlign w:val="subscript"/>
                <w:lang w:bidi="ar"/>
              </w:rPr>
              <w:t>4</w:t>
            </w:r>
            <w:r>
              <w:rPr>
                <w:rFonts w:hint="default" w:ascii="Times New Roman" w:hAnsi="Times New Roman" w:cs="Times New Roman"/>
                <w:color w:val="auto"/>
                <w:kern w:val="0"/>
                <w:sz w:val="21"/>
                <w:szCs w:val="21"/>
                <w:vertAlign w:val="superscript"/>
                <w:lang w:bidi="ar"/>
              </w:rPr>
              <w:t>2-</w:t>
            </w:r>
          </w:p>
        </w:tc>
        <w:tc>
          <w:tcPr>
            <w:tcW w:w="1166" w:type="dxa"/>
            <w:noWrap w:val="0"/>
            <w:vAlign w:val="center"/>
          </w:tcPr>
          <w:p w14:paraId="4A52071B">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0.03</w:t>
            </w:r>
          </w:p>
        </w:tc>
        <w:tc>
          <w:tcPr>
            <w:tcW w:w="1107" w:type="dxa"/>
            <w:noWrap w:val="0"/>
            <w:vAlign w:val="center"/>
          </w:tcPr>
          <w:p w14:paraId="7C1C7221">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1.23</w:t>
            </w:r>
          </w:p>
        </w:tc>
        <w:tc>
          <w:tcPr>
            <w:tcW w:w="1173" w:type="dxa"/>
            <w:noWrap w:val="0"/>
            <w:vAlign w:val="center"/>
          </w:tcPr>
          <w:p w14:paraId="709AC8A6">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0.22</w:t>
            </w:r>
          </w:p>
        </w:tc>
        <w:tc>
          <w:tcPr>
            <w:tcW w:w="1144" w:type="dxa"/>
            <w:noWrap w:val="0"/>
            <w:vAlign w:val="center"/>
          </w:tcPr>
          <w:p w14:paraId="3297C670">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7.08</w:t>
            </w:r>
          </w:p>
        </w:tc>
        <w:tc>
          <w:tcPr>
            <w:tcW w:w="1129" w:type="dxa"/>
            <w:noWrap w:val="0"/>
            <w:vAlign w:val="center"/>
          </w:tcPr>
          <w:p w14:paraId="5DB7D88C">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0.43</w:t>
            </w:r>
          </w:p>
        </w:tc>
        <w:tc>
          <w:tcPr>
            <w:tcW w:w="1109" w:type="dxa"/>
            <w:noWrap w:val="0"/>
            <w:vAlign w:val="center"/>
          </w:tcPr>
          <w:p w14:paraId="5C3A102D">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8.66</w:t>
            </w:r>
          </w:p>
        </w:tc>
      </w:tr>
      <w:tr w14:paraId="1DB0AE42">
        <w:tblPrEx>
          <w:tblBorders>
            <w:top w:val="single" w:color="auto" w:sz="4" w:space="0"/>
            <w:left w:val="single" w:color="auto" w:sz="4" w:space="0"/>
            <w:bottom w:val="single" w:color="auto" w:sz="4" w:space="0"/>
            <w:right w:val="single" w:color="auto" w:sz="4" w:space="0"/>
            <w:insideH w:val="single" w:color="000000" w:sz="4" w:space="0"/>
            <w:insideV w:val="single" w:color="000000" w:sz="6" w:space="0"/>
          </w:tblBorders>
          <w:tblCellMar>
            <w:top w:w="0" w:type="dxa"/>
            <w:left w:w="28" w:type="dxa"/>
            <w:bottom w:w="0" w:type="dxa"/>
            <w:right w:w="28" w:type="dxa"/>
          </w:tblCellMar>
        </w:tblPrEx>
        <w:trPr>
          <w:trHeight w:val="397" w:hRule="atLeast"/>
          <w:jc w:val="center"/>
        </w:trPr>
        <w:tc>
          <w:tcPr>
            <w:tcW w:w="492" w:type="pct"/>
            <w:noWrap w:val="0"/>
            <w:vAlign w:val="center"/>
          </w:tcPr>
          <w:p w14:paraId="225607E6">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636" w:type="pct"/>
            <w:noWrap w:val="0"/>
            <w:vAlign w:val="center"/>
          </w:tcPr>
          <w:p w14:paraId="4080E080">
            <w:pPr>
              <w:jc w:val="center"/>
              <w:rPr>
                <w:rFonts w:hint="default" w:ascii="Times New Roman" w:hAnsi="Times New Roman" w:cs="Times New Roman"/>
                <w:color w:val="auto"/>
                <w:sz w:val="21"/>
                <w:szCs w:val="21"/>
              </w:rPr>
            </w:pPr>
            <w:r>
              <w:rPr>
                <w:rFonts w:hint="eastAsia" w:ascii="宋体" w:hAnsi="宋体" w:eastAsia="宋体" w:cs="宋体"/>
                <w:iCs/>
                <w:color w:val="auto"/>
                <w:kern w:val="2"/>
                <w:sz w:val="21"/>
                <w:szCs w:val="21"/>
              </w:rPr>
              <w:t>化学类型</w:t>
            </w:r>
          </w:p>
        </w:tc>
        <w:tc>
          <w:tcPr>
            <w:tcW w:w="1289" w:type="pct"/>
            <w:gridSpan w:val="2"/>
            <w:noWrap w:val="0"/>
            <w:vAlign w:val="center"/>
          </w:tcPr>
          <w:p w14:paraId="012666D8">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kern w:val="2"/>
                <w:sz w:val="21"/>
                <w:szCs w:val="21"/>
              </w:rPr>
              <w:t>型</w:t>
            </w:r>
          </w:p>
        </w:tc>
        <w:tc>
          <w:tcPr>
            <w:tcW w:w="1314" w:type="pct"/>
            <w:gridSpan w:val="2"/>
            <w:noWrap w:val="0"/>
            <w:vAlign w:val="center"/>
          </w:tcPr>
          <w:p w14:paraId="0899EED8">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kern w:val="2"/>
                <w:sz w:val="21"/>
                <w:szCs w:val="21"/>
              </w:rPr>
              <w:t>型</w:t>
            </w:r>
          </w:p>
        </w:tc>
        <w:tc>
          <w:tcPr>
            <w:tcW w:w="1267" w:type="pct"/>
            <w:gridSpan w:val="2"/>
            <w:noWrap w:val="0"/>
            <w:vAlign w:val="center"/>
          </w:tcPr>
          <w:p w14:paraId="3E1B738F">
            <w:pPr>
              <w:keepNext w:val="0"/>
              <w:keepLines w:val="0"/>
              <w:widowControl/>
              <w:suppressLineNumbers w:val="0"/>
              <w:jc w:val="center"/>
              <w:textAlignment w:val="center"/>
              <w:rPr>
                <w:rFonts w:hint="default" w:ascii="Times New Roman" w:hAnsi="Times New Roman" w:cs="Times New Roman"/>
                <w:color w:val="auto"/>
                <w:kern w:val="0"/>
                <w:sz w:val="21"/>
                <w:szCs w:val="21"/>
                <w:lang w:bidi="ar"/>
              </w:rPr>
            </w:pPr>
            <w:r>
              <w:rPr>
                <w:rFonts w:hint="default" w:ascii="Times New Roman" w:hAnsi="Times New Roman" w:eastAsia="宋体" w:cs="Times New Roman"/>
                <w:color w:val="auto"/>
                <w:sz w:val="21"/>
                <w:szCs w:val="21"/>
              </w:rPr>
              <w:t>Na</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sz w:val="21"/>
                <w:szCs w:val="21"/>
              </w:rPr>
              <w:t>-Ca</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HCO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vertAlign w:val="superscript"/>
              </w:rPr>
              <w:t>-</w:t>
            </w:r>
            <w:r>
              <w:rPr>
                <w:rFonts w:hint="default" w:ascii="Times New Roman" w:hAnsi="Times New Roman" w:eastAsia="宋体" w:cs="Times New Roman"/>
                <w:color w:val="auto"/>
                <w:kern w:val="2"/>
                <w:sz w:val="21"/>
                <w:szCs w:val="21"/>
              </w:rPr>
              <w:t>型</w:t>
            </w:r>
          </w:p>
        </w:tc>
      </w:tr>
    </w:tbl>
    <w:p w14:paraId="3BF6FA22">
      <w:pPr>
        <w:widowControl/>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bidi="ar"/>
        </w:rPr>
        <w:t>根据表4.2-14计算结果，确定评价区地下水化学类型为</w:t>
      </w:r>
      <w:r>
        <w:rPr>
          <w:rFonts w:hint="default" w:ascii="Times New Roman" w:hAnsi="Times New Roman" w:eastAsia="宋体" w:cs="Times New Roman"/>
          <w:color w:val="auto"/>
          <w:sz w:val="24"/>
          <w:szCs w:val="24"/>
        </w:rPr>
        <w:t>Na</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rPr>
        <w:t>-Ca</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HCO</w:t>
      </w:r>
      <w:r>
        <w:rPr>
          <w:rFonts w:hint="default" w:ascii="Times New Roman" w:hAnsi="Times New Roman" w:eastAsia="宋体" w:cs="Times New Roman"/>
          <w:color w:val="auto"/>
          <w:sz w:val="24"/>
          <w:szCs w:val="24"/>
          <w:vertAlign w:val="subscript"/>
        </w:rPr>
        <w:t>3</w:t>
      </w:r>
      <w:r>
        <w:rPr>
          <w:rFonts w:hint="default" w:ascii="Times New Roman" w:hAnsi="Times New Roman" w:eastAsia="宋体" w:cs="Times New Roman"/>
          <w:color w:val="auto"/>
          <w:sz w:val="24"/>
          <w:szCs w:val="24"/>
          <w:vertAlign w:val="superscript"/>
        </w:rPr>
        <w:t>-</w:t>
      </w:r>
      <w:r>
        <w:rPr>
          <w:rFonts w:hint="default" w:ascii="Times New Roman" w:hAnsi="Times New Roman" w:eastAsia="宋体" w:cs="Times New Roman"/>
          <w:color w:val="auto"/>
          <w:sz w:val="24"/>
          <w:szCs w:val="24"/>
          <w:lang w:bidi="ar"/>
        </w:rPr>
        <w:t>型水。</w:t>
      </w:r>
    </w:p>
    <w:p w14:paraId="4CEC8041">
      <w:pPr>
        <w:pStyle w:val="3"/>
      </w:pPr>
      <w:bookmarkStart w:id="278" w:name="_Toc16162"/>
      <w:r>
        <w:t>4.4区域污染源调查</w:t>
      </w:r>
      <w:bookmarkEnd w:id="276"/>
      <w:bookmarkEnd w:id="277"/>
      <w:bookmarkEnd w:id="278"/>
    </w:p>
    <w:bookmarkEnd w:id="252"/>
    <w:bookmarkEnd w:id="253"/>
    <w:bookmarkEnd w:id="254"/>
    <w:bookmarkEnd w:id="255"/>
    <w:bookmarkEnd w:id="266"/>
    <w:bookmarkEnd w:id="267"/>
    <w:p w14:paraId="67C68767">
      <w:pPr>
        <w:spacing w:line="360" w:lineRule="auto"/>
        <w:ind w:firstLine="480" w:firstLineChars="200"/>
        <w:rPr>
          <w:color w:val="auto"/>
        </w:rPr>
      </w:pPr>
      <w:bookmarkStart w:id="279" w:name="bookmark467"/>
      <w:bookmarkStart w:id="280" w:name="bookmark468"/>
      <w:bookmarkStart w:id="281" w:name="bookmark469"/>
      <w:r>
        <w:rPr>
          <w:rFonts w:hint="eastAsia"/>
          <w:color w:val="auto"/>
          <w:lang w:val="en-US" w:eastAsia="zh-CN"/>
        </w:rPr>
        <w:t>现有</w:t>
      </w:r>
      <w:r>
        <w:rPr>
          <w:rFonts w:hint="eastAsia"/>
          <w:color w:val="auto"/>
        </w:rPr>
        <w:t>项目与本项目有关的污染源清单见表4.4-1。</w:t>
      </w:r>
    </w:p>
    <w:p w14:paraId="10F5A553">
      <w:pPr>
        <w:pStyle w:val="89"/>
        <w:spacing w:line="500" w:lineRule="exact"/>
        <w:ind w:firstLine="0"/>
        <w:jc w:val="center"/>
        <w:rPr>
          <w:b/>
          <w:bCs/>
          <w:color w:val="auto"/>
          <w:sz w:val="24"/>
          <w:szCs w:val="24"/>
        </w:rPr>
      </w:pPr>
    </w:p>
    <w:p w14:paraId="74C03AA1">
      <w:pPr>
        <w:pStyle w:val="89"/>
        <w:spacing w:line="500" w:lineRule="exact"/>
        <w:ind w:firstLine="0"/>
        <w:jc w:val="center"/>
        <w:rPr>
          <w:b/>
          <w:bCs/>
          <w:color w:val="auto"/>
          <w:sz w:val="24"/>
          <w:szCs w:val="24"/>
        </w:rPr>
      </w:pPr>
    </w:p>
    <w:p w14:paraId="2CD52699">
      <w:pPr>
        <w:pStyle w:val="89"/>
        <w:spacing w:line="500" w:lineRule="exact"/>
        <w:ind w:firstLine="0"/>
        <w:jc w:val="center"/>
        <w:rPr>
          <w:b/>
          <w:bCs/>
          <w:color w:val="auto"/>
          <w:sz w:val="24"/>
          <w:szCs w:val="24"/>
        </w:rPr>
      </w:pPr>
    </w:p>
    <w:p w14:paraId="241EF2F6">
      <w:pPr>
        <w:pStyle w:val="89"/>
        <w:spacing w:line="500" w:lineRule="exact"/>
        <w:ind w:firstLine="0"/>
        <w:jc w:val="center"/>
        <w:rPr>
          <w:b/>
          <w:bCs/>
          <w:color w:val="auto"/>
          <w:sz w:val="24"/>
          <w:szCs w:val="24"/>
        </w:rPr>
        <w:sectPr>
          <w:footerReference r:id="rId12" w:type="default"/>
          <w:pgSz w:w="11907" w:h="16840"/>
          <w:pgMar w:top="1440" w:right="1440" w:bottom="1440" w:left="1701"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07B47C9F">
      <w:pPr>
        <w:pStyle w:val="89"/>
        <w:spacing w:line="500" w:lineRule="exact"/>
        <w:ind w:firstLine="0"/>
        <w:jc w:val="center"/>
        <w:rPr>
          <w:b/>
          <w:bCs/>
          <w:color w:val="auto"/>
          <w:sz w:val="24"/>
          <w:szCs w:val="24"/>
        </w:rPr>
      </w:pPr>
      <w:r>
        <w:rPr>
          <w:b/>
          <w:bCs/>
          <w:color w:val="auto"/>
          <w:sz w:val="24"/>
          <w:szCs w:val="24"/>
        </w:rPr>
        <w:t>表</w:t>
      </w:r>
      <w:r>
        <w:rPr>
          <w:rFonts w:hint="eastAsia"/>
          <w:b/>
          <w:bCs/>
          <w:color w:val="auto"/>
          <w:sz w:val="24"/>
          <w:szCs w:val="24"/>
        </w:rPr>
        <w:t>4.4-1</w:t>
      </w:r>
      <w:r>
        <w:rPr>
          <w:rFonts w:hint="eastAsia"/>
          <w:b/>
          <w:bCs/>
          <w:color w:val="auto"/>
          <w:sz w:val="24"/>
          <w:szCs w:val="24"/>
          <w:lang w:val="en-US" w:eastAsia="zh-CN"/>
        </w:rPr>
        <w:t>现有项目</w:t>
      </w:r>
      <w:r>
        <w:rPr>
          <w:b/>
          <w:bCs/>
          <w:color w:val="auto"/>
          <w:sz w:val="24"/>
          <w:szCs w:val="24"/>
        </w:rPr>
        <w:t>点源参数调查清单</w:t>
      </w:r>
    </w:p>
    <w:bookmarkEnd w:id="279"/>
    <w:bookmarkEnd w:id="280"/>
    <w:bookmarkEnd w:id="281"/>
    <w:tbl>
      <w:tblPr>
        <w:tblStyle w:val="53"/>
        <w:tblW w:w="47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5"/>
        <w:gridCol w:w="1599"/>
        <w:gridCol w:w="1508"/>
        <w:gridCol w:w="1113"/>
        <w:gridCol w:w="735"/>
        <w:gridCol w:w="697"/>
        <w:gridCol w:w="706"/>
        <w:gridCol w:w="844"/>
        <w:gridCol w:w="734"/>
        <w:gridCol w:w="764"/>
        <w:gridCol w:w="1036"/>
        <w:gridCol w:w="778"/>
        <w:gridCol w:w="886"/>
      </w:tblGrid>
      <w:tr w14:paraId="3E7AB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776" w:type="pct"/>
            <w:vMerge w:val="restart"/>
            <w:tcBorders>
              <w:tl2br w:val="nil"/>
              <w:tr2bl w:val="nil"/>
            </w:tcBorders>
            <w:vAlign w:val="center"/>
          </w:tcPr>
          <w:p w14:paraId="74ADAAC4">
            <w:pPr>
              <w:jc w:val="center"/>
              <w:rPr>
                <w:b w:val="0"/>
                <w:bCs w:val="0"/>
                <w:color w:val="auto"/>
                <w:sz w:val="21"/>
                <w:szCs w:val="21"/>
              </w:rPr>
            </w:pPr>
            <w:bookmarkStart w:id="282" w:name="_Toc1304"/>
            <w:r>
              <w:rPr>
                <w:b w:val="0"/>
                <w:bCs w:val="0"/>
                <w:color w:val="auto"/>
                <w:sz w:val="21"/>
                <w:szCs w:val="21"/>
              </w:rPr>
              <w:t>污染源名称</w:t>
            </w:r>
          </w:p>
        </w:tc>
        <w:tc>
          <w:tcPr>
            <w:tcW w:w="1151" w:type="pct"/>
            <w:gridSpan w:val="2"/>
            <w:tcBorders>
              <w:tl2br w:val="nil"/>
              <w:tr2bl w:val="nil"/>
            </w:tcBorders>
            <w:vAlign w:val="center"/>
          </w:tcPr>
          <w:p w14:paraId="172AE951">
            <w:pPr>
              <w:jc w:val="center"/>
              <w:rPr>
                <w:b w:val="0"/>
                <w:bCs w:val="0"/>
                <w:color w:val="auto"/>
                <w:sz w:val="21"/>
                <w:szCs w:val="21"/>
              </w:rPr>
            </w:pPr>
            <w:r>
              <w:rPr>
                <w:b w:val="0"/>
                <w:bCs w:val="0"/>
                <w:color w:val="auto"/>
                <w:sz w:val="21"/>
                <w:szCs w:val="21"/>
              </w:rPr>
              <w:t>排气筒底部中心坐标(°)</w:t>
            </w:r>
          </w:p>
        </w:tc>
        <w:tc>
          <w:tcPr>
            <w:tcW w:w="412" w:type="pct"/>
            <w:vMerge w:val="restart"/>
            <w:tcBorders>
              <w:tl2br w:val="nil"/>
              <w:tr2bl w:val="nil"/>
            </w:tcBorders>
            <w:vAlign w:val="center"/>
          </w:tcPr>
          <w:p w14:paraId="184DF94A">
            <w:pPr>
              <w:jc w:val="center"/>
              <w:rPr>
                <w:b w:val="0"/>
                <w:bCs w:val="0"/>
                <w:color w:val="auto"/>
                <w:sz w:val="21"/>
                <w:szCs w:val="21"/>
              </w:rPr>
            </w:pPr>
            <w:r>
              <w:rPr>
                <w:b w:val="0"/>
                <w:bCs w:val="0"/>
                <w:color w:val="auto"/>
                <w:sz w:val="21"/>
                <w:szCs w:val="21"/>
              </w:rPr>
              <w:t>排气筒底部海拔高度(m)</w:t>
            </w:r>
          </w:p>
        </w:tc>
        <w:tc>
          <w:tcPr>
            <w:tcW w:w="1104" w:type="pct"/>
            <w:gridSpan w:val="4"/>
            <w:tcBorders>
              <w:tl2br w:val="nil"/>
              <w:tr2bl w:val="nil"/>
            </w:tcBorders>
            <w:vAlign w:val="center"/>
          </w:tcPr>
          <w:p w14:paraId="69B944E7">
            <w:pPr>
              <w:jc w:val="center"/>
              <w:rPr>
                <w:b w:val="0"/>
                <w:bCs w:val="0"/>
                <w:color w:val="auto"/>
                <w:sz w:val="21"/>
                <w:szCs w:val="21"/>
              </w:rPr>
            </w:pPr>
            <w:r>
              <w:rPr>
                <w:b w:val="0"/>
                <w:bCs w:val="0"/>
                <w:color w:val="auto"/>
                <w:sz w:val="21"/>
                <w:szCs w:val="21"/>
              </w:rPr>
              <w:t>排气筒参数</w:t>
            </w:r>
          </w:p>
        </w:tc>
        <w:tc>
          <w:tcPr>
            <w:tcW w:w="1555" w:type="pct"/>
            <w:gridSpan w:val="5"/>
            <w:tcBorders>
              <w:tl2br w:val="nil"/>
              <w:tr2bl w:val="nil"/>
            </w:tcBorders>
            <w:vAlign w:val="center"/>
          </w:tcPr>
          <w:p w14:paraId="0EE14F87">
            <w:pPr>
              <w:jc w:val="center"/>
              <w:rPr>
                <w:b w:val="0"/>
                <w:bCs w:val="0"/>
                <w:color w:val="auto"/>
                <w:sz w:val="21"/>
                <w:szCs w:val="21"/>
              </w:rPr>
            </w:pPr>
            <w:r>
              <w:rPr>
                <w:b w:val="0"/>
                <w:bCs w:val="0"/>
                <w:color w:val="auto"/>
                <w:sz w:val="21"/>
                <w:szCs w:val="21"/>
              </w:rPr>
              <w:t>污染物排放速率(kg/h)</w:t>
            </w:r>
          </w:p>
        </w:tc>
      </w:tr>
      <w:tr w14:paraId="4485B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776" w:type="pct"/>
            <w:vMerge w:val="continue"/>
            <w:tcBorders>
              <w:tl2br w:val="nil"/>
              <w:tr2bl w:val="nil"/>
            </w:tcBorders>
            <w:vAlign w:val="center"/>
          </w:tcPr>
          <w:p w14:paraId="1BBA3F67">
            <w:pPr>
              <w:jc w:val="center"/>
              <w:rPr>
                <w:b w:val="0"/>
                <w:bCs w:val="0"/>
                <w:color w:val="auto"/>
                <w:sz w:val="21"/>
                <w:szCs w:val="21"/>
              </w:rPr>
            </w:pPr>
          </w:p>
        </w:tc>
        <w:tc>
          <w:tcPr>
            <w:tcW w:w="592" w:type="pct"/>
            <w:tcBorders>
              <w:tl2br w:val="nil"/>
              <w:tr2bl w:val="nil"/>
            </w:tcBorders>
            <w:vAlign w:val="center"/>
          </w:tcPr>
          <w:p w14:paraId="498A38DC">
            <w:pPr>
              <w:jc w:val="center"/>
              <w:rPr>
                <w:b w:val="0"/>
                <w:bCs w:val="0"/>
                <w:color w:val="auto"/>
                <w:sz w:val="21"/>
                <w:szCs w:val="21"/>
              </w:rPr>
            </w:pPr>
            <w:r>
              <w:rPr>
                <w:b w:val="0"/>
                <w:bCs w:val="0"/>
                <w:color w:val="auto"/>
                <w:sz w:val="21"/>
                <w:szCs w:val="21"/>
              </w:rPr>
              <w:t>经度</w:t>
            </w:r>
          </w:p>
        </w:tc>
        <w:tc>
          <w:tcPr>
            <w:tcW w:w="558" w:type="pct"/>
            <w:tcBorders>
              <w:tl2br w:val="nil"/>
              <w:tr2bl w:val="nil"/>
            </w:tcBorders>
            <w:vAlign w:val="center"/>
          </w:tcPr>
          <w:p w14:paraId="0056A4A6">
            <w:pPr>
              <w:jc w:val="center"/>
              <w:rPr>
                <w:b w:val="0"/>
                <w:bCs w:val="0"/>
                <w:color w:val="auto"/>
                <w:sz w:val="21"/>
                <w:szCs w:val="21"/>
              </w:rPr>
            </w:pPr>
            <w:r>
              <w:rPr>
                <w:b w:val="0"/>
                <w:bCs w:val="0"/>
                <w:color w:val="auto"/>
                <w:sz w:val="21"/>
                <w:szCs w:val="21"/>
              </w:rPr>
              <w:t>纬度</w:t>
            </w:r>
          </w:p>
        </w:tc>
        <w:tc>
          <w:tcPr>
            <w:tcW w:w="412" w:type="pct"/>
            <w:vMerge w:val="continue"/>
            <w:tcBorders>
              <w:tl2br w:val="nil"/>
              <w:tr2bl w:val="nil"/>
            </w:tcBorders>
            <w:vAlign w:val="center"/>
          </w:tcPr>
          <w:p w14:paraId="51F16973">
            <w:pPr>
              <w:jc w:val="center"/>
              <w:rPr>
                <w:b w:val="0"/>
                <w:bCs w:val="0"/>
                <w:color w:val="auto"/>
                <w:sz w:val="21"/>
                <w:szCs w:val="21"/>
              </w:rPr>
            </w:pPr>
          </w:p>
        </w:tc>
        <w:tc>
          <w:tcPr>
            <w:tcW w:w="272" w:type="pct"/>
            <w:tcBorders>
              <w:tl2br w:val="nil"/>
              <w:tr2bl w:val="nil"/>
            </w:tcBorders>
            <w:vAlign w:val="center"/>
          </w:tcPr>
          <w:p w14:paraId="491644BC">
            <w:pPr>
              <w:jc w:val="center"/>
              <w:rPr>
                <w:b w:val="0"/>
                <w:bCs w:val="0"/>
                <w:color w:val="auto"/>
                <w:sz w:val="21"/>
                <w:szCs w:val="21"/>
              </w:rPr>
            </w:pPr>
            <w:r>
              <w:rPr>
                <w:b w:val="0"/>
                <w:bCs w:val="0"/>
                <w:color w:val="auto"/>
                <w:sz w:val="21"/>
                <w:szCs w:val="21"/>
              </w:rPr>
              <w:t>高度(m)</w:t>
            </w:r>
          </w:p>
        </w:tc>
        <w:tc>
          <w:tcPr>
            <w:tcW w:w="258" w:type="pct"/>
            <w:tcBorders>
              <w:tl2br w:val="nil"/>
              <w:tr2bl w:val="nil"/>
            </w:tcBorders>
            <w:vAlign w:val="center"/>
          </w:tcPr>
          <w:p w14:paraId="71AC22D3">
            <w:pPr>
              <w:jc w:val="center"/>
              <w:rPr>
                <w:b w:val="0"/>
                <w:bCs w:val="0"/>
                <w:color w:val="auto"/>
                <w:sz w:val="21"/>
                <w:szCs w:val="21"/>
              </w:rPr>
            </w:pPr>
            <w:r>
              <w:rPr>
                <w:b w:val="0"/>
                <w:bCs w:val="0"/>
                <w:color w:val="auto"/>
                <w:sz w:val="21"/>
                <w:szCs w:val="21"/>
              </w:rPr>
              <w:t>内径(m)</w:t>
            </w:r>
          </w:p>
        </w:tc>
        <w:tc>
          <w:tcPr>
            <w:tcW w:w="261" w:type="pct"/>
            <w:tcBorders>
              <w:tl2br w:val="nil"/>
              <w:tr2bl w:val="nil"/>
            </w:tcBorders>
            <w:vAlign w:val="center"/>
          </w:tcPr>
          <w:p w14:paraId="08E7FC82">
            <w:pPr>
              <w:jc w:val="center"/>
              <w:rPr>
                <w:b w:val="0"/>
                <w:bCs w:val="0"/>
                <w:color w:val="auto"/>
                <w:sz w:val="21"/>
                <w:szCs w:val="21"/>
              </w:rPr>
            </w:pPr>
            <w:r>
              <w:rPr>
                <w:b w:val="0"/>
                <w:bCs w:val="0"/>
                <w:color w:val="auto"/>
                <w:sz w:val="21"/>
                <w:szCs w:val="21"/>
              </w:rPr>
              <w:t>温度(℃)</w:t>
            </w:r>
          </w:p>
        </w:tc>
        <w:tc>
          <w:tcPr>
            <w:tcW w:w="312" w:type="pct"/>
            <w:tcBorders>
              <w:tl2br w:val="nil"/>
              <w:tr2bl w:val="nil"/>
            </w:tcBorders>
            <w:vAlign w:val="center"/>
          </w:tcPr>
          <w:p w14:paraId="005C2CFE">
            <w:pPr>
              <w:jc w:val="center"/>
              <w:rPr>
                <w:b w:val="0"/>
                <w:bCs w:val="0"/>
                <w:color w:val="auto"/>
                <w:sz w:val="21"/>
                <w:szCs w:val="21"/>
              </w:rPr>
            </w:pPr>
            <w:r>
              <w:rPr>
                <w:b w:val="0"/>
                <w:bCs w:val="0"/>
                <w:color w:val="auto"/>
                <w:sz w:val="21"/>
                <w:szCs w:val="21"/>
              </w:rPr>
              <w:t>流速(m/s)</w:t>
            </w:r>
          </w:p>
        </w:tc>
        <w:tc>
          <w:tcPr>
            <w:tcW w:w="271" w:type="pct"/>
            <w:tcBorders>
              <w:tl2br w:val="nil"/>
              <w:tr2bl w:val="nil"/>
            </w:tcBorders>
            <w:vAlign w:val="center"/>
          </w:tcPr>
          <w:p w14:paraId="39C8B146">
            <w:pPr>
              <w:jc w:val="center"/>
              <w:rPr>
                <w:b w:val="0"/>
                <w:bCs w:val="0"/>
                <w:color w:val="auto"/>
                <w:sz w:val="21"/>
                <w:szCs w:val="21"/>
              </w:rPr>
            </w:pPr>
            <w:r>
              <w:rPr>
                <w:rFonts w:hint="eastAsia"/>
                <w:b w:val="0"/>
                <w:bCs w:val="0"/>
                <w:color w:val="auto"/>
                <w:sz w:val="21"/>
                <w:szCs w:val="21"/>
              </w:rPr>
              <w:t>H</w:t>
            </w:r>
            <w:r>
              <w:rPr>
                <w:rFonts w:hint="eastAsia"/>
                <w:b w:val="0"/>
                <w:bCs w:val="0"/>
                <w:color w:val="auto"/>
                <w:sz w:val="21"/>
                <w:szCs w:val="21"/>
                <w:vertAlign w:val="subscript"/>
              </w:rPr>
              <w:t>2</w:t>
            </w:r>
            <w:r>
              <w:rPr>
                <w:rFonts w:hint="eastAsia"/>
                <w:b w:val="0"/>
                <w:bCs w:val="0"/>
                <w:color w:val="auto"/>
                <w:sz w:val="21"/>
                <w:szCs w:val="21"/>
              </w:rPr>
              <w:t>S</w:t>
            </w:r>
          </w:p>
        </w:tc>
        <w:tc>
          <w:tcPr>
            <w:tcW w:w="283" w:type="pct"/>
            <w:tcBorders>
              <w:tl2br w:val="nil"/>
              <w:tr2bl w:val="nil"/>
            </w:tcBorders>
            <w:vAlign w:val="center"/>
          </w:tcPr>
          <w:p w14:paraId="66228F20">
            <w:pPr>
              <w:jc w:val="center"/>
              <w:rPr>
                <w:b w:val="0"/>
                <w:bCs w:val="0"/>
                <w:color w:val="auto"/>
                <w:sz w:val="21"/>
                <w:szCs w:val="21"/>
              </w:rPr>
            </w:pPr>
            <w:r>
              <w:rPr>
                <w:rFonts w:hint="eastAsia"/>
                <w:b w:val="0"/>
                <w:bCs w:val="0"/>
                <w:color w:val="auto"/>
                <w:sz w:val="21"/>
                <w:szCs w:val="21"/>
              </w:rPr>
              <w:t>NH</w:t>
            </w:r>
            <w:r>
              <w:rPr>
                <w:rFonts w:hint="eastAsia"/>
                <w:b w:val="0"/>
                <w:bCs w:val="0"/>
                <w:color w:val="auto"/>
                <w:sz w:val="21"/>
                <w:szCs w:val="21"/>
                <w:vertAlign w:val="subscript"/>
              </w:rPr>
              <w:t>3</w:t>
            </w:r>
          </w:p>
        </w:tc>
        <w:tc>
          <w:tcPr>
            <w:tcW w:w="383" w:type="pct"/>
            <w:tcBorders>
              <w:tl2br w:val="nil"/>
              <w:tr2bl w:val="nil"/>
            </w:tcBorders>
            <w:vAlign w:val="center"/>
          </w:tcPr>
          <w:p w14:paraId="747F56B5">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非甲烷总烃</w:t>
            </w:r>
          </w:p>
        </w:tc>
        <w:tc>
          <w:tcPr>
            <w:tcW w:w="288" w:type="pct"/>
            <w:tcBorders>
              <w:tl2br w:val="nil"/>
              <w:tr2bl w:val="nil"/>
            </w:tcBorders>
            <w:vAlign w:val="center"/>
          </w:tcPr>
          <w:p w14:paraId="30D8CD20">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臭气浓度</w:t>
            </w:r>
          </w:p>
        </w:tc>
        <w:tc>
          <w:tcPr>
            <w:tcW w:w="328" w:type="pct"/>
            <w:tcBorders>
              <w:tl2br w:val="nil"/>
              <w:tr2bl w:val="nil"/>
            </w:tcBorders>
            <w:vAlign w:val="center"/>
          </w:tcPr>
          <w:p w14:paraId="46BE7BA9">
            <w:pPr>
              <w:jc w:val="center"/>
              <w:rPr>
                <w:rFonts w:hint="eastAsia"/>
                <w:b w:val="0"/>
                <w:bCs w:val="0"/>
                <w:color w:val="auto"/>
                <w:sz w:val="21"/>
                <w:szCs w:val="21"/>
                <w:lang w:val="en-US" w:eastAsia="zh-CN"/>
              </w:rPr>
            </w:pPr>
            <w:r>
              <w:rPr>
                <w:rFonts w:hint="eastAsia"/>
                <w:b w:val="0"/>
                <w:bCs w:val="0"/>
                <w:color w:val="auto"/>
                <w:sz w:val="21"/>
                <w:szCs w:val="21"/>
                <w:lang w:val="en-US" w:eastAsia="zh-CN"/>
              </w:rPr>
              <w:t>颗粒物</w:t>
            </w:r>
          </w:p>
        </w:tc>
      </w:tr>
      <w:tr w14:paraId="78D24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776" w:type="pct"/>
            <w:tcBorders>
              <w:tl2br w:val="nil"/>
              <w:tr2bl w:val="nil"/>
            </w:tcBorders>
            <w:vAlign w:val="center"/>
          </w:tcPr>
          <w:p w14:paraId="552C0036">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不凝气风机排气筒1（DA003）</w:t>
            </w:r>
          </w:p>
        </w:tc>
        <w:tc>
          <w:tcPr>
            <w:tcW w:w="592" w:type="pct"/>
            <w:tcBorders>
              <w:tl2br w:val="nil"/>
              <w:tr2bl w:val="nil"/>
            </w:tcBorders>
            <w:vAlign w:val="center"/>
          </w:tcPr>
          <w:p w14:paraId="742ADBC6">
            <w:pPr>
              <w:jc w:val="center"/>
              <w:rPr>
                <w:b w:val="0"/>
                <w:bCs w:val="0"/>
                <w:color w:val="auto"/>
                <w:sz w:val="21"/>
                <w:szCs w:val="21"/>
              </w:rPr>
            </w:pPr>
            <w:r>
              <w:rPr>
                <w:b w:val="0"/>
                <w:bCs w:val="0"/>
                <w:color w:val="auto"/>
                <w:sz w:val="21"/>
                <w:szCs w:val="21"/>
              </w:rPr>
              <w:t>124°36′</w:t>
            </w:r>
            <w:r>
              <w:rPr>
                <w:rFonts w:hint="eastAsia"/>
                <w:b w:val="0"/>
                <w:bCs w:val="0"/>
                <w:color w:val="auto"/>
                <w:sz w:val="21"/>
                <w:szCs w:val="21"/>
                <w:lang w:val="en-US" w:eastAsia="zh-CN"/>
              </w:rPr>
              <w:t>22.39</w:t>
            </w:r>
            <w:r>
              <w:rPr>
                <w:b w:val="0"/>
                <w:bCs w:val="0"/>
                <w:color w:val="auto"/>
                <w:sz w:val="21"/>
                <w:szCs w:val="21"/>
              </w:rPr>
              <w:t>″</w:t>
            </w:r>
          </w:p>
        </w:tc>
        <w:tc>
          <w:tcPr>
            <w:tcW w:w="558" w:type="pct"/>
            <w:tcBorders>
              <w:tl2br w:val="nil"/>
              <w:tr2bl w:val="nil"/>
            </w:tcBorders>
            <w:vAlign w:val="center"/>
          </w:tcPr>
          <w:p w14:paraId="1F4A0CC1">
            <w:pPr>
              <w:jc w:val="center"/>
              <w:rPr>
                <w:b w:val="0"/>
                <w:bCs w:val="0"/>
                <w:color w:val="auto"/>
                <w:sz w:val="21"/>
                <w:szCs w:val="21"/>
              </w:rPr>
            </w:pPr>
            <w:r>
              <w:rPr>
                <w:b w:val="0"/>
                <w:bCs w:val="0"/>
                <w:color w:val="auto"/>
                <w:sz w:val="21"/>
                <w:szCs w:val="21"/>
              </w:rPr>
              <w:t>48°12′4</w:t>
            </w:r>
            <w:r>
              <w:rPr>
                <w:rFonts w:hint="eastAsia"/>
                <w:b w:val="0"/>
                <w:bCs w:val="0"/>
                <w:color w:val="auto"/>
                <w:sz w:val="21"/>
                <w:szCs w:val="21"/>
                <w:lang w:val="en-US" w:eastAsia="zh-CN"/>
              </w:rPr>
              <w:t>9.54</w:t>
            </w:r>
            <w:r>
              <w:rPr>
                <w:b w:val="0"/>
                <w:bCs w:val="0"/>
                <w:color w:val="auto"/>
                <w:sz w:val="21"/>
                <w:szCs w:val="21"/>
              </w:rPr>
              <w:t>″</w:t>
            </w:r>
          </w:p>
        </w:tc>
        <w:tc>
          <w:tcPr>
            <w:tcW w:w="412" w:type="pct"/>
            <w:tcBorders>
              <w:tl2br w:val="nil"/>
              <w:tr2bl w:val="nil"/>
            </w:tcBorders>
            <w:vAlign w:val="center"/>
          </w:tcPr>
          <w:p w14:paraId="57D9D653">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181</w:t>
            </w:r>
          </w:p>
        </w:tc>
        <w:tc>
          <w:tcPr>
            <w:tcW w:w="272" w:type="pct"/>
            <w:tcBorders>
              <w:tl2br w:val="nil"/>
              <w:tr2bl w:val="nil"/>
            </w:tcBorders>
            <w:vAlign w:val="center"/>
          </w:tcPr>
          <w:p w14:paraId="183AC12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62E7AC1D">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0.5</w:t>
            </w:r>
          </w:p>
        </w:tc>
        <w:tc>
          <w:tcPr>
            <w:tcW w:w="261" w:type="pct"/>
            <w:tcBorders>
              <w:tl2br w:val="nil"/>
              <w:tr2bl w:val="nil"/>
            </w:tcBorders>
            <w:vAlign w:val="center"/>
          </w:tcPr>
          <w:p w14:paraId="00791F3B">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80</w:t>
            </w:r>
          </w:p>
        </w:tc>
        <w:tc>
          <w:tcPr>
            <w:tcW w:w="312" w:type="pct"/>
            <w:tcBorders>
              <w:tl2br w:val="nil"/>
              <w:tr2bl w:val="nil"/>
            </w:tcBorders>
            <w:vAlign w:val="center"/>
          </w:tcPr>
          <w:p w14:paraId="01F3AAC3">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31.78</w:t>
            </w:r>
          </w:p>
        </w:tc>
        <w:tc>
          <w:tcPr>
            <w:tcW w:w="271" w:type="pct"/>
            <w:tcBorders>
              <w:tl2br w:val="nil"/>
              <w:tr2bl w:val="nil"/>
            </w:tcBorders>
            <w:vAlign w:val="center"/>
          </w:tcPr>
          <w:p w14:paraId="7A2CA8EB">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283" w:type="pct"/>
            <w:tcBorders>
              <w:tl2br w:val="nil"/>
              <w:tr2bl w:val="nil"/>
            </w:tcBorders>
            <w:vAlign w:val="center"/>
          </w:tcPr>
          <w:p w14:paraId="007F4C64">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383" w:type="pct"/>
            <w:tcBorders>
              <w:tl2br w:val="nil"/>
              <w:tr2bl w:val="nil"/>
            </w:tcBorders>
            <w:vAlign w:val="center"/>
          </w:tcPr>
          <w:p w14:paraId="4A9F8C75">
            <w:pPr>
              <w:jc w:val="center"/>
              <w:rPr>
                <w:rFonts w:hint="default"/>
                <w:b w:val="0"/>
                <w:bCs w:val="0"/>
                <w:color w:val="auto"/>
                <w:sz w:val="21"/>
                <w:szCs w:val="21"/>
                <w:lang w:val="en-US" w:eastAsia="zh-CN"/>
              </w:rPr>
            </w:pPr>
            <w:r>
              <w:rPr>
                <w:rFonts w:hint="eastAsia"/>
                <w:b w:val="0"/>
                <w:bCs w:val="0"/>
                <w:color w:val="auto"/>
                <w:sz w:val="21"/>
                <w:szCs w:val="21"/>
                <w:lang w:val="en-US" w:eastAsia="zh-CN"/>
              </w:rPr>
              <w:t>0.099</w:t>
            </w:r>
          </w:p>
        </w:tc>
        <w:tc>
          <w:tcPr>
            <w:tcW w:w="288" w:type="pct"/>
            <w:tcBorders>
              <w:tl2br w:val="nil"/>
              <w:tr2bl w:val="nil"/>
            </w:tcBorders>
            <w:vAlign w:val="center"/>
          </w:tcPr>
          <w:p w14:paraId="2BC70242">
            <w:pPr>
              <w:keepNext w:val="0"/>
              <w:keepLines w:val="0"/>
              <w:widowControl/>
              <w:suppressLineNumbers w:val="0"/>
              <w:spacing w:before="0" w:beforeAutospacing="0" w:after="0" w:afterAutospacing="0"/>
              <w:ind w:left="0" w:leftChars="0" w:right="0" w:rightChars="0"/>
              <w:jc w:val="center"/>
              <w:rPr>
                <w:rFonts w:hint="eastAsia"/>
                <w:b w:val="0"/>
                <w:bCs w:val="0"/>
                <w:color w:val="auto"/>
                <w:sz w:val="21"/>
                <w:szCs w:val="21"/>
                <w:lang w:val="en-US" w:eastAsia="zh-CN"/>
              </w:rPr>
            </w:pPr>
            <w:r>
              <w:rPr>
                <w:rFonts w:hint="default"/>
                <w:sz w:val="21"/>
                <w:szCs w:val="21"/>
              </w:rPr>
              <w:t>1995</w:t>
            </w:r>
          </w:p>
        </w:tc>
        <w:tc>
          <w:tcPr>
            <w:tcW w:w="328" w:type="pct"/>
            <w:tcBorders>
              <w:tl2br w:val="nil"/>
              <w:tr2bl w:val="nil"/>
            </w:tcBorders>
            <w:vAlign w:val="center"/>
          </w:tcPr>
          <w:p w14:paraId="7D8540E9">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r>
      <w:tr w14:paraId="5BF2B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776" w:type="pct"/>
            <w:tcBorders>
              <w:tl2br w:val="nil"/>
              <w:tr2bl w:val="nil"/>
            </w:tcBorders>
            <w:vAlign w:val="center"/>
          </w:tcPr>
          <w:p w14:paraId="450BB254">
            <w:pPr>
              <w:jc w:val="center"/>
              <w:rPr>
                <w:rFonts w:hint="eastAsia"/>
                <w:b w:val="0"/>
                <w:bCs w:val="0"/>
                <w:color w:val="auto"/>
                <w:sz w:val="21"/>
                <w:szCs w:val="21"/>
                <w:lang w:val="en-US" w:eastAsia="zh-CN"/>
              </w:rPr>
            </w:pPr>
            <w:r>
              <w:rPr>
                <w:rFonts w:hint="eastAsia"/>
                <w:b w:val="0"/>
                <w:bCs w:val="0"/>
                <w:color w:val="auto"/>
                <w:sz w:val="21"/>
                <w:szCs w:val="21"/>
                <w:lang w:val="en-US" w:eastAsia="zh-CN"/>
              </w:rPr>
              <w:t>不凝气风机排气筒2（DA004）</w:t>
            </w:r>
          </w:p>
        </w:tc>
        <w:tc>
          <w:tcPr>
            <w:tcW w:w="592" w:type="pct"/>
            <w:tcBorders>
              <w:tl2br w:val="nil"/>
              <w:tr2bl w:val="nil"/>
            </w:tcBorders>
            <w:shd w:val="clear" w:color="auto" w:fill="auto"/>
            <w:vAlign w:val="center"/>
          </w:tcPr>
          <w:p w14:paraId="224D05EE">
            <w:pPr>
              <w:jc w:val="center"/>
              <w:rPr>
                <w:rFonts w:ascii="Times New Roman" w:hAnsi="Times New Roman" w:eastAsia="宋体" w:cs="Times New Roman"/>
                <w:b w:val="0"/>
                <w:bCs w:val="0"/>
                <w:color w:val="auto"/>
                <w:sz w:val="21"/>
                <w:szCs w:val="21"/>
                <w:lang w:val="en-US" w:eastAsia="zh-CN"/>
              </w:rPr>
            </w:pPr>
            <w:r>
              <w:rPr>
                <w:rFonts w:ascii="Times New Roman" w:hAnsi="Times New Roman" w:eastAsia="宋体" w:cs="Times New Roman"/>
                <w:b w:val="0"/>
                <w:bCs w:val="0"/>
                <w:color w:val="auto"/>
                <w:sz w:val="21"/>
                <w:szCs w:val="21"/>
              </w:rPr>
              <w:t>124°36′25.63″</w:t>
            </w:r>
          </w:p>
        </w:tc>
        <w:tc>
          <w:tcPr>
            <w:tcW w:w="558" w:type="pct"/>
            <w:tcBorders>
              <w:tl2br w:val="nil"/>
              <w:tr2bl w:val="nil"/>
            </w:tcBorders>
            <w:shd w:val="clear" w:color="auto" w:fill="auto"/>
            <w:vAlign w:val="center"/>
          </w:tcPr>
          <w:p w14:paraId="715AC944">
            <w:pPr>
              <w:jc w:val="center"/>
              <w:rPr>
                <w:rFonts w:ascii="Times New Roman" w:hAnsi="Times New Roman" w:eastAsia="宋体" w:cs="Times New Roman"/>
                <w:b w:val="0"/>
                <w:bCs w:val="0"/>
                <w:color w:val="auto"/>
                <w:sz w:val="21"/>
                <w:szCs w:val="21"/>
                <w:lang w:val="en-US" w:eastAsia="zh-CN"/>
              </w:rPr>
            </w:pPr>
            <w:r>
              <w:rPr>
                <w:rFonts w:ascii="Times New Roman" w:hAnsi="Times New Roman" w:eastAsia="宋体" w:cs="Times New Roman"/>
                <w:b w:val="0"/>
                <w:bCs w:val="0"/>
                <w:color w:val="auto"/>
                <w:sz w:val="21"/>
                <w:szCs w:val="21"/>
              </w:rPr>
              <w:t>48°12′49.46″</w:t>
            </w:r>
          </w:p>
        </w:tc>
        <w:tc>
          <w:tcPr>
            <w:tcW w:w="412" w:type="pct"/>
            <w:tcBorders>
              <w:tl2br w:val="nil"/>
              <w:tr2bl w:val="nil"/>
            </w:tcBorders>
            <w:vAlign w:val="center"/>
          </w:tcPr>
          <w:p w14:paraId="4FF7C969">
            <w:pPr>
              <w:jc w:val="center"/>
              <w:rPr>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51492BB8">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6CFDA132">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0.5</w:t>
            </w:r>
          </w:p>
        </w:tc>
        <w:tc>
          <w:tcPr>
            <w:tcW w:w="261" w:type="pct"/>
            <w:tcBorders>
              <w:tl2br w:val="nil"/>
              <w:tr2bl w:val="nil"/>
            </w:tcBorders>
            <w:vAlign w:val="center"/>
          </w:tcPr>
          <w:p w14:paraId="3A3FC195">
            <w:pPr>
              <w:jc w:val="center"/>
              <w:rPr>
                <w:b w:val="0"/>
                <w:bCs w:val="0"/>
                <w:color w:val="auto"/>
                <w:sz w:val="21"/>
                <w:szCs w:val="21"/>
              </w:rPr>
            </w:pPr>
            <w:r>
              <w:rPr>
                <w:rFonts w:ascii="Times New Roman" w:hAnsi="Times New Roman" w:eastAsia="宋体" w:cs="Times New Roman"/>
                <w:b w:val="0"/>
                <w:bCs w:val="0"/>
                <w:color w:val="auto"/>
                <w:sz w:val="21"/>
                <w:szCs w:val="21"/>
              </w:rPr>
              <w:t>80</w:t>
            </w:r>
          </w:p>
        </w:tc>
        <w:tc>
          <w:tcPr>
            <w:tcW w:w="312" w:type="pct"/>
            <w:tcBorders>
              <w:tl2br w:val="nil"/>
              <w:tr2bl w:val="nil"/>
            </w:tcBorders>
            <w:vAlign w:val="center"/>
          </w:tcPr>
          <w:p w14:paraId="7E1F54B7">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17.02</w:t>
            </w:r>
          </w:p>
        </w:tc>
        <w:tc>
          <w:tcPr>
            <w:tcW w:w="271" w:type="pct"/>
            <w:tcBorders>
              <w:tl2br w:val="nil"/>
              <w:tr2bl w:val="nil"/>
            </w:tcBorders>
            <w:vAlign w:val="center"/>
          </w:tcPr>
          <w:p w14:paraId="672DD578">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283" w:type="pct"/>
            <w:tcBorders>
              <w:tl2br w:val="nil"/>
              <w:tr2bl w:val="nil"/>
            </w:tcBorders>
            <w:vAlign w:val="center"/>
          </w:tcPr>
          <w:p w14:paraId="4F50AC5B">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383" w:type="pct"/>
            <w:tcBorders>
              <w:tl2br w:val="nil"/>
              <w:tr2bl w:val="nil"/>
            </w:tcBorders>
            <w:vAlign w:val="center"/>
          </w:tcPr>
          <w:p w14:paraId="2DD4595E">
            <w:pPr>
              <w:jc w:val="center"/>
              <w:rPr>
                <w:rFonts w:hint="default"/>
                <w:b w:val="0"/>
                <w:bCs w:val="0"/>
                <w:color w:val="auto"/>
                <w:sz w:val="21"/>
                <w:szCs w:val="21"/>
                <w:lang w:val="en-US" w:eastAsia="zh-CN"/>
              </w:rPr>
            </w:pPr>
            <w:r>
              <w:rPr>
                <w:rFonts w:hint="eastAsia"/>
                <w:b w:val="0"/>
                <w:bCs w:val="0"/>
                <w:color w:val="auto"/>
                <w:sz w:val="21"/>
                <w:szCs w:val="21"/>
                <w:lang w:val="en-US" w:eastAsia="zh-CN"/>
              </w:rPr>
              <w:t>0.047</w:t>
            </w:r>
          </w:p>
        </w:tc>
        <w:tc>
          <w:tcPr>
            <w:tcW w:w="288" w:type="pct"/>
            <w:tcBorders>
              <w:tl2br w:val="nil"/>
              <w:tr2bl w:val="nil"/>
            </w:tcBorders>
            <w:vAlign w:val="center"/>
          </w:tcPr>
          <w:p w14:paraId="69D5207A">
            <w:pPr>
              <w:keepNext w:val="0"/>
              <w:keepLines w:val="0"/>
              <w:widowControl/>
              <w:suppressLineNumbers w:val="0"/>
              <w:spacing w:before="0" w:beforeAutospacing="0" w:after="0" w:afterAutospacing="0"/>
              <w:ind w:left="0" w:leftChars="0" w:right="0" w:rightChars="0"/>
              <w:jc w:val="center"/>
              <w:rPr>
                <w:rFonts w:hint="eastAsia"/>
                <w:b w:val="0"/>
                <w:bCs w:val="0"/>
                <w:color w:val="auto"/>
                <w:sz w:val="21"/>
                <w:szCs w:val="21"/>
                <w:lang w:val="en-US" w:eastAsia="zh-CN"/>
              </w:rPr>
            </w:pPr>
            <w:r>
              <w:rPr>
                <w:rFonts w:hint="default"/>
                <w:sz w:val="21"/>
                <w:szCs w:val="21"/>
              </w:rPr>
              <w:t>1318</w:t>
            </w:r>
          </w:p>
        </w:tc>
        <w:tc>
          <w:tcPr>
            <w:tcW w:w="328" w:type="pct"/>
            <w:tcBorders>
              <w:tl2br w:val="nil"/>
              <w:tr2bl w:val="nil"/>
            </w:tcBorders>
            <w:vAlign w:val="center"/>
          </w:tcPr>
          <w:p w14:paraId="24109585">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r>
      <w:tr w14:paraId="22DBB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776" w:type="pct"/>
            <w:tcBorders>
              <w:tl2br w:val="nil"/>
              <w:tr2bl w:val="nil"/>
            </w:tcBorders>
            <w:shd w:val="clear" w:color="auto" w:fill="auto"/>
            <w:vAlign w:val="center"/>
          </w:tcPr>
          <w:p w14:paraId="446850A3">
            <w:pPr>
              <w:jc w:val="center"/>
              <w:rPr>
                <w:rFonts w:hint="eastAsia" w:ascii="Times New Roman" w:hAnsi="Times New Roman" w:eastAsia="宋体" w:cs="Times New Roman"/>
                <w:b w:val="0"/>
                <w:bCs w:val="0"/>
                <w:color w:val="auto"/>
                <w:sz w:val="21"/>
                <w:szCs w:val="21"/>
                <w:lang w:val="en-US" w:eastAsia="zh-CN" w:bidi="ar-SA"/>
              </w:rPr>
            </w:pPr>
            <w:r>
              <w:rPr>
                <w:rFonts w:hint="eastAsia"/>
                <w:b w:val="0"/>
                <w:bCs w:val="0"/>
                <w:color w:val="auto"/>
                <w:sz w:val="21"/>
                <w:szCs w:val="21"/>
                <w:lang w:val="en-US" w:eastAsia="zh-CN"/>
              </w:rPr>
              <w:t>不凝气风机排气筒3（DA016）</w:t>
            </w:r>
          </w:p>
        </w:tc>
        <w:tc>
          <w:tcPr>
            <w:tcW w:w="592" w:type="pct"/>
            <w:tcBorders>
              <w:tl2br w:val="nil"/>
              <w:tr2bl w:val="nil"/>
            </w:tcBorders>
            <w:vAlign w:val="center"/>
          </w:tcPr>
          <w:p w14:paraId="37418379">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124°36′26.75″</w:t>
            </w:r>
          </w:p>
        </w:tc>
        <w:tc>
          <w:tcPr>
            <w:tcW w:w="558" w:type="pct"/>
            <w:tcBorders>
              <w:tl2br w:val="nil"/>
              <w:tr2bl w:val="nil"/>
            </w:tcBorders>
            <w:vAlign w:val="center"/>
          </w:tcPr>
          <w:p w14:paraId="7724A0D4">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48°12′51.73″</w:t>
            </w:r>
          </w:p>
        </w:tc>
        <w:tc>
          <w:tcPr>
            <w:tcW w:w="412" w:type="pct"/>
            <w:tcBorders>
              <w:tl2br w:val="nil"/>
              <w:tr2bl w:val="nil"/>
            </w:tcBorders>
            <w:vAlign w:val="center"/>
          </w:tcPr>
          <w:p w14:paraId="0BC8DCD8">
            <w:pPr>
              <w:jc w:val="center"/>
              <w:rPr>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24760BE1">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114D1F64">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0.5</w:t>
            </w:r>
          </w:p>
        </w:tc>
        <w:tc>
          <w:tcPr>
            <w:tcW w:w="261" w:type="pct"/>
            <w:tcBorders>
              <w:tl2br w:val="nil"/>
              <w:tr2bl w:val="nil"/>
            </w:tcBorders>
            <w:vAlign w:val="center"/>
          </w:tcPr>
          <w:p w14:paraId="20867AC1">
            <w:pPr>
              <w:jc w:val="center"/>
              <w:rPr>
                <w:b w:val="0"/>
                <w:bCs w:val="0"/>
                <w:color w:val="auto"/>
                <w:sz w:val="21"/>
                <w:szCs w:val="21"/>
              </w:rPr>
            </w:pPr>
            <w:r>
              <w:rPr>
                <w:rFonts w:ascii="Times New Roman" w:hAnsi="Times New Roman" w:eastAsia="宋体" w:cs="Times New Roman"/>
                <w:b w:val="0"/>
                <w:bCs w:val="0"/>
                <w:color w:val="auto"/>
                <w:sz w:val="21"/>
                <w:szCs w:val="21"/>
              </w:rPr>
              <w:t>80</w:t>
            </w:r>
          </w:p>
        </w:tc>
        <w:tc>
          <w:tcPr>
            <w:tcW w:w="312" w:type="pct"/>
            <w:tcBorders>
              <w:tl2br w:val="nil"/>
              <w:tr2bl w:val="nil"/>
            </w:tcBorders>
            <w:vAlign w:val="center"/>
          </w:tcPr>
          <w:p w14:paraId="2724A717">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18.37</w:t>
            </w:r>
          </w:p>
        </w:tc>
        <w:tc>
          <w:tcPr>
            <w:tcW w:w="271" w:type="pct"/>
            <w:tcBorders>
              <w:tl2br w:val="nil"/>
              <w:tr2bl w:val="nil"/>
            </w:tcBorders>
            <w:vAlign w:val="center"/>
          </w:tcPr>
          <w:p w14:paraId="6A2DF91C">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283" w:type="pct"/>
            <w:tcBorders>
              <w:tl2br w:val="nil"/>
              <w:tr2bl w:val="nil"/>
            </w:tcBorders>
            <w:vAlign w:val="center"/>
          </w:tcPr>
          <w:p w14:paraId="22E56A09">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383" w:type="pct"/>
            <w:tcBorders>
              <w:tl2br w:val="nil"/>
              <w:tr2bl w:val="nil"/>
            </w:tcBorders>
            <w:vAlign w:val="center"/>
          </w:tcPr>
          <w:p w14:paraId="016BDC06">
            <w:pPr>
              <w:jc w:val="center"/>
              <w:rPr>
                <w:rFonts w:hint="default"/>
                <w:b w:val="0"/>
                <w:bCs w:val="0"/>
                <w:color w:val="auto"/>
                <w:sz w:val="21"/>
                <w:szCs w:val="21"/>
                <w:lang w:val="en-US" w:eastAsia="zh-CN"/>
              </w:rPr>
            </w:pPr>
            <w:r>
              <w:rPr>
                <w:rFonts w:hint="eastAsia"/>
                <w:b w:val="0"/>
                <w:bCs w:val="0"/>
                <w:color w:val="auto"/>
                <w:sz w:val="21"/>
                <w:szCs w:val="21"/>
                <w:lang w:val="en-US" w:eastAsia="zh-CN"/>
              </w:rPr>
              <w:t>0.052</w:t>
            </w:r>
          </w:p>
        </w:tc>
        <w:tc>
          <w:tcPr>
            <w:tcW w:w="288" w:type="pct"/>
            <w:tcBorders>
              <w:tl2br w:val="nil"/>
              <w:tr2bl w:val="nil"/>
            </w:tcBorders>
            <w:vAlign w:val="center"/>
          </w:tcPr>
          <w:p w14:paraId="0046DEE9">
            <w:pPr>
              <w:keepNext w:val="0"/>
              <w:keepLines w:val="0"/>
              <w:widowControl/>
              <w:suppressLineNumbers w:val="0"/>
              <w:spacing w:before="0" w:beforeAutospacing="0" w:after="0" w:afterAutospacing="0"/>
              <w:ind w:left="0" w:leftChars="0" w:right="0" w:rightChars="0"/>
              <w:jc w:val="center"/>
              <w:rPr>
                <w:rFonts w:hint="eastAsia"/>
                <w:b w:val="0"/>
                <w:bCs w:val="0"/>
                <w:color w:val="auto"/>
                <w:sz w:val="21"/>
                <w:szCs w:val="21"/>
                <w:lang w:val="en-US" w:eastAsia="zh-CN"/>
              </w:rPr>
            </w:pPr>
            <w:r>
              <w:rPr>
                <w:rFonts w:hint="default"/>
                <w:sz w:val="21"/>
                <w:szCs w:val="21"/>
              </w:rPr>
              <w:t>977</w:t>
            </w:r>
          </w:p>
        </w:tc>
        <w:tc>
          <w:tcPr>
            <w:tcW w:w="328" w:type="pct"/>
            <w:tcBorders>
              <w:tl2br w:val="nil"/>
              <w:tr2bl w:val="nil"/>
            </w:tcBorders>
            <w:vAlign w:val="center"/>
          </w:tcPr>
          <w:p w14:paraId="6C73DBE5">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r>
      <w:tr w14:paraId="27C72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776" w:type="pct"/>
            <w:tcBorders>
              <w:tl2br w:val="nil"/>
              <w:tr2bl w:val="nil"/>
            </w:tcBorders>
            <w:shd w:val="clear" w:color="auto" w:fill="auto"/>
            <w:vAlign w:val="center"/>
          </w:tcPr>
          <w:p w14:paraId="3809FF6F">
            <w:pPr>
              <w:jc w:val="center"/>
              <w:rPr>
                <w:rFonts w:hint="eastAsia" w:ascii="Times New Roman" w:hAnsi="Times New Roman" w:eastAsia="宋体" w:cs="Times New Roman"/>
                <w:b w:val="0"/>
                <w:bCs w:val="0"/>
                <w:color w:val="auto"/>
                <w:sz w:val="21"/>
                <w:szCs w:val="21"/>
                <w:lang w:val="en-US" w:eastAsia="zh-CN" w:bidi="ar-SA"/>
              </w:rPr>
            </w:pPr>
            <w:r>
              <w:rPr>
                <w:rFonts w:hint="eastAsia"/>
                <w:b w:val="0"/>
                <w:bCs w:val="0"/>
                <w:color w:val="auto"/>
                <w:sz w:val="21"/>
                <w:szCs w:val="21"/>
                <w:lang w:val="en-US" w:eastAsia="zh-CN"/>
              </w:rPr>
              <w:t>不凝气风机排气筒4（DA017）</w:t>
            </w:r>
          </w:p>
        </w:tc>
        <w:tc>
          <w:tcPr>
            <w:tcW w:w="592" w:type="pct"/>
            <w:tcBorders>
              <w:tl2br w:val="nil"/>
              <w:tr2bl w:val="nil"/>
            </w:tcBorders>
            <w:vAlign w:val="center"/>
          </w:tcPr>
          <w:p w14:paraId="23AF0DBE">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124°36′26.78″</w:t>
            </w:r>
          </w:p>
        </w:tc>
        <w:tc>
          <w:tcPr>
            <w:tcW w:w="558" w:type="pct"/>
            <w:tcBorders>
              <w:tl2br w:val="nil"/>
              <w:tr2bl w:val="nil"/>
            </w:tcBorders>
            <w:vAlign w:val="center"/>
          </w:tcPr>
          <w:p w14:paraId="0B8516C5">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48°12′51.12″</w:t>
            </w:r>
          </w:p>
        </w:tc>
        <w:tc>
          <w:tcPr>
            <w:tcW w:w="412" w:type="pct"/>
            <w:tcBorders>
              <w:tl2br w:val="nil"/>
              <w:tr2bl w:val="nil"/>
            </w:tcBorders>
            <w:vAlign w:val="center"/>
          </w:tcPr>
          <w:p w14:paraId="1A179CC7">
            <w:pPr>
              <w:jc w:val="center"/>
              <w:rPr>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41F7AB88">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2366BC75">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0.5</w:t>
            </w:r>
          </w:p>
        </w:tc>
        <w:tc>
          <w:tcPr>
            <w:tcW w:w="261" w:type="pct"/>
            <w:tcBorders>
              <w:tl2br w:val="nil"/>
              <w:tr2bl w:val="nil"/>
            </w:tcBorders>
            <w:vAlign w:val="center"/>
          </w:tcPr>
          <w:p w14:paraId="60B0FFC0">
            <w:pPr>
              <w:jc w:val="center"/>
              <w:rPr>
                <w:b w:val="0"/>
                <w:bCs w:val="0"/>
                <w:color w:val="auto"/>
                <w:sz w:val="21"/>
                <w:szCs w:val="21"/>
              </w:rPr>
            </w:pPr>
            <w:r>
              <w:rPr>
                <w:rFonts w:ascii="Times New Roman" w:hAnsi="Times New Roman" w:eastAsia="宋体" w:cs="Times New Roman"/>
                <w:b w:val="0"/>
                <w:bCs w:val="0"/>
                <w:color w:val="auto"/>
                <w:sz w:val="21"/>
                <w:szCs w:val="21"/>
              </w:rPr>
              <w:t>80</w:t>
            </w:r>
          </w:p>
        </w:tc>
        <w:tc>
          <w:tcPr>
            <w:tcW w:w="312" w:type="pct"/>
            <w:tcBorders>
              <w:tl2br w:val="nil"/>
              <w:tr2bl w:val="nil"/>
            </w:tcBorders>
            <w:vAlign w:val="center"/>
          </w:tcPr>
          <w:p w14:paraId="096F1BA2">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17.51</w:t>
            </w:r>
          </w:p>
        </w:tc>
        <w:tc>
          <w:tcPr>
            <w:tcW w:w="271" w:type="pct"/>
            <w:tcBorders>
              <w:tl2br w:val="nil"/>
              <w:tr2bl w:val="nil"/>
            </w:tcBorders>
            <w:vAlign w:val="center"/>
          </w:tcPr>
          <w:p w14:paraId="599E088D">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283" w:type="pct"/>
            <w:tcBorders>
              <w:tl2br w:val="nil"/>
              <w:tr2bl w:val="nil"/>
            </w:tcBorders>
            <w:vAlign w:val="center"/>
          </w:tcPr>
          <w:p w14:paraId="4B76D623">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383" w:type="pct"/>
            <w:tcBorders>
              <w:tl2br w:val="nil"/>
              <w:tr2bl w:val="nil"/>
            </w:tcBorders>
            <w:vAlign w:val="center"/>
          </w:tcPr>
          <w:p w14:paraId="5D148DC1">
            <w:pPr>
              <w:jc w:val="center"/>
              <w:rPr>
                <w:rFonts w:hint="default"/>
                <w:b w:val="0"/>
                <w:bCs w:val="0"/>
                <w:color w:val="auto"/>
                <w:sz w:val="21"/>
                <w:szCs w:val="21"/>
                <w:lang w:val="en-US" w:eastAsia="zh-CN"/>
              </w:rPr>
            </w:pPr>
            <w:r>
              <w:rPr>
                <w:rFonts w:hint="eastAsia"/>
                <w:b w:val="0"/>
                <w:bCs w:val="0"/>
                <w:color w:val="auto"/>
                <w:sz w:val="21"/>
                <w:szCs w:val="21"/>
                <w:lang w:val="en-US" w:eastAsia="zh-CN"/>
              </w:rPr>
              <w:t>0.049</w:t>
            </w:r>
          </w:p>
        </w:tc>
        <w:tc>
          <w:tcPr>
            <w:tcW w:w="288" w:type="pct"/>
            <w:tcBorders>
              <w:tl2br w:val="nil"/>
              <w:tr2bl w:val="nil"/>
            </w:tcBorders>
            <w:vAlign w:val="center"/>
          </w:tcPr>
          <w:p w14:paraId="718F3F88">
            <w:pPr>
              <w:keepNext w:val="0"/>
              <w:keepLines w:val="0"/>
              <w:widowControl/>
              <w:suppressLineNumbers w:val="0"/>
              <w:spacing w:before="0" w:beforeAutospacing="0" w:after="0" w:afterAutospacing="0"/>
              <w:ind w:left="0" w:leftChars="0" w:right="0" w:rightChars="0"/>
              <w:jc w:val="center"/>
              <w:rPr>
                <w:rFonts w:hint="eastAsia"/>
                <w:b w:val="0"/>
                <w:bCs w:val="0"/>
                <w:color w:val="auto"/>
                <w:sz w:val="21"/>
                <w:szCs w:val="21"/>
                <w:lang w:val="en-US" w:eastAsia="zh-CN"/>
              </w:rPr>
            </w:pPr>
            <w:r>
              <w:rPr>
                <w:rFonts w:hint="default"/>
                <w:sz w:val="21"/>
                <w:szCs w:val="21"/>
              </w:rPr>
              <w:t>977</w:t>
            </w:r>
          </w:p>
        </w:tc>
        <w:tc>
          <w:tcPr>
            <w:tcW w:w="328" w:type="pct"/>
            <w:tcBorders>
              <w:tl2br w:val="nil"/>
              <w:tr2bl w:val="nil"/>
            </w:tcBorders>
            <w:vAlign w:val="center"/>
          </w:tcPr>
          <w:p w14:paraId="120AF9B8">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r>
      <w:tr w14:paraId="05161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776" w:type="pct"/>
            <w:tcBorders>
              <w:tl2br w:val="nil"/>
              <w:tr2bl w:val="nil"/>
            </w:tcBorders>
            <w:shd w:val="clear" w:color="auto" w:fill="auto"/>
            <w:vAlign w:val="center"/>
          </w:tcPr>
          <w:p w14:paraId="0AE36341">
            <w:pPr>
              <w:jc w:val="center"/>
              <w:rPr>
                <w:rFonts w:hint="eastAsia" w:ascii="Times New Roman" w:hAnsi="Times New Roman" w:eastAsia="宋体" w:cs="Times New Roman"/>
                <w:b w:val="0"/>
                <w:bCs w:val="0"/>
                <w:color w:val="auto"/>
                <w:sz w:val="21"/>
                <w:szCs w:val="21"/>
                <w:lang w:val="en-US" w:eastAsia="zh-CN" w:bidi="ar-SA"/>
              </w:rPr>
            </w:pPr>
            <w:r>
              <w:rPr>
                <w:rFonts w:hint="eastAsia"/>
                <w:b w:val="0"/>
                <w:bCs w:val="0"/>
                <w:color w:val="auto"/>
                <w:sz w:val="21"/>
                <w:szCs w:val="21"/>
                <w:lang w:val="en-US" w:eastAsia="zh-CN"/>
              </w:rPr>
              <w:t>不凝气风机排气筒5（DA030）</w:t>
            </w:r>
          </w:p>
        </w:tc>
        <w:tc>
          <w:tcPr>
            <w:tcW w:w="592" w:type="pct"/>
            <w:tcBorders>
              <w:tl2br w:val="nil"/>
              <w:tr2bl w:val="nil"/>
            </w:tcBorders>
            <w:vAlign w:val="center"/>
          </w:tcPr>
          <w:p w14:paraId="56E6798E">
            <w:pPr>
              <w:jc w:val="center"/>
              <w:rPr>
                <w:b w:val="0"/>
                <w:bCs w:val="0"/>
                <w:color w:val="auto"/>
                <w:sz w:val="21"/>
                <w:szCs w:val="21"/>
              </w:rPr>
            </w:pPr>
            <w:r>
              <w:rPr>
                <w:b w:val="0"/>
                <w:bCs w:val="0"/>
                <w:color w:val="auto"/>
                <w:sz w:val="21"/>
                <w:szCs w:val="21"/>
              </w:rPr>
              <w:t>124°36′</w:t>
            </w:r>
            <w:r>
              <w:rPr>
                <w:rFonts w:hint="eastAsia"/>
                <w:b w:val="0"/>
                <w:bCs w:val="0"/>
                <w:color w:val="auto"/>
                <w:sz w:val="21"/>
                <w:szCs w:val="21"/>
                <w:lang w:val="en-US" w:eastAsia="zh-CN"/>
              </w:rPr>
              <w:t>22.36</w:t>
            </w:r>
            <w:r>
              <w:rPr>
                <w:b w:val="0"/>
                <w:bCs w:val="0"/>
                <w:color w:val="auto"/>
                <w:sz w:val="21"/>
                <w:szCs w:val="21"/>
              </w:rPr>
              <w:t>″</w:t>
            </w:r>
          </w:p>
        </w:tc>
        <w:tc>
          <w:tcPr>
            <w:tcW w:w="558" w:type="pct"/>
            <w:tcBorders>
              <w:tl2br w:val="nil"/>
              <w:tr2bl w:val="nil"/>
            </w:tcBorders>
            <w:vAlign w:val="center"/>
          </w:tcPr>
          <w:p w14:paraId="3BE0B2CB">
            <w:pPr>
              <w:jc w:val="center"/>
              <w:rPr>
                <w:b w:val="0"/>
                <w:bCs w:val="0"/>
                <w:color w:val="auto"/>
                <w:sz w:val="21"/>
                <w:szCs w:val="21"/>
              </w:rPr>
            </w:pPr>
            <w:r>
              <w:rPr>
                <w:b w:val="0"/>
                <w:bCs w:val="0"/>
                <w:color w:val="auto"/>
                <w:sz w:val="21"/>
                <w:szCs w:val="21"/>
              </w:rPr>
              <w:t>48°12′4</w:t>
            </w:r>
            <w:r>
              <w:rPr>
                <w:rFonts w:hint="eastAsia"/>
                <w:b w:val="0"/>
                <w:bCs w:val="0"/>
                <w:color w:val="auto"/>
                <w:sz w:val="21"/>
                <w:szCs w:val="21"/>
                <w:lang w:val="en-US" w:eastAsia="zh-CN"/>
              </w:rPr>
              <w:t>8.82</w:t>
            </w:r>
            <w:r>
              <w:rPr>
                <w:b w:val="0"/>
                <w:bCs w:val="0"/>
                <w:color w:val="auto"/>
                <w:sz w:val="21"/>
                <w:szCs w:val="21"/>
              </w:rPr>
              <w:t>″</w:t>
            </w:r>
          </w:p>
        </w:tc>
        <w:tc>
          <w:tcPr>
            <w:tcW w:w="412" w:type="pct"/>
            <w:tcBorders>
              <w:tl2br w:val="nil"/>
              <w:tr2bl w:val="nil"/>
            </w:tcBorders>
            <w:vAlign w:val="center"/>
          </w:tcPr>
          <w:p w14:paraId="7DB25FED">
            <w:pPr>
              <w:jc w:val="center"/>
              <w:rPr>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60717D81">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1B5D11CC">
            <w:pPr>
              <w:jc w:val="center"/>
              <w:rPr>
                <w:b w:val="0"/>
                <w:bCs w:val="0"/>
                <w:color w:val="auto"/>
                <w:sz w:val="21"/>
                <w:szCs w:val="21"/>
              </w:rPr>
            </w:pPr>
            <w:r>
              <w:rPr>
                <w:rFonts w:hint="eastAsia" w:ascii="Times New Roman" w:hAnsi="Times New Roman" w:eastAsia="宋体" w:cs="Times New Roman"/>
                <w:b w:val="0"/>
                <w:bCs w:val="0"/>
                <w:color w:val="auto"/>
                <w:sz w:val="21"/>
                <w:szCs w:val="21"/>
                <w:lang w:val="en-US" w:eastAsia="zh-CN"/>
              </w:rPr>
              <w:t>0.5</w:t>
            </w:r>
          </w:p>
        </w:tc>
        <w:tc>
          <w:tcPr>
            <w:tcW w:w="261" w:type="pct"/>
            <w:tcBorders>
              <w:tl2br w:val="nil"/>
              <w:tr2bl w:val="nil"/>
            </w:tcBorders>
            <w:vAlign w:val="center"/>
          </w:tcPr>
          <w:p w14:paraId="768F14B6">
            <w:pPr>
              <w:jc w:val="center"/>
              <w:rPr>
                <w:b w:val="0"/>
                <w:bCs w:val="0"/>
                <w:color w:val="auto"/>
                <w:sz w:val="21"/>
                <w:szCs w:val="21"/>
              </w:rPr>
            </w:pPr>
            <w:r>
              <w:rPr>
                <w:rFonts w:ascii="Times New Roman" w:hAnsi="Times New Roman" w:eastAsia="宋体" w:cs="Times New Roman"/>
                <w:b w:val="0"/>
                <w:bCs w:val="0"/>
                <w:color w:val="auto"/>
                <w:sz w:val="21"/>
                <w:szCs w:val="21"/>
              </w:rPr>
              <w:t>80</w:t>
            </w:r>
          </w:p>
        </w:tc>
        <w:tc>
          <w:tcPr>
            <w:tcW w:w="312" w:type="pct"/>
            <w:tcBorders>
              <w:tl2br w:val="nil"/>
              <w:tr2bl w:val="nil"/>
            </w:tcBorders>
            <w:vAlign w:val="center"/>
          </w:tcPr>
          <w:p w14:paraId="6A7A5A63">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17.64</w:t>
            </w:r>
          </w:p>
        </w:tc>
        <w:tc>
          <w:tcPr>
            <w:tcW w:w="271" w:type="pct"/>
            <w:tcBorders>
              <w:tl2br w:val="nil"/>
              <w:tr2bl w:val="nil"/>
            </w:tcBorders>
            <w:vAlign w:val="center"/>
          </w:tcPr>
          <w:p w14:paraId="0A76D5FC">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283" w:type="pct"/>
            <w:tcBorders>
              <w:tl2br w:val="nil"/>
              <w:tr2bl w:val="nil"/>
            </w:tcBorders>
            <w:vAlign w:val="center"/>
          </w:tcPr>
          <w:p w14:paraId="437ED4F6">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383" w:type="pct"/>
            <w:tcBorders>
              <w:tl2br w:val="nil"/>
              <w:tr2bl w:val="nil"/>
            </w:tcBorders>
            <w:vAlign w:val="center"/>
          </w:tcPr>
          <w:p w14:paraId="67B8D014">
            <w:pPr>
              <w:jc w:val="center"/>
              <w:rPr>
                <w:rFonts w:hint="default"/>
                <w:b w:val="0"/>
                <w:bCs w:val="0"/>
                <w:color w:val="auto"/>
                <w:sz w:val="21"/>
                <w:szCs w:val="21"/>
                <w:lang w:val="en-US" w:eastAsia="zh-CN"/>
              </w:rPr>
            </w:pPr>
            <w:r>
              <w:rPr>
                <w:rFonts w:hint="eastAsia"/>
                <w:b w:val="0"/>
                <w:bCs w:val="0"/>
                <w:color w:val="auto"/>
                <w:sz w:val="21"/>
                <w:szCs w:val="21"/>
                <w:lang w:val="en-US" w:eastAsia="zh-CN"/>
              </w:rPr>
              <w:t>0.048</w:t>
            </w:r>
          </w:p>
        </w:tc>
        <w:tc>
          <w:tcPr>
            <w:tcW w:w="288" w:type="pct"/>
            <w:tcBorders>
              <w:tl2br w:val="nil"/>
              <w:tr2bl w:val="nil"/>
            </w:tcBorders>
            <w:vAlign w:val="center"/>
          </w:tcPr>
          <w:p w14:paraId="4384E482">
            <w:pPr>
              <w:keepNext w:val="0"/>
              <w:keepLines w:val="0"/>
              <w:widowControl/>
              <w:suppressLineNumbers w:val="0"/>
              <w:spacing w:before="0" w:beforeAutospacing="0" w:after="0" w:afterAutospacing="0"/>
              <w:ind w:left="0" w:leftChars="0" w:right="0" w:rightChars="0"/>
              <w:jc w:val="center"/>
              <w:rPr>
                <w:rFonts w:hint="eastAsia"/>
                <w:b w:val="0"/>
                <w:bCs w:val="0"/>
                <w:color w:val="auto"/>
                <w:sz w:val="21"/>
                <w:szCs w:val="21"/>
                <w:lang w:val="en-US" w:eastAsia="zh-CN"/>
              </w:rPr>
            </w:pPr>
            <w:r>
              <w:rPr>
                <w:rFonts w:hint="default"/>
                <w:sz w:val="21"/>
                <w:szCs w:val="21"/>
              </w:rPr>
              <w:t>1318</w:t>
            </w:r>
          </w:p>
        </w:tc>
        <w:tc>
          <w:tcPr>
            <w:tcW w:w="328" w:type="pct"/>
            <w:tcBorders>
              <w:tl2br w:val="nil"/>
              <w:tr2bl w:val="nil"/>
            </w:tcBorders>
            <w:vAlign w:val="center"/>
          </w:tcPr>
          <w:p w14:paraId="2AF04727">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r>
      <w:tr w14:paraId="3D93C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76" w:type="pct"/>
            <w:tcBorders>
              <w:tl2br w:val="nil"/>
              <w:tr2bl w:val="nil"/>
            </w:tcBorders>
            <w:shd w:val="clear" w:color="auto" w:fill="auto"/>
            <w:vAlign w:val="center"/>
          </w:tcPr>
          <w:p w14:paraId="140A83AC">
            <w:pPr>
              <w:jc w:val="center"/>
              <w:rPr>
                <w:rFonts w:hint="eastAsia" w:ascii="Times New Roman" w:hAnsi="Times New Roman" w:eastAsia="宋体" w:cs="Times New Roman"/>
                <w:b w:val="0"/>
                <w:bCs w:val="0"/>
                <w:color w:val="auto"/>
                <w:sz w:val="21"/>
                <w:szCs w:val="21"/>
                <w:lang w:val="en-US" w:eastAsia="zh-CN" w:bidi="ar-SA"/>
              </w:rPr>
            </w:pPr>
            <w:r>
              <w:rPr>
                <w:rFonts w:hint="eastAsia"/>
                <w:b w:val="0"/>
                <w:bCs w:val="0"/>
                <w:color w:val="auto"/>
                <w:sz w:val="21"/>
                <w:szCs w:val="21"/>
                <w:lang w:val="en-US" w:eastAsia="zh-CN"/>
              </w:rPr>
              <w:t>不凝气风机排气筒6（DA031）</w:t>
            </w:r>
          </w:p>
        </w:tc>
        <w:tc>
          <w:tcPr>
            <w:tcW w:w="592" w:type="pct"/>
            <w:tcBorders>
              <w:tl2br w:val="nil"/>
              <w:tr2bl w:val="nil"/>
            </w:tcBorders>
            <w:vAlign w:val="center"/>
          </w:tcPr>
          <w:p w14:paraId="36BED0F6">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w:t>
            </w:r>
            <w:r>
              <w:rPr>
                <w:rFonts w:hint="eastAsia" w:ascii="Times New Roman" w:hAnsi="Times New Roman" w:eastAsia="宋体" w:cs="Times New Roman"/>
                <w:b w:val="0"/>
                <w:bCs w:val="0"/>
                <w:color w:val="auto"/>
                <w:sz w:val="21"/>
                <w:szCs w:val="21"/>
                <w:lang w:val="en-US" w:eastAsia="zh-CN"/>
              </w:rPr>
              <w:t>25.78</w:t>
            </w:r>
            <w:r>
              <w:rPr>
                <w:rFonts w:ascii="Times New Roman" w:hAnsi="Times New Roman" w:eastAsia="宋体" w:cs="Times New Roman"/>
                <w:b w:val="0"/>
                <w:bCs w:val="0"/>
                <w:color w:val="auto"/>
                <w:sz w:val="21"/>
                <w:szCs w:val="21"/>
              </w:rPr>
              <w:t>″</w:t>
            </w:r>
          </w:p>
        </w:tc>
        <w:tc>
          <w:tcPr>
            <w:tcW w:w="558" w:type="pct"/>
            <w:tcBorders>
              <w:tl2br w:val="nil"/>
              <w:tr2bl w:val="nil"/>
            </w:tcBorders>
            <w:vAlign w:val="center"/>
          </w:tcPr>
          <w:p w14:paraId="7C69721D">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48°12′4</w:t>
            </w:r>
            <w:r>
              <w:rPr>
                <w:rFonts w:hint="eastAsia" w:ascii="Times New Roman" w:hAnsi="Times New Roman" w:eastAsia="宋体" w:cs="Times New Roman"/>
                <w:b w:val="0"/>
                <w:bCs w:val="0"/>
                <w:color w:val="auto"/>
                <w:sz w:val="21"/>
                <w:szCs w:val="21"/>
                <w:lang w:val="en-US" w:eastAsia="zh-CN"/>
              </w:rPr>
              <w:t>8.60</w:t>
            </w:r>
            <w:r>
              <w:rPr>
                <w:rFonts w:ascii="Times New Roman" w:hAnsi="Times New Roman" w:eastAsia="宋体" w:cs="Times New Roman"/>
                <w:b w:val="0"/>
                <w:bCs w:val="0"/>
                <w:color w:val="auto"/>
                <w:sz w:val="21"/>
                <w:szCs w:val="21"/>
              </w:rPr>
              <w:t>″</w:t>
            </w:r>
          </w:p>
        </w:tc>
        <w:tc>
          <w:tcPr>
            <w:tcW w:w="412" w:type="pct"/>
            <w:tcBorders>
              <w:tl2br w:val="nil"/>
              <w:tr2bl w:val="nil"/>
            </w:tcBorders>
            <w:vAlign w:val="center"/>
          </w:tcPr>
          <w:p w14:paraId="44B9514A">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12AB58DF">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74891C3A">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0.5</w:t>
            </w:r>
          </w:p>
        </w:tc>
        <w:tc>
          <w:tcPr>
            <w:tcW w:w="261" w:type="pct"/>
            <w:tcBorders>
              <w:tl2br w:val="nil"/>
              <w:tr2bl w:val="nil"/>
            </w:tcBorders>
            <w:vAlign w:val="center"/>
          </w:tcPr>
          <w:p w14:paraId="6D4E3D90">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80</w:t>
            </w:r>
          </w:p>
        </w:tc>
        <w:tc>
          <w:tcPr>
            <w:tcW w:w="312" w:type="pct"/>
            <w:tcBorders>
              <w:tl2br w:val="nil"/>
              <w:tr2bl w:val="nil"/>
            </w:tcBorders>
            <w:vAlign w:val="center"/>
          </w:tcPr>
          <w:p w14:paraId="1927E734">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16.83</w:t>
            </w:r>
          </w:p>
        </w:tc>
        <w:tc>
          <w:tcPr>
            <w:tcW w:w="271" w:type="pct"/>
            <w:tcBorders>
              <w:tl2br w:val="nil"/>
              <w:tr2bl w:val="nil"/>
            </w:tcBorders>
            <w:vAlign w:val="center"/>
          </w:tcPr>
          <w:p w14:paraId="75C1A0C9">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283" w:type="pct"/>
            <w:tcBorders>
              <w:tl2br w:val="nil"/>
              <w:tr2bl w:val="nil"/>
            </w:tcBorders>
            <w:vAlign w:val="center"/>
          </w:tcPr>
          <w:p w14:paraId="12986FCB">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383" w:type="pct"/>
            <w:tcBorders>
              <w:tl2br w:val="nil"/>
              <w:tr2bl w:val="nil"/>
            </w:tcBorders>
            <w:vAlign w:val="center"/>
          </w:tcPr>
          <w:p w14:paraId="585CEED3">
            <w:pPr>
              <w:jc w:val="center"/>
              <w:rPr>
                <w:rFonts w:hint="default"/>
                <w:b w:val="0"/>
                <w:bCs w:val="0"/>
                <w:color w:val="auto"/>
                <w:sz w:val="21"/>
                <w:szCs w:val="21"/>
                <w:lang w:val="en-US" w:eastAsia="zh-CN"/>
              </w:rPr>
            </w:pPr>
            <w:r>
              <w:rPr>
                <w:rFonts w:hint="eastAsia"/>
                <w:b w:val="0"/>
                <w:bCs w:val="0"/>
                <w:color w:val="auto"/>
                <w:sz w:val="21"/>
                <w:szCs w:val="21"/>
                <w:lang w:val="en-US" w:eastAsia="zh-CN"/>
              </w:rPr>
              <w:t>0.045</w:t>
            </w:r>
          </w:p>
        </w:tc>
        <w:tc>
          <w:tcPr>
            <w:tcW w:w="288" w:type="pct"/>
            <w:tcBorders>
              <w:tl2br w:val="nil"/>
              <w:tr2bl w:val="nil"/>
            </w:tcBorders>
            <w:vAlign w:val="center"/>
          </w:tcPr>
          <w:p w14:paraId="5B3D53F6">
            <w:pPr>
              <w:keepNext w:val="0"/>
              <w:keepLines w:val="0"/>
              <w:widowControl/>
              <w:suppressLineNumbers w:val="0"/>
              <w:spacing w:before="0" w:beforeAutospacing="0" w:after="0" w:afterAutospacing="0"/>
              <w:ind w:left="0" w:leftChars="0" w:right="0" w:rightChars="0"/>
              <w:jc w:val="center"/>
              <w:rPr>
                <w:rFonts w:hint="eastAsia"/>
                <w:b w:val="0"/>
                <w:bCs w:val="0"/>
                <w:color w:val="auto"/>
                <w:sz w:val="21"/>
                <w:szCs w:val="21"/>
                <w:lang w:val="en-US" w:eastAsia="zh-CN"/>
              </w:rPr>
            </w:pPr>
            <w:r>
              <w:rPr>
                <w:rFonts w:hint="default"/>
                <w:sz w:val="21"/>
                <w:szCs w:val="21"/>
              </w:rPr>
              <w:t>1995</w:t>
            </w:r>
          </w:p>
        </w:tc>
        <w:tc>
          <w:tcPr>
            <w:tcW w:w="328" w:type="pct"/>
            <w:tcBorders>
              <w:tl2br w:val="nil"/>
              <w:tr2bl w:val="nil"/>
            </w:tcBorders>
            <w:vAlign w:val="center"/>
          </w:tcPr>
          <w:p w14:paraId="2B157ABF">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r>
      <w:tr w14:paraId="5DCAA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776" w:type="pct"/>
            <w:tcBorders>
              <w:tl2br w:val="nil"/>
              <w:tr2bl w:val="nil"/>
            </w:tcBorders>
            <w:shd w:val="clear" w:color="auto" w:fill="auto"/>
            <w:vAlign w:val="center"/>
          </w:tcPr>
          <w:p w14:paraId="4591F528">
            <w:pPr>
              <w:jc w:val="center"/>
              <w:rPr>
                <w:rFonts w:hint="default"/>
                <w:b w:val="0"/>
                <w:bCs w:val="0"/>
                <w:color w:val="auto"/>
                <w:sz w:val="21"/>
                <w:szCs w:val="21"/>
                <w:lang w:val="en-US" w:eastAsia="zh-CN"/>
              </w:rPr>
            </w:pPr>
            <w:r>
              <w:rPr>
                <w:rFonts w:hint="eastAsia"/>
                <w:b w:val="0"/>
                <w:bCs w:val="0"/>
                <w:color w:val="auto"/>
                <w:sz w:val="21"/>
                <w:szCs w:val="21"/>
                <w:lang w:val="en-US" w:eastAsia="zh-CN"/>
              </w:rPr>
              <w:t>冷却引风机A排气筒（DA012）</w:t>
            </w:r>
          </w:p>
        </w:tc>
        <w:tc>
          <w:tcPr>
            <w:tcW w:w="592" w:type="pct"/>
            <w:tcBorders>
              <w:tl2br w:val="nil"/>
              <w:tr2bl w:val="nil"/>
            </w:tcBorders>
            <w:vAlign w:val="center"/>
          </w:tcPr>
          <w:p w14:paraId="7CE21BFB">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124°36′29.45″</w:t>
            </w:r>
          </w:p>
        </w:tc>
        <w:tc>
          <w:tcPr>
            <w:tcW w:w="558" w:type="pct"/>
            <w:tcBorders>
              <w:tl2br w:val="nil"/>
              <w:tr2bl w:val="nil"/>
            </w:tcBorders>
            <w:vAlign w:val="center"/>
          </w:tcPr>
          <w:p w14:paraId="202B94D9">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48°12′48.64″</w:t>
            </w:r>
          </w:p>
        </w:tc>
        <w:tc>
          <w:tcPr>
            <w:tcW w:w="412" w:type="pct"/>
            <w:tcBorders>
              <w:tl2br w:val="nil"/>
              <w:tr2bl w:val="nil"/>
            </w:tcBorders>
            <w:vAlign w:val="center"/>
          </w:tcPr>
          <w:p w14:paraId="6FCB9A7F">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342FBFF6">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w:t>
            </w:r>
            <w:r>
              <w:rPr>
                <w:rFonts w:ascii="Times New Roman" w:hAnsi="Times New Roman" w:eastAsia="宋体" w:cs="Times New Roman"/>
                <w:b w:val="0"/>
                <w:bCs w:val="0"/>
                <w:color w:val="auto"/>
                <w:sz w:val="21"/>
                <w:szCs w:val="21"/>
              </w:rPr>
              <w:t>8</w:t>
            </w:r>
          </w:p>
        </w:tc>
        <w:tc>
          <w:tcPr>
            <w:tcW w:w="258" w:type="pct"/>
            <w:tcBorders>
              <w:tl2br w:val="nil"/>
              <w:tr2bl w:val="nil"/>
            </w:tcBorders>
            <w:vAlign w:val="center"/>
          </w:tcPr>
          <w:p w14:paraId="1154929A">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0.</w:t>
            </w:r>
            <w:r>
              <w:rPr>
                <w:rFonts w:ascii="Times New Roman" w:hAnsi="Times New Roman" w:eastAsia="宋体" w:cs="Times New Roman"/>
                <w:b w:val="0"/>
                <w:bCs w:val="0"/>
                <w:color w:val="auto"/>
                <w:sz w:val="21"/>
                <w:szCs w:val="21"/>
              </w:rPr>
              <w:t>608</w:t>
            </w:r>
          </w:p>
        </w:tc>
        <w:tc>
          <w:tcPr>
            <w:tcW w:w="261" w:type="pct"/>
            <w:tcBorders>
              <w:tl2br w:val="nil"/>
              <w:tr2bl w:val="nil"/>
            </w:tcBorders>
            <w:vAlign w:val="center"/>
          </w:tcPr>
          <w:p w14:paraId="3AC5323C">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4</w:t>
            </w:r>
            <w:r>
              <w:rPr>
                <w:rFonts w:ascii="Times New Roman" w:hAnsi="Times New Roman" w:eastAsia="宋体" w:cs="Times New Roman"/>
                <w:b w:val="0"/>
                <w:bCs w:val="0"/>
                <w:color w:val="auto"/>
                <w:sz w:val="21"/>
                <w:szCs w:val="21"/>
              </w:rPr>
              <w:t>0</w:t>
            </w:r>
          </w:p>
        </w:tc>
        <w:tc>
          <w:tcPr>
            <w:tcW w:w="312" w:type="pct"/>
            <w:tcBorders>
              <w:tl2br w:val="nil"/>
              <w:tr2bl w:val="nil"/>
            </w:tcBorders>
            <w:vAlign w:val="center"/>
          </w:tcPr>
          <w:p w14:paraId="51187145">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10.4</w:t>
            </w:r>
          </w:p>
        </w:tc>
        <w:tc>
          <w:tcPr>
            <w:tcW w:w="734" w:type="dxa"/>
            <w:tcBorders>
              <w:tl2br w:val="nil"/>
              <w:tr2bl w:val="nil"/>
            </w:tcBorders>
            <w:vAlign w:val="center"/>
          </w:tcPr>
          <w:p w14:paraId="4881678C">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764" w:type="dxa"/>
            <w:tcBorders>
              <w:tl2br w:val="nil"/>
              <w:tr2bl w:val="nil"/>
            </w:tcBorders>
            <w:vAlign w:val="center"/>
          </w:tcPr>
          <w:p w14:paraId="5271EA66">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1036" w:type="dxa"/>
            <w:tcBorders>
              <w:tl2br w:val="nil"/>
              <w:tr2bl w:val="nil"/>
            </w:tcBorders>
            <w:vAlign w:val="center"/>
          </w:tcPr>
          <w:p w14:paraId="555C0167">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vAlign w:val="center"/>
          </w:tcPr>
          <w:p w14:paraId="3FF95079">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vAlign w:val="center"/>
          </w:tcPr>
          <w:p w14:paraId="1B4A984B">
            <w:pPr>
              <w:jc w:val="center"/>
              <w:rPr>
                <w:rFonts w:hint="default"/>
                <w:b w:val="0"/>
                <w:bCs w:val="0"/>
                <w:color w:val="auto"/>
                <w:sz w:val="21"/>
                <w:szCs w:val="21"/>
                <w:lang w:val="en-US" w:eastAsia="zh-CN"/>
              </w:rPr>
            </w:pPr>
            <w:r>
              <w:rPr>
                <w:rFonts w:hint="eastAsia"/>
                <w:b w:val="0"/>
                <w:bCs w:val="0"/>
                <w:color w:val="auto"/>
                <w:sz w:val="21"/>
                <w:szCs w:val="21"/>
                <w:lang w:val="en-US" w:eastAsia="zh-CN"/>
              </w:rPr>
              <w:t>0.514</w:t>
            </w:r>
          </w:p>
        </w:tc>
      </w:tr>
      <w:tr w14:paraId="673A0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776" w:type="pct"/>
            <w:tcBorders>
              <w:tl2br w:val="nil"/>
              <w:tr2bl w:val="nil"/>
            </w:tcBorders>
            <w:shd w:val="clear" w:color="auto" w:fill="auto"/>
            <w:vAlign w:val="center"/>
          </w:tcPr>
          <w:p w14:paraId="3EBFDDC4">
            <w:pPr>
              <w:jc w:val="center"/>
              <w:rPr>
                <w:rFonts w:hint="eastAsia"/>
                <w:b w:val="0"/>
                <w:bCs w:val="0"/>
                <w:color w:val="auto"/>
                <w:sz w:val="21"/>
                <w:szCs w:val="21"/>
                <w:lang w:val="en-US" w:eastAsia="zh-CN"/>
              </w:rPr>
            </w:pPr>
            <w:r>
              <w:rPr>
                <w:rFonts w:hint="eastAsia"/>
                <w:b w:val="0"/>
                <w:bCs w:val="0"/>
                <w:color w:val="auto"/>
                <w:sz w:val="21"/>
                <w:szCs w:val="21"/>
                <w:lang w:val="en-US" w:eastAsia="zh-CN"/>
              </w:rPr>
              <w:t>冷却引风机B排气筒（DA033）</w:t>
            </w:r>
          </w:p>
        </w:tc>
        <w:tc>
          <w:tcPr>
            <w:tcW w:w="592" w:type="pct"/>
            <w:tcBorders>
              <w:tl2br w:val="nil"/>
              <w:tr2bl w:val="nil"/>
            </w:tcBorders>
            <w:vAlign w:val="center"/>
          </w:tcPr>
          <w:p w14:paraId="3E2042B3">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124°36′29.</w:t>
            </w:r>
            <w:r>
              <w:rPr>
                <w:rFonts w:hint="eastAsia" w:ascii="Times New Roman" w:hAnsi="Times New Roman" w:eastAsia="宋体" w:cs="Times New Roman"/>
                <w:b w:val="0"/>
                <w:bCs w:val="0"/>
                <w:color w:val="auto"/>
                <w:sz w:val="21"/>
                <w:szCs w:val="21"/>
                <w:lang w:val="en-US" w:eastAsia="zh-CN"/>
              </w:rPr>
              <w:t>02</w:t>
            </w:r>
            <w:r>
              <w:rPr>
                <w:rFonts w:ascii="Times New Roman" w:hAnsi="Times New Roman" w:eastAsia="宋体" w:cs="Times New Roman"/>
                <w:b w:val="0"/>
                <w:bCs w:val="0"/>
                <w:color w:val="auto"/>
                <w:sz w:val="21"/>
                <w:szCs w:val="21"/>
              </w:rPr>
              <w:t>″</w:t>
            </w:r>
          </w:p>
        </w:tc>
        <w:tc>
          <w:tcPr>
            <w:tcW w:w="558" w:type="pct"/>
            <w:tcBorders>
              <w:tl2br w:val="nil"/>
              <w:tr2bl w:val="nil"/>
            </w:tcBorders>
            <w:vAlign w:val="center"/>
          </w:tcPr>
          <w:p w14:paraId="641FF19D">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48°12′48.</w:t>
            </w:r>
            <w:r>
              <w:rPr>
                <w:rFonts w:hint="eastAsia" w:ascii="Times New Roman" w:hAnsi="Times New Roman" w:eastAsia="宋体" w:cs="Times New Roman"/>
                <w:b w:val="0"/>
                <w:bCs w:val="0"/>
                <w:color w:val="auto"/>
                <w:sz w:val="21"/>
                <w:szCs w:val="21"/>
                <w:lang w:val="en-US" w:eastAsia="zh-CN"/>
              </w:rPr>
              <w:t>17</w:t>
            </w:r>
            <w:r>
              <w:rPr>
                <w:rFonts w:ascii="Times New Roman" w:hAnsi="Times New Roman" w:eastAsia="宋体" w:cs="Times New Roman"/>
                <w:b w:val="0"/>
                <w:bCs w:val="0"/>
                <w:color w:val="auto"/>
                <w:sz w:val="21"/>
                <w:szCs w:val="21"/>
              </w:rPr>
              <w:t>″</w:t>
            </w:r>
          </w:p>
        </w:tc>
        <w:tc>
          <w:tcPr>
            <w:tcW w:w="412" w:type="pct"/>
            <w:tcBorders>
              <w:tl2br w:val="nil"/>
              <w:tr2bl w:val="nil"/>
            </w:tcBorders>
            <w:vAlign w:val="center"/>
          </w:tcPr>
          <w:p w14:paraId="37E4EE6E">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1A42B71F">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37CE45A1">
            <w:pPr>
              <w:jc w:val="center"/>
              <w:rPr>
                <w:rFonts w:hint="default" w:ascii="Times New Roman" w:hAnsi="Times New Roman" w:eastAsia="宋体" w:cs="Times New Roman"/>
                <w:b w:val="0"/>
                <w:bCs w:val="0"/>
                <w:color w:val="auto"/>
                <w:sz w:val="21"/>
                <w:szCs w:val="21"/>
                <w:lang w:val="en-US"/>
              </w:rPr>
            </w:pPr>
            <w:r>
              <w:rPr>
                <w:rFonts w:hint="eastAsia" w:ascii="Times New Roman" w:hAnsi="Times New Roman" w:eastAsia="宋体" w:cs="Times New Roman"/>
                <w:b w:val="0"/>
                <w:bCs w:val="0"/>
                <w:color w:val="auto"/>
                <w:sz w:val="21"/>
                <w:szCs w:val="21"/>
                <w:lang w:val="en-US" w:eastAsia="zh-CN"/>
              </w:rPr>
              <w:t>0.608</w:t>
            </w:r>
          </w:p>
        </w:tc>
        <w:tc>
          <w:tcPr>
            <w:tcW w:w="261" w:type="pct"/>
            <w:tcBorders>
              <w:tl2br w:val="nil"/>
              <w:tr2bl w:val="nil"/>
            </w:tcBorders>
            <w:vAlign w:val="center"/>
          </w:tcPr>
          <w:p w14:paraId="29816C3B">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4</w:t>
            </w:r>
            <w:r>
              <w:rPr>
                <w:rFonts w:ascii="Times New Roman" w:hAnsi="Times New Roman" w:eastAsia="宋体" w:cs="Times New Roman"/>
                <w:b w:val="0"/>
                <w:bCs w:val="0"/>
                <w:color w:val="auto"/>
                <w:sz w:val="21"/>
                <w:szCs w:val="21"/>
              </w:rPr>
              <w:t>0</w:t>
            </w:r>
          </w:p>
        </w:tc>
        <w:tc>
          <w:tcPr>
            <w:tcW w:w="844" w:type="dxa"/>
            <w:tcBorders>
              <w:tl2br w:val="nil"/>
              <w:tr2bl w:val="nil"/>
            </w:tcBorders>
            <w:vAlign w:val="center"/>
          </w:tcPr>
          <w:p w14:paraId="3D85F267">
            <w:pPr>
              <w:jc w:val="center"/>
              <w:rPr>
                <w:b w:val="0"/>
                <w:bCs w:val="0"/>
                <w:color w:val="auto"/>
                <w:sz w:val="21"/>
                <w:szCs w:val="21"/>
              </w:rPr>
            </w:pPr>
            <w:r>
              <w:rPr>
                <w:rFonts w:hint="eastAsia"/>
                <w:b w:val="0"/>
                <w:bCs w:val="0"/>
                <w:color w:val="auto"/>
                <w:sz w:val="21"/>
                <w:szCs w:val="21"/>
                <w:lang w:val="en-US" w:eastAsia="zh-CN"/>
              </w:rPr>
              <w:t>21.56</w:t>
            </w:r>
          </w:p>
        </w:tc>
        <w:tc>
          <w:tcPr>
            <w:tcW w:w="734" w:type="dxa"/>
            <w:tcBorders>
              <w:tl2br w:val="nil"/>
              <w:tr2bl w:val="nil"/>
            </w:tcBorders>
            <w:vAlign w:val="center"/>
          </w:tcPr>
          <w:p w14:paraId="2255601C">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764" w:type="dxa"/>
            <w:tcBorders>
              <w:tl2br w:val="nil"/>
              <w:tr2bl w:val="nil"/>
            </w:tcBorders>
            <w:vAlign w:val="center"/>
          </w:tcPr>
          <w:p w14:paraId="57D21A60">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1036" w:type="dxa"/>
            <w:tcBorders>
              <w:tl2br w:val="nil"/>
              <w:tr2bl w:val="nil"/>
            </w:tcBorders>
            <w:vAlign w:val="center"/>
          </w:tcPr>
          <w:p w14:paraId="7294404C">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vAlign w:val="center"/>
          </w:tcPr>
          <w:p w14:paraId="2D6A3D00">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vAlign w:val="center"/>
          </w:tcPr>
          <w:p w14:paraId="69B5E53A">
            <w:pPr>
              <w:jc w:val="center"/>
              <w:rPr>
                <w:rFonts w:hint="default"/>
                <w:b w:val="0"/>
                <w:bCs w:val="0"/>
                <w:color w:val="auto"/>
                <w:sz w:val="21"/>
                <w:szCs w:val="21"/>
                <w:lang w:val="en-US" w:eastAsia="zh-CN"/>
              </w:rPr>
            </w:pPr>
            <w:r>
              <w:rPr>
                <w:rFonts w:hint="eastAsia"/>
                <w:b w:val="0"/>
                <w:bCs w:val="0"/>
                <w:color w:val="auto"/>
                <w:sz w:val="21"/>
                <w:szCs w:val="21"/>
                <w:lang w:val="en-US" w:eastAsia="zh-CN"/>
              </w:rPr>
              <w:t>0.771</w:t>
            </w:r>
          </w:p>
        </w:tc>
      </w:tr>
      <w:tr w14:paraId="0BC8C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76" w:type="pct"/>
            <w:tcBorders>
              <w:tl2br w:val="nil"/>
              <w:tr2bl w:val="nil"/>
            </w:tcBorders>
            <w:shd w:val="clear" w:color="auto" w:fill="auto"/>
            <w:vAlign w:val="center"/>
          </w:tcPr>
          <w:p w14:paraId="608A8D50">
            <w:pPr>
              <w:jc w:val="center"/>
              <w:rPr>
                <w:rFonts w:hint="eastAsia"/>
                <w:b w:val="0"/>
                <w:bCs w:val="0"/>
                <w:color w:val="auto"/>
                <w:sz w:val="21"/>
                <w:szCs w:val="21"/>
                <w:lang w:val="en-US" w:eastAsia="zh-CN"/>
              </w:rPr>
            </w:pPr>
            <w:r>
              <w:rPr>
                <w:rFonts w:hint="eastAsia"/>
                <w:b w:val="0"/>
                <w:bCs w:val="0"/>
                <w:color w:val="auto"/>
                <w:sz w:val="21"/>
                <w:szCs w:val="21"/>
                <w:lang w:val="en-US" w:eastAsia="zh-CN"/>
              </w:rPr>
              <w:t>冷却引风机C排气筒（DA034）</w:t>
            </w:r>
          </w:p>
        </w:tc>
        <w:tc>
          <w:tcPr>
            <w:tcW w:w="592" w:type="pct"/>
            <w:tcBorders>
              <w:tl2br w:val="nil"/>
              <w:tr2bl w:val="nil"/>
            </w:tcBorders>
            <w:vAlign w:val="center"/>
          </w:tcPr>
          <w:p w14:paraId="6ECBF1F0">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124°36′2</w:t>
            </w:r>
            <w:r>
              <w:rPr>
                <w:rFonts w:hint="eastAsia" w:ascii="Times New Roman" w:hAnsi="Times New Roman" w:eastAsia="宋体" w:cs="Times New Roman"/>
                <w:b w:val="0"/>
                <w:bCs w:val="0"/>
                <w:color w:val="auto"/>
                <w:sz w:val="21"/>
                <w:szCs w:val="21"/>
                <w:lang w:val="en-US" w:eastAsia="zh-CN"/>
              </w:rPr>
              <w:t>8.94</w:t>
            </w:r>
            <w:r>
              <w:rPr>
                <w:rFonts w:ascii="Times New Roman" w:hAnsi="Times New Roman" w:eastAsia="宋体" w:cs="Times New Roman"/>
                <w:b w:val="0"/>
                <w:bCs w:val="0"/>
                <w:color w:val="auto"/>
                <w:sz w:val="21"/>
                <w:szCs w:val="21"/>
              </w:rPr>
              <w:t>″</w:t>
            </w:r>
          </w:p>
        </w:tc>
        <w:tc>
          <w:tcPr>
            <w:tcW w:w="558" w:type="pct"/>
            <w:tcBorders>
              <w:tl2br w:val="nil"/>
              <w:tr2bl w:val="nil"/>
            </w:tcBorders>
            <w:vAlign w:val="center"/>
          </w:tcPr>
          <w:p w14:paraId="095B514F">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48°12′4</w:t>
            </w:r>
            <w:r>
              <w:rPr>
                <w:rFonts w:hint="eastAsia" w:ascii="Times New Roman" w:hAnsi="Times New Roman" w:eastAsia="宋体" w:cs="Times New Roman"/>
                <w:b w:val="0"/>
                <w:bCs w:val="0"/>
                <w:color w:val="auto"/>
                <w:sz w:val="21"/>
                <w:szCs w:val="21"/>
                <w:lang w:val="en-US" w:eastAsia="zh-CN"/>
              </w:rPr>
              <w:t>9.39</w:t>
            </w:r>
            <w:r>
              <w:rPr>
                <w:rFonts w:ascii="Times New Roman" w:hAnsi="Times New Roman" w:eastAsia="宋体" w:cs="Times New Roman"/>
                <w:b w:val="0"/>
                <w:bCs w:val="0"/>
                <w:color w:val="auto"/>
                <w:sz w:val="21"/>
                <w:szCs w:val="21"/>
              </w:rPr>
              <w:t>″</w:t>
            </w:r>
          </w:p>
        </w:tc>
        <w:tc>
          <w:tcPr>
            <w:tcW w:w="412" w:type="pct"/>
            <w:tcBorders>
              <w:tl2br w:val="nil"/>
              <w:tr2bl w:val="nil"/>
            </w:tcBorders>
            <w:vAlign w:val="center"/>
          </w:tcPr>
          <w:p w14:paraId="69EF2F76">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38B3626C">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45EDC5DC">
            <w:pPr>
              <w:jc w:val="center"/>
              <w:rPr>
                <w:rFonts w:hint="default" w:ascii="Times New Roman" w:hAnsi="Times New Roman" w:eastAsia="宋体" w:cs="Times New Roman"/>
                <w:b w:val="0"/>
                <w:bCs w:val="0"/>
                <w:color w:val="auto"/>
                <w:sz w:val="21"/>
                <w:szCs w:val="21"/>
                <w:lang w:val="en-US"/>
              </w:rPr>
            </w:pPr>
            <w:r>
              <w:rPr>
                <w:rFonts w:hint="eastAsia" w:ascii="Times New Roman" w:hAnsi="Times New Roman" w:eastAsia="宋体" w:cs="Times New Roman"/>
                <w:b w:val="0"/>
                <w:bCs w:val="0"/>
                <w:color w:val="auto"/>
                <w:sz w:val="21"/>
                <w:szCs w:val="21"/>
                <w:lang w:val="en-US" w:eastAsia="zh-CN"/>
              </w:rPr>
              <w:t>0.608</w:t>
            </w:r>
          </w:p>
        </w:tc>
        <w:tc>
          <w:tcPr>
            <w:tcW w:w="261" w:type="pct"/>
            <w:tcBorders>
              <w:tl2br w:val="nil"/>
              <w:tr2bl w:val="nil"/>
            </w:tcBorders>
            <w:vAlign w:val="center"/>
          </w:tcPr>
          <w:p w14:paraId="37A01F97">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4</w:t>
            </w:r>
            <w:r>
              <w:rPr>
                <w:rFonts w:ascii="Times New Roman" w:hAnsi="Times New Roman" w:eastAsia="宋体" w:cs="Times New Roman"/>
                <w:b w:val="0"/>
                <w:bCs w:val="0"/>
                <w:color w:val="auto"/>
                <w:sz w:val="21"/>
                <w:szCs w:val="21"/>
              </w:rPr>
              <w:t>0</w:t>
            </w:r>
          </w:p>
        </w:tc>
        <w:tc>
          <w:tcPr>
            <w:tcW w:w="844" w:type="dxa"/>
            <w:tcBorders>
              <w:tl2br w:val="nil"/>
              <w:tr2bl w:val="nil"/>
            </w:tcBorders>
            <w:vAlign w:val="center"/>
          </w:tcPr>
          <w:p w14:paraId="425E4C32">
            <w:pPr>
              <w:jc w:val="center"/>
              <w:rPr>
                <w:rFonts w:hint="default"/>
                <w:b w:val="0"/>
                <w:bCs w:val="0"/>
                <w:color w:val="auto"/>
                <w:sz w:val="21"/>
                <w:szCs w:val="21"/>
                <w:lang w:val="en-US"/>
              </w:rPr>
            </w:pPr>
            <w:r>
              <w:rPr>
                <w:rFonts w:hint="eastAsia"/>
                <w:b w:val="0"/>
                <w:bCs w:val="0"/>
                <w:color w:val="auto"/>
                <w:sz w:val="21"/>
                <w:szCs w:val="21"/>
                <w:lang w:val="en-US" w:eastAsia="zh-CN"/>
              </w:rPr>
              <w:t>12.8</w:t>
            </w:r>
          </w:p>
        </w:tc>
        <w:tc>
          <w:tcPr>
            <w:tcW w:w="734" w:type="dxa"/>
            <w:tcBorders>
              <w:tl2br w:val="nil"/>
              <w:tr2bl w:val="nil"/>
            </w:tcBorders>
            <w:vAlign w:val="center"/>
          </w:tcPr>
          <w:p w14:paraId="5C1EAA5A">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764" w:type="dxa"/>
            <w:tcBorders>
              <w:tl2br w:val="nil"/>
              <w:tr2bl w:val="nil"/>
            </w:tcBorders>
            <w:vAlign w:val="center"/>
          </w:tcPr>
          <w:p w14:paraId="12A2E68C">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1036" w:type="dxa"/>
            <w:tcBorders>
              <w:tl2br w:val="nil"/>
              <w:tr2bl w:val="nil"/>
            </w:tcBorders>
            <w:vAlign w:val="center"/>
          </w:tcPr>
          <w:p w14:paraId="1BFC426F">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vAlign w:val="center"/>
          </w:tcPr>
          <w:p w14:paraId="0C8A8A85">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vAlign w:val="center"/>
          </w:tcPr>
          <w:p w14:paraId="31988700">
            <w:pPr>
              <w:jc w:val="center"/>
              <w:rPr>
                <w:rFonts w:hint="default"/>
                <w:b w:val="0"/>
                <w:bCs w:val="0"/>
                <w:color w:val="auto"/>
                <w:sz w:val="21"/>
                <w:szCs w:val="21"/>
                <w:lang w:val="en-US" w:eastAsia="zh-CN"/>
              </w:rPr>
            </w:pPr>
            <w:r>
              <w:rPr>
                <w:rFonts w:hint="eastAsia"/>
                <w:b w:val="0"/>
                <w:bCs w:val="0"/>
                <w:color w:val="auto"/>
                <w:sz w:val="21"/>
                <w:szCs w:val="21"/>
                <w:lang w:val="en-US" w:eastAsia="zh-CN"/>
              </w:rPr>
              <w:t>0.624</w:t>
            </w:r>
          </w:p>
        </w:tc>
      </w:tr>
      <w:tr w14:paraId="67E7E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776" w:type="pct"/>
            <w:tcBorders>
              <w:tl2br w:val="nil"/>
              <w:tr2bl w:val="nil"/>
            </w:tcBorders>
            <w:shd w:val="clear" w:color="auto" w:fill="auto"/>
            <w:vAlign w:val="center"/>
          </w:tcPr>
          <w:p w14:paraId="63DC7C76">
            <w:pPr>
              <w:jc w:val="center"/>
              <w:rPr>
                <w:rFonts w:hint="eastAsia"/>
                <w:b w:val="0"/>
                <w:bCs w:val="0"/>
                <w:color w:val="auto"/>
                <w:sz w:val="21"/>
                <w:szCs w:val="21"/>
                <w:lang w:val="en-US" w:eastAsia="zh-CN"/>
              </w:rPr>
            </w:pPr>
            <w:r>
              <w:rPr>
                <w:rFonts w:hint="eastAsia"/>
                <w:b w:val="0"/>
                <w:bCs w:val="0"/>
                <w:color w:val="auto"/>
                <w:sz w:val="21"/>
                <w:szCs w:val="21"/>
                <w:lang w:val="en-US" w:eastAsia="zh-CN"/>
              </w:rPr>
              <w:t>冷却引风机D排气筒（DA036）</w:t>
            </w:r>
          </w:p>
        </w:tc>
        <w:tc>
          <w:tcPr>
            <w:tcW w:w="592" w:type="pct"/>
            <w:tcBorders>
              <w:tl2br w:val="nil"/>
              <w:tr2bl w:val="nil"/>
            </w:tcBorders>
            <w:vAlign w:val="center"/>
          </w:tcPr>
          <w:p w14:paraId="673AFCA8">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w:t>
            </w:r>
            <w:r>
              <w:rPr>
                <w:rFonts w:hint="eastAsia" w:ascii="Times New Roman" w:hAnsi="Times New Roman" w:eastAsia="宋体" w:cs="Times New Roman"/>
                <w:b w:val="0"/>
                <w:bCs w:val="0"/>
                <w:color w:val="auto"/>
                <w:sz w:val="21"/>
                <w:szCs w:val="21"/>
                <w:lang w:val="en-US" w:eastAsia="zh-CN"/>
              </w:rPr>
              <w:t>29.48</w:t>
            </w:r>
            <w:r>
              <w:rPr>
                <w:rFonts w:ascii="Times New Roman" w:hAnsi="Times New Roman" w:eastAsia="宋体" w:cs="Times New Roman"/>
                <w:b w:val="0"/>
                <w:bCs w:val="0"/>
                <w:color w:val="auto"/>
                <w:sz w:val="21"/>
                <w:szCs w:val="21"/>
              </w:rPr>
              <w:t>″</w:t>
            </w:r>
          </w:p>
        </w:tc>
        <w:tc>
          <w:tcPr>
            <w:tcW w:w="558" w:type="pct"/>
            <w:tcBorders>
              <w:tl2br w:val="nil"/>
              <w:tr2bl w:val="nil"/>
            </w:tcBorders>
            <w:vAlign w:val="center"/>
          </w:tcPr>
          <w:p w14:paraId="7C80282F">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48°12′4</w:t>
            </w:r>
            <w:r>
              <w:rPr>
                <w:rFonts w:hint="eastAsia" w:ascii="Times New Roman" w:hAnsi="Times New Roman" w:eastAsia="宋体" w:cs="Times New Roman"/>
                <w:b w:val="0"/>
                <w:bCs w:val="0"/>
                <w:color w:val="auto"/>
                <w:sz w:val="21"/>
                <w:szCs w:val="21"/>
                <w:lang w:val="en-US" w:eastAsia="zh-CN"/>
              </w:rPr>
              <w:t>9.43</w:t>
            </w:r>
            <w:r>
              <w:rPr>
                <w:rFonts w:ascii="Times New Roman" w:hAnsi="Times New Roman" w:eastAsia="宋体" w:cs="Times New Roman"/>
                <w:b w:val="0"/>
                <w:bCs w:val="0"/>
                <w:color w:val="auto"/>
                <w:sz w:val="21"/>
                <w:szCs w:val="21"/>
              </w:rPr>
              <w:t>″</w:t>
            </w:r>
          </w:p>
        </w:tc>
        <w:tc>
          <w:tcPr>
            <w:tcW w:w="412" w:type="pct"/>
            <w:tcBorders>
              <w:tl2br w:val="nil"/>
              <w:tr2bl w:val="nil"/>
            </w:tcBorders>
            <w:vAlign w:val="center"/>
          </w:tcPr>
          <w:p w14:paraId="34343D68">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7E5B4747">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18C31CFB">
            <w:pPr>
              <w:jc w:val="center"/>
              <w:rPr>
                <w:rFonts w:hint="default" w:ascii="Times New Roman" w:hAnsi="Times New Roman" w:eastAsia="宋体" w:cs="Times New Roman"/>
                <w:b w:val="0"/>
                <w:bCs w:val="0"/>
                <w:color w:val="auto"/>
                <w:sz w:val="21"/>
                <w:szCs w:val="21"/>
                <w:lang w:val="en-US"/>
              </w:rPr>
            </w:pPr>
            <w:r>
              <w:rPr>
                <w:rFonts w:hint="eastAsia" w:ascii="Times New Roman" w:hAnsi="Times New Roman" w:eastAsia="宋体" w:cs="Times New Roman"/>
                <w:b w:val="0"/>
                <w:bCs w:val="0"/>
                <w:color w:val="auto"/>
                <w:sz w:val="21"/>
                <w:szCs w:val="21"/>
                <w:lang w:val="en-US" w:eastAsia="zh-CN"/>
              </w:rPr>
              <w:t>0.608</w:t>
            </w:r>
          </w:p>
        </w:tc>
        <w:tc>
          <w:tcPr>
            <w:tcW w:w="261" w:type="pct"/>
            <w:tcBorders>
              <w:tl2br w:val="nil"/>
              <w:tr2bl w:val="nil"/>
            </w:tcBorders>
            <w:vAlign w:val="center"/>
          </w:tcPr>
          <w:p w14:paraId="2C347817">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4</w:t>
            </w:r>
            <w:r>
              <w:rPr>
                <w:rFonts w:ascii="Times New Roman" w:hAnsi="Times New Roman" w:eastAsia="宋体" w:cs="Times New Roman"/>
                <w:b w:val="0"/>
                <w:bCs w:val="0"/>
                <w:color w:val="auto"/>
                <w:sz w:val="21"/>
                <w:szCs w:val="21"/>
              </w:rPr>
              <w:t>0</w:t>
            </w:r>
          </w:p>
        </w:tc>
        <w:tc>
          <w:tcPr>
            <w:tcW w:w="844" w:type="dxa"/>
            <w:tcBorders>
              <w:tl2br w:val="nil"/>
              <w:tr2bl w:val="nil"/>
            </w:tcBorders>
            <w:vAlign w:val="center"/>
          </w:tcPr>
          <w:p w14:paraId="56182CE5">
            <w:pPr>
              <w:jc w:val="center"/>
              <w:rPr>
                <w:rFonts w:hint="default"/>
                <w:b w:val="0"/>
                <w:bCs w:val="0"/>
                <w:color w:val="auto"/>
                <w:sz w:val="21"/>
                <w:szCs w:val="21"/>
                <w:lang w:val="en-US"/>
              </w:rPr>
            </w:pPr>
            <w:r>
              <w:rPr>
                <w:rFonts w:hint="eastAsia"/>
                <w:b w:val="0"/>
                <w:bCs w:val="0"/>
                <w:color w:val="auto"/>
                <w:sz w:val="21"/>
                <w:szCs w:val="21"/>
                <w:lang w:val="en-US" w:eastAsia="zh-CN"/>
              </w:rPr>
              <w:t>12.9</w:t>
            </w:r>
          </w:p>
        </w:tc>
        <w:tc>
          <w:tcPr>
            <w:tcW w:w="734" w:type="dxa"/>
            <w:tcBorders>
              <w:tl2br w:val="nil"/>
              <w:tr2bl w:val="nil"/>
            </w:tcBorders>
            <w:vAlign w:val="center"/>
          </w:tcPr>
          <w:p w14:paraId="2EDAB379">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764" w:type="dxa"/>
            <w:tcBorders>
              <w:tl2br w:val="nil"/>
              <w:tr2bl w:val="nil"/>
            </w:tcBorders>
            <w:vAlign w:val="center"/>
          </w:tcPr>
          <w:p w14:paraId="2C700DA2">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1036" w:type="dxa"/>
            <w:tcBorders>
              <w:tl2br w:val="nil"/>
              <w:tr2bl w:val="nil"/>
            </w:tcBorders>
            <w:vAlign w:val="center"/>
          </w:tcPr>
          <w:p w14:paraId="66E5EE8C">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vAlign w:val="center"/>
          </w:tcPr>
          <w:p w14:paraId="4AEE6110">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vAlign w:val="center"/>
          </w:tcPr>
          <w:p w14:paraId="27C21A9E">
            <w:pPr>
              <w:jc w:val="center"/>
              <w:rPr>
                <w:rFonts w:hint="default"/>
                <w:b w:val="0"/>
                <w:bCs w:val="0"/>
                <w:color w:val="auto"/>
                <w:sz w:val="21"/>
                <w:szCs w:val="21"/>
                <w:lang w:val="en-US" w:eastAsia="zh-CN"/>
              </w:rPr>
            </w:pPr>
            <w:r>
              <w:rPr>
                <w:rFonts w:hint="eastAsia"/>
                <w:b w:val="0"/>
                <w:bCs w:val="0"/>
                <w:color w:val="auto"/>
                <w:sz w:val="21"/>
                <w:szCs w:val="21"/>
                <w:lang w:val="en-US" w:eastAsia="zh-CN"/>
              </w:rPr>
              <w:t>0.636</w:t>
            </w:r>
          </w:p>
        </w:tc>
      </w:tr>
      <w:tr w14:paraId="35459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776" w:type="pct"/>
            <w:tcBorders>
              <w:tl2br w:val="nil"/>
              <w:tr2bl w:val="nil"/>
            </w:tcBorders>
            <w:shd w:val="clear" w:color="auto" w:fill="auto"/>
            <w:vAlign w:val="center"/>
          </w:tcPr>
          <w:p w14:paraId="4A124A66">
            <w:pPr>
              <w:jc w:val="center"/>
              <w:rPr>
                <w:rFonts w:hint="eastAsia"/>
                <w:b w:val="0"/>
                <w:bCs w:val="0"/>
                <w:color w:val="auto"/>
                <w:sz w:val="21"/>
                <w:szCs w:val="21"/>
                <w:lang w:val="en-US" w:eastAsia="zh-CN"/>
              </w:rPr>
            </w:pPr>
            <w:r>
              <w:rPr>
                <w:rFonts w:hint="eastAsia"/>
                <w:b w:val="0"/>
                <w:bCs w:val="0"/>
                <w:color w:val="auto"/>
                <w:sz w:val="21"/>
                <w:szCs w:val="21"/>
                <w:lang w:val="en-US" w:eastAsia="zh-CN"/>
              </w:rPr>
              <w:t>冷却引风机E排气筒（DA037）</w:t>
            </w:r>
          </w:p>
        </w:tc>
        <w:tc>
          <w:tcPr>
            <w:tcW w:w="592" w:type="pct"/>
            <w:tcBorders>
              <w:tl2br w:val="nil"/>
              <w:tr2bl w:val="nil"/>
            </w:tcBorders>
            <w:vAlign w:val="center"/>
          </w:tcPr>
          <w:p w14:paraId="0650A1A2">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w:t>
            </w:r>
            <w:r>
              <w:rPr>
                <w:rFonts w:hint="eastAsia" w:ascii="Times New Roman" w:hAnsi="Times New Roman" w:eastAsia="宋体" w:cs="Times New Roman"/>
                <w:b w:val="0"/>
                <w:bCs w:val="0"/>
                <w:color w:val="auto"/>
                <w:sz w:val="21"/>
                <w:szCs w:val="21"/>
                <w:lang w:val="en-US" w:eastAsia="zh-CN"/>
              </w:rPr>
              <w:t>26.89</w:t>
            </w:r>
            <w:r>
              <w:rPr>
                <w:rFonts w:ascii="Times New Roman" w:hAnsi="Times New Roman" w:eastAsia="宋体" w:cs="Times New Roman"/>
                <w:b w:val="0"/>
                <w:bCs w:val="0"/>
                <w:color w:val="auto"/>
                <w:sz w:val="21"/>
                <w:szCs w:val="21"/>
              </w:rPr>
              <w:t>″</w:t>
            </w:r>
          </w:p>
        </w:tc>
        <w:tc>
          <w:tcPr>
            <w:tcW w:w="558" w:type="pct"/>
            <w:tcBorders>
              <w:tl2br w:val="nil"/>
              <w:tr2bl w:val="nil"/>
            </w:tcBorders>
            <w:vAlign w:val="center"/>
          </w:tcPr>
          <w:p w14:paraId="449DF46B">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w:t>
            </w:r>
            <w:r>
              <w:rPr>
                <w:rFonts w:hint="eastAsia" w:ascii="Times New Roman" w:hAnsi="Times New Roman" w:eastAsia="宋体" w:cs="Times New Roman"/>
                <w:b w:val="0"/>
                <w:bCs w:val="0"/>
                <w:color w:val="auto"/>
                <w:sz w:val="21"/>
                <w:szCs w:val="21"/>
                <w:lang w:val="en-US" w:eastAsia="zh-CN"/>
              </w:rPr>
              <w:t>50.72</w:t>
            </w:r>
            <w:r>
              <w:rPr>
                <w:rFonts w:ascii="Times New Roman" w:hAnsi="Times New Roman" w:eastAsia="宋体" w:cs="Times New Roman"/>
                <w:b w:val="0"/>
                <w:bCs w:val="0"/>
                <w:color w:val="auto"/>
                <w:sz w:val="21"/>
                <w:szCs w:val="21"/>
              </w:rPr>
              <w:t>″</w:t>
            </w:r>
          </w:p>
        </w:tc>
        <w:tc>
          <w:tcPr>
            <w:tcW w:w="412" w:type="pct"/>
            <w:tcBorders>
              <w:tl2br w:val="nil"/>
              <w:tr2bl w:val="nil"/>
            </w:tcBorders>
            <w:vAlign w:val="center"/>
          </w:tcPr>
          <w:p w14:paraId="709FB6BE">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45D17EA5">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473CDC33">
            <w:pPr>
              <w:jc w:val="center"/>
              <w:rPr>
                <w:rFonts w:hint="default" w:ascii="Times New Roman" w:hAnsi="Times New Roman" w:eastAsia="宋体" w:cs="Times New Roman"/>
                <w:b w:val="0"/>
                <w:bCs w:val="0"/>
                <w:color w:val="auto"/>
                <w:sz w:val="21"/>
                <w:szCs w:val="21"/>
                <w:lang w:val="en-US"/>
              </w:rPr>
            </w:pPr>
            <w:r>
              <w:rPr>
                <w:rFonts w:hint="eastAsia" w:ascii="Times New Roman" w:hAnsi="Times New Roman" w:eastAsia="宋体" w:cs="Times New Roman"/>
                <w:b w:val="0"/>
                <w:bCs w:val="0"/>
                <w:color w:val="auto"/>
                <w:sz w:val="21"/>
                <w:szCs w:val="21"/>
                <w:lang w:val="en-US" w:eastAsia="zh-CN"/>
              </w:rPr>
              <w:t>0.608</w:t>
            </w:r>
          </w:p>
        </w:tc>
        <w:tc>
          <w:tcPr>
            <w:tcW w:w="261" w:type="pct"/>
            <w:tcBorders>
              <w:tl2br w:val="nil"/>
              <w:tr2bl w:val="nil"/>
            </w:tcBorders>
            <w:vAlign w:val="center"/>
          </w:tcPr>
          <w:p w14:paraId="3AD905F1">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4</w:t>
            </w:r>
            <w:r>
              <w:rPr>
                <w:rFonts w:ascii="Times New Roman" w:hAnsi="Times New Roman" w:eastAsia="宋体" w:cs="Times New Roman"/>
                <w:b w:val="0"/>
                <w:bCs w:val="0"/>
                <w:color w:val="auto"/>
                <w:sz w:val="21"/>
                <w:szCs w:val="21"/>
              </w:rPr>
              <w:t>0</w:t>
            </w:r>
          </w:p>
        </w:tc>
        <w:tc>
          <w:tcPr>
            <w:tcW w:w="844" w:type="dxa"/>
            <w:tcBorders>
              <w:tl2br w:val="nil"/>
              <w:tr2bl w:val="nil"/>
            </w:tcBorders>
            <w:vAlign w:val="center"/>
          </w:tcPr>
          <w:p w14:paraId="6D882C9A">
            <w:pPr>
              <w:jc w:val="center"/>
              <w:rPr>
                <w:rFonts w:hint="default"/>
                <w:b w:val="0"/>
                <w:bCs w:val="0"/>
                <w:color w:val="auto"/>
                <w:sz w:val="21"/>
                <w:szCs w:val="21"/>
                <w:lang w:val="en-US"/>
              </w:rPr>
            </w:pPr>
            <w:r>
              <w:rPr>
                <w:rFonts w:hint="eastAsia"/>
                <w:b w:val="0"/>
                <w:bCs w:val="0"/>
                <w:color w:val="auto"/>
                <w:sz w:val="21"/>
                <w:szCs w:val="21"/>
                <w:lang w:val="en-US" w:eastAsia="zh-CN"/>
              </w:rPr>
              <w:t>12.9</w:t>
            </w:r>
          </w:p>
        </w:tc>
        <w:tc>
          <w:tcPr>
            <w:tcW w:w="734" w:type="dxa"/>
            <w:tcBorders>
              <w:tl2br w:val="nil"/>
              <w:tr2bl w:val="nil"/>
            </w:tcBorders>
            <w:vAlign w:val="center"/>
          </w:tcPr>
          <w:p w14:paraId="214122DA">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764" w:type="dxa"/>
            <w:tcBorders>
              <w:tl2br w:val="nil"/>
              <w:tr2bl w:val="nil"/>
            </w:tcBorders>
            <w:vAlign w:val="center"/>
          </w:tcPr>
          <w:p w14:paraId="775A6C15">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1036" w:type="dxa"/>
            <w:tcBorders>
              <w:tl2br w:val="nil"/>
              <w:tr2bl w:val="nil"/>
            </w:tcBorders>
            <w:vAlign w:val="center"/>
          </w:tcPr>
          <w:p w14:paraId="30EC2716">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vAlign w:val="center"/>
          </w:tcPr>
          <w:p w14:paraId="11ECEE69">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vAlign w:val="center"/>
          </w:tcPr>
          <w:p w14:paraId="7A3A707B">
            <w:pPr>
              <w:jc w:val="center"/>
              <w:rPr>
                <w:rFonts w:hint="default"/>
                <w:b w:val="0"/>
                <w:bCs w:val="0"/>
                <w:color w:val="auto"/>
                <w:sz w:val="21"/>
                <w:szCs w:val="21"/>
                <w:lang w:val="en-US" w:eastAsia="zh-CN"/>
              </w:rPr>
            </w:pPr>
            <w:r>
              <w:rPr>
                <w:rFonts w:hint="eastAsia"/>
                <w:b w:val="0"/>
                <w:bCs w:val="0"/>
                <w:color w:val="auto"/>
                <w:sz w:val="21"/>
                <w:szCs w:val="21"/>
                <w:lang w:val="en-US" w:eastAsia="zh-CN"/>
              </w:rPr>
              <w:t>0.611</w:t>
            </w:r>
          </w:p>
        </w:tc>
      </w:tr>
      <w:tr w14:paraId="31AAF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6" w:type="pct"/>
            <w:tcBorders>
              <w:tl2br w:val="nil"/>
              <w:tr2bl w:val="nil"/>
            </w:tcBorders>
            <w:shd w:val="clear" w:color="auto" w:fill="auto"/>
            <w:vAlign w:val="center"/>
          </w:tcPr>
          <w:p w14:paraId="3290788E">
            <w:pPr>
              <w:jc w:val="center"/>
              <w:rPr>
                <w:rFonts w:hint="eastAsia"/>
                <w:b w:val="0"/>
                <w:bCs w:val="0"/>
                <w:color w:val="auto"/>
                <w:sz w:val="21"/>
                <w:szCs w:val="21"/>
                <w:lang w:val="en-US" w:eastAsia="zh-CN"/>
              </w:rPr>
            </w:pPr>
            <w:r>
              <w:rPr>
                <w:rFonts w:hint="eastAsia"/>
                <w:b w:val="0"/>
                <w:bCs w:val="0"/>
                <w:color w:val="auto"/>
                <w:sz w:val="21"/>
                <w:szCs w:val="21"/>
                <w:lang w:val="en-US" w:eastAsia="zh-CN"/>
              </w:rPr>
              <w:t>冷却引风机F排气筒（DA038）</w:t>
            </w:r>
          </w:p>
        </w:tc>
        <w:tc>
          <w:tcPr>
            <w:tcW w:w="592" w:type="pct"/>
            <w:tcBorders>
              <w:tl2br w:val="nil"/>
              <w:tr2bl w:val="nil"/>
            </w:tcBorders>
            <w:vAlign w:val="center"/>
          </w:tcPr>
          <w:p w14:paraId="18BE8A9B">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w:t>
            </w:r>
            <w:r>
              <w:rPr>
                <w:rFonts w:hint="eastAsia" w:ascii="Times New Roman" w:hAnsi="Times New Roman" w:eastAsia="宋体" w:cs="Times New Roman"/>
                <w:b w:val="0"/>
                <w:bCs w:val="0"/>
                <w:color w:val="auto"/>
                <w:sz w:val="21"/>
                <w:szCs w:val="21"/>
                <w:lang w:val="en-US" w:eastAsia="zh-CN"/>
              </w:rPr>
              <w:t>27.61</w:t>
            </w:r>
            <w:r>
              <w:rPr>
                <w:rFonts w:ascii="Times New Roman" w:hAnsi="Times New Roman" w:eastAsia="宋体" w:cs="Times New Roman"/>
                <w:b w:val="0"/>
                <w:bCs w:val="0"/>
                <w:color w:val="auto"/>
                <w:sz w:val="21"/>
                <w:szCs w:val="21"/>
              </w:rPr>
              <w:t>″</w:t>
            </w:r>
          </w:p>
        </w:tc>
        <w:tc>
          <w:tcPr>
            <w:tcW w:w="558" w:type="pct"/>
            <w:tcBorders>
              <w:tl2br w:val="nil"/>
              <w:tr2bl w:val="nil"/>
            </w:tcBorders>
            <w:vAlign w:val="center"/>
          </w:tcPr>
          <w:p w14:paraId="72F1A6F5">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w:t>
            </w:r>
            <w:r>
              <w:rPr>
                <w:rFonts w:hint="eastAsia" w:ascii="Times New Roman" w:hAnsi="Times New Roman" w:eastAsia="宋体" w:cs="Times New Roman"/>
                <w:b w:val="0"/>
                <w:bCs w:val="0"/>
                <w:color w:val="auto"/>
                <w:sz w:val="21"/>
                <w:szCs w:val="21"/>
                <w:lang w:val="en-US" w:eastAsia="zh-CN"/>
              </w:rPr>
              <w:t>50.65</w:t>
            </w:r>
            <w:r>
              <w:rPr>
                <w:rFonts w:ascii="Times New Roman" w:hAnsi="Times New Roman" w:eastAsia="宋体" w:cs="Times New Roman"/>
                <w:b w:val="0"/>
                <w:bCs w:val="0"/>
                <w:color w:val="auto"/>
                <w:sz w:val="21"/>
                <w:szCs w:val="21"/>
              </w:rPr>
              <w:t>″</w:t>
            </w:r>
          </w:p>
        </w:tc>
        <w:tc>
          <w:tcPr>
            <w:tcW w:w="412" w:type="pct"/>
            <w:tcBorders>
              <w:tl2br w:val="nil"/>
              <w:tr2bl w:val="nil"/>
            </w:tcBorders>
            <w:vAlign w:val="center"/>
          </w:tcPr>
          <w:p w14:paraId="6A827AB0">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7D35C195">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6FAC3682">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0.608</w:t>
            </w:r>
          </w:p>
        </w:tc>
        <w:tc>
          <w:tcPr>
            <w:tcW w:w="261" w:type="pct"/>
            <w:tcBorders>
              <w:tl2br w:val="nil"/>
              <w:tr2bl w:val="nil"/>
            </w:tcBorders>
            <w:vAlign w:val="center"/>
          </w:tcPr>
          <w:p w14:paraId="1C5C6394">
            <w:pPr>
              <w:jc w:val="center"/>
              <w:rPr>
                <w:rFonts w:ascii="Times New Roman" w:hAnsi="Times New Roman" w:eastAsia="宋体" w:cs="Times New Roman"/>
                <w:b w:val="0"/>
                <w:bCs w:val="0"/>
                <w:color w:val="auto"/>
                <w:sz w:val="21"/>
                <w:szCs w:val="21"/>
              </w:rPr>
            </w:pPr>
            <w:r>
              <w:rPr>
                <w:rFonts w:hint="eastAsia" w:cs="Times New Roman"/>
                <w:b w:val="0"/>
                <w:bCs w:val="0"/>
                <w:color w:val="auto"/>
                <w:sz w:val="21"/>
                <w:szCs w:val="21"/>
                <w:lang w:val="en-US" w:eastAsia="zh-CN"/>
              </w:rPr>
              <w:t>4</w:t>
            </w:r>
            <w:r>
              <w:rPr>
                <w:rFonts w:ascii="Times New Roman" w:hAnsi="Times New Roman" w:eastAsia="宋体" w:cs="Times New Roman"/>
                <w:b w:val="0"/>
                <w:bCs w:val="0"/>
                <w:color w:val="auto"/>
                <w:sz w:val="21"/>
                <w:szCs w:val="21"/>
              </w:rPr>
              <w:t>0</w:t>
            </w:r>
          </w:p>
        </w:tc>
        <w:tc>
          <w:tcPr>
            <w:tcW w:w="844" w:type="dxa"/>
            <w:tcBorders>
              <w:tl2br w:val="nil"/>
              <w:tr2bl w:val="nil"/>
            </w:tcBorders>
            <w:vAlign w:val="center"/>
          </w:tcPr>
          <w:p w14:paraId="0B2169F3">
            <w:pPr>
              <w:jc w:val="center"/>
              <w:rPr>
                <w:rFonts w:hint="default"/>
                <w:b w:val="0"/>
                <w:bCs w:val="0"/>
                <w:color w:val="auto"/>
                <w:sz w:val="21"/>
                <w:szCs w:val="21"/>
                <w:lang w:val="en-US"/>
              </w:rPr>
            </w:pPr>
            <w:r>
              <w:rPr>
                <w:rFonts w:hint="eastAsia"/>
                <w:b w:val="0"/>
                <w:bCs w:val="0"/>
                <w:color w:val="auto"/>
                <w:sz w:val="21"/>
                <w:szCs w:val="21"/>
                <w:lang w:val="en-US" w:eastAsia="zh-CN"/>
              </w:rPr>
              <w:t>12.6</w:t>
            </w:r>
          </w:p>
        </w:tc>
        <w:tc>
          <w:tcPr>
            <w:tcW w:w="734" w:type="dxa"/>
            <w:tcBorders>
              <w:tl2br w:val="nil"/>
              <w:tr2bl w:val="nil"/>
            </w:tcBorders>
            <w:vAlign w:val="center"/>
          </w:tcPr>
          <w:p w14:paraId="5B7BBAA8">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764" w:type="dxa"/>
            <w:tcBorders>
              <w:tl2br w:val="nil"/>
              <w:tr2bl w:val="nil"/>
            </w:tcBorders>
            <w:vAlign w:val="center"/>
          </w:tcPr>
          <w:p w14:paraId="1371C811">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1036" w:type="dxa"/>
            <w:tcBorders>
              <w:tl2br w:val="nil"/>
              <w:tr2bl w:val="nil"/>
            </w:tcBorders>
            <w:vAlign w:val="center"/>
          </w:tcPr>
          <w:p w14:paraId="48CA674A">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vAlign w:val="center"/>
          </w:tcPr>
          <w:p w14:paraId="4F4159AE">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vAlign w:val="center"/>
          </w:tcPr>
          <w:p w14:paraId="6544E94F">
            <w:pPr>
              <w:jc w:val="center"/>
              <w:rPr>
                <w:rFonts w:hint="default"/>
                <w:b w:val="0"/>
                <w:bCs w:val="0"/>
                <w:color w:val="auto"/>
                <w:sz w:val="21"/>
                <w:szCs w:val="21"/>
                <w:lang w:val="en-US" w:eastAsia="zh-CN"/>
              </w:rPr>
            </w:pPr>
            <w:r>
              <w:rPr>
                <w:rFonts w:hint="eastAsia"/>
                <w:b w:val="0"/>
                <w:bCs w:val="0"/>
                <w:color w:val="auto"/>
                <w:sz w:val="21"/>
                <w:szCs w:val="21"/>
                <w:lang w:val="en-US" w:eastAsia="zh-CN"/>
              </w:rPr>
              <w:t>0.637</w:t>
            </w:r>
          </w:p>
        </w:tc>
      </w:tr>
      <w:tr w14:paraId="64A25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776" w:type="pct"/>
            <w:tcBorders>
              <w:tl2br w:val="nil"/>
              <w:tr2bl w:val="nil"/>
            </w:tcBorders>
            <w:shd w:val="clear" w:color="auto" w:fill="auto"/>
            <w:vAlign w:val="center"/>
          </w:tcPr>
          <w:p w14:paraId="2613627A">
            <w:pPr>
              <w:jc w:val="center"/>
              <w:rPr>
                <w:rFonts w:hint="eastAsia"/>
                <w:b w:val="0"/>
                <w:bCs w:val="0"/>
                <w:color w:val="auto"/>
                <w:sz w:val="21"/>
                <w:szCs w:val="21"/>
                <w:lang w:val="en-US" w:eastAsia="zh-CN"/>
              </w:rPr>
            </w:pPr>
            <w:r>
              <w:rPr>
                <w:rFonts w:hint="eastAsia"/>
                <w:b w:val="0"/>
                <w:bCs w:val="0"/>
                <w:color w:val="auto"/>
                <w:sz w:val="21"/>
                <w:szCs w:val="21"/>
                <w:lang w:val="en-US" w:eastAsia="zh-CN"/>
              </w:rPr>
              <w:t>冷却引风机G排气筒（DA039）</w:t>
            </w:r>
          </w:p>
        </w:tc>
        <w:tc>
          <w:tcPr>
            <w:tcW w:w="592" w:type="pct"/>
            <w:tcBorders>
              <w:tl2br w:val="nil"/>
              <w:tr2bl w:val="nil"/>
            </w:tcBorders>
            <w:vAlign w:val="center"/>
          </w:tcPr>
          <w:p w14:paraId="32B8828A">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124°36′</w:t>
            </w:r>
            <w:r>
              <w:rPr>
                <w:rFonts w:hint="eastAsia" w:ascii="Times New Roman" w:hAnsi="Times New Roman" w:eastAsia="宋体" w:cs="Times New Roman"/>
                <w:b w:val="0"/>
                <w:bCs w:val="0"/>
                <w:color w:val="auto"/>
                <w:sz w:val="21"/>
                <w:szCs w:val="21"/>
                <w:lang w:val="en-US" w:eastAsia="zh-CN"/>
              </w:rPr>
              <w:t>28.87</w:t>
            </w:r>
            <w:r>
              <w:rPr>
                <w:rFonts w:ascii="Times New Roman" w:hAnsi="Times New Roman" w:eastAsia="宋体" w:cs="Times New Roman"/>
                <w:b w:val="0"/>
                <w:bCs w:val="0"/>
                <w:color w:val="auto"/>
                <w:sz w:val="21"/>
                <w:szCs w:val="21"/>
              </w:rPr>
              <w:t>″</w:t>
            </w:r>
          </w:p>
        </w:tc>
        <w:tc>
          <w:tcPr>
            <w:tcW w:w="558" w:type="pct"/>
            <w:tcBorders>
              <w:tl2br w:val="nil"/>
              <w:tr2bl w:val="nil"/>
            </w:tcBorders>
            <w:vAlign w:val="center"/>
          </w:tcPr>
          <w:p w14:paraId="57DE8A11">
            <w:pPr>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48°12′4</w:t>
            </w:r>
            <w:r>
              <w:rPr>
                <w:rFonts w:hint="eastAsia" w:ascii="Times New Roman" w:hAnsi="Times New Roman" w:eastAsia="宋体" w:cs="Times New Roman"/>
                <w:b w:val="0"/>
                <w:bCs w:val="0"/>
                <w:color w:val="auto"/>
                <w:sz w:val="21"/>
                <w:szCs w:val="21"/>
                <w:lang w:val="en-US" w:eastAsia="zh-CN"/>
              </w:rPr>
              <w:t>9.56</w:t>
            </w:r>
            <w:r>
              <w:rPr>
                <w:rFonts w:ascii="Times New Roman" w:hAnsi="Times New Roman" w:eastAsia="宋体" w:cs="Times New Roman"/>
                <w:b w:val="0"/>
                <w:bCs w:val="0"/>
                <w:color w:val="auto"/>
                <w:sz w:val="21"/>
                <w:szCs w:val="21"/>
              </w:rPr>
              <w:t>″</w:t>
            </w:r>
          </w:p>
        </w:tc>
        <w:tc>
          <w:tcPr>
            <w:tcW w:w="412" w:type="pct"/>
            <w:tcBorders>
              <w:tl2br w:val="nil"/>
              <w:tr2bl w:val="nil"/>
            </w:tcBorders>
            <w:vAlign w:val="center"/>
          </w:tcPr>
          <w:p w14:paraId="517C4718">
            <w:pPr>
              <w:jc w:val="center"/>
              <w:rPr>
                <w:rFonts w:ascii="Times New Roman" w:hAnsi="Times New Roman" w:eastAsia="宋体" w:cs="Times New Roman"/>
                <w:b w:val="0"/>
                <w:bCs w:val="0"/>
                <w:color w:val="auto"/>
                <w:sz w:val="21"/>
                <w:szCs w:val="21"/>
              </w:rPr>
            </w:pPr>
            <w:r>
              <w:rPr>
                <w:rFonts w:eastAsia="宋体"/>
                <w:b w:val="0"/>
                <w:bCs w:val="0"/>
                <w:color w:val="auto"/>
                <w:sz w:val="21"/>
                <w:szCs w:val="21"/>
              </w:rPr>
              <w:t>182</w:t>
            </w:r>
          </w:p>
        </w:tc>
        <w:tc>
          <w:tcPr>
            <w:tcW w:w="272" w:type="pct"/>
            <w:tcBorders>
              <w:tl2br w:val="nil"/>
              <w:tr2bl w:val="nil"/>
            </w:tcBorders>
            <w:vAlign w:val="center"/>
          </w:tcPr>
          <w:p w14:paraId="0CA416C0">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18</w:t>
            </w:r>
          </w:p>
        </w:tc>
        <w:tc>
          <w:tcPr>
            <w:tcW w:w="258" w:type="pct"/>
            <w:tcBorders>
              <w:tl2br w:val="nil"/>
              <w:tr2bl w:val="nil"/>
            </w:tcBorders>
            <w:vAlign w:val="center"/>
          </w:tcPr>
          <w:p w14:paraId="6F006107">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0.608</w:t>
            </w:r>
          </w:p>
        </w:tc>
        <w:tc>
          <w:tcPr>
            <w:tcW w:w="261" w:type="pct"/>
            <w:tcBorders>
              <w:tl2br w:val="nil"/>
              <w:tr2bl w:val="nil"/>
            </w:tcBorders>
            <w:vAlign w:val="center"/>
          </w:tcPr>
          <w:p w14:paraId="0699D5D2">
            <w:pPr>
              <w:jc w:val="center"/>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4</w:t>
            </w:r>
            <w:r>
              <w:rPr>
                <w:rFonts w:ascii="Times New Roman" w:hAnsi="Times New Roman" w:eastAsia="宋体" w:cs="Times New Roman"/>
                <w:b w:val="0"/>
                <w:bCs w:val="0"/>
                <w:color w:val="auto"/>
                <w:sz w:val="21"/>
                <w:szCs w:val="21"/>
              </w:rPr>
              <w:t>0</w:t>
            </w:r>
          </w:p>
        </w:tc>
        <w:tc>
          <w:tcPr>
            <w:tcW w:w="844" w:type="dxa"/>
            <w:tcBorders>
              <w:tl2br w:val="nil"/>
              <w:tr2bl w:val="nil"/>
            </w:tcBorders>
            <w:vAlign w:val="center"/>
          </w:tcPr>
          <w:p w14:paraId="488A7A5D">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13.1</w:t>
            </w:r>
          </w:p>
        </w:tc>
        <w:tc>
          <w:tcPr>
            <w:tcW w:w="734" w:type="dxa"/>
            <w:tcBorders>
              <w:tl2br w:val="nil"/>
              <w:tr2bl w:val="nil"/>
            </w:tcBorders>
            <w:vAlign w:val="center"/>
          </w:tcPr>
          <w:p w14:paraId="6250D739">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764" w:type="dxa"/>
            <w:tcBorders>
              <w:tl2br w:val="nil"/>
              <w:tr2bl w:val="nil"/>
            </w:tcBorders>
            <w:vAlign w:val="center"/>
          </w:tcPr>
          <w:p w14:paraId="36456ABE">
            <w:pPr>
              <w:jc w:val="center"/>
              <w:rPr>
                <w:rFonts w:hint="eastAsia"/>
                <w:b w:val="0"/>
                <w:bCs w:val="0"/>
                <w:color w:val="auto"/>
                <w:sz w:val="21"/>
                <w:szCs w:val="21"/>
              </w:rPr>
            </w:pPr>
            <w:r>
              <w:rPr>
                <w:rFonts w:hint="eastAsia" w:eastAsia="宋体"/>
                <w:b w:val="0"/>
                <w:bCs w:val="0"/>
                <w:color w:val="auto"/>
                <w:sz w:val="21"/>
                <w:szCs w:val="21"/>
                <w:lang w:eastAsia="zh-CN"/>
              </w:rPr>
              <w:t>/</w:t>
            </w:r>
          </w:p>
        </w:tc>
        <w:tc>
          <w:tcPr>
            <w:tcW w:w="1036" w:type="dxa"/>
            <w:tcBorders>
              <w:tl2br w:val="nil"/>
              <w:tr2bl w:val="nil"/>
            </w:tcBorders>
            <w:vAlign w:val="center"/>
          </w:tcPr>
          <w:p w14:paraId="5A5909A1">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vAlign w:val="center"/>
          </w:tcPr>
          <w:p w14:paraId="35F44663">
            <w:pPr>
              <w:jc w:val="center"/>
              <w:rPr>
                <w:rFonts w:hint="eastAsia"/>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vAlign w:val="center"/>
          </w:tcPr>
          <w:p w14:paraId="2FE38954">
            <w:pPr>
              <w:jc w:val="center"/>
              <w:rPr>
                <w:rFonts w:hint="default"/>
                <w:b w:val="0"/>
                <w:bCs w:val="0"/>
                <w:color w:val="auto"/>
                <w:sz w:val="21"/>
                <w:szCs w:val="21"/>
                <w:lang w:val="en-US" w:eastAsia="zh-CN"/>
              </w:rPr>
            </w:pPr>
            <w:r>
              <w:rPr>
                <w:rFonts w:hint="eastAsia"/>
                <w:b w:val="0"/>
                <w:bCs w:val="0"/>
                <w:color w:val="auto"/>
                <w:sz w:val="21"/>
                <w:szCs w:val="21"/>
                <w:lang w:val="en-US" w:eastAsia="zh-CN"/>
              </w:rPr>
              <w:t>0.692</w:t>
            </w:r>
          </w:p>
        </w:tc>
      </w:tr>
      <w:tr w14:paraId="5DC05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76" w:type="pct"/>
            <w:tcBorders>
              <w:tl2br w:val="nil"/>
              <w:tr2bl w:val="nil"/>
            </w:tcBorders>
            <w:vAlign w:val="center"/>
          </w:tcPr>
          <w:p w14:paraId="2A1AE170">
            <w:pPr>
              <w:jc w:val="center"/>
              <w:rPr>
                <w:rFonts w:hint="default"/>
                <w:b w:val="0"/>
                <w:bCs w:val="0"/>
                <w:color w:val="auto"/>
                <w:sz w:val="21"/>
                <w:szCs w:val="21"/>
                <w:lang w:val="en-US" w:eastAsia="zh-CN"/>
              </w:rPr>
            </w:pPr>
            <w:r>
              <w:rPr>
                <w:rFonts w:hint="eastAsia"/>
                <w:b w:val="0"/>
                <w:bCs w:val="0"/>
                <w:color w:val="auto"/>
                <w:sz w:val="21"/>
                <w:szCs w:val="21"/>
                <w:lang w:val="en-US" w:eastAsia="zh-CN"/>
              </w:rPr>
              <w:t>污水处理站排气筒（DA011）</w:t>
            </w:r>
          </w:p>
        </w:tc>
        <w:tc>
          <w:tcPr>
            <w:tcW w:w="592" w:type="pct"/>
            <w:tcBorders>
              <w:tl2br w:val="nil"/>
              <w:tr2bl w:val="nil"/>
            </w:tcBorders>
            <w:vAlign w:val="center"/>
          </w:tcPr>
          <w:p w14:paraId="32A10772">
            <w:pPr>
              <w:jc w:val="center"/>
              <w:rPr>
                <w:b w:val="0"/>
                <w:bCs w:val="0"/>
                <w:color w:val="auto"/>
                <w:sz w:val="21"/>
                <w:szCs w:val="21"/>
              </w:rPr>
            </w:pPr>
            <w:r>
              <w:rPr>
                <w:b w:val="0"/>
                <w:bCs w:val="0"/>
                <w:color w:val="auto"/>
                <w:sz w:val="21"/>
                <w:szCs w:val="21"/>
              </w:rPr>
              <w:t>124°36′16.60″</w:t>
            </w:r>
          </w:p>
        </w:tc>
        <w:tc>
          <w:tcPr>
            <w:tcW w:w="558" w:type="pct"/>
            <w:tcBorders>
              <w:tl2br w:val="nil"/>
              <w:tr2bl w:val="nil"/>
            </w:tcBorders>
            <w:vAlign w:val="center"/>
          </w:tcPr>
          <w:p w14:paraId="0491C890">
            <w:pPr>
              <w:jc w:val="center"/>
              <w:rPr>
                <w:b w:val="0"/>
                <w:bCs w:val="0"/>
                <w:color w:val="auto"/>
                <w:sz w:val="21"/>
                <w:szCs w:val="21"/>
              </w:rPr>
            </w:pPr>
            <w:r>
              <w:rPr>
                <w:b w:val="0"/>
                <w:bCs w:val="0"/>
                <w:color w:val="auto"/>
                <w:sz w:val="21"/>
                <w:szCs w:val="21"/>
              </w:rPr>
              <w:t>48°12′45.36″</w:t>
            </w:r>
          </w:p>
        </w:tc>
        <w:tc>
          <w:tcPr>
            <w:tcW w:w="412" w:type="pct"/>
            <w:tcBorders>
              <w:tl2br w:val="nil"/>
              <w:tr2bl w:val="nil"/>
            </w:tcBorders>
            <w:shd w:val="clear" w:color="auto" w:fill="auto"/>
            <w:vAlign w:val="center"/>
          </w:tcPr>
          <w:p w14:paraId="28DFA30C">
            <w:pPr>
              <w:jc w:val="center"/>
              <w:rPr>
                <w:rFonts w:eastAsia="宋体"/>
                <w:b w:val="0"/>
                <w:bCs w:val="0"/>
                <w:color w:val="auto"/>
                <w:sz w:val="21"/>
                <w:szCs w:val="21"/>
                <w:lang w:val="en-US" w:eastAsia="zh-CN"/>
              </w:rPr>
            </w:pPr>
            <w:r>
              <w:rPr>
                <w:rFonts w:eastAsia="宋体"/>
                <w:b w:val="0"/>
                <w:bCs w:val="0"/>
                <w:color w:val="auto"/>
                <w:sz w:val="21"/>
                <w:szCs w:val="21"/>
              </w:rPr>
              <w:t>181</w:t>
            </w:r>
          </w:p>
        </w:tc>
        <w:tc>
          <w:tcPr>
            <w:tcW w:w="272" w:type="pct"/>
            <w:tcBorders>
              <w:tl2br w:val="nil"/>
              <w:tr2bl w:val="nil"/>
            </w:tcBorders>
            <w:vAlign w:val="center"/>
          </w:tcPr>
          <w:p w14:paraId="15BAE802">
            <w:pPr>
              <w:jc w:val="center"/>
              <w:rPr>
                <w:rFonts w:eastAsia="宋体"/>
                <w:b w:val="0"/>
                <w:bCs w:val="0"/>
                <w:color w:val="auto"/>
                <w:sz w:val="21"/>
                <w:szCs w:val="21"/>
              </w:rPr>
            </w:pPr>
            <w:r>
              <w:rPr>
                <w:rFonts w:eastAsia="宋体"/>
                <w:b w:val="0"/>
                <w:bCs w:val="0"/>
                <w:color w:val="auto"/>
                <w:sz w:val="21"/>
                <w:szCs w:val="21"/>
              </w:rPr>
              <w:t>15</w:t>
            </w:r>
          </w:p>
        </w:tc>
        <w:tc>
          <w:tcPr>
            <w:tcW w:w="258" w:type="pct"/>
            <w:tcBorders>
              <w:tl2br w:val="nil"/>
              <w:tr2bl w:val="nil"/>
            </w:tcBorders>
            <w:vAlign w:val="center"/>
          </w:tcPr>
          <w:p w14:paraId="49CEE574">
            <w:pPr>
              <w:jc w:val="center"/>
              <w:rPr>
                <w:rFonts w:hint="default" w:eastAsia="宋体"/>
                <w:b w:val="0"/>
                <w:bCs w:val="0"/>
                <w:color w:val="auto"/>
                <w:sz w:val="21"/>
                <w:szCs w:val="21"/>
                <w:lang w:val="en-US" w:eastAsia="zh-CN"/>
              </w:rPr>
            </w:pPr>
            <w:r>
              <w:rPr>
                <w:rFonts w:hint="eastAsia" w:eastAsia="宋体"/>
                <w:b w:val="0"/>
                <w:bCs w:val="0"/>
                <w:color w:val="auto"/>
                <w:sz w:val="21"/>
                <w:szCs w:val="21"/>
                <w:lang w:val="en-US" w:eastAsia="zh-CN"/>
              </w:rPr>
              <w:t>0.3</w:t>
            </w:r>
          </w:p>
        </w:tc>
        <w:tc>
          <w:tcPr>
            <w:tcW w:w="261" w:type="pct"/>
            <w:tcBorders>
              <w:tl2br w:val="nil"/>
              <w:tr2bl w:val="nil"/>
            </w:tcBorders>
            <w:shd w:val="clear" w:color="auto" w:fill="auto"/>
            <w:vAlign w:val="center"/>
          </w:tcPr>
          <w:p w14:paraId="346AD8F9">
            <w:pPr>
              <w:jc w:val="center"/>
              <w:rPr>
                <w:rFonts w:hint="default"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7EA4D211">
            <w:pPr>
              <w:jc w:val="center"/>
              <w:rPr>
                <w:rFonts w:eastAsia="宋体"/>
                <w:b w:val="0"/>
                <w:bCs w:val="0"/>
                <w:color w:val="auto"/>
                <w:sz w:val="21"/>
                <w:szCs w:val="21"/>
                <w:lang w:val="en-US" w:eastAsia="zh-CN"/>
              </w:rPr>
            </w:pPr>
            <w:r>
              <w:rPr>
                <w:rFonts w:eastAsia="宋体"/>
                <w:b w:val="0"/>
                <w:bCs w:val="0"/>
                <w:color w:val="auto"/>
                <w:sz w:val="21"/>
                <w:szCs w:val="21"/>
              </w:rPr>
              <w:t>2.17</w:t>
            </w:r>
          </w:p>
        </w:tc>
        <w:tc>
          <w:tcPr>
            <w:tcW w:w="271" w:type="pct"/>
            <w:tcBorders>
              <w:tl2br w:val="nil"/>
              <w:tr2bl w:val="nil"/>
            </w:tcBorders>
            <w:shd w:val="clear" w:color="auto" w:fill="auto"/>
            <w:vAlign w:val="center"/>
          </w:tcPr>
          <w:p w14:paraId="4793648E">
            <w:pPr>
              <w:jc w:val="center"/>
              <w:rPr>
                <w:rFonts w:hint="eastAsia" w:eastAsia="宋体"/>
                <w:b w:val="0"/>
                <w:bCs w:val="0"/>
                <w:color w:val="auto"/>
                <w:sz w:val="21"/>
                <w:szCs w:val="21"/>
                <w:lang w:val="en-US" w:eastAsia="zh-CN"/>
              </w:rPr>
            </w:pPr>
            <w:r>
              <w:rPr>
                <w:rFonts w:eastAsia="宋体"/>
                <w:b w:val="0"/>
                <w:bCs w:val="0"/>
                <w:color w:val="auto"/>
                <w:sz w:val="21"/>
                <w:szCs w:val="21"/>
              </w:rPr>
              <w:t>0.003</w:t>
            </w:r>
          </w:p>
        </w:tc>
        <w:tc>
          <w:tcPr>
            <w:tcW w:w="283" w:type="pct"/>
            <w:tcBorders>
              <w:tl2br w:val="nil"/>
              <w:tr2bl w:val="nil"/>
            </w:tcBorders>
            <w:shd w:val="clear" w:color="auto" w:fill="auto"/>
            <w:vAlign w:val="center"/>
          </w:tcPr>
          <w:p w14:paraId="63A07FCA">
            <w:pPr>
              <w:jc w:val="center"/>
              <w:rPr>
                <w:rFonts w:hint="default" w:eastAsia="宋体"/>
                <w:b w:val="0"/>
                <w:bCs w:val="0"/>
                <w:color w:val="auto"/>
                <w:sz w:val="21"/>
                <w:szCs w:val="21"/>
                <w:lang w:val="en-US" w:eastAsia="zh-CN"/>
              </w:rPr>
            </w:pPr>
            <w:r>
              <w:rPr>
                <w:rFonts w:eastAsia="宋体"/>
                <w:b w:val="0"/>
                <w:bCs w:val="0"/>
                <w:color w:val="auto"/>
                <w:sz w:val="21"/>
                <w:szCs w:val="21"/>
              </w:rPr>
              <w:t>0.0</w:t>
            </w:r>
            <w:r>
              <w:rPr>
                <w:rFonts w:hint="eastAsia"/>
                <w:b w:val="0"/>
                <w:bCs w:val="0"/>
                <w:color w:val="auto"/>
                <w:sz w:val="21"/>
                <w:szCs w:val="21"/>
                <w:lang w:val="en-US" w:eastAsia="zh-CN"/>
              </w:rPr>
              <w:t>234</w:t>
            </w:r>
          </w:p>
        </w:tc>
        <w:tc>
          <w:tcPr>
            <w:tcW w:w="383" w:type="pct"/>
            <w:tcBorders>
              <w:tl2br w:val="nil"/>
              <w:tr2bl w:val="nil"/>
            </w:tcBorders>
            <w:shd w:val="clear" w:color="auto" w:fill="auto"/>
            <w:vAlign w:val="center"/>
          </w:tcPr>
          <w:p w14:paraId="46123A6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28F43D9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79FCE42E">
            <w:pPr>
              <w:jc w:val="center"/>
              <w:rPr>
                <w:rFonts w:hint="eastAsia" w:eastAsia="宋体"/>
                <w:b w:val="0"/>
                <w:bCs w:val="0"/>
                <w:color w:val="auto"/>
                <w:sz w:val="21"/>
                <w:szCs w:val="21"/>
                <w:lang w:eastAsia="zh-CN"/>
              </w:rPr>
            </w:pPr>
            <w:r>
              <w:rPr>
                <w:rFonts w:hint="eastAsia" w:eastAsia="宋体"/>
                <w:b w:val="0"/>
                <w:bCs w:val="0"/>
                <w:color w:val="auto"/>
                <w:sz w:val="21"/>
                <w:szCs w:val="21"/>
                <w:lang w:eastAsia="zh-CN"/>
              </w:rPr>
              <w:t>/</w:t>
            </w:r>
          </w:p>
        </w:tc>
      </w:tr>
      <w:tr w14:paraId="18018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776" w:type="pct"/>
            <w:tcBorders>
              <w:tl2br w:val="nil"/>
              <w:tr2bl w:val="nil"/>
            </w:tcBorders>
            <w:shd w:val="clear" w:color="auto" w:fill="auto"/>
            <w:vAlign w:val="center"/>
          </w:tcPr>
          <w:p w14:paraId="18A1495F">
            <w:pPr>
              <w:jc w:val="center"/>
              <w:rPr>
                <w:rFonts w:hint="eastAsia"/>
                <w:b w:val="0"/>
                <w:bCs w:val="0"/>
                <w:color w:val="auto"/>
                <w:sz w:val="21"/>
                <w:szCs w:val="21"/>
                <w:lang w:val="en-US" w:eastAsia="zh-CN"/>
              </w:rPr>
            </w:pPr>
            <w:r>
              <w:rPr>
                <w:b w:val="0"/>
                <w:bCs w:val="0"/>
                <w:color w:val="auto"/>
                <w:sz w:val="21"/>
                <w:szCs w:val="21"/>
              </w:rPr>
              <w:t>粉碎风机排气筒1</w:t>
            </w:r>
            <w:r>
              <w:rPr>
                <w:rFonts w:hint="eastAsia"/>
                <w:b w:val="0"/>
                <w:bCs w:val="0"/>
                <w:color w:val="auto"/>
                <w:sz w:val="21"/>
                <w:szCs w:val="21"/>
                <w:lang w:eastAsia="zh-CN"/>
              </w:rPr>
              <w:t>（</w:t>
            </w:r>
            <w:r>
              <w:rPr>
                <w:b w:val="0"/>
                <w:bCs w:val="0"/>
                <w:color w:val="auto"/>
                <w:sz w:val="21"/>
                <w:szCs w:val="21"/>
              </w:rPr>
              <w:t>DA005</w:t>
            </w:r>
            <w:r>
              <w:rPr>
                <w:rFonts w:hint="eastAsia"/>
                <w:b w:val="0"/>
                <w:bCs w:val="0"/>
                <w:color w:val="auto"/>
                <w:sz w:val="21"/>
                <w:szCs w:val="21"/>
                <w:lang w:eastAsia="zh-CN"/>
              </w:rPr>
              <w:t>）</w:t>
            </w:r>
          </w:p>
        </w:tc>
        <w:tc>
          <w:tcPr>
            <w:tcW w:w="592" w:type="pct"/>
            <w:tcBorders>
              <w:tl2br w:val="nil"/>
              <w:tr2bl w:val="nil"/>
            </w:tcBorders>
            <w:vAlign w:val="center"/>
          </w:tcPr>
          <w:p w14:paraId="7C62B360">
            <w:pPr>
              <w:jc w:val="center"/>
              <w:rPr>
                <w:b w:val="0"/>
                <w:bCs w:val="0"/>
                <w:color w:val="auto"/>
                <w:sz w:val="21"/>
                <w:szCs w:val="21"/>
              </w:rPr>
            </w:pPr>
            <w:r>
              <w:rPr>
                <w:b w:val="0"/>
                <w:bCs w:val="0"/>
                <w:color w:val="auto"/>
                <w:sz w:val="21"/>
                <w:szCs w:val="21"/>
              </w:rPr>
              <w:t>124°36′27.40″</w:t>
            </w:r>
          </w:p>
        </w:tc>
        <w:tc>
          <w:tcPr>
            <w:tcW w:w="558" w:type="pct"/>
            <w:tcBorders>
              <w:tl2br w:val="nil"/>
              <w:tr2bl w:val="nil"/>
            </w:tcBorders>
            <w:vAlign w:val="center"/>
          </w:tcPr>
          <w:p w14:paraId="08F11D52">
            <w:pPr>
              <w:jc w:val="center"/>
              <w:rPr>
                <w:b w:val="0"/>
                <w:bCs w:val="0"/>
                <w:color w:val="auto"/>
                <w:sz w:val="21"/>
                <w:szCs w:val="21"/>
              </w:rPr>
            </w:pPr>
            <w:r>
              <w:rPr>
                <w:b w:val="0"/>
                <w:bCs w:val="0"/>
                <w:color w:val="auto"/>
                <w:sz w:val="21"/>
                <w:szCs w:val="21"/>
              </w:rPr>
              <w:t>48°12′53.82″</w:t>
            </w:r>
          </w:p>
        </w:tc>
        <w:tc>
          <w:tcPr>
            <w:tcW w:w="412" w:type="pct"/>
            <w:tcBorders>
              <w:tl2br w:val="nil"/>
              <w:tr2bl w:val="nil"/>
            </w:tcBorders>
            <w:shd w:val="clear" w:color="auto" w:fill="auto"/>
            <w:vAlign w:val="center"/>
          </w:tcPr>
          <w:p w14:paraId="3B3A4BCF">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vAlign w:val="center"/>
          </w:tcPr>
          <w:p w14:paraId="122792FF">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vAlign w:val="center"/>
          </w:tcPr>
          <w:p w14:paraId="4670167A">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32E559D3">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01AA127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70DBB85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41CE78A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041203F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4C1C7CE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61140BB6">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0.140</w:t>
            </w:r>
          </w:p>
        </w:tc>
      </w:tr>
      <w:tr w14:paraId="2BD76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776" w:type="pct"/>
            <w:tcBorders>
              <w:tl2br w:val="nil"/>
              <w:tr2bl w:val="nil"/>
            </w:tcBorders>
            <w:shd w:val="clear" w:color="auto" w:fill="auto"/>
            <w:vAlign w:val="center"/>
          </w:tcPr>
          <w:p w14:paraId="0BDF684D">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2（</w:t>
            </w:r>
            <w:r>
              <w:rPr>
                <w:b w:val="0"/>
                <w:bCs w:val="0"/>
                <w:color w:val="auto"/>
                <w:sz w:val="21"/>
                <w:szCs w:val="21"/>
              </w:rPr>
              <w:t>DA006</w:t>
            </w:r>
            <w:r>
              <w:rPr>
                <w:rFonts w:hint="eastAsia"/>
                <w:b w:val="0"/>
                <w:bCs w:val="0"/>
                <w:color w:val="auto"/>
                <w:sz w:val="21"/>
                <w:szCs w:val="21"/>
                <w:lang w:val="en-US" w:eastAsia="zh-CN"/>
              </w:rPr>
              <w:t>）</w:t>
            </w:r>
          </w:p>
        </w:tc>
        <w:tc>
          <w:tcPr>
            <w:tcW w:w="592" w:type="pct"/>
            <w:tcBorders>
              <w:tl2br w:val="nil"/>
              <w:tr2bl w:val="nil"/>
            </w:tcBorders>
            <w:vAlign w:val="center"/>
          </w:tcPr>
          <w:p w14:paraId="13BF4EDE">
            <w:pPr>
              <w:jc w:val="center"/>
              <w:rPr>
                <w:b w:val="0"/>
                <w:bCs w:val="0"/>
                <w:color w:val="auto"/>
                <w:sz w:val="21"/>
                <w:szCs w:val="21"/>
              </w:rPr>
            </w:pPr>
            <w:r>
              <w:rPr>
                <w:b w:val="0"/>
                <w:bCs w:val="0"/>
                <w:color w:val="auto"/>
                <w:sz w:val="21"/>
                <w:szCs w:val="21"/>
              </w:rPr>
              <w:t>124°36′26.39″</w:t>
            </w:r>
          </w:p>
        </w:tc>
        <w:tc>
          <w:tcPr>
            <w:tcW w:w="558" w:type="pct"/>
            <w:tcBorders>
              <w:tl2br w:val="nil"/>
              <w:tr2bl w:val="nil"/>
            </w:tcBorders>
            <w:vAlign w:val="center"/>
          </w:tcPr>
          <w:p w14:paraId="794DA681">
            <w:pPr>
              <w:jc w:val="center"/>
              <w:rPr>
                <w:b w:val="0"/>
                <w:bCs w:val="0"/>
                <w:color w:val="auto"/>
                <w:sz w:val="21"/>
                <w:szCs w:val="21"/>
              </w:rPr>
            </w:pPr>
            <w:r>
              <w:rPr>
                <w:b w:val="0"/>
                <w:bCs w:val="0"/>
                <w:color w:val="auto"/>
                <w:sz w:val="21"/>
                <w:szCs w:val="21"/>
              </w:rPr>
              <w:t>48°12′53.46″</w:t>
            </w:r>
          </w:p>
        </w:tc>
        <w:tc>
          <w:tcPr>
            <w:tcW w:w="412" w:type="pct"/>
            <w:tcBorders>
              <w:tl2br w:val="nil"/>
              <w:tr2bl w:val="nil"/>
            </w:tcBorders>
            <w:shd w:val="clear" w:color="auto" w:fill="auto"/>
            <w:vAlign w:val="center"/>
          </w:tcPr>
          <w:p w14:paraId="1882F242">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272" w:type="pct"/>
            <w:tcBorders>
              <w:tl2br w:val="nil"/>
              <w:tr2bl w:val="nil"/>
            </w:tcBorders>
            <w:vAlign w:val="center"/>
          </w:tcPr>
          <w:p w14:paraId="5395A3CD">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vAlign w:val="center"/>
          </w:tcPr>
          <w:p w14:paraId="3BD3AD1D">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71BDC351">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2A183C0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6B59E31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5CED9DB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52621E5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1455387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5F240ED8">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0.124</w:t>
            </w:r>
          </w:p>
        </w:tc>
      </w:tr>
      <w:tr w14:paraId="7CA75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76" w:type="pct"/>
            <w:tcBorders>
              <w:tl2br w:val="nil"/>
              <w:tr2bl w:val="nil"/>
            </w:tcBorders>
            <w:shd w:val="clear" w:color="auto" w:fill="auto"/>
            <w:vAlign w:val="center"/>
          </w:tcPr>
          <w:p w14:paraId="0FD7B67F">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3（</w:t>
            </w:r>
            <w:r>
              <w:rPr>
                <w:b w:val="0"/>
                <w:bCs w:val="0"/>
                <w:color w:val="auto"/>
                <w:sz w:val="21"/>
                <w:szCs w:val="21"/>
              </w:rPr>
              <w:t>DA007</w:t>
            </w:r>
            <w:r>
              <w:rPr>
                <w:rFonts w:hint="eastAsia"/>
                <w:b w:val="0"/>
                <w:bCs w:val="0"/>
                <w:color w:val="auto"/>
                <w:sz w:val="21"/>
                <w:szCs w:val="21"/>
                <w:lang w:val="en-US" w:eastAsia="zh-CN"/>
              </w:rPr>
              <w:t>）</w:t>
            </w:r>
          </w:p>
        </w:tc>
        <w:tc>
          <w:tcPr>
            <w:tcW w:w="592" w:type="pct"/>
            <w:tcBorders>
              <w:tl2br w:val="nil"/>
              <w:tr2bl w:val="nil"/>
            </w:tcBorders>
            <w:vAlign w:val="center"/>
          </w:tcPr>
          <w:p w14:paraId="2C00C6FD">
            <w:pPr>
              <w:jc w:val="center"/>
              <w:rPr>
                <w:b w:val="0"/>
                <w:bCs w:val="0"/>
                <w:color w:val="auto"/>
                <w:sz w:val="21"/>
                <w:szCs w:val="21"/>
              </w:rPr>
            </w:pPr>
            <w:r>
              <w:rPr>
                <w:b w:val="0"/>
                <w:bCs w:val="0"/>
                <w:color w:val="auto"/>
                <w:sz w:val="21"/>
                <w:szCs w:val="21"/>
              </w:rPr>
              <w:t>124°36′26.57″</w:t>
            </w:r>
          </w:p>
        </w:tc>
        <w:tc>
          <w:tcPr>
            <w:tcW w:w="558" w:type="pct"/>
            <w:tcBorders>
              <w:tl2br w:val="nil"/>
              <w:tr2bl w:val="nil"/>
            </w:tcBorders>
            <w:vAlign w:val="center"/>
          </w:tcPr>
          <w:p w14:paraId="2390E76D">
            <w:pPr>
              <w:jc w:val="center"/>
              <w:rPr>
                <w:b w:val="0"/>
                <w:bCs w:val="0"/>
                <w:color w:val="auto"/>
                <w:sz w:val="21"/>
                <w:szCs w:val="21"/>
              </w:rPr>
            </w:pPr>
            <w:r>
              <w:rPr>
                <w:b w:val="0"/>
                <w:bCs w:val="0"/>
                <w:color w:val="auto"/>
                <w:sz w:val="21"/>
                <w:szCs w:val="21"/>
              </w:rPr>
              <w:t>48°12′53.35″</w:t>
            </w:r>
          </w:p>
        </w:tc>
        <w:tc>
          <w:tcPr>
            <w:tcW w:w="412" w:type="pct"/>
            <w:tcBorders>
              <w:tl2br w:val="nil"/>
              <w:tr2bl w:val="nil"/>
            </w:tcBorders>
            <w:shd w:val="clear" w:color="auto" w:fill="auto"/>
            <w:vAlign w:val="center"/>
          </w:tcPr>
          <w:p w14:paraId="51768D1B">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272" w:type="pct"/>
            <w:tcBorders>
              <w:tl2br w:val="nil"/>
              <w:tr2bl w:val="nil"/>
            </w:tcBorders>
            <w:vAlign w:val="center"/>
          </w:tcPr>
          <w:p w14:paraId="45C2177A">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vAlign w:val="center"/>
          </w:tcPr>
          <w:p w14:paraId="162B24DB">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4172A9D3">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678CCAF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4DC3606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70558BE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53C12DE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0C50000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7F4CB5B3">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0.129</w:t>
            </w:r>
          </w:p>
        </w:tc>
      </w:tr>
      <w:tr w14:paraId="32BAE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776" w:type="pct"/>
            <w:tcBorders>
              <w:tl2br w:val="nil"/>
              <w:tr2bl w:val="nil"/>
            </w:tcBorders>
            <w:shd w:val="clear" w:color="auto" w:fill="auto"/>
            <w:vAlign w:val="center"/>
          </w:tcPr>
          <w:p w14:paraId="0B21B0CD">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4（</w:t>
            </w:r>
            <w:r>
              <w:rPr>
                <w:b w:val="0"/>
                <w:bCs w:val="0"/>
                <w:color w:val="auto"/>
                <w:sz w:val="21"/>
                <w:szCs w:val="21"/>
              </w:rPr>
              <w:t>DA008</w:t>
            </w:r>
            <w:r>
              <w:rPr>
                <w:rFonts w:hint="eastAsia"/>
                <w:b w:val="0"/>
                <w:bCs w:val="0"/>
                <w:color w:val="auto"/>
                <w:sz w:val="21"/>
                <w:szCs w:val="21"/>
                <w:lang w:val="en-US" w:eastAsia="zh-CN"/>
              </w:rPr>
              <w:t>）</w:t>
            </w:r>
          </w:p>
        </w:tc>
        <w:tc>
          <w:tcPr>
            <w:tcW w:w="592" w:type="pct"/>
            <w:tcBorders>
              <w:tl2br w:val="nil"/>
              <w:tr2bl w:val="nil"/>
            </w:tcBorders>
            <w:vAlign w:val="center"/>
          </w:tcPr>
          <w:p w14:paraId="744F1C8F">
            <w:pPr>
              <w:jc w:val="center"/>
              <w:rPr>
                <w:b w:val="0"/>
                <w:bCs w:val="0"/>
                <w:color w:val="auto"/>
                <w:sz w:val="21"/>
                <w:szCs w:val="21"/>
              </w:rPr>
            </w:pPr>
            <w:r>
              <w:rPr>
                <w:b w:val="0"/>
                <w:bCs w:val="0"/>
                <w:color w:val="auto"/>
                <w:sz w:val="21"/>
                <w:szCs w:val="21"/>
              </w:rPr>
              <w:t>124°36′27.29″</w:t>
            </w:r>
          </w:p>
        </w:tc>
        <w:tc>
          <w:tcPr>
            <w:tcW w:w="558" w:type="pct"/>
            <w:tcBorders>
              <w:tl2br w:val="nil"/>
              <w:tr2bl w:val="nil"/>
            </w:tcBorders>
            <w:vAlign w:val="center"/>
          </w:tcPr>
          <w:p w14:paraId="0C6E0885">
            <w:pPr>
              <w:jc w:val="center"/>
              <w:rPr>
                <w:b w:val="0"/>
                <w:bCs w:val="0"/>
                <w:color w:val="auto"/>
                <w:sz w:val="21"/>
                <w:szCs w:val="21"/>
              </w:rPr>
            </w:pPr>
            <w:r>
              <w:rPr>
                <w:b w:val="0"/>
                <w:bCs w:val="0"/>
                <w:color w:val="auto"/>
                <w:sz w:val="21"/>
                <w:szCs w:val="21"/>
              </w:rPr>
              <w:t>48°12′53.39″</w:t>
            </w:r>
          </w:p>
        </w:tc>
        <w:tc>
          <w:tcPr>
            <w:tcW w:w="412" w:type="pct"/>
            <w:tcBorders>
              <w:tl2br w:val="nil"/>
              <w:tr2bl w:val="nil"/>
            </w:tcBorders>
            <w:shd w:val="clear" w:color="auto" w:fill="auto"/>
            <w:vAlign w:val="center"/>
          </w:tcPr>
          <w:p w14:paraId="740F4557">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272" w:type="pct"/>
            <w:tcBorders>
              <w:tl2br w:val="nil"/>
              <w:tr2bl w:val="nil"/>
            </w:tcBorders>
            <w:vAlign w:val="center"/>
          </w:tcPr>
          <w:p w14:paraId="17EB92DB">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vAlign w:val="center"/>
          </w:tcPr>
          <w:p w14:paraId="7A4399F6">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5A32E51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387D8BD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63C6ADE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171F3C6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5E681DC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08EF27A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2A95D9F7">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0.135</w:t>
            </w:r>
          </w:p>
        </w:tc>
      </w:tr>
      <w:tr w14:paraId="25DA7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776" w:type="pct"/>
            <w:tcBorders>
              <w:tl2br w:val="nil"/>
              <w:tr2bl w:val="nil"/>
            </w:tcBorders>
            <w:shd w:val="clear" w:color="auto" w:fill="auto"/>
            <w:vAlign w:val="center"/>
          </w:tcPr>
          <w:p w14:paraId="05D42221">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5（</w:t>
            </w:r>
            <w:r>
              <w:rPr>
                <w:b w:val="0"/>
                <w:bCs w:val="0"/>
                <w:color w:val="auto"/>
                <w:sz w:val="21"/>
                <w:szCs w:val="21"/>
              </w:rPr>
              <w:t>DA009</w:t>
            </w:r>
            <w:r>
              <w:rPr>
                <w:rFonts w:hint="eastAsia"/>
                <w:b w:val="0"/>
                <w:bCs w:val="0"/>
                <w:color w:val="auto"/>
                <w:sz w:val="21"/>
                <w:szCs w:val="21"/>
                <w:lang w:val="en-US" w:eastAsia="zh-CN"/>
              </w:rPr>
              <w:t>）</w:t>
            </w:r>
          </w:p>
        </w:tc>
        <w:tc>
          <w:tcPr>
            <w:tcW w:w="592" w:type="pct"/>
            <w:tcBorders>
              <w:tl2br w:val="nil"/>
              <w:tr2bl w:val="nil"/>
            </w:tcBorders>
            <w:vAlign w:val="center"/>
          </w:tcPr>
          <w:p w14:paraId="537231A6">
            <w:pPr>
              <w:jc w:val="center"/>
              <w:rPr>
                <w:b w:val="0"/>
                <w:bCs w:val="0"/>
                <w:color w:val="auto"/>
                <w:sz w:val="21"/>
                <w:szCs w:val="21"/>
              </w:rPr>
            </w:pPr>
            <w:r>
              <w:rPr>
                <w:b w:val="0"/>
                <w:bCs w:val="0"/>
                <w:color w:val="auto"/>
                <w:sz w:val="21"/>
                <w:szCs w:val="21"/>
              </w:rPr>
              <w:t>124°36′26.06″</w:t>
            </w:r>
          </w:p>
        </w:tc>
        <w:tc>
          <w:tcPr>
            <w:tcW w:w="558" w:type="pct"/>
            <w:tcBorders>
              <w:tl2br w:val="nil"/>
              <w:tr2bl w:val="nil"/>
            </w:tcBorders>
            <w:vAlign w:val="center"/>
          </w:tcPr>
          <w:p w14:paraId="0E614C3E">
            <w:pPr>
              <w:jc w:val="center"/>
              <w:rPr>
                <w:b w:val="0"/>
                <w:bCs w:val="0"/>
                <w:color w:val="auto"/>
                <w:sz w:val="21"/>
                <w:szCs w:val="21"/>
              </w:rPr>
            </w:pPr>
            <w:r>
              <w:rPr>
                <w:b w:val="0"/>
                <w:bCs w:val="0"/>
                <w:color w:val="auto"/>
                <w:sz w:val="21"/>
                <w:szCs w:val="21"/>
              </w:rPr>
              <w:t>48°12′53.50″</w:t>
            </w:r>
          </w:p>
        </w:tc>
        <w:tc>
          <w:tcPr>
            <w:tcW w:w="412" w:type="pct"/>
            <w:tcBorders>
              <w:tl2br w:val="nil"/>
              <w:tr2bl w:val="nil"/>
            </w:tcBorders>
            <w:shd w:val="clear" w:color="auto" w:fill="auto"/>
            <w:vAlign w:val="center"/>
          </w:tcPr>
          <w:p w14:paraId="0B19B965">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272" w:type="pct"/>
            <w:tcBorders>
              <w:tl2br w:val="nil"/>
              <w:tr2bl w:val="nil"/>
            </w:tcBorders>
            <w:vAlign w:val="center"/>
          </w:tcPr>
          <w:p w14:paraId="761FC874">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vAlign w:val="center"/>
          </w:tcPr>
          <w:p w14:paraId="7FAF5F10">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6278F01A">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6850C31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518FA5B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6BEBBA2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490A4A6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4BC9179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2090E375">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0.131</w:t>
            </w:r>
          </w:p>
        </w:tc>
      </w:tr>
      <w:tr w14:paraId="3292A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776" w:type="pct"/>
            <w:tcBorders>
              <w:tl2br w:val="nil"/>
              <w:tr2bl w:val="nil"/>
            </w:tcBorders>
            <w:shd w:val="clear" w:color="auto" w:fill="auto"/>
            <w:vAlign w:val="center"/>
          </w:tcPr>
          <w:p w14:paraId="1B833AF1">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6（</w:t>
            </w:r>
            <w:r>
              <w:rPr>
                <w:b w:val="0"/>
                <w:bCs w:val="0"/>
                <w:color w:val="auto"/>
                <w:sz w:val="21"/>
                <w:szCs w:val="21"/>
              </w:rPr>
              <w:t>DA010</w:t>
            </w:r>
            <w:r>
              <w:rPr>
                <w:rFonts w:hint="eastAsia"/>
                <w:b w:val="0"/>
                <w:bCs w:val="0"/>
                <w:color w:val="auto"/>
                <w:sz w:val="21"/>
                <w:szCs w:val="21"/>
                <w:lang w:val="en-US" w:eastAsia="zh-CN"/>
              </w:rPr>
              <w:t>）</w:t>
            </w:r>
          </w:p>
        </w:tc>
        <w:tc>
          <w:tcPr>
            <w:tcW w:w="592" w:type="pct"/>
            <w:tcBorders>
              <w:tl2br w:val="nil"/>
              <w:tr2bl w:val="nil"/>
            </w:tcBorders>
            <w:vAlign w:val="center"/>
          </w:tcPr>
          <w:p w14:paraId="686FC74E">
            <w:pPr>
              <w:jc w:val="center"/>
              <w:rPr>
                <w:b w:val="0"/>
                <w:bCs w:val="0"/>
                <w:color w:val="auto"/>
                <w:sz w:val="21"/>
                <w:szCs w:val="21"/>
              </w:rPr>
            </w:pPr>
            <w:r>
              <w:rPr>
                <w:b w:val="0"/>
                <w:bCs w:val="0"/>
                <w:color w:val="auto"/>
                <w:sz w:val="21"/>
                <w:szCs w:val="21"/>
              </w:rPr>
              <w:t>124°36′27.04″</w:t>
            </w:r>
          </w:p>
        </w:tc>
        <w:tc>
          <w:tcPr>
            <w:tcW w:w="558" w:type="pct"/>
            <w:tcBorders>
              <w:tl2br w:val="nil"/>
              <w:tr2bl w:val="nil"/>
            </w:tcBorders>
            <w:vAlign w:val="center"/>
          </w:tcPr>
          <w:p w14:paraId="124BA618">
            <w:pPr>
              <w:jc w:val="center"/>
              <w:rPr>
                <w:b w:val="0"/>
                <w:bCs w:val="0"/>
                <w:color w:val="auto"/>
                <w:sz w:val="21"/>
                <w:szCs w:val="21"/>
              </w:rPr>
            </w:pPr>
            <w:r>
              <w:rPr>
                <w:b w:val="0"/>
                <w:bCs w:val="0"/>
                <w:color w:val="auto"/>
                <w:sz w:val="21"/>
                <w:szCs w:val="21"/>
              </w:rPr>
              <w:t>48°12′54.18″</w:t>
            </w:r>
          </w:p>
        </w:tc>
        <w:tc>
          <w:tcPr>
            <w:tcW w:w="412" w:type="pct"/>
            <w:tcBorders>
              <w:tl2br w:val="nil"/>
              <w:tr2bl w:val="nil"/>
            </w:tcBorders>
            <w:shd w:val="clear" w:color="auto" w:fill="auto"/>
            <w:vAlign w:val="center"/>
          </w:tcPr>
          <w:p w14:paraId="79D8CCD0">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vAlign w:val="center"/>
          </w:tcPr>
          <w:p w14:paraId="7467600A">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vAlign w:val="center"/>
          </w:tcPr>
          <w:p w14:paraId="1E9D3F32">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24BA16B7">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2091FF1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0011856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5275D20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693A2BC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2C9919E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16463320">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0.131</w:t>
            </w:r>
          </w:p>
        </w:tc>
      </w:tr>
      <w:tr w14:paraId="2EE6A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76" w:type="pct"/>
            <w:tcBorders>
              <w:tl2br w:val="nil"/>
              <w:tr2bl w:val="nil"/>
            </w:tcBorders>
            <w:vAlign w:val="center"/>
          </w:tcPr>
          <w:p w14:paraId="4935BAF2">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7（</w:t>
            </w:r>
            <w:r>
              <w:rPr>
                <w:b w:val="0"/>
                <w:bCs w:val="0"/>
                <w:color w:val="auto"/>
                <w:sz w:val="21"/>
                <w:szCs w:val="21"/>
              </w:rPr>
              <w:t>DA01</w:t>
            </w:r>
            <w:r>
              <w:rPr>
                <w:rFonts w:hint="eastAsia"/>
                <w:b w:val="0"/>
                <w:bCs w:val="0"/>
                <w:color w:val="auto"/>
                <w:sz w:val="21"/>
                <w:szCs w:val="21"/>
                <w:lang w:val="en-US" w:eastAsia="zh-CN"/>
              </w:rPr>
              <w:t>4）</w:t>
            </w:r>
          </w:p>
        </w:tc>
        <w:tc>
          <w:tcPr>
            <w:tcW w:w="592" w:type="pct"/>
            <w:tcBorders>
              <w:tl2br w:val="nil"/>
              <w:tr2bl w:val="nil"/>
            </w:tcBorders>
            <w:vAlign w:val="center"/>
          </w:tcPr>
          <w:p w14:paraId="22B092F6">
            <w:pPr>
              <w:jc w:val="center"/>
              <w:rPr>
                <w:b w:val="0"/>
                <w:bCs w:val="0"/>
                <w:color w:val="auto"/>
                <w:sz w:val="21"/>
                <w:szCs w:val="21"/>
              </w:rPr>
            </w:pPr>
            <w:r>
              <w:rPr>
                <w:b w:val="0"/>
                <w:bCs w:val="0"/>
                <w:color w:val="auto"/>
                <w:sz w:val="21"/>
                <w:szCs w:val="21"/>
              </w:rPr>
              <w:t>124°36′26.06″</w:t>
            </w:r>
          </w:p>
        </w:tc>
        <w:tc>
          <w:tcPr>
            <w:tcW w:w="558" w:type="pct"/>
            <w:tcBorders>
              <w:tl2br w:val="nil"/>
              <w:tr2bl w:val="nil"/>
            </w:tcBorders>
            <w:vAlign w:val="center"/>
          </w:tcPr>
          <w:p w14:paraId="215E83C2">
            <w:pPr>
              <w:jc w:val="center"/>
              <w:rPr>
                <w:b w:val="0"/>
                <w:bCs w:val="0"/>
                <w:color w:val="auto"/>
                <w:sz w:val="21"/>
                <w:szCs w:val="21"/>
              </w:rPr>
            </w:pPr>
            <w:r>
              <w:rPr>
                <w:b w:val="0"/>
                <w:bCs w:val="0"/>
                <w:color w:val="auto"/>
                <w:sz w:val="21"/>
                <w:szCs w:val="21"/>
              </w:rPr>
              <w:t>48°12′54.22″</w:t>
            </w:r>
          </w:p>
        </w:tc>
        <w:tc>
          <w:tcPr>
            <w:tcW w:w="412" w:type="pct"/>
            <w:tcBorders>
              <w:tl2br w:val="nil"/>
              <w:tr2bl w:val="nil"/>
            </w:tcBorders>
            <w:shd w:val="clear" w:color="auto" w:fill="auto"/>
            <w:vAlign w:val="center"/>
          </w:tcPr>
          <w:p w14:paraId="5263B302">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vAlign w:val="center"/>
          </w:tcPr>
          <w:p w14:paraId="6AFCB73F">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vAlign w:val="center"/>
          </w:tcPr>
          <w:p w14:paraId="23649E21">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138E733E">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7C2BC8E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7CF477F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74CD7C5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07CFD8E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00905A9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32293187">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0.130</w:t>
            </w:r>
          </w:p>
        </w:tc>
      </w:tr>
      <w:tr w14:paraId="002D2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776" w:type="pct"/>
            <w:tcBorders>
              <w:tl2br w:val="nil"/>
              <w:tr2bl w:val="nil"/>
            </w:tcBorders>
            <w:vAlign w:val="center"/>
          </w:tcPr>
          <w:p w14:paraId="1A208829">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8（</w:t>
            </w:r>
            <w:r>
              <w:rPr>
                <w:b w:val="0"/>
                <w:bCs w:val="0"/>
                <w:color w:val="auto"/>
                <w:sz w:val="21"/>
                <w:szCs w:val="21"/>
              </w:rPr>
              <w:t>DA01</w:t>
            </w:r>
            <w:r>
              <w:rPr>
                <w:rFonts w:hint="eastAsia"/>
                <w:b w:val="0"/>
                <w:bCs w:val="0"/>
                <w:color w:val="auto"/>
                <w:sz w:val="21"/>
                <w:szCs w:val="21"/>
                <w:lang w:val="en-US" w:eastAsia="zh-CN"/>
              </w:rPr>
              <w:t>5）</w:t>
            </w:r>
          </w:p>
        </w:tc>
        <w:tc>
          <w:tcPr>
            <w:tcW w:w="592" w:type="pct"/>
            <w:tcBorders>
              <w:tl2br w:val="nil"/>
              <w:tr2bl w:val="nil"/>
            </w:tcBorders>
            <w:vAlign w:val="center"/>
          </w:tcPr>
          <w:p w14:paraId="1D02ED67">
            <w:pPr>
              <w:jc w:val="center"/>
              <w:rPr>
                <w:b w:val="0"/>
                <w:bCs w:val="0"/>
                <w:color w:val="auto"/>
                <w:sz w:val="21"/>
                <w:szCs w:val="21"/>
              </w:rPr>
            </w:pPr>
            <w:r>
              <w:rPr>
                <w:b w:val="0"/>
                <w:bCs w:val="0"/>
                <w:color w:val="auto"/>
                <w:sz w:val="21"/>
                <w:szCs w:val="21"/>
              </w:rPr>
              <w:t>124°36′26.32″</w:t>
            </w:r>
          </w:p>
        </w:tc>
        <w:tc>
          <w:tcPr>
            <w:tcW w:w="558" w:type="pct"/>
            <w:tcBorders>
              <w:tl2br w:val="nil"/>
              <w:tr2bl w:val="nil"/>
            </w:tcBorders>
            <w:vAlign w:val="center"/>
          </w:tcPr>
          <w:p w14:paraId="3172EBFE">
            <w:pPr>
              <w:jc w:val="center"/>
              <w:rPr>
                <w:b w:val="0"/>
                <w:bCs w:val="0"/>
                <w:color w:val="auto"/>
                <w:sz w:val="21"/>
                <w:szCs w:val="21"/>
              </w:rPr>
            </w:pPr>
            <w:r>
              <w:rPr>
                <w:b w:val="0"/>
                <w:bCs w:val="0"/>
                <w:color w:val="auto"/>
                <w:sz w:val="21"/>
                <w:szCs w:val="21"/>
              </w:rPr>
              <w:t>48°12′54.22″</w:t>
            </w:r>
          </w:p>
        </w:tc>
        <w:tc>
          <w:tcPr>
            <w:tcW w:w="412" w:type="pct"/>
            <w:tcBorders>
              <w:tl2br w:val="nil"/>
              <w:tr2bl w:val="nil"/>
            </w:tcBorders>
            <w:shd w:val="clear" w:color="auto" w:fill="auto"/>
            <w:vAlign w:val="center"/>
          </w:tcPr>
          <w:p w14:paraId="221C0E47">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058DF522">
            <w:pPr>
              <w:jc w:val="center"/>
              <w:rPr>
                <w:rFonts w:eastAsia="宋体"/>
                <w:b w:val="0"/>
                <w:bCs w:val="0"/>
                <w:color w:val="auto"/>
                <w:sz w:val="21"/>
                <w:szCs w:val="21"/>
                <w:lang w:val="en-US" w:eastAsia="en-US"/>
              </w:rPr>
            </w:pPr>
            <w:r>
              <w:rPr>
                <w:rFonts w:eastAsia="宋体"/>
                <w:b w:val="0"/>
                <w:bCs w:val="0"/>
                <w:color w:val="auto"/>
                <w:sz w:val="21"/>
                <w:szCs w:val="21"/>
              </w:rPr>
              <w:t>22.5</w:t>
            </w:r>
          </w:p>
        </w:tc>
        <w:tc>
          <w:tcPr>
            <w:tcW w:w="258" w:type="pct"/>
            <w:tcBorders>
              <w:tl2br w:val="nil"/>
              <w:tr2bl w:val="nil"/>
            </w:tcBorders>
            <w:shd w:val="clear" w:color="auto" w:fill="auto"/>
            <w:vAlign w:val="center"/>
          </w:tcPr>
          <w:p w14:paraId="761E3E65">
            <w:pPr>
              <w:jc w:val="center"/>
              <w:rPr>
                <w:rFonts w:eastAsia="宋体"/>
                <w:b w:val="0"/>
                <w:bCs w:val="0"/>
                <w:color w:val="auto"/>
                <w:sz w:val="21"/>
                <w:szCs w:val="21"/>
                <w:lang w:val="en-US" w:eastAsia="en-US"/>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04AF8BB4">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057860B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271" w:type="pct"/>
            <w:tcBorders>
              <w:tl2br w:val="nil"/>
              <w:tr2bl w:val="nil"/>
            </w:tcBorders>
            <w:shd w:val="clear" w:color="auto" w:fill="auto"/>
            <w:vAlign w:val="center"/>
          </w:tcPr>
          <w:p w14:paraId="46F25B2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7B8D593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4611E40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27B1E83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7154EEDF">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0.130</w:t>
            </w:r>
          </w:p>
        </w:tc>
      </w:tr>
      <w:tr w14:paraId="7EB22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776" w:type="pct"/>
            <w:tcBorders>
              <w:tl2br w:val="nil"/>
              <w:tr2bl w:val="nil"/>
            </w:tcBorders>
            <w:shd w:val="clear" w:color="auto" w:fill="auto"/>
            <w:vAlign w:val="center"/>
          </w:tcPr>
          <w:p w14:paraId="303BF241">
            <w:pPr>
              <w:jc w:val="center"/>
              <w:rPr>
                <w:rFonts w:hint="eastAsia" w:eastAsia="宋体"/>
                <w:b w:val="0"/>
                <w:bCs w:val="0"/>
                <w:color w:val="auto"/>
                <w:sz w:val="21"/>
                <w:szCs w:val="21"/>
                <w:lang w:val="en-US" w:eastAsia="zh-CN"/>
              </w:rPr>
            </w:pPr>
            <w:r>
              <w:rPr>
                <w:b w:val="0"/>
                <w:bCs w:val="0"/>
                <w:color w:val="auto"/>
                <w:sz w:val="21"/>
                <w:szCs w:val="21"/>
              </w:rPr>
              <w:t>粉碎风机排气筒10</w:t>
            </w:r>
            <w:r>
              <w:rPr>
                <w:rFonts w:hint="eastAsia"/>
                <w:b w:val="0"/>
                <w:bCs w:val="0"/>
                <w:color w:val="auto"/>
                <w:sz w:val="21"/>
                <w:szCs w:val="21"/>
                <w:lang w:eastAsia="zh-CN"/>
              </w:rPr>
              <w:t>（</w:t>
            </w:r>
            <w:r>
              <w:rPr>
                <w:b w:val="0"/>
                <w:bCs w:val="0"/>
                <w:color w:val="auto"/>
                <w:sz w:val="21"/>
                <w:szCs w:val="21"/>
              </w:rPr>
              <w:t>DA018</w:t>
            </w:r>
            <w:r>
              <w:rPr>
                <w:rFonts w:hint="eastAsia"/>
                <w:b w:val="0"/>
                <w:bCs w:val="0"/>
                <w:color w:val="auto"/>
                <w:sz w:val="21"/>
                <w:szCs w:val="21"/>
                <w:lang w:eastAsia="zh-CN"/>
              </w:rPr>
              <w:t>）</w:t>
            </w:r>
          </w:p>
        </w:tc>
        <w:tc>
          <w:tcPr>
            <w:tcW w:w="592" w:type="pct"/>
            <w:tcBorders>
              <w:tl2br w:val="nil"/>
              <w:tr2bl w:val="nil"/>
            </w:tcBorders>
            <w:vAlign w:val="center"/>
          </w:tcPr>
          <w:p w14:paraId="73D3F251">
            <w:pPr>
              <w:jc w:val="center"/>
              <w:rPr>
                <w:b w:val="0"/>
                <w:bCs w:val="0"/>
                <w:color w:val="auto"/>
                <w:sz w:val="21"/>
                <w:szCs w:val="21"/>
              </w:rPr>
            </w:pPr>
            <w:r>
              <w:rPr>
                <w:b w:val="0"/>
                <w:bCs w:val="0"/>
                <w:color w:val="auto"/>
                <w:sz w:val="21"/>
                <w:szCs w:val="21"/>
              </w:rPr>
              <w:t>124°36′26.21″</w:t>
            </w:r>
          </w:p>
        </w:tc>
        <w:tc>
          <w:tcPr>
            <w:tcW w:w="558" w:type="pct"/>
            <w:tcBorders>
              <w:tl2br w:val="nil"/>
              <w:tr2bl w:val="nil"/>
            </w:tcBorders>
            <w:vAlign w:val="center"/>
          </w:tcPr>
          <w:p w14:paraId="09CAFED8">
            <w:pPr>
              <w:jc w:val="center"/>
              <w:rPr>
                <w:b w:val="0"/>
                <w:bCs w:val="0"/>
                <w:color w:val="auto"/>
                <w:sz w:val="21"/>
                <w:szCs w:val="21"/>
              </w:rPr>
            </w:pPr>
            <w:r>
              <w:rPr>
                <w:b w:val="0"/>
                <w:bCs w:val="0"/>
                <w:color w:val="auto"/>
                <w:sz w:val="21"/>
                <w:szCs w:val="21"/>
              </w:rPr>
              <w:t>48°12′56.09″</w:t>
            </w:r>
          </w:p>
        </w:tc>
        <w:tc>
          <w:tcPr>
            <w:tcW w:w="412" w:type="pct"/>
            <w:tcBorders>
              <w:tl2br w:val="nil"/>
              <w:tr2bl w:val="nil"/>
            </w:tcBorders>
            <w:shd w:val="clear" w:color="auto" w:fill="auto"/>
            <w:vAlign w:val="center"/>
          </w:tcPr>
          <w:p w14:paraId="6BC7D981">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479E6E24">
            <w:pPr>
              <w:jc w:val="center"/>
              <w:rPr>
                <w:rFonts w:eastAsia="宋体"/>
                <w:b w:val="0"/>
                <w:bCs w:val="0"/>
                <w:color w:val="auto"/>
                <w:sz w:val="21"/>
                <w:szCs w:val="21"/>
                <w:lang w:val="en-US" w:eastAsia="en-US"/>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6C803222">
            <w:pPr>
              <w:jc w:val="center"/>
              <w:rPr>
                <w:rFonts w:eastAsia="宋体"/>
                <w:b w:val="0"/>
                <w:bCs w:val="0"/>
                <w:color w:val="auto"/>
                <w:sz w:val="21"/>
                <w:szCs w:val="21"/>
                <w:lang w:val="en-US" w:eastAsia="en-US"/>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226209B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439769F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70C61B0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56C67A0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29AC230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1645A27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55179708">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0.135</w:t>
            </w:r>
          </w:p>
        </w:tc>
      </w:tr>
      <w:tr w14:paraId="7C177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776" w:type="pct"/>
            <w:tcBorders>
              <w:tl2br w:val="nil"/>
              <w:tr2bl w:val="nil"/>
            </w:tcBorders>
            <w:shd w:val="clear" w:color="auto" w:fill="auto"/>
            <w:vAlign w:val="center"/>
          </w:tcPr>
          <w:p w14:paraId="25532A03">
            <w:pPr>
              <w:jc w:val="center"/>
              <w:rPr>
                <w:rFonts w:hint="eastAsia" w:eastAsia="宋体"/>
                <w:b w:val="0"/>
                <w:bCs w:val="0"/>
                <w:color w:val="auto"/>
                <w:sz w:val="21"/>
                <w:szCs w:val="21"/>
                <w:lang w:val="en-US" w:eastAsia="zh-CN"/>
              </w:rPr>
            </w:pPr>
            <w:r>
              <w:rPr>
                <w:b w:val="0"/>
                <w:bCs w:val="0"/>
                <w:color w:val="auto"/>
                <w:sz w:val="21"/>
                <w:szCs w:val="21"/>
              </w:rPr>
              <w:t>粉碎风机排气筒20</w:t>
            </w:r>
            <w:r>
              <w:rPr>
                <w:rFonts w:hint="eastAsia"/>
                <w:b w:val="0"/>
                <w:bCs w:val="0"/>
                <w:color w:val="auto"/>
                <w:sz w:val="21"/>
                <w:szCs w:val="21"/>
                <w:lang w:eastAsia="zh-CN"/>
              </w:rPr>
              <w:t>（</w:t>
            </w:r>
            <w:r>
              <w:rPr>
                <w:b w:val="0"/>
                <w:bCs w:val="0"/>
                <w:color w:val="auto"/>
                <w:sz w:val="21"/>
                <w:szCs w:val="21"/>
              </w:rPr>
              <w:t>DA019</w:t>
            </w:r>
            <w:r>
              <w:rPr>
                <w:rFonts w:hint="eastAsia"/>
                <w:b w:val="0"/>
                <w:bCs w:val="0"/>
                <w:color w:val="auto"/>
                <w:sz w:val="21"/>
                <w:szCs w:val="21"/>
                <w:lang w:eastAsia="zh-CN"/>
              </w:rPr>
              <w:t>）</w:t>
            </w:r>
          </w:p>
        </w:tc>
        <w:tc>
          <w:tcPr>
            <w:tcW w:w="592" w:type="pct"/>
            <w:tcBorders>
              <w:tl2br w:val="nil"/>
              <w:tr2bl w:val="nil"/>
            </w:tcBorders>
            <w:vAlign w:val="center"/>
          </w:tcPr>
          <w:p w14:paraId="2A555C35">
            <w:pPr>
              <w:jc w:val="center"/>
              <w:rPr>
                <w:b w:val="0"/>
                <w:bCs w:val="0"/>
                <w:color w:val="auto"/>
                <w:sz w:val="21"/>
                <w:szCs w:val="21"/>
              </w:rPr>
            </w:pPr>
            <w:r>
              <w:rPr>
                <w:b w:val="0"/>
                <w:bCs w:val="0"/>
                <w:color w:val="auto"/>
                <w:sz w:val="21"/>
                <w:szCs w:val="21"/>
              </w:rPr>
              <w:t>124°36′26.39″</w:t>
            </w:r>
          </w:p>
        </w:tc>
        <w:tc>
          <w:tcPr>
            <w:tcW w:w="558" w:type="pct"/>
            <w:tcBorders>
              <w:tl2br w:val="nil"/>
              <w:tr2bl w:val="nil"/>
            </w:tcBorders>
            <w:vAlign w:val="center"/>
          </w:tcPr>
          <w:p w14:paraId="5EA28B9F">
            <w:pPr>
              <w:jc w:val="center"/>
              <w:rPr>
                <w:b w:val="0"/>
                <w:bCs w:val="0"/>
                <w:color w:val="auto"/>
                <w:sz w:val="21"/>
                <w:szCs w:val="21"/>
              </w:rPr>
            </w:pPr>
            <w:r>
              <w:rPr>
                <w:b w:val="0"/>
                <w:bCs w:val="0"/>
                <w:color w:val="auto"/>
                <w:sz w:val="21"/>
                <w:szCs w:val="21"/>
              </w:rPr>
              <w:t>48°12′56.05″</w:t>
            </w:r>
          </w:p>
        </w:tc>
        <w:tc>
          <w:tcPr>
            <w:tcW w:w="412" w:type="pct"/>
            <w:tcBorders>
              <w:tl2br w:val="nil"/>
              <w:tr2bl w:val="nil"/>
            </w:tcBorders>
            <w:shd w:val="clear" w:color="auto" w:fill="auto"/>
            <w:vAlign w:val="center"/>
          </w:tcPr>
          <w:p w14:paraId="74804C9E">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5A121D01">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15CE5FBD">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20EDAC1F">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75560AF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0604123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0C3AA56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1642A64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68C17AE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6143E68A">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0.134</w:t>
            </w:r>
          </w:p>
        </w:tc>
      </w:tr>
      <w:tr w14:paraId="4B642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6" w:type="pct"/>
            <w:tcBorders>
              <w:tl2br w:val="nil"/>
              <w:tr2bl w:val="nil"/>
            </w:tcBorders>
            <w:shd w:val="clear" w:color="auto" w:fill="auto"/>
            <w:vAlign w:val="center"/>
          </w:tcPr>
          <w:p w14:paraId="3CCDFDF9">
            <w:pPr>
              <w:jc w:val="center"/>
              <w:rPr>
                <w:rFonts w:hint="eastAsia" w:eastAsia="宋体"/>
                <w:b w:val="0"/>
                <w:bCs w:val="0"/>
                <w:color w:val="auto"/>
                <w:sz w:val="21"/>
                <w:szCs w:val="21"/>
                <w:lang w:val="en-US" w:eastAsia="zh-CN"/>
              </w:rPr>
            </w:pPr>
            <w:r>
              <w:rPr>
                <w:b w:val="0"/>
                <w:bCs w:val="0"/>
                <w:color w:val="auto"/>
                <w:sz w:val="21"/>
                <w:szCs w:val="21"/>
              </w:rPr>
              <w:t>粉碎风机排气筒11</w:t>
            </w:r>
            <w:r>
              <w:rPr>
                <w:rFonts w:hint="eastAsia"/>
                <w:b w:val="0"/>
                <w:bCs w:val="0"/>
                <w:color w:val="auto"/>
                <w:sz w:val="21"/>
                <w:szCs w:val="21"/>
                <w:lang w:eastAsia="zh-CN"/>
              </w:rPr>
              <w:t>（</w:t>
            </w:r>
            <w:r>
              <w:rPr>
                <w:b w:val="0"/>
                <w:bCs w:val="0"/>
                <w:color w:val="auto"/>
                <w:sz w:val="21"/>
                <w:szCs w:val="21"/>
              </w:rPr>
              <w:t>DA020</w:t>
            </w:r>
            <w:r>
              <w:rPr>
                <w:rFonts w:hint="eastAsia"/>
                <w:b w:val="0"/>
                <w:bCs w:val="0"/>
                <w:color w:val="auto"/>
                <w:sz w:val="21"/>
                <w:szCs w:val="21"/>
                <w:lang w:eastAsia="zh-CN"/>
              </w:rPr>
              <w:t>）</w:t>
            </w:r>
          </w:p>
        </w:tc>
        <w:tc>
          <w:tcPr>
            <w:tcW w:w="592" w:type="pct"/>
            <w:tcBorders>
              <w:tl2br w:val="nil"/>
              <w:tr2bl w:val="nil"/>
            </w:tcBorders>
            <w:vAlign w:val="center"/>
          </w:tcPr>
          <w:p w14:paraId="35479BFC">
            <w:pPr>
              <w:jc w:val="center"/>
              <w:rPr>
                <w:b w:val="0"/>
                <w:bCs w:val="0"/>
                <w:color w:val="auto"/>
                <w:sz w:val="21"/>
                <w:szCs w:val="21"/>
              </w:rPr>
            </w:pPr>
            <w:r>
              <w:rPr>
                <w:b w:val="0"/>
                <w:bCs w:val="0"/>
                <w:color w:val="auto"/>
                <w:sz w:val="21"/>
                <w:szCs w:val="21"/>
              </w:rPr>
              <w:t>124°36′26.60″</w:t>
            </w:r>
          </w:p>
        </w:tc>
        <w:tc>
          <w:tcPr>
            <w:tcW w:w="558" w:type="pct"/>
            <w:tcBorders>
              <w:tl2br w:val="nil"/>
              <w:tr2bl w:val="nil"/>
            </w:tcBorders>
            <w:vAlign w:val="center"/>
          </w:tcPr>
          <w:p w14:paraId="2A5220EC">
            <w:pPr>
              <w:jc w:val="center"/>
              <w:rPr>
                <w:b w:val="0"/>
                <w:bCs w:val="0"/>
                <w:color w:val="auto"/>
                <w:sz w:val="21"/>
                <w:szCs w:val="21"/>
              </w:rPr>
            </w:pPr>
            <w:r>
              <w:rPr>
                <w:b w:val="0"/>
                <w:bCs w:val="0"/>
                <w:color w:val="auto"/>
                <w:sz w:val="21"/>
                <w:szCs w:val="21"/>
              </w:rPr>
              <w:t>48°12′56.09″</w:t>
            </w:r>
          </w:p>
        </w:tc>
        <w:tc>
          <w:tcPr>
            <w:tcW w:w="412" w:type="pct"/>
            <w:tcBorders>
              <w:tl2br w:val="nil"/>
              <w:tr2bl w:val="nil"/>
            </w:tcBorders>
            <w:shd w:val="clear" w:color="auto" w:fill="auto"/>
            <w:vAlign w:val="center"/>
          </w:tcPr>
          <w:p w14:paraId="696B3323">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3ED54271">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3A21DD04">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66E3A307">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2219BA6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36EC1E7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58828F9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1D8B79F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60D3FB7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0E39A457">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0.128</w:t>
            </w:r>
          </w:p>
        </w:tc>
      </w:tr>
      <w:tr w14:paraId="13D66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776" w:type="pct"/>
            <w:tcBorders>
              <w:tl2br w:val="nil"/>
              <w:tr2bl w:val="nil"/>
            </w:tcBorders>
            <w:shd w:val="clear" w:color="auto" w:fill="auto"/>
            <w:vAlign w:val="center"/>
          </w:tcPr>
          <w:p w14:paraId="564748F0">
            <w:pPr>
              <w:jc w:val="center"/>
              <w:rPr>
                <w:rFonts w:hint="eastAsia" w:eastAsia="宋体"/>
                <w:b w:val="0"/>
                <w:bCs w:val="0"/>
                <w:color w:val="auto"/>
                <w:sz w:val="21"/>
                <w:szCs w:val="21"/>
                <w:lang w:val="en-US" w:eastAsia="zh-CN"/>
              </w:rPr>
            </w:pPr>
            <w:r>
              <w:rPr>
                <w:b w:val="0"/>
                <w:bCs w:val="0"/>
                <w:color w:val="auto"/>
                <w:sz w:val="21"/>
                <w:szCs w:val="21"/>
              </w:rPr>
              <w:t>粉碎风机排气筒9</w:t>
            </w:r>
            <w:r>
              <w:rPr>
                <w:rFonts w:hint="eastAsia"/>
                <w:b w:val="0"/>
                <w:bCs w:val="0"/>
                <w:color w:val="auto"/>
                <w:sz w:val="21"/>
                <w:szCs w:val="21"/>
                <w:lang w:eastAsia="zh-CN"/>
              </w:rPr>
              <w:t>（</w:t>
            </w:r>
            <w:r>
              <w:rPr>
                <w:b w:val="0"/>
                <w:bCs w:val="0"/>
                <w:color w:val="auto"/>
                <w:sz w:val="21"/>
                <w:szCs w:val="21"/>
              </w:rPr>
              <w:t>DA021</w:t>
            </w:r>
            <w:r>
              <w:rPr>
                <w:rFonts w:hint="eastAsia"/>
                <w:b w:val="0"/>
                <w:bCs w:val="0"/>
                <w:color w:val="auto"/>
                <w:sz w:val="21"/>
                <w:szCs w:val="21"/>
                <w:lang w:eastAsia="zh-CN"/>
              </w:rPr>
              <w:t>）</w:t>
            </w:r>
          </w:p>
        </w:tc>
        <w:tc>
          <w:tcPr>
            <w:tcW w:w="592" w:type="pct"/>
            <w:tcBorders>
              <w:tl2br w:val="nil"/>
              <w:tr2bl w:val="nil"/>
            </w:tcBorders>
            <w:vAlign w:val="center"/>
          </w:tcPr>
          <w:p w14:paraId="301EB7F1">
            <w:pPr>
              <w:jc w:val="center"/>
              <w:rPr>
                <w:b w:val="0"/>
                <w:bCs w:val="0"/>
                <w:color w:val="auto"/>
                <w:sz w:val="21"/>
                <w:szCs w:val="21"/>
              </w:rPr>
            </w:pPr>
            <w:r>
              <w:rPr>
                <w:b w:val="0"/>
                <w:bCs w:val="0"/>
                <w:color w:val="auto"/>
                <w:sz w:val="21"/>
                <w:szCs w:val="21"/>
              </w:rPr>
              <w:t>124°36′26.86″</w:t>
            </w:r>
          </w:p>
        </w:tc>
        <w:tc>
          <w:tcPr>
            <w:tcW w:w="558" w:type="pct"/>
            <w:tcBorders>
              <w:tl2br w:val="nil"/>
              <w:tr2bl w:val="nil"/>
            </w:tcBorders>
            <w:vAlign w:val="center"/>
          </w:tcPr>
          <w:p w14:paraId="4FA9296F">
            <w:pPr>
              <w:jc w:val="center"/>
              <w:rPr>
                <w:b w:val="0"/>
                <w:bCs w:val="0"/>
                <w:color w:val="auto"/>
                <w:sz w:val="21"/>
                <w:szCs w:val="21"/>
              </w:rPr>
            </w:pPr>
            <w:r>
              <w:rPr>
                <w:b w:val="0"/>
                <w:bCs w:val="0"/>
                <w:color w:val="auto"/>
                <w:sz w:val="21"/>
                <w:szCs w:val="21"/>
              </w:rPr>
              <w:t>48°12′56.12″</w:t>
            </w:r>
          </w:p>
        </w:tc>
        <w:tc>
          <w:tcPr>
            <w:tcW w:w="412" w:type="pct"/>
            <w:tcBorders>
              <w:tl2br w:val="nil"/>
              <w:tr2bl w:val="nil"/>
            </w:tcBorders>
            <w:shd w:val="clear" w:color="auto" w:fill="auto"/>
            <w:vAlign w:val="center"/>
          </w:tcPr>
          <w:p w14:paraId="151ED868">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22362961">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5F8E251B">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358F66CE">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470ECEC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4FFE6B1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6B84716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4F4D5DE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4649EC8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580FF09E">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0.127</w:t>
            </w:r>
          </w:p>
        </w:tc>
      </w:tr>
      <w:tr w14:paraId="377D9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776" w:type="pct"/>
            <w:tcBorders>
              <w:tl2br w:val="nil"/>
              <w:tr2bl w:val="nil"/>
            </w:tcBorders>
            <w:shd w:val="clear" w:color="auto" w:fill="auto"/>
            <w:vAlign w:val="center"/>
          </w:tcPr>
          <w:p w14:paraId="77C2452A">
            <w:pPr>
              <w:jc w:val="center"/>
              <w:rPr>
                <w:rFonts w:hint="default" w:eastAsia="宋体"/>
                <w:b w:val="0"/>
                <w:bCs w:val="0"/>
                <w:color w:val="auto"/>
                <w:sz w:val="21"/>
                <w:szCs w:val="21"/>
                <w:lang w:val="en-US" w:eastAsia="zh-CN"/>
              </w:rPr>
            </w:pPr>
            <w:r>
              <w:rPr>
                <w:b w:val="0"/>
                <w:bCs w:val="0"/>
                <w:color w:val="auto"/>
                <w:sz w:val="21"/>
                <w:szCs w:val="21"/>
              </w:rPr>
              <w:t>粉碎风机排气筒14</w:t>
            </w:r>
            <w:r>
              <w:rPr>
                <w:rFonts w:hint="eastAsia"/>
                <w:b w:val="0"/>
                <w:bCs w:val="0"/>
                <w:color w:val="auto"/>
                <w:sz w:val="21"/>
                <w:szCs w:val="21"/>
                <w:lang w:eastAsia="zh-CN"/>
              </w:rPr>
              <w:t>（</w:t>
            </w:r>
            <w:r>
              <w:rPr>
                <w:b w:val="0"/>
                <w:bCs w:val="0"/>
                <w:color w:val="auto"/>
                <w:sz w:val="21"/>
                <w:szCs w:val="21"/>
              </w:rPr>
              <w:t>DA022</w:t>
            </w:r>
            <w:r>
              <w:rPr>
                <w:rFonts w:hint="eastAsia"/>
                <w:b w:val="0"/>
                <w:bCs w:val="0"/>
                <w:color w:val="auto"/>
                <w:sz w:val="21"/>
                <w:szCs w:val="21"/>
                <w:lang w:eastAsia="zh-CN"/>
              </w:rPr>
              <w:t>）</w:t>
            </w:r>
          </w:p>
        </w:tc>
        <w:tc>
          <w:tcPr>
            <w:tcW w:w="592" w:type="pct"/>
            <w:tcBorders>
              <w:tl2br w:val="nil"/>
              <w:tr2bl w:val="nil"/>
            </w:tcBorders>
            <w:vAlign w:val="center"/>
          </w:tcPr>
          <w:p w14:paraId="77E6A166">
            <w:pPr>
              <w:jc w:val="center"/>
              <w:rPr>
                <w:b w:val="0"/>
                <w:bCs w:val="0"/>
                <w:color w:val="auto"/>
                <w:sz w:val="21"/>
                <w:szCs w:val="21"/>
              </w:rPr>
            </w:pPr>
            <w:r>
              <w:rPr>
                <w:b w:val="0"/>
                <w:bCs w:val="0"/>
                <w:color w:val="auto"/>
                <w:sz w:val="21"/>
                <w:szCs w:val="21"/>
              </w:rPr>
              <w:t>124°36′27.22″</w:t>
            </w:r>
          </w:p>
        </w:tc>
        <w:tc>
          <w:tcPr>
            <w:tcW w:w="558" w:type="pct"/>
            <w:tcBorders>
              <w:tl2br w:val="nil"/>
              <w:tr2bl w:val="nil"/>
            </w:tcBorders>
            <w:vAlign w:val="center"/>
          </w:tcPr>
          <w:p w14:paraId="0F4599CD">
            <w:pPr>
              <w:jc w:val="center"/>
              <w:rPr>
                <w:b w:val="0"/>
                <w:bCs w:val="0"/>
                <w:color w:val="auto"/>
                <w:sz w:val="21"/>
                <w:szCs w:val="21"/>
              </w:rPr>
            </w:pPr>
            <w:r>
              <w:rPr>
                <w:b w:val="0"/>
                <w:bCs w:val="0"/>
                <w:color w:val="auto"/>
                <w:sz w:val="21"/>
                <w:szCs w:val="21"/>
              </w:rPr>
              <w:t>48°12′56.05″</w:t>
            </w:r>
          </w:p>
        </w:tc>
        <w:tc>
          <w:tcPr>
            <w:tcW w:w="412" w:type="pct"/>
            <w:tcBorders>
              <w:tl2br w:val="nil"/>
              <w:tr2bl w:val="nil"/>
            </w:tcBorders>
            <w:shd w:val="clear" w:color="auto" w:fill="auto"/>
            <w:vAlign w:val="center"/>
          </w:tcPr>
          <w:p w14:paraId="7FB0E214">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16F91A34">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52148E72">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055A2DB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6C5BF08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7537EF6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5507098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5A03582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34FC15B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4AC36C07">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0.128</w:t>
            </w:r>
          </w:p>
        </w:tc>
      </w:tr>
      <w:tr w14:paraId="4F540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776" w:type="pct"/>
            <w:tcBorders>
              <w:tl2br w:val="nil"/>
              <w:tr2bl w:val="nil"/>
            </w:tcBorders>
            <w:shd w:val="clear" w:color="auto" w:fill="auto"/>
            <w:vAlign w:val="center"/>
          </w:tcPr>
          <w:p w14:paraId="008DF259">
            <w:pPr>
              <w:jc w:val="center"/>
              <w:rPr>
                <w:rFonts w:hint="default" w:eastAsia="宋体"/>
                <w:b w:val="0"/>
                <w:bCs w:val="0"/>
                <w:color w:val="auto"/>
                <w:sz w:val="21"/>
                <w:szCs w:val="21"/>
                <w:lang w:val="en-US" w:eastAsia="zh-CN"/>
              </w:rPr>
            </w:pPr>
            <w:r>
              <w:rPr>
                <w:b w:val="0"/>
                <w:bCs w:val="0"/>
                <w:color w:val="auto"/>
                <w:sz w:val="21"/>
                <w:szCs w:val="21"/>
              </w:rPr>
              <w:t>粉碎风机排气筒12</w:t>
            </w:r>
            <w:r>
              <w:rPr>
                <w:rFonts w:hint="eastAsia"/>
                <w:b w:val="0"/>
                <w:bCs w:val="0"/>
                <w:color w:val="auto"/>
                <w:sz w:val="21"/>
                <w:szCs w:val="21"/>
                <w:lang w:eastAsia="zh-CN"/>
              </w:rPr>
              <w:t>（</w:t>
            </w:r>
            <w:r>
              <w:rPr>
                <w:b w:val="0"/>
                <w:bCs w:val="0"/>
                <w:color w:val="auto"/>
                <w:sz w:val="21"/>
                <w:szCs w:val="21"/>
              </w:rPr>
              <w:t>DA023</w:t>
            </w:r>
            <w:r>
              <w:rPr>
                <w:rFonts w:hint="eastAsia"/>
                <w:b w:val="0"/>
                <w:bCs w:val="0"/>
                <w:color w:val="auto"/>
                <w:sz w:val="21"/>
                <w:szCs w:val="21"/>
                <w:lang w:eastAsia="zh-CN"/>
              </w:rPr>
              <w:t>）</w:t>
            </w:r>
          </w:p>
        </w:tc>
        <w:tc>
          <w:tcPr>
            <w:tcW w:w="592" w:type="pct"/>
            <w:tcBorders>
              <w:tl2br w:val="nil"/>
              <w:tr2bl w:val="nil"/>
            </w:tcBorders>
            <w:vAlign w:val="center"/>
          </w:tcPr>
          <w:p w14:paraId="6A7BBCA6">
            <w:pPr>
              <w:jc w:val="center"/>
              <w:rPr>
                <w:b w:val="0"/>
                <w:bCs w:val="0"/>
                <w:color w:val="auto"/>
                <w:sz w:val="21"/>
                <w:szCs w:val="21"/>
              </w:rPr>
            </w:pPr>
            <w:r>
              <w:rPr>
                <w:b w:val="0"/>
                <w:bCs w:val="0"/>
                <w:color w:val="auto"/>
                <w:sz w:val="21"/>
                <w:szCs w:val="21"/>
              </w:rPr>
              <w:t>124°36′27.40″</w:t>
            </w:r>
          </w:p>
        </w:tc>
        <w:tc>
          <w:tcPr>
            <w:tcW w:w="558" w:type="pct"/>
            <w:tcBorders>
              <w:tl2br w:val="nil"/>
              <w:tr2bl w:val="nil"/>
            </w:tcBorders>
            <w:vAlign w:val="center"/>
          </w:tcPr>
          <w:p w14:paraId="599C3F8F">
            <w:pPr>
              <w:jc w:val="center"/>
              <w:rPr>
                <w:b w:val="0"/>
                <w:bCs w:val="0"/>
                <w:color w:val="auto"/>
                <w:sz w:val="21"/>
                <w:szCs w:val="21"/>
              </w:rPr>
            </w:pPr>
            <w:r>
              <w:rPr>
                <w:b w:val="0"/>
                <w:bCs w:val="0"/>
                <w:color w:val="auto"/>
                <w:sz w:val="21"/>
                <w:szCs w:val="21"/>
              </w:rPr>
              <w:t>48°12′56.09″</w:t>
            </w:r>
          </w:p>
        </w:tc>
        <w:tc>
          <w:tcPr>
            <w:tcW w:w="412" w:type="pct"/>
            <w:tcBorders>
              <w:tl2br w:val="nil"/>
              <w:tr2bl w:val="nil"/>
            </w:tcBorders>
            <w:shd w:val="clear" w:color="auto" w:fill="auto"/>
            <w:vAlign w:val="center"/>
          </w:tcPr>
          <w:p w14:paraId="15845172">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5F688553">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1533C955">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1C98635F">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450F8F6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29B3D8D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78F4D1A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4E9123C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181181A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4816CCC9">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0.131</w:t>
            </w:r>
          </w:p>
        </w:tc>
      </w:tr>
      <w:tr w14:paraId="3E5AD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776" w:type="pct"/>
            <w:tcBorders>
              <w:tl2br w:val="nil"/>
              <w:tr2bl w:val="nil"/>
            </w:tcBorders>
            <w:shd w:val="clear" w:color="auto" w:fill="auto"/>
            <w:vAlign w:val="center"/>
          </w:tcPr>
          <w:p w14:paraId="4AA14982">
            <w:pPr>
              <w:jc w:val="center"/>
              <w:rPr>
                <w:rFonts w:hint="eastAsia" w:eastAsia="宋体"/>
                <w:b w:val="0"/>
                <w:bCs w:val="0"/>
                <w:color w:val="auto"/>
                <w:sz w:val="21"/>
                <w:szCs w:val="21"/>
                <w:lang w:val="en-US" w:eastAsia="zh-CN"/>
              </w:rPr>
            </w:pPr>
            <w:r>
              <w:rPr>
                <w:b w:val="0"/>
                <w:bCs w:val="0"/>
                <w:color w:val="auto"/>
                <w:sz w:val="21"/>
                <w:szCs w:val="21"/>
              </w:rPr>
              <w:t>粉碎风机排气筒16</w:t>
            </w:r>
            <w:r>
              <w:rPr>
                <w:rFonts w:hint="eastAsia"/>
                <w:b w:val="0"/>
                <w:bCs w:val="0"/>
                <w:color w:val="auto"/>
                <w:sz w:val="21"/>
                <w:szCs w:val="21"/>
                <w:lang w:eastAsia="zh-CN"/>
              </w:rPr>
              <w:t>（</w:t>
            </w:r>
            <w:r>
              <w:rPr>
                <w:b w:val="0"/>
                <w:bCs w:val="0"/>
                <w:color w:val="auto"/>
                <w:sz w:val="21"/>
                <w:szCs w:val="21"/>
              </w:rPr>
              <w:t>DA024</w:t>
            </w:r>
            <w:r>
              <w:rPr>
                <w:rFonts w:hint="eastAsia"/>
                <w:b w:val="0"/>
                <w:bCs w:val="0"/>
                <w:color w:val="auto"/>
                <w:sz w:val="21"/>
                <w:szCs w:val="21"/>
                <w:lang w:eastAsia="zh-CN"/>
              </w:rPr>
              <w:t>）</w:t>
            </w:r>
          </w:p>
        </w:tc>
        <w:tc>
          <w:tcPr>
            <w:tcW w:w="592" w:type="pct"/>
            <w:tcBorders>
              <w:tl2br w:val="nil"/>
              <w:tr2bl w:val="nil"/>
            </w:tcBorders>
            <w:vAlign w:val="center"/>
          </w:tcPr>
          <w:p w14:paraId="218A4210">
            <w:pPr>
              <w:jc w:val="center"/>
              <w:rPr>
                <w:b w:val="0"/>
                <w:bCs w:val="0"/>
                <w:color w:val="auto"/>
                <w:sz w:val="21"/>
                <w:szCs w:val="21"/>
              </w:rPr>
            </w:pPr>
            <w:r>
              <w:rPr>
                <w:b w:val="0"/>
                <w:bCs w:val="0"/>
                <w:color w:val="auto"/>
                <w:sz w:val="21"/>
                <w:szCs w:val="21"/>
              </w:rPr>
              <w:t>124°36′26.24″</w:t>
            </w:r>
          </w:p>
        </w:tc>
        <w:tc>
          <w:tcPr>
            <w:tcW w:w="558" w:type="pct"/>
            <w:tcBorders>
              <w:tl2br w:val="nil"/>
              <w:tr2bl w:val="nil"/>
            </w:tcBorders>
            <w:vAlign w:val="center"/>
          </w:tcPr>
          <w:p w14:paraId="123A10BD">
            <w:pPr>
              <w:jc w:val="center"/>
              <w:rPr>
                <w:b w:val="0"/>
                <w:bCs w:val="0"/>
                <w:color w:val="auto"/>
                <w:sz w:val="21"/>
                <w:szCs w:val="21"/>
              </w:rPr>
            </w:pPr>
            <w:r>
              <w:rPr>
                <w:b w:val="0"/>
                <w:bCs w:val="0"/>
                <w:color w:val="auto"/>
                <w:sz w:val="21"/>
                <w:szCs w:val="21"/>
              </w:rPr>
              <w:t>48°12′56.81″</w:t>
            </w:r>
          </w:p>
        </w:tc>
        <w:tc>
          <w:tcPr>
            <w:tcW w:w="412" w:type="pct"/>
            <w:tcBorders>
              <w:tl2br w:val="nil"/>
              <w:tr2bl w:val="nil"/>
            </w:tcBorders>
            <w:shd w:val="clear" w:color="auto" w:fill="auto"/>
            <w:vAlign w:val="center"/>
          </w:tcPr>
          <w:p w14:paraId="05C2CCAA">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272" w:type="pct"/>
            <w:tcBorders>
              <w:tl2br w:val="nil"/>
              <w:tr2bl w:val="nil"/>
            </w:tcBorders>
            <w:shd w:val="clear" w:color="auto" w:fill="auto"/>
            <w:vAlign w:val="center"/>
          </w:tcPr>
          <w:p w14:paraId="02ED82A3">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47CA6199">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0F29013C">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799AE15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6655285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122F6CC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02EA812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778" w:type="dxa"/>
            <w:tcBorders>
              <w:tl2br w:val="nil"/>
              <w:tr2bl w:val="nil"/>
            </w:tcBorders>
            <w:shd w:val="clear" w:color="auto" w:fill="auto"/>
            <w:vAlign w:val="center"/>
          </w:tcPr>
          <w:p w14:paraId="1384E8E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50A532BE">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bidi="ar-SA"/>
              </w:rPr>
            </w:pPr>
            <w:r>
              <w:rPr>
                <w:rFonts w:hint="default"/>
                <w:sz w:val="21"/>
                <w:szCs w:val="21"/>
              </w:rPr>
              <w:t>0.131</w:t>
            </w:r>
          </w:p>
        </w:tc>
      </w:tr>
      <w:tr w14:paraId="0F3BB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776" w:type="pct"/>
            <w:tcBorders>
              <w:tl2br w:val="nil"/>
              <w:tr2bl w:val="nil"/>
            </w:tcBorders>
            <w:shd w:val="clear" w:color="auto" w:fill="auto"/>
            <w:vAlign w:val="center"/>
          </w:tcPr>
          <w:p w14:paraId="543EDF56">
            <w:pPr>
              <w:jc w:val="center"/>
              <w:rPr>
                <w:rFonts w:hint="default" w:eastAsia="宋体"/>
                <w:b w:val="0"/>
                <w:bCs w:val="0"/>
                <w:color w:val="auto"/>
                <w:sz w:val="21"/>
                <w:szCs w:val="21"/>
                <w:lang w:val="en-US" w:eastAsia="zh-CN"/>
              </w:rPr>
            </w:pPr>
            <w:r>
              <w:rPr>
                <w:b w:val="0"/>
                <w:bCs w:val="0"/>
                <w:color w:val="auto"/>
                <w:sz w:val="21"/>
                <w:szCs w:val="21"/>
              </w:rPr>
              <w:t>粉碎风机排气筒17</w:t>
            </w:r>
            <w:r>
              <w:rPr>
                <w:rFonts w:hint="eastAsia"/>
                <w:b w:val="0"/>
                <w:bCs w:val="0"/>
                <w:color w:val="auto"/>
                <w:sz w:val="21"/>
                <w:szCs w:val="21"/>
                <w:lang w:eastAsia="zh-CN"/>
              </w:rPr>
              <w:t>（</w:t>
            </w:r>
            <w:r>
              <w:rPr>
                <w:b w:val="0"/>
                <w:bCs w:val="0"/>
                <w:color w:val="auto"/>
                <w:sz w:val="21"/>
                <w:szCs w:val="21"/>
              </w:rPr>
              <w:t>DA025</w:t>
            </w:r>
            <w:r>
              <w:rPr>
                <w:rFonts w:hint="eastAsia"/>
                <w:b w:val="0"/>
                <w:bCs w:val="0"/>
                <w:color w:val="auto"/>
                <w:sz w:val="21"/>
                <w:szCs w:val="21"/>
                <w:lang w:eastAsia="zh-CN"/>
              </w:rPr>
              <w:t>）</w:t>
            </w:r>
          </w:p>
        </w:tc>
        <w:tc>
          <w:tcPr>
            <w:tcW w:w="592" w:type="pct"/>
            <w:tcBorders>
              <w:tl2br w:val="nil"/>
              <w:tr2bl w:val="nil"/>
            </w:tcBorders>
            <w:vAlign w:val="center"/>
          </w:tcPr>
          <w:p w14:paraId="692C617D">
            <w:pPr>
              <w:jc w:val="center"/>
              <w:rPr>
                <w:b w:val="0"/>
                <w:bCs w:val="0"/>
                <w:color w:val="auto"/>
                <w:sz w:val="21"/>
                <w:szCs w:val="21"/>
              </w:rPr>
            </w:pPr>
            <w:r>
              <w:rPr>
                <w:b w:val="0"/>
                <w:bCs w:val="0"/>
                <w:color w:val="auto"/>
                <w:sz w:val="21"/>
                <w:szCs w:val="21"/>
              </w:rPr>
              <w:t>124°36′26.39″</w:t>
            </w:r>
          </w:p>
        </w:tc>
        <w:tc>
          <w:tcPr>
            <w:tcW w:w="558" w:type="pct"/>
            <w:tcBorders>
              <w:tl2br w:val="nil"/>
              <w:tr2bl w:val="nil"/>
            </w:tcBorders>
            <w:vAlign w:val="center"/>
          </w:tcPr>
          <w:p w14:paraId="20CE11EB">
            <w:pPr>
              <w:jc w:val="center"/>
              <w:rPr>
                <w:b w:val="0"/>
                <w:bCs w:val="0"/>
                <w:color w:val="auto"/>
                <w:sz w:val="21"/>
                <w:szCs w:val="21"/>
              </w:rPr>
            </w:pPr>
            <w:r>
              <w:rPr>
                <w:b w:val="0"/>
                <w:bCs w:val="0"/>
                <w:color w:val="auto"/>
                <w:sz w:val="21"/>
                <w:szCs w:val="21"/>
              </w:rPr>
              <w:t>48°12′56.84″</w:t>
            </w:r>
          </w:p>
        </w:tc>
        <w:tc>
          <w:tcPr>
            <w:tcW w:w="412" w:type="pct"/>
            <w:tcBorders>
              <w:tl2br w:val="nil"/>
              <w:tr2bl w:val="nil"/>
            </w:tcBorders>
            <w:shd w:val="clear" w:color="auto" w:fill="auto"/>
            <w:vAlign w:val="center"/>
          </w:tcPr>
          <w:p w14:paraId="4D8F9CC4">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272" w:type="pct"/>
            <w:tcBorders>
              <w:tl2br w:val="nil"/>
              <w:tr2bl w:val="nil"/>
            </w:tcBorders>
            <w:shd w:val="clear" w:color="auto" w:fill="auto"/>
            <w:vAlign w:val="center"/>
          </w:tcPr>
          <w:p w14:paraId="30E1F5B3">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03E27453">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362233AA">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7356D29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6733053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6BC1748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49B9298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51508D1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107EC22B">
            <w:pPr>
              <w:keepNext w:val="0"/>
              <w:keepLines w:val="0"/>
              <w:widowControl/>
              <w:suppressLineNumbers w:val="0"/>
              <w:spacing w:before="0" w:beforeAutospacing="0" w:after="0" w:afterAutospacing="0"/>
              <w:ind w:left="0" w:leftChars="0" w:right="0" w:rightChars="0"/>
              <w:jc w:val="center"/>
              <w:rPr>
                <w:rFonts w:hint="eastAsia" w:eastAsia="宋体"/>
                <w:b w:val="0"/>
                <w:bCs w:val="0"/>
                <w:color w:val="auto"/>
                <w:sz w:val="21"/>
                <w:szCs w:val="21"/>
                <w:lang w:eastAsia="zh-CN"/>
              </w:rPr>
            </w:pPr>
            <w:r>
              <w:rPr>
                <w:rFonts w:hint="default"/>
                <w:sz w:val="21"/>
                <w:szCs w:val="21"/>
              </w:rPr>
              <w:t>0.123</w:t>
            </w:r>
          </w:p>
        </w:tc>
      </w:tr>
      <w:tr w14:paraId="05EAA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776" w:type="pct"/>
            <w:tcBorders>
              <w:tl2br w:val="nil"/>
              <w:tr2bl w:val="nil"/>
            </w:tcBorders>
            <w:shd w:val="clear" w:color="auto" w:fill="auto"/>
            <w:vAlign w:val="center"/>
          </w:tcPr>
          <w:p w14:paraId="01E4FFA7">
            <w:pPr>
              <w:jc w:val="center"/>
              <w:rPr>
                <w:rFonts w:hint="eastAsia" w:eastAsia="宋体"/>
                <w:b w:val="0"/>
                <w:bCs w:val="0"/>
                <w:color w:val="auto"/>
                <w:sz w:val="21"/>
                <w:szCs w:val="21"/>
                <w:lang w:val="en-US" w:eastAsia="zh-CN"/>
              </w:rPr>
            </w:pPr>
            <w:r>
              <w:rPr>
                <w:b w:val="0"/>
                <w:bCs w:val="0"/>
                <w:color w:val="auto"/>
                <w:sz w:val="21"/>
                <w:szCs w:val="21"/>
              </w:rPr>
              <w:t>粉碎风机排气筒15</w:t>
            </w:r>
            <w:r>
              <w:rPr>
                <w:rFonts w:hint="eastAsia"/>
                <w:b w:val="0"/>
                <w:bCs w:val="0"/>
                <w:color w:val="auto"/>
                <w:sz w:val="21"/>
                <w:szCs w:val="21"/>
                <w:lang w:eastAsia="zh-CN"/>
              </w:rPr>
              <w:t>（</w:t>
            </w:r>
            <w:r>
              <w:rPr>
                <w:b w:val="0"/>
                <w:bCs w:val="0"/>
                <w:color w:val="auto"/>
                <w:sz w:val="21"/>
                <w:szCs w:val="21"/>
              </w:rPr>
              <w:t>DA026</w:t>
            </w:r>
            <w:r>
              <w:rPr>
                <w:rFonts w:hint="eastAsia"/>
                <w:b w:val="0"/>
                <w:bCs w:val="0"/>
                <w:color w:val="auto"/>
                <w:sz w:val="21"/>
                <w:szCs w:val="21"/>
                <w:lang w:eastAsia="zh-CN"/>
              </w:rPr>
              <w:t>）</w:t>
            </w:r>
          </w:p>
        </w:tc>
        <w:tc>
          <w:tcPr>
            <w:tcW w:w="592" w:type="pct"/>
            <w:tcBorders>
              <w:tl2br w:val="nil"/>
              <w:tr2bl w:val="nil"/>
            </w:tcBorders>
            <w:vAlign w:val="center"/>
          </w:tcPr>
          <w:p w14:paraId="4F76E943">
            <w:pPr>
              <w:jc w:val="center"/>
              <w:rPr>
                <w:rFonts w:hint="eastAsia"/>
                <w:b w:val="0"/>
                <w:bCs w:val="0"/>
                <w:color w:val="auto"/>
                <w:sz w:val="21"/>
                <w:szCs w:val="21"/>
                <w:lang w:eastAsia="zh-CN"/>
              </w:rPr>
            </w:pPr>
            <w:r>
              <w:rPr>
                <w:rFonts w:hint="eastAsia"/>
                <w:b w:val="0"/>
                <w:bCs w:val="0"/>
                <w:color w:val="auto"/>
                <w:sz w:val="21"/>
                <w:szCs w:val="21"/>
                <w:lang w:val="en-US" w:eastAsia="zh-CN"/>
              </w:rPr>
              <w:t>1</w:t>
            </w:r>
            <w:r>
              <w:rPr>
                <w:b w:val="0"/>
                <w:bCs w:val="0"/>
                <w:color w:val="auto"/>
                <w:sz w:val="21"/>
                <w:szCs w:val="21"/>
              </w:rPr>
              <w:t>24°36′26.68</w:t>
            </w:r>
            <w:r>
              <w:rPr>
                <w:rFonts w:hint="eastAsia"/>
                <w:b w:val="0"/>
                <w:bCs w:val="0"/>
                <w:color w:val="auto"/>
                <w:sz w:val="21"/>
                <w:szCs w:val="21"/>
                <w:lang w:eastAsia="zh-CN"/>
              </w:rPr>
              <w:t>″</w:t>
            </w:r>
          </w:p>
        </w:tc>
        <w:tc>
          <w:tcPr>
            <w:tcW w:w="558" w:type="pct"/>
            <w:tcBorders>
              <w:tl2br w:val="nil"/>
              <w:tr2bl w:val="nil"/>
            </w:tcBorders>
            <w:vAlign w:val="center"/>
          </w:tcPr>
          <w:p w14:paraId="67599D0E">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′56.8l</w:t>
            </w:r>
            <w:r>
              <w:rPr>
                <w:rFonts w:hint="eastAsia"/>
                <w:b w:val="0"/>
                <w:bCs w:val="0"/>
                <w:color w:val="auto"/>
                <w:sz w:val="21"/>
                <w:szCs w:val="21"/>
                <w:lang w:eastAsia="zh-CN"/>
              </w:rPr>
              <w:t>″</w:t>
            </w:r>
          </w:p>
        </w:tc>
        <w:tc>
          <w:tcPr>
            <w:tcW w:w="412" w:type="pct"/>
            <w:tcBorders>
              <w:tl2br w:val="nil"/>
              <w:tr2bl w:val="nil"/>
            </w:tcBorders>
            <w:shd w:val="clear" w:color="auto" w:fill="auto"/>
            <w:vAlign w:val="center"/>
          </w:tcPr>
          <w:p w14:paraId="644A2B7B">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272" w:type="pct"/>
            <w:tcBorders>
              <w:tl2br w:val="nil"/>
              <w:tr2bl w:val="nil"/>
            </w:tcBorders>
            <w:shd w:val="clear" w:color="auto" w:fill="auto"/>
            <w:vAlign w:val="center"/>
          </w:tcPr>
          <w:p w14:paraId="29C8FE89">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7B9858A0">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6052B6EC">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1084CE1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6EC57E8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5FD5CA2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636E2FE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45C3556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7CDCE3EC">
            <w:pPr>
              <w:keepNext w:val="0"/>
              <w:keepLines w:val="0"/>
              <w:widowControl/>
              <w:suppressLineNumbers w:val="0"/>
              <w:spacing w:before="0" w:beforeAutospacing="0" w:after="0" w:afterAutospacing="0"/>
              <w:ind w:left="0" w:leftChars="0" w:right="0" w:rightChars="0"/>
              <w:jc w:val="center"/>
              <w:rPr>
                <w:rFonts w:hint="eastAsia" w:eastAsia="宋体"/>
                <w:b w:val="0"/>
                <w:bCs w:val="0"/>
                <w:color w:val="auto"/>
                <w:sz w:val="21"/>
                <w:szCs w:val="21"/>
                <w:lang w:eastAsia="zh-CN"/>
              </w:rPr>
            </w:pPr>
            <w:r>
              <w:rPr>
                <w:rFonts w:hint="default"/>
                <w:sz w:val="21"/>
                <w:szCs w:val="21"/>
              </w:rPr>
              <w:t>0.135</w:t>
            </w:r>
          </w:p>
        </w:tc>
      </w:tr>
      <w:tr w14:paraId="7FFB4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76" w:type="pct"/>
            <w:tcBorders>
              <w:tl2br w:val="nil"/>
              <w:tr2bl w:val="nil"/>
            </w:tcBorders>
            <w:shd w:val="clear" w:color="auto" w:fill="auto"/>
            <w:vAlign w:val="center"/>
          </w:tcPr>
          <w:p w14:paraId="2D3E8218">
            <w:pPr>
              <w:jc w:val="center"/>
              <w:rPr>
                <w:rFonts w:hint="eastAsia"/>
                <w:b w:val="0"/>
                <w:bCs w:val="0"/>
                <w:color w:val="auto"/>
                <w:sz w:val="21"/>
                <w:szCs w:val="21"/>
                <w:lang w:val="en-US" w:eastAsia="zh-CN"/>
              </w:rPr>
            </w:pPr>
            <w:r>
              <w:rPr>
                <w:b w:val="0"/>
                <w:bCs w:val="0"/>
                <w:color w:val="auto"/>
                <w:sz w:val="21"/>
                <w:szCs w:val="21"/>
              </w:rPr>
              <w:t>粉碎风机排气筒18</w:t>
            </w:r>
            <w:r>
              <w:rPr>
                <w:rFonts w:hint="eastAsia"/>
                <w:b w:val="0"/>
                <w:bCs w:val="0"/>
                <w:color w:val="auto"/>
                <w:sz w:val="21"/>
                <w:szCs w:val="21"/>
                <w:lang w:eastAsia="zh-CN"/>
              </w:rPr>
              <w:t>（</w:t>
            </w:r>
            <w:r>
              <w:rPr>
                <w:b w:val="0"/>
                <w:bCs w:val="0"/>
                <w:color w:val="auto"/>
                <w:sz w:val="21"/>
                <w:szCs w:val="21"/>
              </w:rPr>
              <w:t>DA027</w:t>
            </w:r>
            <w:r>
              <w:rPr>
                <w:rFonts w:hint="eastAsia"/>
                <w:b w:val="0"/>
                <w:bCs w:val="0"/>
                <w:color w:val="auto"/>
                <w:sz w:val="21"/>
                <w:szCs w:val="21"/>
                <w:lang w:eastAsia="zh-CN"/>
              </w:rPr>
              <w:t>）</w:t>
            </w:r>
          </w:p>
        </w:tc>
        <w:tc>
          <w:tcPr>
            <w:tcW w:w="592" w:type="pct"/>
            <w:tcBorders>
              <w:tl2br w:val="nil"/>
              <w:tr2bl w:val="nil"/>
            </w:tcBorders>
            <w:vAlign w:val="center"/>
          </w:tcPr>
          <w:p w14:paraId="6CDCF69D">
            <w:pPr>
              <w:jc w:val="center"/>
              <w:rPr>
                <w:rFonts w:hint="eastAsia"/>
                <w:b w:val="0"/>
                <w:bCs w:val="0"/>
                <w:color w:val="auto"/>
                <w:sz w:val="21"/>
                <w:szCs w:val="21"/>
                <w:lang w:eastAsia="zh-CN"/>
              </w:rPr>
            </w:pPr>
            <w:r>
              <w:rPr>
                <w:rFonts w:hint="eastAsia"/>
                <w:b w:val="0"/>
                <w:bCs w:val="0"/>
                <w:color w:val="auto"/>
                <w:sz w:val="21"/>
                <w:szCs w:val="21"/>
                <w:lang w:val="en-US" w:eastAsia="zh-CN"/>
              </w:rPr>
              <w:t>1</w:t>
            </w:r>
            <w:r>
              <w:rPr>
                <w:b w:val="0"/>
                <w:bCs w:val="0"/>
                <w:color w:val="auto"/>
                <w:sz w:val="21"/>
                <w:szCs w:val="21"/>
              </w:rPr>
              <w:t>24°36′26.96</w:t>
            </w:r>
            <w:r>
              <w:rPr>
                <w:rFonts w:hint="eastAsia"/>
                <w:b w:val="0"/>
                <w:bCs w:val="0"/>
                <w:color w:val="auto"/>
                <w:sz w:val="21"/>
                <w:szCs w:val="21"/>
                <w:lang w:eastAsia="zh-CN"/>
              </w:rPr>
              <w:t>″</w:t>
            </w:r>
          </w:p>
        </w:tc>
        <w:tc>
          <w:tcPr>
            <w:tcW w:w="558" w:type="pct"/>
            <w:tcBorders>
              <w:tl2br w:val="nil"/>
              <w:tr2bl w:val="nil"/>
            </w:tcBorders>
            <w:vAlign w:val="center"/>
          </w:tcPr>
          <w:p w14:paraId="5CB49429">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′56.84</w:t>
            </w:r>
            <w:r>
              <w:rPr>
                <w:rFonts w:hint="eastAsia"/>
                <w:b w:val="0"/>
                <w:bCs w:val="0"/>
                <w:color w:val="auto"/>
                <w:sz w:val="21"/>
                <w:szCs w:val="21"/>
                <w:lang w:eastAsia="zh-CN"/>
              </w:rPr>
              <w:t>″</w:t>
            </w:r>
          </w:p>
        </w:tc>
        <w:tc>
          <w:tcPr>
            <w:tcW w:w="412" w:type="pct"/>
            <w:tcBorders>
              <w:tl2br w:val="nil"/>
              <w:tr2bl w:val="nil"/>
            </w:tcBorders>
            <w:shd w:val="clear" w:color="auto" w:fill="auto"/>
            <w:vAlign w:val="center"/>
          </w:tcPr>
          <w:p w14:paraId="47C56465">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272" w:type="pct"/>
            <w:tcBorders>
              <w:tl2br w:val="nil"/>
              <w:tr2bl w:val="nil"/>
            </w:tcBorders>
            <w:shd w:val="clear" w:color="auto" w:fill="auto"/>
            <w:vAlign w:val="center"/>
          </w:tcPr>
          <w:p w14:paraId="01EB6293">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4F740BAD">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5194718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6382354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13BF416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6733F11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7BA34C4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73CAE2E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608D5DD3">
            <w:pPr>
              <w:keepNext w:val="0"/>
              <w:keepLines w:val="0"/>
              <w:widowControl/>
              <w:suppressLineNumbers w:val="0"/>
              <w:spacing w:before="0" w:beforeAutospacing="0" w:after="0" w:afterAutospacing="0"/>
              <w:ind w:left="0" w:leftChars="0" w:right="0" w:rightChars="0"/>
              <w:jc w:val="center"/>
              <w:rPr>
                <w:rFonts w:hint="eastAsia" w:eastAsia="宋体"/>
                <w:b w:val="0"/>
                <w:bCs w:val="0"/>
                <w:color w:val="auto"/>
                <w:sz w:val="21"/>
                <w:szCs w:val="21"/>
                <w:lang w:eastAsia="zh-CN"/>
              </w:rPr>
            </w:pPr>
            <w:r>
              <w:rPr>
                <w:rFonts w:hint="default"/>
                <w:sz w:val="21"/>
                <w:szCs w:val="21"/>
              </w:rPr>
              <w:t>0.123</w:t>
            </w:r>
          </w:p>
        </w:tc>
      </w:tr>
      <w:tr w14:paraId="0A551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6" w:type="pct"/>
            <w:tcBorders>
              <w:tl2br w:val="nil"/>
              <w:tr2bl w:val="nil"/>
            </w:tcBorders>
            <w:shd w:val="clear" w:color="auto" w:fill="auto"/>
            <w:vAlign w:val="center"/>
          </w:tcPr>
          <w:p w14:paraId="330AC7F0">
            <w:pPr>
              <w:jc w:val="center"/>
              <w:rPr>
                <w:rFonts w:hint="eastAsia"/>
                <w:b w:val="0"/>
                <w:bCs w:val="0"/>
                <w:color w:val="auto"/>
                <w:sz w:val="21"/>
                <w:szCs w:val="21"/>
                <w:lang w:val="en-US" w:eastAsia="zh-CN"/>
              </w:rPr>
            </w:pPr>
            <w:r>
              <w:rPr>
                <w:b w:val="0"/>
                <w:bCs w:val="0"/>
                <w:color w:val="auto"/>
                <w:sz w:val="21"/>
                <w:szCs w:val="21"/>
              </w:rPr>
              <w:t>粉碎风机排气筒13</w:t>
            </w:r>
            <w:r>
              <w:rPr>
                <w:rFonts w:hint="eastAsia"/>
                <w:b w:val="0"/>
                <w:bCs w:val="0"/>
                <w:color w:val="auto"/>
                <w:sz w:val="21"/>
                <w:szCs w:val="21"/>
                <w:lang w:eastAsia="zh-CN"/>
              </w:rPr>
              <w:t>（</w:t>
            </w:r>
            <w:r>
              <w:rPr>
                <w:b w:val="0"/>
                <w:bCs w:val="0"/>
                <w:color w:val="auto"/>
                <w:sz w:val="21"/>
                <w:szCs w:val="21"/>
              </w:rPr>
              <w:t>DA028</w:t>
            </w:r>
            <w:r>
              <w:rPr>
                <w:rFonts w:hint="eastAsia"/>
                <w:b w:val="0"/>
                <w:bCs w:val="0"/>
                <w:color w:val="auto"/>
                <w:sz w:val="21"/>
                <w:szCs w:val="21"/>
                <w:lang w:eastAsia="zh-CN"/>
              </w:rPr>
              <w:t>）</w:t>
            </w:r>
          </w:p>
        </w:tc>
        <w:tc>
          <w:tcPr>
            <w:tcW w:w="592" w:type="pct"/>
            <w:tcBorders>
              <w:tl2br w:val="nil"/>
              <w:tr2bl w:val="nil"/>
            </w:tcBorders>
            <w:vAlign w:val="center"/>
          </w:tcPr>
          <w:p w14:paraId="477132AF">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°36′27.25</w:t>
            </w:r>
            <w:r>
              <w:rPr>
                <w:rFonts w:hint="eastAsia"/>
                <w:b w:val="0"/>
                <w:bCs w:val="0"/>
                <w:color w:val="auto"/>
                <w:sz w:val="21"/>
                <w:szCs w:val="21"/>
                <w:lang w:eastAsia="zh-CN"/>
              </w:rPr>
              <w:t>″</w:t>
            </w:r>
          </w:p>
        </w:tc>
        <w:tc>
          <w:tcPr>
            <w:tcW w:w="558" w:type="pct"/>
            <w:tcBorders>
              <w:tl2br w:val="nil"/>
              <w:tr2bl w:val="nil"/>
            </w:tcBorders>
            <w:vAlign w:val="center"/>
          </w:tcPr>
          <w:p w14:paraId="3B5A8150">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′56.8l</w:t>
            </w:r>
            <w:r>
              <w:rPr>
                <w:rFonts w:hint="eastAsia"/>
                <w:b w:val="0"/>
                <w:bCs w:val="0"/>
                <w:color w:val="auto"/>
                <w:sz w:val="21"/>
                <w:szCs w:val="21"/>
                <w:lang w:eastAsia="zh-CN"/>
              </w:rPr>
              <w:t>″</w:t>
            </w:r>
          </w:p>
        </w:tc>
        <w:tc>
          <w:tcPr>
            <w:tcW w:w="412" w:type="pct"/>
            <w:tcBorders>
              <w:tl2br w:val="nil"/>
              <w:tr2bl w:val="nil"/>
            </w:tcBorders>
            <w:shd w:val="clear" w:color="auto" w:fill="auto"/>
            <w:vAlign w:val="center"/>
          </w:tcPr>
          <w:p w14:paraId="29077ACF">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272" w:type="pct"/>
            <w:tcBorders>
              <w:tl2br w:val="nil"/>
              <w:tr2bl w:val="nil"/>
            </w:tcBorders>
            <w:shd w:val="clear" w:color="auto" w:fill="auto"/>
            <w:vAlign w:val="center"/>
          </w:tcPr>
          <w:p w14:paraId="0E0490F1">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111D77AC">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1083F521">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133335D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45956B3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16F9B6A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69D60C7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2A38130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7CC13DF3">
            <w:pPr>
              <w:keepNext w:val="0"/>
              <w:keepLines w:val="0"/>
              <w:widowControl/>
              <w:suppressLineNumbers w:val="0"/>
              <w:spacing w:before="0" w:beforeAutospacing="0" w:after="0" w:afterAutospacing="0"/>
              <w:ind w:left="0" w:leftChars="0" w:right="0" w:rightChars="0"/>
              <w:jc w:val="center"/>
              <w:rPr>
                <w:rFonts w:hint="eastAsia" w:eastAsia="宋体"/>
                <w:b w:val="0"/>
                <w:bCs w:val="0"/>
                <w:color w:val="auto"/>
                <w:sz w:val="21"/>
                <w:szCs w:val="21"/>
                <w:lang w:eastAsia="zh-CN"/>
              </w:rPr>
            </w:pPr>
            <w:r>
              <w:rPr>
                <w:rFonts w:hint="default"/>
                <w:sz w:val="21"/>
                <w:szCs w:val="21"/>
              </w:rPr>
              <w:t>0.124</w:t>
            </w:r>
          </w:p>
        </w:tc>
      </w:tr>
      <w:tr w14:paraId="0A55F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6" w:type="pct"/>
            <w:tcBorders>
              <w:tl2br w:val="nil"/>
              <w:tr2bl w:val="nil"/>
            </w:tcBorders>
            <w:shd w:val="clear" w:color="auto" w:fill="auto"/>
            <w:vAlign w:val="center"/>
          </w:tcPr>
          <w:p w14:paraId="366609A1">
            <w:pPr>
              <w:jc w:val="center"/>
              <w:rPr>
                <w:rFonts w:hint="eastAsia"/>
                <w:b w:val="0"/>
                <w:bCs w:val="0"/>
                <w:color w:val="auto"/>
                <w:sz w:val="21"/>
                <w:szCs w:val="21"/>
                <w:lang w:val="en-US" w:eastAsia="zh-CN"/>
              </w:rPr>
            </w:pPr>
            <w:r>
              <w:rPr>
                <w:b w:val="0"/>
                <w:bCs w:val="0"/>
                <w:color w:val="auto"/>
                <w:sz w:val="21"/>
                <w:szCs w:val="21"/>
              </w:rPr>
              <w:t>粉碎风机排气筒19</w:t>
            </w:r>
            <w:r>
              <w:rPr>
                <w:rFonts w:hint="eastAsia"/>
                <w:b w:val="0"/>
                <w:bCs w:val="0"/>
                <w:color w:val="auto"/>
                <w:sz w:val="21"/>
                <w:szCs w:val="21"/>
                <w:lang w:eastAsia="zh-CN"/>
              </w:rPr>
              <w:t>（</w:t>
            </w:r>
            <w:r>
              <w:rPr>
                <w:b w:val="0"/>
                <w:bCs w:val="0"/>
                <w:color w:val="auto"/>
                <w:sz w:val="21"/>
                <w:szCs w:val="21"/>
              </w:rPr>
              <w:t>DA029</w:t>
            </w:r>
            <w:r>
              <w:rPr>
                <w:rFonts w:hint="eastAsia"/>
                <w:b w:val="0"/>
                <w:bCs w:val="0"/>
                <w:color w:val="auto"/>
                <w:sz w:val="21"/>
                <w:szCs w:val="21"/>
                <w:lang w:eastAsia="zh-CN"/>
              </w:rPr>
              <w:t>）</w:t>
            </w:r>
          </w:p>
        </w:tc>
        <w:tc>
          <w:tcPr>
            <w:tcW w:w="592" w:type="pct"/>
            <w:tcBorders>
              <w:tl2br w:val="nil"/>
              <w:tr2bl w:val="nil"/>
            </w:tcBorders>
            <w:vAlign w:val="center"/>
          </w:tcPr>
          <w:p w14:paraId="2B2E5280">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°36′27.54</w:t>
            </w:r>
            <w:r>
              <w:rPr>
                <w:rFonts w:hint="eastAsia"/>
                <w:b w:val="0"/>
                <w:bCs w:val="0"/>
                <w:color w:val="auto"/>
                <w:sz w:val="21"/>
                <w:szCs w:val="21"/>
                <w:lang w:eastAsia="zh-CN"/>
              </w:rPr>
              <w:t>″</w:t>
            </w:r>
          </w:p>
        </w:tc>
        <w:tc>
          <w:tcPr>
            <w:tcW w:w="558" w:type="pct"/>
            <w:tcBorders>
              <w:tl2br w:val="nil"/>
              <w:tr2bl w:val="nil"/>
            </w:tcBorders>
            <w:vAlign w:val="center"/>
          </w:tcPr>
          <w:p w14:paraId="64F0EAAF">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′56.77</w:t>
            </w:r>
            <w:r>
              <w:rPr>
                <w:rFonts w:hint="eastAsia"/>
                <w:b w:val="0"/>
                <w:bCs w:val="0"/>
                <w:color w:val="auto"/>
                <w:sz w:val="21"/>
                <w:szCs w:val="21"/>
                <w:lang w:eastAsia="zh-CN"/>
              </w:rPr>
              <w:t>″</w:t>
            </w:r>
          </w:p>
        </w:tc>
        <w:tc>
          <w:tcPr>
            <w:tcW w:w="412" w:type="pct"/>
            <w:tcBorders>
              <w:tl2br w:val="nil"/>
              <w:tr2bl w:val="nil"/>
            </w:tcBorders>
            <w:shd w:val="clear" w:color="auto" w:fill="auto"/>
            <w:vAlign w:val="center"/>
          </w:tcPr>
          <w:p w14:paraId="6C46A521">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272" w:type="pct"/>
            <w:tcBorders>
              <w:tl2br w:val="nil"/>
              <w:tr2bl w:val="nil"/>
            </w:tcBorders>
            <w:shd w:val="clear" w:color="auto" w:fill="auto"/>
            <w:vAlign w:val="center"/>
          </w:tcPr>
          <w:p w14:paraId="7CB38578">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33714FE8">
            <w:pPr>
              <w:jc w:val="center"/>
              <w:rPr>
                <w:rFonts w:eastAsia="宋体"/>
                <w:b w:val="0"/>
                <w:bCs w:val="0"/>
                <w:color w:val="auto"/>
                <w:sz w:val="21"/>
                <w:szCs w:val="21"/>
              </w:rPr>
            </w:pPr>
            <w:r>
              <w:rPr>
                <w:rFonts w:eastAsia="宋体"/>
                <w:b w:val="0"/>
                <w:bCs w:val="0"/>
                <w:color w:val="auto"/>
                <w:sz w:val="21"/>
                <w:szCs w:val="21"/>
              </w:rPr>
              <w:t>0.5</w:t>
            </w:r>
          </w:p>
        </w:tc>
        <w:tc>
          <w:tcPr>
            <w:tcW w:w="261" w:type="pct"/>
            <w:tcBorders>
              <w:tl2br w:val="nil"/>
              <w:tr2bl w:val="nil"/>
            </w:tcBorders>
            <w:shd w:val="clear" w:color="auto" w:fill="auto"/>
            <w:vAlign w:val="center"/>
          </w:tcPr>
          <w:p w14:paraId="083DD676">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4B7D1B4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271" w:type="pct"/>
            <w:tcBorders>
              <w:tl2br w:val="nil"/>
              <w:tr2bl w:val="nil"/>
            </w:tcBorders>
            <w:shd w:val="clear" w:color="auto" w:fill="auto"/>
            <w:vAlign w:val="center"/>
          </w:tcPr>
          <w:p w14:paraId="09A1441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352A830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49FB9E4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2ED14AB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260EB69E">
            <w:pPr>
              <w:keepNext w:val="0"/>
              <w:keepLines w:val="0"/>
              <w:widowControl/>
              <w:suppressLineNumbers w:val="0"/>
              <w:spacing w:before="0" w:beforeAutospacing="0" w:after="0" w:afterAutospacing="0"/>
              <w:ind w:left="0" w:leftChars="0" w:right="0" w:rightChars="0"/>
              <w:jc w:val="center"/>
              <w:rPr>
                <w:rFonts w:hint="eastAsia" w:eastAsia="宋体"/>
                <w:b w:val="0"/>
                <w:bCs w:val="0"/>
                <w:color w:val="auto"/>
                <w:sz w:val="21"/>
                <w:szCs w:val="21"/>
                <w:lang w:eastAsia="zh-CN"/>
              </w:rPr>
            </w:pPr>
            <w:r>
              <w:rPr>
                <w:rFonts w:hint="default"/>
                <w:sz w:val="21"/>
                <w:szCs w:val="21"/>
              </w:rPr>
              <w:t>0.28</w:t>
            </w:r>
          </w:p>
        </w:tc>
      </w:tr>
      <w:tr w14:paraId="4EA5D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776" w:type="pct"/>
            <w:tcBorders>
              <w:tl2br w:val="nil"/>
              <w:tr2bl w:val="nil"/>
            </w:tcBorders>
            <w:shd w:val="clear" w:color="auto" w:fill="auto"/>
            <w:vAlign w:val="center"/>
          </w:tcPr>
          <w:p w14:paraId="1D419AF0">
            <w:pPr>
              <w:jc w:val="center"/>
              <w:rPr>
                <w:b w:val="0"/>
                <w:bCs w:val="0"/>
                <w:color w:val="auto"/>
                <w:sz w:val="21"/>
                <w:szCs w:val="21"/>
              </w:rPr>
            </w:pPr>
            <w:r>
              <w:rPr>
                <w:b w:val="0"/>
                <w:bCs w:val="0"/>
                <w:color w:val="auto"/>
                <w:sz w:val="21"/>
                <w:szCs w:val="21"/>
              </w:rPr>
              <w:t>粉碎风机排气筒22</w:t>
            </w:r>
            <w:r>
              <w:rPr>
                <w:rFonts w:hint="eastAsia"/>
                <w:b w:val="0"/>
                <w:bCs w:val="0"/>
                <w:color w:val="auto"/>
                <w:sz w:val="21"/>
                <w:szCs w:val="21"/>
                <w:lang w:eastAsia="zh-CN"/>
              </w:rPr>
              <w:t>（</w:t>
            </w:r>
            <w:r>
              <w:rPr>
                <w:b w:val="0"/>
                <w:bCs w:val="0"/>
                <w:color w:val="auto"/>
                <w:sz w:val="21"/>
                <w:szCs w:val="21"/>
              </w:rPr>
              <w:t>DA035</w:t>
            </w:r>
            <w:r>
              <w:rPr>
                <w:rFonts w:hint="eastAsia"/>
                <w:b w:val="0"/>
                <w:bCs w:val="0"/>
                <w:color w:val="auto"/>
                <w:sz w:val="21"/>
                <w:szCs w:val="21"/>
                <w:lang w:eastAsia="zh-CN"/>
              </w:rPr>
              <w:t>）</w:t>
            </w:r>
          </w:p>
        </w:tc>
        <w:tc>
          <w:tcPr>
            <w:tcW w:w="592" w:type="pct"/>
            <w:tcBorders>
              <w:tl2br w:val="nil"/>
              <w:tr2bl w:val="nil"/>
            </w:tcBorders>
            <w:vAlign w:val="center"/>
          </w:tcPr>
          <w:p w14:paraId="2CB3950B">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°36′26.7l</w:t>
            </w:r>
            <w:r>
              <w:rPr>
                <w:rFonts w:hint="eastAsia"/>
                <w:b w:val="0"/>
                <w:bCs w:val="0"/>
                <w:color w:val="auto"/>
                <w:sz w:val="21"/>
                <w:szCs w:val="21"/>
                <w:lang w:eastAsia="zh-CN"/>
              </w:rPr>
              <w:t>″</w:t>
            </w:r>
          </w:p>
        </w:tc>
        <w:tc>
          <w:tcPr>
            <w:tcW w:w="558" w:type="pct"/>
            <w:tcBorders>
              <w:tl2br w:val="nil"/>
              <w:tr2bl w:val="nil"/>
            </w:tcBorders>
            <w:vAlign w:val="center"/>
          </w:tcPr>
          <w:p w14:paraId="67BC58C8">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′54.40</w:t>
            </w:r>
            <w:r>
              <w:rPr>
                <w:rFonts w:hint="eastAsia"/>
                <w:b w:val="0"/>
                <w:bCs w:val="0"/>
                <w:color w:val="auto"/>
                <w:sz w:val="21"/>
                <w:szCs w:val="21"/>
                <w:lang w:eastAsia="zh-CN"/>
              </w:rPr>
              <w:t>″</w:t>
            </w:r>
          </w:p>
        </w:tc>
        <w:tc>
          <w:tcPr>
            <w:tcW w:w="412" w:type="pct"/>
            <w:tcBorders>
              <w:tl2br w:val="nil"/>
              <w:tr2bl w:val="nil"/>
            </w:tcBorders>
            <w:shd w:val="clear" w:color="auto" w:fill="auto"/>
            <w:vAlign w:val="center"/>
          </w:tcPr>
          <w:p w14:paraId="4BC9BCE5">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272" w:type="pct"/>
            <w:tcBorders>
              <w:tl2br w:val="nil"/>
              <w:tr2bl w:val="nil"/>
            </w:tcBorders>
            <w:shd w:val="clear" w:color="auto" w:fill="auto"/>
            <w:vAlign w:val="center"/>
          </w:tcPr>
          <w:p w14:paraId="132AB4F2">
            <w:pPr>
              <w:jc w:val="center"/>
              <w:rPr>
                <w:rFonts w:eastAsia="宋体"/>
                <w:b w:val="0"/>
                <w:bCs w:val="0"/>
                <w:color w:val="auto"/>
                <w:sz w:val="21"/>
                <w:szCs w:val="21"/>
              </w:rPr>
            </w:pPr>
            <w:r>
              <w:rPr>
                <w:rFonts w:eastAsia="宋体"/>
                <w:b w:val="0"/>
                <w:bCs w:val="0"/>
                <w:color w:val="auto"/>
                <w:sz w:val="21"/>
                <w:szCs w:val="21"/>
              </w:rPr>
              <w:t>25</w:t>
            </w:r>
          </w:p>
        </w:tc>
        <w:tc>
          <w:tcPr>
            <w:tcW w:w="258" w:type="pct"/>
            <w:tcBorders>
              <w:tl2br w:val="nil"/>
              <w:tr2bl w:val="nil"/>
            </w:tcBorders>
            <w:shd w:val="clear" w:color="auto" w:fill="auto"/>
            <w:vAlign w:val="center"/>
          </w:tcPr>
          <w:p w14:paraId="3401EF9F">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769C540C">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7424B560">
            <w:pPr>
              <w:jc w:val="center"/>
              <w:rPr>
                <w:rFonts w:eastAsia="宋体"/>
                <w:b w:val="0"/>
                <w:bCs w:val="0"/>
                <w:color w:val="auto"/>
                <w:sz w:val="21"/>
                <w:szCs w:val="21"/>
                <w:lang w:val="en-US" w:eastAsia="zh-CN"/>
              </w:rPr>
            </w:pPr>
            <w:r>
              <w:rPr>
                <w:rFonts w:eastAsia="宋体"/>
                <w:b w:val="0"/>
                <w:bCs w:val="0"/>
                <w:color w:val="auto"/>
                <w:sz w:val="21"/>
                <w:szCs w:val="21"/>
              </w:rPr>
              <w:t>28.2</w:t>
            </w:r>
          </w:p>
        </w:tc>
        <w:tc>
          <w:tcPr>
            <w:tcW w:w="271" w:type="pct"/>
            <w:tcBorders>
              <w:tl2br w:val="nil"/>
              <w:tr2bl w:val="nil"/>
            </w:tcBorders>
            <w:shd w:val="clear" w:color="auto" w:fill="auto"/>
            <w:vAlign w:val="center"/>
          </w:tcPr>
          <w:p w14:paraId="379CB4C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480C3FF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4E94382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6EE5EBB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5B2CEDCC">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0.131</w:t>
            </w:r>
          </w:p>
        </w:tc>
      </w:tr>
      <w:tr w14:paraId="1FFF7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776" w:type="pct"/>
            <w:tcBorders>
              <w:tl2br w:val="nil"/>
              <w:tr2bl w:val="nil"/>
            </w:tcBorders>
            <w:shd w:val="clear" w:color="auto" w:fill="auto"/>
            <w:vAlign w:val="center"/>
          </w:tcPr>
          <w:p w14:paraId="04CFF7BB">
            <w:pPr>
              <w:jc w:val="center"/>
              <w:rPr>
                <w:b w:val="0"/>
                <w:bCs w:val="0"/>
                <w:color w:val="auto"/>
                <w:sz w:val="21"/>
                <w:szCs w:val="21"/>
              </w:rPr>
            </w:pPr>
            <w:r>
              <w:rPr>
                <w:b w:val="0"/>
                <w:bCs w:val="0"/>
                <w:color w:val="auto"/>
                <w:sz w:val="21"/>
                <w:szCs w:val="21"/>
              </w:rPr>
              <w:t>粉碎风机排气筒21</w:t>
            </w:r>
            <w:r>
              <w:rPr>
                <w:rFonts w:hint="eastAsia"/>
                <w:b w:val="0"/>
                <w:bCs w:val="0"/>
                <w:color w:val="auto"/>
                <w:sz w:val="21"/>
                <w:szCs w:val="21"/>
                <w:lang w:eastAsia="zh-CN"/>
              </w:rPr>
              <w:t>（</w:t>
            </w:r>
            <w:r>
              <w:rPr>
                <w:b w:val="0"/>
                <w:bCs w:val="0"/>
                <w:color w:val="auto"/>
                <w:sz w:val="21"/>
                <w:szCs w:val="21"/>
              </w:rPr>
              <w:t>DA040</w:t>
            </w:r>
            <w:r>
              <w:rPr>
                <w:rFonts w:hint="eastAsia"/>
                <w:b w:val="0"/>
                <w:bCs w:val="0"/>
                <w:color w:val="auto"/>
                <w:sz w:val="21"/>
                <w:szCs w:val="21"/>
                <w:lang w:eastAsia="zh-CN"/>
              </w:rPr>
              <w:t>）</w:t>
            </w:r>
          </w:p>
        </w:tc>
        <w:tc>
          <w:tcPr>
            <w:tcW w:w="592" w:type="pct"/>
            <w:tcBorders>
              <w:tl2br w:val="nil"/>
              <w:tr2bl w:val="nil"/>
            </w:tcBorders>
            <w:vAlign w:val="center"/>
          </w:tcPr>
          <w:p w14:paraId="44604E02">
            <w:pPr>
              <w:jc w:val="center"/>
              <w:rPr>
                <w:b w:val="0"/>
                <w:bCs w:val="0"/>
                <w:color w:val="auto"/>
                <w:sz w:val="21"/>
                <w:szCs w:val="21"/>
              </w:rPr>
            </w:pPr>
            <w:r>
              <w:rPr>
                <w:b w:val="0"/>
                <w:bCs w:val="0"/>
                <w:color w:val="auto"/>
                <w:sz w:val="21"/>
                <w:szCs w:val="21"/>
              </w:rPr>
              <w:t>124°36′26.89″</w:t>
            </w:r>
          </w:p>
        </w:tc>
        <w:tc>
          <w:tcPr>
            <w:tcW w:w="558" w:type="pct"/>
            <w:tcBorders>
              <w:tl2br w:val="nil"/>
              <w:tr2bl w:val="nil"/>
            </w:tcBorders>
            <w:vAlign w:val="center"/>
          </w:tcPr>
          <w:p w14:paraId="487F1263">
            <w:pPr>
              <w:jc w:val="center"/>
              <w:rPr>
                <w:b w:val="0"/>
                <w:bCs w:val="0"/>
                <w:color w:val="auto"/>
                <w:sz w:val="21"/>
                <w:szCs w:val="21"/>
              </w:rPr>
            </w:pPr>
            <w:r>
              <w:rPr>
                <w:b w:val="0"/>
                <w:bCs w:val="0"/>
                <w:color w:val="auto"/>
                <w:sz w:val="21"/>
                <w:szCs w:val="21"/>
              </w:rPr>
              <w:t>48°12′53.42″</w:t>
            </w:r>
          </w:p>
        </w:tc>
        <w:tc>
          <w:tcPr>
            <w:tcW w:w="412" w:type="pct"/>
            <w:tcBorders>
              <w:tl2br w:val="nil"/>
              <w:tr2bl w:val="nil"/>
            </w:tcBorders>
            <w:shd w:val="clear" w:color="auto" w:fill="auto"/>
            <w:vAlign w:val="center"/>
          </w:tcPr>
          <w:p w14:paraId="29529DCA">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272" w:type="pct"/>
            <w:tcBorders>
              <w:tl2br w:val="nil"/>
              <w:tr2bl w:val="nil"/>
            </w:tcBorders>
            <w:shd w:val="clear" w:color="auto" w:fill="auto"/>
            <w:vAlign w:val="center"/>
          </w:tcPr>
          <w:p w14:paraId="51D5C33E">
            <w:pPr>
              <w:jc w:val="center"/>
              <w:rPr>
                <w:rFonts w:eastAsia="宋体"/>
                <w:b w:val="0"/>
                <w:bCs w:val="0"/>
                <w:color w:val="auto"/>
                <w:sz w:val="21"/>
                <w:szCs w:val="21"/>
              </w:rPr>
            </w:pPr>
            <w:r>
              <w:rPr>
                <w:rFonts w:eastAsia="宋体"/>
                <w:b w:val="0"/>
                <w:bCs w:val="0"/>
                <w:color w:val="auto"/>
                <w:sz w:val="21"/>
                <w:szCs w:val="21"/>
              </w:rPr>
              <w:t>22.5</w:t>
            </w:r>
          </w:p>
        </w:tc>
        <w:tc>
          <w:tcPr>
            <w:tcW w:w="258" w:type="pct"/>
            <w:tcBorders>
              <w:tl2br w:val="nil"/>
              <w:tr2bl w:val="nil"/>
            </w:tcBorders>
            <w:shd w:val="clear" w:color="auto" w:fill="auto"/>
            <w:vAlign w:val="center"/>
          </w:tcPr>
          <w:p w14:paraId="32591482">
            <w:pPr>
              <w:jc w:val="center"/>
              <w:rPr>
                <w:rFonts w:eastAsia="宋体"/>
                <w:b w:val="0"/>
                <w:bCs w:val="0"/>
                <w:color w:val="auto"/>
                <w:sz w:val="21"/>
                <w:szCs w:val="21"/>
              </w:rPr>
            </w:pPr>
            <w:r>
              <w:rPr>
                <w:rFonts w:eastAsia="宋体"/>
                <w:b w:val="0"/>
                <w:bCs w:val="0"/>
                <w:color w:val="auto"/>
                <w:sz w:val="21"/>
                <w:szCs w:val="21"/>
              </w:rPr>
              <w:t>0.377</w:t>
            </w:r>
          </w:p>
        </w:tc>
        <w:tc>
          <w:tcPr>
            <w:tcW w:w="261" w:type="pct"/>
            <w:tcBorders>
              <w:tl2br w:val="nil"/>
              <w:tr2bl w:val="nil"/>
            </w:tcBorders>
            <w:shd w:val="clear" w:color="auto" w:fill="auto"/>
            <w:vAlign w:val="center"/>
          </w:tcPr>
          <w:p w14:paraId="01D781AF">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19D60381">
            <w:pPr>
              <w:jc w:val="center"/>
              <w:rPr>
                <w:rFonts w:eastAsia="宋体"/>
                <w:b w:val="0"/>
                <w:bCs w:val="0"/>
                <w:color w:val="auto"/>
                <w:sz w:val="21"/>
                <w:szCs w:val="21"/>
                <w:lang w:val="en-US" w:eastAsia="zh-CN"/>
              </w:rPr>
            </w:pPr>
            <w:r>
              <w:rPr>
                <w:rFonts w:eastAsia="宋体"/>
                <w:b w:val="0"/>
                <w:bCs w:val="0"/>
                <w:color w:val="auto"/>
                <w:sz w:val="21"/>
                <w:szCs w:val="21"/>
              </w:rPr>
              <w:t>28.2</w:t>
            </w:r>
          </w:p>
        </w:tc>
        <w:tc>
          <w:tcPr>
            <w:tcW w:w="271" w:type="pct"/>
            <w:tcBorders>
              <w:tl2br w:val="nil"/>
              <w:tr2bl w:val="nil"/>
            </w:tcBorders>
            <w:shd w:val="clear" w:color="auto" w:fill="auto"/>
            <w:vAlign w:val="center"/>
          </w:tcPr>
          <w:p w14:paraId="06A03FA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220483C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095634E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8" w:type="pct"/>
            <w:tcBorders>
              <w:tl2br w:val="nil"/>
              <w:tr2bl w:val="nil"/>
            </w:tcBorders>
            <w:shd w:val="clear" w:color="auto" w:fill="auto"/>
            <w:vAlign w:val="center"/>
          </w:tcPr>
          <w:p w14:paraId="6C46257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28" w:type="pct"/>
            <w:tcBorders>
              <w:tl2br w:val="nil"/>
              <w:tr2bl w:val="nil"/>
            </w:tcBorders>
            <w:shd w:val="clear" w:color="auto" w:fill="auto"/>
            <w:vAlign w:val="center"/>
          </w:tcPr>
          <w:p w14:paraId="56DF3645">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0.131</w:t>
            </w:r>
          </w:p>
        </w:tc>
      </w:tr>
      <w:tr w14:paraId="1E78E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776" w:type="pct"/>
            <w:tcBorders>
              <w:tl2br w:val="nil"/>
              <w:tr2bl w:val="nil"/>
            </w:tcBorders>
            <w:shd w:val="clear" w:color="auto" w:fill="auto"/>
            <w:vAlign w:val="center"/>
          </w:tcPr>
          <w:p w14:paraId="2F8C03E8">
            <w:pPr>
              <w:jc w:val="center"/>
              <w:rPr>
                <w:rFonts w:hint="eastAsia"/>
                <w:b w:val="0"/>
                <w:bCs w:val="0"/>
                <w:color w:val="auto"/>
                <w:sz w:val="21"/>
                <w:szCs w:val="21"/>
                <w:lang w:val="en-US" w:eastAsia="zh-CN"/>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w:t>
            </w:r>
            <w:r>
              <w:rPr>
                <w:rFonts w:hint="eastAsia"/>
                <w:b w:val="0"/>
                <w:bCs w:val="0"/>
                <w:color w:val="auto"/>
                <w:sz w:val="21"/>
                <w:szCs w:val="21"/>
                <w:lang w:val="en-US" w:eastAsia="zh-CN"/>
              </w:rPr>
              <w:t>1</w:t>
            </w:r>
            <w:r>
              <w:rPr>
                <w:rFonts w:hint="eastAsia"/>
                <w:b w:val="0"/>
                <w:bCs w:val="0"/>
                <w:color w:val="auto"/>
                <w:sz w:val="21"/>
                <w:szCs w:val="21"/>
                <w:lang w:eastAsia="zh-CN"/>
              </w:rPr>
              <w:t>（</w:t>
            </w:r>
            <w:r>
              <w:rPr>
                <w:rFonts w:hint="eastAsia"/>
                <w:b w:val="0"/>
                <w:bCs w:val="0"/>
                <w:color w:val="auto"/>
                <w:sz w:val="21"/>
                <w:szCs w:val="21"/>
                <w:lang w:val="en-US" w:eastAsia="zh-CN"/>
              </w:rPr>
              <w:t>DA002</w:t>
            </w:r>
            <w:r>
              <w:rPr>
                <w:rFonts w:hint="eastAsia"/>
                <w:b w:val="0"/>
                <w:bCs w:val="0"/>
                <w:color w:val="auto"/>
                <w:sz w:val="21"/>
                <w:szCs w:val="21"/>
                <w:lang w:eastAsia="zh-CN"/>
              </w:rPr>
              <w:t>）</w:t>
            </w:r>
          </w:p>
        </w:tc>
        <w:tc>
          <w:tcPr>
            <w:tcW w:w="592" w:type="pct"/>
            <w:tcBorders>
              <w:tl2br w:val="nil"/>
              <w:tr2bl w:val="nil"/>
            </w:tcBorders>
            <w:vAlign w:val="center"/>
          </w:tcPr>
          <w:p w14:paraId="16C55D40">
            <w:pPr>
              <w:jc w:val="center"/>
              <w:rPr>
                <w:b w:val="0"/>
                <w:bCs w:val="0"/>
                <w:color w:val="auto"/>
                <w:sz w:val="21"/>
                <w:szCs w:val="21"/>
              </w:rPr>
            </w:pPr>
            <w:r>
              <w:rPr>
                <w:b w:val="0"/>
                <w:bCs w:val="0"/>
                <w:color w:val="auto"/>
                <w:sz w:val="21"/>
                <w:szCs w:val="21"/>
              </w:rPr>
              <w:t>124°36′</w:t>
            </w:r>
            <w:r>
              <w:rPr>
                <w:rFonts w:hint="eastAsia"/>
                <w:b w:val="0"/>
                <w:bCs w:val="0"/>
                <w:color w:val="auto"/>
                <w:sz w:val="21"/>
                <w:szCs w:val="21"/>
                <w:lang w:val="en-US" w:eastAsia="zh-CN"/>
              </w:rPr>
              <w:t>24.98</w:t>
            </w:r>
            <w:r>
              <w:rPr>
                <w:b w:val="0"/>
                <w:bCs w:val="0"/>
                <w:color w:val="auto"/>
                <w:sz w:val="21"/>
                <w:szCs w:val="21"/>
              </w:rPr>
              <w:t>″</w:t>
            </w:r>
          </w:p>
        </w:tc>
        <w:tc>
          <w:tcPr>
            <w:tcW w:w="558" w:type="pct"/>
            <w:tcBorders>
              <w:tl2br w:val="nil"/>
              <w:tr2bl w:val="nil"/>
            </w:tcBorders>
            <w:vAlign w:val="center"/>
          </w:tcPr>
          <w:p w14:paraId="51679DAF">
            <w:pPr>
              <w:jc w:val="center"/>
              <w:rPr>
                <w:b w:val="0"/>
                <w:bCs w:val="0"/>
                <w:color w:val="auto"/>
                <w:sz w:val="21"/>
                <w:szCs w:val="21"/>
              </w:rPr>
            </w:pPr>
            <w:r>
              <w:rPr>
                <w:b w:val="0"/>
                <w:bCs w:val="0"/>
                <w:color w:val="auto"/>
                <w:sz w:val="21"/>
                <w:szCs w:val="21"/>
              </w:rPr>
              <w:t>48°12′5</w:t>
            </w:r>
            <w:r>
              <w:rPr>
                <w:rFonts w:hint="eastAsia"/>
                <w:b w:val="0"/>
                <w:bCs w:val="0"/>
                <w:color w:val="auto"/>
                <w:sz w:val="21"/>
                <w:szCs w:val="21"/>
                <w:lang w:val="en-US" w:eastAsia="zh-CN"/>
              </w:rPr>
              <w:t>2.31</w:t>
            </w:r>
            <w:r>
              <w:rPr>
                <w:b w:val="0"/>
                <w:bCs w:val="0"/>
                <w:color w:val="auto"/>
                <w:sz w:val="21"/>
                <w:szCs w:val="21"/>
              </w:rPr>
              <w:t>″</w:t>
            </w:r>
          </w:p>
        </w:tc>
        <w:tc>
          <w:tcPr>
            <w:tcW w:w="412" w:type="pct"/>
            <w:tcBorders>
              <w:tl2br w:val="nil"/>
              <w:tr2bl w:val="nil"/>
            </w:tcBorders>
            <w:shd w:val="clear" w:color="auto" w:fill="auto"/>
            <w:vAlign w:val="center"/>
          </w:tcPr>
          <w:p w14:paraId="44077E23">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272" w:type="pct"/>
            <w:tcBorders>
              <w:tl2br w:val="nil"/>
              <w:tr2bl w:val="nil"/>
            </w:tcBorders>
            <w:shd w:val="clear" w:color="auto" w:fill="auto"/>
            <w:vAlign w:val="center"/>
          </w:tcPr>
          <w:p w14:paraId="4369351D">
            <w:pPr>
              <w:jc w:val="center"/>
              <w:rPr>
                <w:rFonts w:eastAsia="宋体"/>
                <w:b w:val="0"/>
                <w:bCs w:val="0"/>
                <w:color w:val="auto"/>
                <w:sz w:val="21"/>
                <w:szCs w:val="21"/>
              </w:rPr>
            </w:pPr>
            <w:r>
              <w:rPr>
                <w:rFonts w:eastAsia="宋体"/>
                <w:b w:val="0"/>
                <w:bCs w:val="0"/>
                <w:color w:val="auto"/>
                <w:sz w:val="21"/>
                <w:szCs w:val="21"/>
              </w:rPr>
              <w:t>15</w:t>
            </w:r>
          </w:p>
        </w:tc>
        <w:tc>
          <w:tcPr>
            <w:tcW w:w="258" w:type="pct"/>
            <w:tcBorders>
              <w:tl2br w:val="nil"/>
              <w:tr2bl w:val="nil"/>
            </w:tcBorders>
            <w:shd w:val="clear" w:color="auto" w:fill="auto"/>
            <w:vAlign w:val="center"/>
          </w:tcPr>
          <w:p w14:paraId="7C1DC36D">
            <w:pPr>
              <w:jc w:val="center"/>
              <w:rPr>
                <w:rFonts w:eastAsia="宋体"/>
                <w:b w:val="0"/>
                <w:bCs w:val="0"/>
                <w:color w:val="auto"/>
                <w:sz w:val="21"/>
                <w:szCs w:val="21"/>
              </w:rPr>
            </w:pPr>
            <w:r>
              <w:rPr>
                <w:rFonts w:eastAsia="宋体"/>
                <w:b w:val="0"/>
                <w:bCs w:val="0"/>
                <w:color w:val="auto"/>
                <w:sz w:val="21"/>
                <w:szCs w:val="21"/>
              </w:rPr>
              <w:t>1.4</w:t>
            </w:r>
          </w:p>
        </w:tc>
        <w:tc>
          <w:tcPr>
            <w:tcW w:w="261" w:type="pct"/>
            <w:tcBorders>
              <w:tl2br w:val="nil"/>
              <w:tr2bl w:val="nil"/>
            </w:tcBorders>
            <w:shd w:val="clear" w:color="auto" w:fill="auto"/>
            <w:vAlign w:val="center"/>
          </w:tcPr>
          <w:p w14:paraId="29196227">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6628A66A">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271" w:type="pct"/>
            <w:tcBorders>
              <w:tl2br w:val="nil"/>
              <w:tr2bl w:val="nil"/>
            </w:tcBorders>
            <w:shd w:val="clear" w:color="auto" w:fill="auto"/>
            <w:vAlign w:val="center"/>
          </w:tcPr>
          <w:p w14:paraId="1A2D4BB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0B67C87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738CDE30">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288" w:type="pct"/>
            <w:tcBorders>
              <w:tl2br w:val="nil"/>
              <w:tr2bl w:val="nil"/>
            </w:tcBorders>
            <w:shd w:val="clear" w:color="auto" w:fill="auto"/>
            <w:vAlign w:val="center"/>
          </w:tcPr>
          <w:p w14:paraId="41B1A6FB">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1998</w:t>
            </w:r>
          </w:p>
        </w:tc>
        <w:tc>
          <w:tcPr>
            <w:tcW w:w="886" w:type="dxa"/>
            <w:tcBorders>
              <w:tl2br w:val="nil"/>
              <w:tr2bl w:val="nil"/>
            </w:tcBorders>
            <w:shd w:val="clear" w:color="auto" w:fill="auto"/>
            <w:vAlign w:val="center"/>
          </w:tcPr>
          <w:p w14:paraId="5D980A0E">
            <w:pPr>
              <w:jc w:val="center"/>
              <w:rPr>
                <w:rFonts w:hint="eastAsia" w:eastAsia="宋体"/>
                <w:b w:val="0"/>
                <w:bCs w:val="0"/>
                <w:color w:val="auto"/>
                <w:sz w:val="21"/>
                <w:szCs w:val="21"/>
                <w:lang w:eastAsia="zh-CN"/>
              </w:rPr>
            </w:pPr>
            <w:r>
              <w:rPr>
                <w:rFonts w:hint="eastAsia" w:eastAsia="宋体"/>
                <w:b w:val="0"/>
                <w:bCs w:val="0"/>
                <w:color w:val="auto"/>
                <w:sz w:val="21"/>
                <w:szCs w:val="21"/>
                <w:lang w:eastAsia="zh-CN"/>
              </w:rPr>
              <w:t>/</w:t>
            </w:r>
          </w:p>
        </w:tc>
      </w:tr>
      <w:tr w14:paraId="2FA18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776" w:type="pct"/>
            <w:tcBorders>
              <w:tl2br w:val="nil"/>
              <w:tr2bl w:val="nil"/>
            </w:tcBorders>
            <w:shd w:val="clear" w:color="auto" w:fill="auto"/>
            <w:vAlign w:val="center"/>
          </w:tcPr>
          <w:p w14:paraId="61000535">
            <w:pPr>
              <w:jc w:val="center"/>
              <w:rPr>
                <w:rFonts w:hint="eastAsia"/>
                <w:b w:val="0"/>
                <w:bCs w:val="0"/>
                <w:color w:val="auto"/>
                <w:sz w:val="21"/>
                <w:szCs w:val="21"/>
                <w:lang w:val="en-US" w:eastAsia="zh-CN"/>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w:t>
            </w:r>
            <w:r>
              <w:rPr>
                <w:rFonts w:hint="eastAsia"/>
                <w:b w:val="0"/>
                <w:bCs w:val="0"/>
                <w:color w:val="auto"/>
                <w:sz w:val="21"/>
                <w:szCs w:val="21"/>
                <w:lang w:val="en-US" w:eastAsia="zh-CN"/>
              </w:rPr>
              <w:t>2</w:t>
            </w:r>
            <w:r>
              <w:rPr>
                <w:rFonts w:hint="eastAsia"/>
                <w:b w:val="0"/>
                <w:bCs w:val="0"/>
                <w:color w:val="auto"/>
                <w:sz w:val="21"/>
                <w:szCs w:val="21"/>
                <w:lang w:eastAsia="zh-CN"/>
              </w:rPr>
              <w:t>（</w:t>
            </w:r>
            <w:r>
              <w:rPr>
                <w:b w:val="0"/>
                <w:bCs w:val="0"/>
                <w:color w:val="auto"/>
                <w:sz w:val="21"/>
                <w:szCs w:val="21"/>
              </w:rPr>
              <w:t>DA032</w:t>
            </w:r>
            <w:r>
              <w:rPr>
                <w:rFonts w:hint="eastAsia"/>
                <w:b w:val="0"/>
                <w:bCs w:val="0"/>
                <w:color w:val="auto"/>
                <w:sz w:val="21"/>
                <w:szCs w:val="21"/>
                <w:lang w:eastAsia="zh-CN"/>
              </w:rPr>
              <w:t>）</w:t>
            </w:r>
          </w:p>
        </w:tc>
        <w:tc>
          <w:tcPr>
            <w:tcW w:w="592" w:type="pct"/>
            <w:tcBorders>
              <w:tl2br w:val="nil"/>
              <w:tr2bl w:val="nil"/>
            </w:tcBorders>
            <w:vAlign w:val="center"/>
          </w:tcPr>
          <w:p w14:paraId="2C92AA9B">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°36′24.55</w:t>
            </w:r>
            <w:r>
              <w:rPr>
                <w:rFonts w:hint="eastAsia"/>
                <w:b w:val="0"/>
                <w:bCs w:val="0"/>
                <w:color w:val="auto"/>
                <w:sz w:val="21"/>
                <w:szCs w:val="21"/>
                <w:lang w:eastAsia="zh-CN"/>
              </w:rPr>
              <w:t>″</w:t>
            </w:r>
          </w:p>
        </w:tc>
        <w:tc>
          <w:tcPr>
            <w:tcW w:w="558" w:type="pct"/>
            <w:tcBorders>
              <w:tl2br w:val="nil"/>
              <w:tr2bl w:val="nil"/>
            </w:tcBorders>
            <w:vAlign w:val="center"/>
          </w:tcPr>
          <w:p w14:paraId="4C1DAACB">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′58.64</w:t>
            </w:r>
            <w:r>
              <w:rPr>
                <w:rFonts w:hint="eastAsia"/>
                <w:b w:val="0"/>
                <w:bCs w:val="0"/>
                <w:color w:val="auto"/>
                <w:sz w:val="21"/>
                <w:szCs w:val="21"/>
                <w:lang w:eastAsia="zh-CN"/>
              </w:rPr>
              <w:t>″</w:t>
            </w:r>
          </w:p>
        </w:tc>
        <w:tc>
          <w:tcPr>
            <w:tcW w:w="412" w:type="pct"/>
            <w:tcBorders>
              <w:tl2br w:val="nil"/>
              <w:tr2bl w:val="nil"/>
            </w:tcBorders>
            <w:shd w:val="clear" w:color="auto" w:fill="auto"/>
            <w:vAlign w:val="center"/>
          </w:tcPr>
          <w:p w14:paraId="05CDBEED">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272" w:type="pct"/>
            <w:tcBorders>
              <w:tl2br w:val="nil"/>
              <w:tr2bl w:val="nil"/>
            </w:tcBorders>
            <w:shd w:val="clear" w:color="auto" w:fill="auto"/>
            <w:vAlign w:val="center"/>
          </w:tcPr>
          <w:p w14:paraId="35424527">
            <w:pPr>
              <w:jc w:val="center"/>
              <w:rPr>
                <w:rFonts w:eastAsia="宋体"/>
                <w:b w:val="0"/>
                <w:bCs w:val="0"/>
                <w:color w:val="auto"/>
                <w:sz w:val="21"/>
                <w:szCs w:val="21"/>
              </w:rPr>
            </w:pPr>
            <w:r>
              <w:rPr>
                <w:rFonts w:eastAsia="宋体"/>
                <w:b w:val="0"/>
                <w:bCs w:val="0"/>
                <w:color w:val="auto"/>
                <w:sz w:val="21"/>
                <w:szCs w:val="21"/>
              </w:rPr>
              <w:t>15</w:t>
            </w:r>
          </w:p>
        </w:tc>
        <w:tc>
          <w:tcPr>
            <w:tcW w:w="258" w:type="pct"/>
            <w:tcBorders>
              <w:tl2br w:val="nil"/>
              <w:tr2bl w:val="nil"/>
            </w:tcBorders>
            <w:shd w:val="clear" w:color="auto" w:fill="auto"/>
            <w:vAlign w:val="center"/>
          </w:tcPr>
          <w:p w14:paraId="22D14050">
            <w:pPr>
              <w:jc w:val="center"/>
              <w:rPr>
                <w:rFonts w:eastAsia="宋体"/>
                <w:b w:val="0"/>
                <w:bCs w:val="0"/>
                <w:color w:val="auto"/>
                <w:sz w:val="21"/>
                <w:szCs w:val="21"/>
              </w:rPr>
            </w:pPr>
            <w:r>
              <w:rPr>
                <w:rFonts w:eastAsia="宋体"/>
                <w:b w:val="0"/>
                <w:bCs w:val="0"/>
                <w:color w:val="auto"/>
                <w:sz w:val="21"/>
                <w:szCs w:val="21"/>
              </w:rPr>
              <w:t>1.4</w:t>
            </w:r>
          </w:p>
        </w:tc>
        <w:tc>
          <w:tcPr>
            <w:tcW w:w="261" w:type="pct"/>
            <w:tcBorders>
              <w:tl2br w:val="nil"/>
              <w:tr2bl w:val="nil"/>
            </w:tcBorders>
            <w:shd w:val="clear" w:color="auto" w:fill="auto"/>
            <w:vAlign w:val="center"/>
          </w:tcPr>
          <w:p w14:paraId="5AA8B44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78B6A5B9">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271" w:type="pct"/>
            <w:tcBorders>
              <w:tl2br w:val="nil"/>
              <w:tr2bl w:val="nil"/>
            </w:tcBorders>
            <w:shd w:val="clear" w:color="auto" w:fill="auto"/>
            <w:vAlign w:val="center"/>
          </w:tcPr>
          <w:p w14:paraId="2E98986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4EB8629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7B1BA43C">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288" w:type="pct"/>
            <w:tcBorders>
              <w:tl2br w:val="nil"/>
              <w:tr2bl w:val="nil"/>
            </w:tcBorders>
            <w:shd w:val="clear" w:color="auto" w:fill="auto"/>
            <w:vAlign w:val="center"/>
          </w:tcPr>
          <w:p w14:paraId="2FA4EDB3">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1998</w:t>
            </w:r>
          </w:p>
        </w:tc>
        <w:tc>
          <w:tcPr>
            <w:tcW w:w="886" w:type="dxa"/>
            <w:tcBorders>
              <w:tl2br w:val="nil"/>
              <w:tr2bl w:val="nil"/>
            </w:tcBorders>
            <w:shd w:val="clear" w:color="auto" w:fill="auto"/>
            <w:vAlign w:val="center"/>
          </w:tcPr>
          <w:p w14:paraId="746DE727">
            <w:pPr>
              <w:jc w:val="center"/>
              <w:rPr>
                <w:rFonts w:hint="eastAsia" w:eastAsia="宋体"/>
                <w:b w:val="0"/>
                <w:bCs w:val="0"/>
                <w:color w:val="auto"/>
                <w:sz w:val="21"/>
                <w:szCs w:val="21"/>
                <w:lang w:eastAsia="zh-CN"/>
              </w:rPr>
            </w:pPr>
            <w:r>
              <w:rPr>
                <w:rFonts w:hint="eastAsia" w:eastAsia="宋体"/>
                <w:b w:val="0"/>
                <w:bCs w:val="0"/>
                <w:color w:val="auto"/>
                <w:sz w:val="21"/>
                <w:szCs w:val="21"/>
                <w:lang w:eastAsia="zh-CN"/>
              </w:rPr>
              <w:t>/</w:t>
            </w:r>
          </w:p>
        </w:tc>
      </w:tr>
      <w:tr w14:paraId="4D213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776" w:type="pct"/>
            <w:tcBorders>
              <w:tl2br w:val="nil"/>
              <w:tr2bl w:val="nil"/>
            </w:tcBorders>
            <w:shd w:val="clear" w:color="auto" w:fill="auto"/>
            <w:vAlign w:val="center"/>
          </w:tcPr>
          <w:p w14:paraId="6E1FAD62">
            <w:pPr>
              <w:jc w:val="center"/>
              <w:rPr>
                <w:b w:val="0"/>
                <w:bCs w:val="0"/>
                <w:color w:val="auto"/>
                <w:sz w:val="21"/>
                <w:szCs w:val="21"/>
                <w:lang w:val="en-US" w:eastAsia="en-US"/>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洗涤塔排气筒3</w:t>
            </w:r>
            <w:r>
              <w:rPr>
                <w:rFonts w:hint="eastAsia"/>
                <w:b w:val="0"/>
                <w:bCs w:val="0"/>
                <w:color w:val="auto"/>
                <w:sz w:val="21"/>
                <w:szCs w:val="21"/>
                <w:lang w:eastAsia="zh-CN"/>
              </w:rPr>
              <w:t>（</w:t>
            </w:r>
            <w:r>
              <w:rPr>
                <w:b w:val="0"/>
                <w:bCs w:val="0"/>
                <w:color w:val="auto"/>
                <w:sz w:val="21"/>
                <w:szCs w:val="21"/>
              </w:rPr>
              <w:t>DA041</w:t>
            </w:r>
            <w:r>
              <w:rPr>
                <w:rFonts w:hint="eastAsia"/>
                <w:b w:val="0"/>
                <w:bCs w:val="0"/>
                <w:color w:val="auto"/>
                <w:sz w:val="21"/>
                <w:szCs w:val="21"/>
                <w:lang w:eastAsia="zh-CN"/>
              </w:rPr>
              <w:t>）</w:t>
            </w:r>
          </w:p>
        </w:tc>
        <w:tc>
          <w:tcPr>
            <w:tcW w:w="592" w:type="pct"/>
            <w:tcBorders>
              <w:tl2br w:val="nil"/>
              <w:tr2bl w:val="nil"/>
            </w:tcBorders>
            <w:vAlign w:val="center"/>
          </w:tcPr>
          <w:p w14:paraId="6B2CB50C">
            <w:pPr>
              <w:jc w:val="center"/>
              <w:rPr>
                <w:b w:val="0"/>
                <w:bCs w:val="0"/>
                <w:color w:val="auto"/>
                <w:sz w:val="21"/>
                <w:szCs w:val="21"/>
              </w:rPr>
            </w:pPr>
            <w:r>
              <w:rPr>
                <w:b w:val="0"/>
                <w:bCs w:val="0"/>
                <w:color w:val="auto"/>
                <w:sz w:val="21"/>
                <w:szCs w:val="21"/>
              </w:rPr>
              <w:t>124°36′25.38″</w:t>
            </w:r>
          </w:p>
        </w:tc>
        <w:tc>
          <w:tcPr>
            <w:tcW w:w="558" w:type="pct"/>
            <w:tcBorders>
              <w:tl2br w:val="nil"/>
              <w:tr2bl w:val="nil"/>
            </w:tcBorders>
            <w:vAlign w:val="center"/>
          </w:tcPr>
          <w:p w14:paraId="14D77E41">
            <w:pPr>
              <w:jc w:val="center"/>
              <w:rPr>
                <w:b w:val="0"/>
                <w:bCs w:val="0"/>
                <w:color w:val="auto"/>
                <w:sz w:val="21"/>
                <w:szCs w:val="21"/>
              </w:rPr>
            </w:pPr>
            <w:r>
              <w:rPr>
                <w:rFonts w:hint="eastAsia"/>
                <w:b w:val="0"/>
                <w:bCs w:val="0"/>
                <w:color w:val="auto"/>
                <w:sz w:val="21"/>
                <w:szCs w:val="21"/>
                <w:lang w:val="en-US" w:eastAsia="zh-CN"/>
              </w:rPr>
              <w:t>4</w:t>
            </w:r>
            <w:r>
              <w:rPr>
                <w:b w:val="0"/>
                <w:bCs w:val="0"/>
                <w:color w:val="auto"/>
                <w:sz w:val="21"/>
                <w:szCs w:val="21"/>
              </w:rPr>
              <w:t>8°12′51.95″</w:t>
            </w:r>
          </w:p>
        </w:tc>
        <w:tc>
          <w:tcPr>
            <w:tcW w:w="412" w:type="pct"/>
            <w:tcBorders>
              <w:tl2br w:val="nil"/>
              <w:tr2bl w:val="nil"/>
            </w:tcBorders>
            <w:shd w:val="clear" w:color="auto" w:fill="auto"/>
            <w:vAlign w:val="center"/>
          </w:tcPr>
          <w:p w14:paraId="24985FA2">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272" w:type="pct"/>
            <w:tcBorders>
              <w:tl2br w:val="nil"/>
              <w:tr2bl w:val="nil"/>
            </w:tcBorders>
            <w:shd w:val="clear" w:color="auto" w:fill="auto"/>
            <w:vAlign w:val="center"/>
          </w:tcPr>
          <w:p w14:paraId="089C05FB">
            <w:pPr>
              <w:jc w:val="center"/>
              <w:rPr>
                <w:rFonts w:eastAsia="宋体"/>
                <w:b w:val="0"/>
                <w:bCs w:val="0"/>
                <w:color w:val="auto"/>
                <w:sz w:val="21"/>
                <w:szCs w:val="21"/>
              </w:rPr>
            </w:pPr>
            <w:r>
              <w:rPr>
                <w:rFonts w:eastAsia="宋体"/>
                <w:b w:val="0"/>
                <w:bCs w:val="0"/>
                <w:color w:val="auto"/>
                <w:sz w:val="21"/>
                <w:szCs w:val="21"/>
              </w:rPr>
              <w:t>15</w:t>
            </w:r>
          </w:p>
        </w:tc>
        <w:tc>
          <w:tcPr>
            <w:tcW w:w="258" w:type="pct"/>
            <w:tcBorders>
              <w:tl2br w:val="nil"/>
              <w:tr2bl w:val="nil"/>
            </w:tcBorders>
            <w:shd w:val="clear" w:color="auto" w:fill="auto"/>
            <w:vAlign w:val="center"/>
          </w:tcPr>
          <w:p w14:paraId="3B892EEC">
            <w:pPr>
              <w:jc w:val="center"/>
              <w:rPr>
                <w:rFonts w:eastAsia="宋体"/>
                <w:b w:val="0"/>
                <w:bCs w:val="0"/>
                <w:color w:val="auto"/>
                <w:sz w:val="21"/>
                <w:szCs w:val="21"/>
              </w:rPr>
            </w:pPr>
            <w:r>
              <w:rPr>
                <w:rFonts w:eastAsia="宋体"/>
                <w:b w:val="0"/>
                <w:bCs w:val="0"/>
                <w:color w:val="auto"/>
                <w:sz w:val="21"/>
                <w:szCs w:val="21"/>
              </w:rPr>
              <w:t>1.4</w:t>
            </w:r>
          </w:p>
        </w:tc>
        <w:tc>
          <w:tcPr>
            <w:tcW w:w="261" w:type="pct"/>
            <w:tcBorders>
              <w:tl2br w:val="nil"/>
              <w:tr2bl w:val="nil"/>
            </w:tcBorders>
            <w:shd w:val="clear" w:color="auto" w:fill="auto"/>
            <w:vAlign w:val="center"/>
          </w:tcPr>
          <w:p w14:paraId="2698ADDA">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10B96254">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271" w:type="pct"/>
            <w:tcBorders>
              <w:tl2br w:val="nil"/>
              <w:tr2bl w:val="nil"/>
            </w:tcBorders>
            <w:shd w:val="clear" w:color="auto" w:fill="auto"/>
            <w:vAlign w:val="center"/>
          </w:tcPr>
          <w:p w14:paraId="34F1E7F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26B36DD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2E080D28">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288" w:type="pct"/>
            <w:tcBorders>
              <w:tl2br w:val="nil"/>
              <w:tr2bl w:val="nil"/>
            </w:tcBorders>
            <w:shd w:val="clear" w:color="auto" w:fill="auto"/>
            <w:vAlign w:val="center"/>
          </w:tcPr>
          <w:p w14:paraId="305FBA0F">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1998</w:t>
            </w:r>
          </w:p>
        </w:tc>
        <w:tc>
          <w:tcPr>
            <w:tcW w:w="886" w:type="dxa"/>
            <w:tcBorders>
              <w:tl2br w:val="nil"/>
              <w:tr2bl w:val="nil"/>
            </w:tcBorders>
            <w:shd w:val="clear" w:color="auto" w:fill="auto"/>
            <w:vAlign w:val="center"/>
          </w:tcPr>
          <w:p w14:paraId="1898C1F4">
            <w:pPr>
              <w:jc w:val="center"/>
              <w:rPr>
                <w:rFonts w:hint="eastAsia" w:eastAsia="宋体"/>
                <w:b w:val="0"/>
                <w:bCs w:val="0"/>
                <w:color w:val="auto"/>
                <w:sz w:val="21"/>
                <w:szCs w:val="21"/>
                <w:lang w:eastAsia="zh-CN"/>
              </w:rPr>
            </w:pPr>
            <w:r>
              <w:rPr>
                <w:rFonts w:hint="eastAsia" w:eastAsia="宋体"/>
                <w:b w:val="0"/>
                <w:bCs w:val="0"/>
                <w:color w:val="auto"/>
                <w:sz w:val="21"/>
                <w:szCs w:val="21"/>
                <w:lang w:eastAsia="zh-CN"/>
              </w:rPr>
              <w:t>/</w:t>
            </w:r>
          </w:p>
        </w:tc>
      </w:tr>
      <w:tr w14:paraId="5E2A2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776" w:type="pct"/>
            <w:tcBorders>
              <w:tl2br w:val="nil"/>
              <w:tr2bl w:val="nil"/>
            </w:tcBorders>
            <w:shd w:val="clear" w:color="auto" w:fill="auto"/>
            <w:vAlign w:val="center"/>
          </w:tcPr>
          <w:p w14:paraId="24DBDEFF">
            <w:pPr>
              <w:jc w:val="center"/>
              <w:rPr>
                <w:b w:val="0"/>
                <w:bCs w:val="0"/>
                <w:color w:val="auto"/>
                <w:sz w:val="21"/>
                <w:szCs w:val="21"/>
                <w:lang w:val="en-US" w:eastAsia="en-US"/>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洗涤塔排气筒4</w:t>
            </w:r>
            <w:r>
              <w:rPr>
                <w:rFonts w:hint="eastAsia"/>
                <w:b w:val="0"/>
                <w:bCs w:val="0"/>
                <w:color w:val="auto"/>
                <w:sz w:val="21"/>
                <w:szCs w:val="21"/>
                <w:lang w:eastAsia="zh-CN"/>
              </w:rPr>
              <w:t>（</w:t>
            </w:r>
            <w:r>
              <w:rPr>
                <w:b w:val="0"/>
                <w:bCs w:val="0"/>
                <w:color w:val="auto"/>
                <w:sz w:val="21"/>
                <w:szCs w:val="21"/>
              </w:rPr>
              <w:t>DA042</w:t>
            </w:r>
            <w:r>
              <w:rPr>
                <w:rFonts w:hint="eastAsia"/>
                <w:b w:val="0"/>
                <w:bCs w:val="0"/>
                <w:color w:val="auto"/>
                <w:sz w:val="21"/>
                <w:szCs w:val="21"/>
                <w:lang w:eastAsia="zh-CN"/>
              </w:rPr>
              <w:t>）</w:t>
            </w:r>
          </w:p>
        </w:tc>
        <w:tc>
          <w:tcPr>
            <w:tcW w:w="592" w:type="pct"/>
            <w:tcBorders>
              <w:tl2br w:val="nil"/>
              <w:tr2bl w:val="nil"/>
            </w:tcBorders>
            <w:vAlign w:val="center"/>
          </w:tcPr>
          <w:p w14:paraId="14E49F40">
            <w:pPr>
              <w:jc w:val="center"/>
              <w:rPr>
                <w:b w:val="0"/>
                <w:bCs w:val="0"/>
                <w:color w:val="auto"/>
                <w:sz w:val="21"/>
                <w:szCs w:val="21"/>
              </w:rPr>
            </w:pPr>
            <w:r>
              <w:rPr>
                <w:b w:val="0"/>
                <w:bCs w:val="0"/>
                <w:color w:val="auto"/>
                <w:sz w:val="21"/>
                <w:szCs w:val="21"/>
              </w:rPr>
              <w:t>124°36′25.02″</w:t>
            </w:r>
          </w:p>
        </w:tc>
        <w:tc>
          <w:tcPr>
            <w:tcW w:w="558" w:type="pct"/>
            <w:tcBorders>
              <w:tl2br w:val="nil"/>
              <w:tr2bl w:val="nil"/>
            </w:tcBorders>
            <w:vAlign w:val="center"/>
          </w:tcPr>
          <w:p w14:paraId="534D4C7B">
            <w:pPr>
              <w:jc w:val="center"/>
              <w:rPr>
                <w:b w:val="0"/>
                <w:bCs w:val="0"/>
                <w:color w:val="auto"/>
                <w:sz w:val="21"/>
                <w:szCs w:val="21"/>
              </w:rPr>
            </w:pPr>
            <w:r>
              <w:rPr>
                <w:b w:val="0"/>
                <w:bCs w:val="0"/>
                <w:color w:val="auto"/>
                <w:sz w:val="21"/>
                <w:szCs w:val="21"/>
              </w:rPr>
              <w:t>48°12′59.44″</w:t>
            </w:r>
          </w:p>
        </w:tc>
        <w:tc>
          <w:tcPr>
            <w:tcW w:w="412" w:type="pct"/>
            <w:tcBorders>
              <w:tl2br w:val="nil"/>
              <w:tr2bl w:val="nil"/>
            </w:tcBorders>
            <w:shd w:val="clear" w:color="auto" w:fill="auto"/>
            <w:vAlign w:val="center"/>
          </w:tcPr>
          <w:p w14:paraId="23921D1E">
            <w:pPr>
              <w:jc w:val="center"/>
              <w:rPr>
                <w:rFonts w:hint="eastAsia" w:eastAsia="宋体"/>
                <w:b w:val="0"/>
                <w:bCs w:val="0"/>
                <w:color w:val="auto"/>
                <w:sz w:val="21"/>
                <w:szCs w:val="21"/>
                <w:lang w:val="en-US" w:eastAsia="zh-CN"/>
              </w:rPr>
            </w:pPr>
            <w:r>
              <w:rPr>
                <w:rFonts w:eastAsia="宋体"/>
                <w:b w:val="0"/>
                <w:bCs w:val="0"/>
                <w:color w:val="auto"/>
                <w:sz w:val="21"/>
                <w:szCs w:val="21"/>
              </w:rPr>
              <w:t>177</w:t>
            </w:r>
          </w:p>
        </w:tc>
        <w:tc>
          <w:tcPr>
            <w:tcW w:w="272" w:type="pct"/>
            <w:tcBorders>
              <w:tl2br w:val="nil"/>
              <w:tr2bl w:val="nil"/>
            </w:tcBorders>
            <w:shd w:val="clear" w:color="auto" w:fill="auto"/>
            <w:vAlign w:val="center"/>
          </w:tcPr>
          <w:p w14:paraId="2106C9CF">
            <w:pPr>
              <w:jc w:val="center"/>
              <w:rPr>
                <w:rFonts w:eastAsia="宋体"/>
                <w:b w:val="0"/>
                <w:bCs w:val="0"/>
                <w:color w:val="auto"/>
                <w:sz w:val="21"/>
                <w:szCs w:val="21"/>
              </w:rPr>
            </w:pPr>
            <w:r>
              <w:rPr>
                <w:rFonts w:eastAsia="宋体"/>
                <w:b w:val="0"/>
                <w:bCs w:val="0"/>
                <w:color w:val="auto"/>
                <w:sz w:val="21"/>
                <w:szCs w:val="21"/>
              </w:rPr>
              <w:t>15</w:t>
            </w:r>
          </w:p>
        </w:tc>
        <w:tc>
          <w:tcPr>
            <w:tcW w:w="258" w:type="pct"/>
            <w:tcBorders>
              <w:tl2br w:val="nil"/>
              <w:tr2bl w:val="nil"/>
            </w:tcBorders>
            <w:shd w:val="clear" w:color="auto" w:fill="auto"/>
            <w:vAlign w:val="center"/>
          </w:tcPr>
          <w:p w14:paraId="0141113B">
            <w:pPr>
              <w:jc w:val="center"/>
              <w:rPr>
                <w:rFonts w:eastAsia="宋体"/>
                <w:b w:val="0"/>
                <w:bCs w:val="0"/>
                <w:color w:val="auto"/>
                <w:sz w:val="21"/>
                <w:szCs w:val="21"/>
              </w:rPr>
            </w:pPr>
            <w:r>
              <w:rPr>
                <w:rFonts w:eastAsia="宋体"/>
                <w:b w:val="0"/>
                <w:bCs w:val="0"/>
                <w:color w:val="auto"/>
                <w:sz w:val="21"/>
                <w:szCs w:val="21"/>
              </w:rPr>
              <w:t>1.4</w:t>
            </w:r>
          </w:p>
        </w:tc>
        <w:tc>
          <w:tcPr>
            <w:tcW w:w="261" w:type="pct"/>
            <w:tcBorders>
              <w:tl2br w:val="nil"/>
              <w:tr2bl w:val="nil"/>
            </w:tcBorders>
            <w:shd w:val="clear" w:color="auto" w:fill="auto"/>
            <w:vAlign w:val="center"/>
          </w:tcPr>
          <w:p w14:paraId="497CBD49">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12" w:type="pct"/>
            <w:tcBorders>
              <w:tl2br w:val="nil"/>
              <w:tr2bl w:val="nil"/>
            </w:tcBorders>
            <w:shd w:val="clear" w:color="auto" w:fill="auto"/>
            <w:vAlign w:val="center"/>
          </w:tcPr>
          <w:p w14:paraId="1785DDD7">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271" w:type="pct"/>
            <w:tcBorders>
              <w:tl2br w:val="nil"/>
              <w:tr2bl w:val="nil"/>
            </w:tcBorders>
            <w:shd w:val="clear" w:color="auto" w:fill="auto"/>
            <w:vAlign w:val="center"/>
          </w:tcPr>
          <w:p w14:paraId="0C47709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283" w:type="pct"/>
            <w:tcBorders>
              <w:tl2br w:val="nil"/>
              <w:tr2bl w:val="nil"/>
            </w:tcBorders>
            <w:shd w:val="clear" w:color="auto" w:fill="auto"/>
            <w:vAlign w:val="center"/>
          </w:tcPr>
          <w:p w14:paraId="240B647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83" w:type="pct"/>
            <w:tcBorders>
              <w:tl2br w:val="nil"/>
              <w:tr2bl w:val="nil"/>
            </w:tcBorders>
            <w:shd w:val="clear" w:color="auto" w:fill="auto"/>
            <w:vAlign w:val="center"/>
          </w:tcPr>
          <w:p w14:paraId="098A9081">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288" w:type="pct"/>
            <w:tcBorders>
              <w:tl2br w:val="nil"/>
              <w:tr2bl w:val="nil"/>
            </w:tcBorders>
            <w:shd w:val="clear" w:color="auto" w:fill="auto"/>
            <w:vAlign w:val="center"/>
          </w:tcPr>
          <w:p w14:paraId="032A53D0">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1998</w:t>
            </w:r>
          </w:p>
        </w:tc>
        <w:tc>
          <w:tcPr>
            <w:tcW w:w="886" w:type="dxa"/>
            <w:tcBorders>
              <w:tl2br w:val="nil"/>
              <w:tr2bl w:val="nil"/>
            </w:tcBorders>
            <w:shd w:val="clear" w:color="auto" w:fill="auto"/>
            <w:vAlign w:val="center"/>
          </w:tcPr>
          <w:p w14:paraId="357D9D16">
            <w:pPr>
              <w:jc w:val="center"/>
              <w:rPr>
                <w:rFonts w:hint="eastAsia" w:eastAsia="宋体"/>
                <w:b w:val="0"/>
                <w:bCs w:val="0"/>
                <w:color w:val="auto"/>
                <w:sz w:val="21"/>
                <w:szCs w:val="21"/>
                <w:lang w:eastAsia="zh-CN"/>
              </w:rPr>
            </w:pPr>
            <w:r>
              <w:rPr>
                <w:rFonts w:hint="eastAsia" w:eastAsia="宋体"/>
                <w:b w:val="0"/>
                <w:bCs w:val="0"/>
                <w:color w:val="auto"/>
                <w:sz w:val="21"/>
                <w:szCs w:val="21"/>
                <w:lang w:eastAsia="zh-CN"/>
              </w:rPr>
              <w:t>/</w:t>
            </w:r>
          </w:p>
        </w:tc>
      </w:tr>
    </w:tbl>
    <w:p w14:paraId="07BFA842">
      <w:pPr>
        <w:sectPr>
          <w:pgSz w:w="16840" w:h="11907" w:orient="landscape"/>
          <w:pgMar w:top="1701" w:right="1440" w:bottom="1440" w:left="1440" w:header="851" w:footer="992" w:gutter="0"/>
          <w:pgBorders>
            <w:top w:val="none" w:sz="0" w:space="0"/>
            <w:left w:val="none" w:sz="0" w:space="0"/>
            <w:bottom w:val="none" w:sz="0" w:space="0"/>
            <w:right w:val="none" w:sz="0" w:space="0"/>
          </w:pgBorders>
          <w:pgNumType w:fmt="numberInDash"/>
          <w:cols w:space="0" w:num="1"/>
          <w:rtlGutter w:val="0"/>
          <w:docGrid w:linePitch="312" w:charSpace="0"/>
        </w:sectPr>
      </w:pPr>
    </w:p>
    <w:p w14:paraId="71A7AA99">
      <w:pPr>
        <w:pStyle w:val="2"/>
        <w:jc w:val="both"/>
      </w:pPr>
      <w:bookmarkStart w:id="283" w:name="_Toc29639"/>
      <w:r>
        <w:t>5.环境影响预测与评价</w:t>
      </w:r>
      <w:bookmarkEnd w:id="282"/>
      <w:bookmarkEnd w:id="283"/>
    </w:p>
    <w:p w14:paraId="6CE67D4D">
      <w:pPr>
        <w:pStyle w:val="3"/>
        <w:rPr>
          <w:szCs w:val="30"/>
        </w:rPr>
      </w:pPr>
      <w:bookmarkStart w:id="284" w:name="_Toc4476"/>
      <w:bookmarkStart w:id="285" w:name="_Toc227836799"/>
      <w:bookmarkStart w:id="286" w:name="_Toc13009"/>
      <w:bookmarkStart w:id="287" w:name="_Toc201249407"/>
      <w:bookmarkStart w:id="288" w:name="_Toc16269"/>
      <w:bookmarkStart w:id="289" w:name="_Toc29978"/>
      <w:bookmarkStart w:id="290" w:name="_Toc23629"/>
      <w:bookmarkStart w:id="291" w:name="_Toc227836924"/>
      <w:bookmarkStart w:id="292" w:name="_Toc1063"/>
      <w:bookmarkStart w:id="293" w:name="_Toc30616"/>
      <w:r>
        <w:rPr>
          <w:szCs w:val="30"/>
        </w:rPr>
        <w:t>5.1施工期环境影响分析</w:t>
      </w:r>
      <w:bookmarkEnd w:id="284"/>
      <w:bookmarkEnd w:id="285"/>
      <w:bookmarkEnd w:id="286"/>
      <w:bookmarkEnd w:id="287"/>
      <w:bookmarkEnd w:id="288"/>
      <w:bookmarkEnd w:id="289"/>
      <w:bookmarkEnd w:id="290"/>
      <w:bookmarkEnd w:id="291"/>
      <w:bookmarkEnd w:id="292"/>
      <w:bookmarkEnd w:id="293"/>
    </w:p>
    <w:p w14:paraId="168E3F65">
      <w:pPr>
        <w:spacing w:line="360" w:lineRule="auto"/>
        <w:ind w:firstLine="480" w:firstLineChars="200"/>
      </w:pPr>
      <w:bookmarkStart w:id="294" w:name="_Toc6350"/>
      <w:bookmarkStart w:id="295" w:name="_Toc2349"/>
      <w:bookmarkStart w:id="296" w:name="_Toc227836927"/>
      <w:bookmarkStart w:id="297" w:name="_Toc10769"/>
      <w:bookmarkStart w:id="298" w:name="_Toc201249410"/>
      <w:bookmarkStart w:id="299" w:name="_Toc3387"/>
      <w:bookmarkStart w:id="300" w:name="_Toc227836802"/>
      <w:bookmarkStart w:id="301" w:name="_Toc32218"/>
      <w:bookmarkStart w:id="302" w:name="_Toc7574"/>
      <w:r>
        <w:rPr>
          <w:rFonts w:hint="eastAsia"/>
          <w:lang w:eastAsia="zh-CN"/>
        </w:rPr>
        <w:t>本项目</w:t>
      </w:r>
      <w:r>
        <w:t>属于</w:t>
      </w:r>
      <w:r>
        <w:rPr>
          <w:rFonts w:hint="eastAsia"/>
          <w:lang w:eastAsia="zh-CN"/>
        </w:rPr>
        <w:t>补做环评</w:t>
      </w:r>
      <w:r>
        <w:rPr>
          <w:rFonts w:hint="eastAsia"/>
        </w:rPr>
        <w:t>项目</w:t>
      </w:r>
      <w:r>
        <w:t>，已于20</w:t>
      </w:r>
      <w:r>
        <w:rPr>
          <w:rFonts w:hint="eastAsia"/>
          <w:lang w:val="en-US" w:eastAsia="zh-CN"/>
        </w:rPr>
        <w:t>20</w:t>
      </w:r>
      <w:r>
        <w:t>年10月</w:t>
      </w:r>
      <w:r>
        <w:rPr>
          <w:rFonts w:hint="eastAsia"/>
        </w:rPr>
        <w:t>已建设完成，施工期已完成。</w:t>
      </w:r>
    </w:p>
    <w:p w14:paraId="40404BB4">
      <w:pPr>
        <w:pStyle w:val="3"/>
        <w:spacing w:line="360" w:lineRule="auto"/>
        <w:rPr>
          <w:szCs w:val="30"/>
        </w:rPr>
      </w:pPr>
      <w:bookmarkStart w:id="303" w:name="_Toc10848"/>
      <w:r>
        <w:rPr>
          <w:szCs w:val="30"/>
        </w:rPr>
        <w:t>5.2运营期环境影响预测与评价</w:t>
      </w:r>
      <w:bookmarkEnd w:id="294"/>
      <w:bookmarkEnd w:id="303"/>
    </w:p>
    <w:p w14:paraId="16EEB854">
      <w:pPr>
        <w:pStyle w:val="4"/>
        <w:spacing w:line="360" w:lineRule="auto"/>
        <w:rPr>
          <w:szCs w:val="28"/>
        </w:rPr>
      </w:pPr>
      <w:r>
        <w:rPr>
          <w:szCs w:val="28"/>
        </w:rPr>
        <w:t>5.2.1地表水环境影响分析</w:t>
      </w:r>
      <w:bookmarkEnd w:id="295"/>
      <w:bookmarkEnd w:id="296"/>
      <w:bookmarkEnd w:id="297"/>
      <w:bookmarkEnd w:id="298"/>
      <w:bookmarkEnd w:id="299"/>
      <w:bookmarkEnd w:id="300"/>
      <w:bookmarkEnd w:id="301"/>
      <w:bookmarkEnd w:id="302"/>
    </w:p>
    <w:p w14:paraId="500CA1FA">
      <w:pPr>
        <w:pStyle w:val="5"/>
        <w:rPr>
          <w:rFonts w:hint="eastAsia" w:eastAsia="宋体"/>
        </w:rPr>
      </w:pPr>
      <w:bookmarkStart w:id="304" w:name="_Toc26073"/>
      <w:bookmarkStart w:id="305" w:name="_Toc271"/>
      <w:bookmarkStart w:id="306" w:name="_Toc227836928"/>
      <w:bookmarkStart w:id="307" w:name="_Toc227836803"/>
      <w:bookmarkStart w:id="308" w:name="_Toc30924"/>
      <w:bookmarkStart w:id="309" w:name="_Toc20217"/>
      <w:bookmarkStart w:id="310" w:name="_Toc12380"/>
      <w:bookmarkStart w:id="311" w:name="_Toc201249411"/>
      <w:bookmarkStart w:id="312" w:name="_Toc64430496"/>
      <w:bookmarkStart w:id="313" w:name="_Toc67127421"/>
      <w:bookmarkStart w:id="314" w:name="_Toc48632239"/>
      <w:bookmarkStart w:id="315" w:name="_Toc67129022"/>
      <w:bookmarkStart w:id="316" w:name="_Toc67127310"/>
      <w:bookmarkStart w:id="317" w:name="_Toc64431449"/>
      <w:bookmarkStart w:id="318" w:name="_Toc57706372"/>
      <w:bookmarkStart w:id="319" w:name="_Toc64432818"/>
      <w:bookmarkStart w:id="320" w:name="_Toc57906709"/>
      <w:bookmarkStart w:id="321" w:name="_Toc57705061"/>
      <w:r>
        <w:rPr>
          <w:rFonts w:hint="eastAsia" w:eastAsia="宋体"/>
        </w:rPr>
        <w:t>5.2.</w:t>
      </w:r>
      <w:r>
        <w:rPr>
          <w:rFonts w:hint="eastAsia" w:eastAsia="宋体"/>
          <w:lang w:val="en-US"/>
        </w:rPr>
        <w:t>1</w:t>
      </w:r>
      <w:r>
        <w:rPr>
          <w:rFonts w:hint="eastAsia" w:eastAsia="宋体"/>
        </w:rPr>
        <w:t>.</w:t>
      </w:r>
      <w:r>
        <w:rPr>
          <w:rFonts w:hint="eastAsia" w:eastAsia="宋体"/>
          <w:lang w:val="en-US"/>
        </w:rPr>
        <w:t>1</w:t>
      </w:r>
      <w:r>
        <w:rPr>
          <w:rFonts w:hint="eastAsia" w:eastAsia="宋体"/>
        </w:rPr>
        <w:t>废水污染源及源强确定</w:t>
      </w:r>
    </w:p>
    <w:p w14:paraId="108C027F">
      <w:pPr>
        <w:spacing w:line="360" w:lineRule="auto"/>
        <w:ind w:firstLine="480" w:firstLineChars="200"/>
        <w:rPr>
          <w:rFonts w:hint="eastAsia"/>
        </w:rPr>
      </w:pPr>
      <w:r>
        <w:rPr>
          <w:rFonts w:hint="eastAsia"/>
          <w:lang w:val="en-US" w:eastAsia="zh-CN"/>
        </w:rPr>
        <w:t>本项目</w:t>
      </w:r>
      <w:r>
        <w:t>建成后</w:t>
      </w:r>
      <w:r>
        <w:rPr>
          <w:rFonts w:hint="eastAsia"/>
          <w:lang w:val="en-US" w:eastAsia="zh-CN"/>
        </w:rPr>
        <w:t>全厂</w:t>
      </w:r>
      <w:r>
        <w:t>排入嫩江水量为</w:t>
      </w:r>
      <w:r>
        <w:rPr>
          <w:rFonts w:hint="eastAsia"/>
          <w:lang w:val="en-US" w:eastAsia="zh-CN"/>
        </w:rPr>
        <w:t>18</w:t>
      </w:r>
      <w:r>
        <w:t>000m</w:t>
      </w:r>
      <w:r>
        <w:rPr>
          <w:vertAlign w:val="superscript"/>
        </w:rPr>
        <w:t>3</w:t>
      </w:r>
      <w:r>
        <w:t>/d，污水处理厂出水水质指标为《城镇污水处理厂污染物排放标准》（GB18918-2002）一级A标准，</w:t>
      </w:r>
      <w:r>
        <w:rPr>
          <w:rFonts w:hint="eastAsia"/>
        </w:rPr>
        <w:t>本项目排放情况见表5.</w:t>
      </w:r>
      <w:r>
        <w:rPr>
          <w:rFonts w:hint="eastAsia"/>
          <w:lang w:val="en-US" w:eastAsia="zh-CN"/>
        </w:rPr>
        <w:t>2-1</w:t>
      </w:r>
      <w:r>
        <w:rPr>
          <w:rFonts w:hint="eastAsia"/>
        </w:rPr>
        <w:t>。</w:t>
      </w:r>
    </w:p>
    <w:p w14:paraId="30AC08DB">
      <w:pPr>
        <w:spacing w:line="500" w:lineRule="exact"/>
        <w:jc w:val="center"/>
        <w:rPr>
          <w:rFonts w:ascii="Times New Roman" w:hAnsi="Times New Roman" w:eastAsia="宋体" w:cs="Times New Roman"/>
          <w:b/>
          <w:bCs/>
          <w:color w:val="auto"/>
          <w:sz w:val="24"/>
          <w:szCs w:val="24"/>
          <w:lang w:val="en-US" w:eastAsia="zh-CN" w:bidi="ar-SA"/>
        </w:rPr>
      </w:pPr>
      <w:r>
        <w:rPr>
          <w:rFonts w:hint="eastAsia" w:ascii="Times New Roman" w:hAnsi="Times New Roman" w:eastAsia="宋体" w:cs="Times New Roman"/>
          <w:b/>
          <w:bCs/>
          <w:color w:val="auto"/>
          <w:sz w:val="24"/>
          <w:szCs w:val="24"/>
          <w:lang w:val="en-US" w:eastAsia="zh-CN" w:bidi="ar-SA"/>
        </w:rPr>
        <w:t>表5.2-1 本项目废水排放情况（正常状态）</w:t>
      </w:r>
    </w:p>
    <w:tbl>
      <w:tblPr>
        <w:tblStyle w:val="53"/>
        <w:tblW w:w="86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36"/>
        <w:gridCol w:w="2132"/>
        <w:gridCol w:w="2024"/>
        <w:gridCol w:w="2066"/>
      </w:tblGrid>
      <w:tr w14:paraId="7A35E0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2436" w:type="dxa"/>
            <w:tcBorders>
              <w:top w:val="single" w:color="auto" w:sz="4" w:space="0"/>
              <w:left w:val="single" w:color="auto" w:sz="4" w:space="0"/>
              <w:bottom w:val="single" w:color="auto" w:sz="4" w:space="0"/>
              <w:tl2br w:val="single" w:color="auto" w:sz="4" w:space="0"/>
            </w:tcBorders>
          </w:tcPr>
          <w:p w14:paraId="0D8FAA4D">
            <w:pPr>
              <w:pStyle w:val="28"/>
              <w:spacing w:line="240" w:lineRule="exact"/>
              <w:ind w:firstLine="0"/>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 xml:space="preserve">           项目</w:t>
            </w:r>
          </w:p>
          <w:p w14:paraId="28A3ECE7">
            <w:pPr>
              <w:pStyle w:val="28"/>
              <w:spacing w:line="240" w:lineRule="exact"/>
              <w:ind w:firstLine="242" w:firstLineChars="100"/>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时段</w:t>
            </w:r>
          </w:p>
        </w:tc>
        <w:tc>
          <w:tcPr>
            <w:tcW w:w="2132" w:type="dxa"/>
            <w:tcBorders>
              <w:top w:val="single" w:color="auto" w:sz="4" w:space="0"/>
              <w:bottom w:val="single" w:color="auto" w:sz="4" w:space="0"/>
            </w:tcBorders>
            <w:vAlign w:val="center"/>
          </w:tcPr>
          <w:p w14:paraId="07CA0F40">
            <w:pPr>
              <w:pStyle w:val="28"/>
              <w:spacing w:line="240" w:lineRule="exact"/>
              <w:ind w:firstLine="0"/>
              <w:jc w:val="center"/>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水 量（</w:t>
            </w:r>
            <w:r>
              <w:rPr>
                <w:rFonts w:hint="default" w:ascii="Times New Roman" w:hAnsi="Times New Roman" w:eastAsia="宋体" w:cs="Times New Roman"/>
                <w:color w:val="auto"/>
                <w:spacing w:val="16"/>
                <w:sz w:val="21"/>
                <w:szCs w:val="21"/>
                <w:lang w:val="en-US" w:eastAsia="zh-CN"/>
              </w:rPr>
              <w:t>万</w:t>
            </w:r>
            <w:r>
              <w:rPr>
                <w:rFonts w:hint="default" w:ascii="Times New Roman" w:hAnsi="Times New Roman" w:eastAsia="宋体" w:cs="Times New Roman"/>
                <w:color w:val="auto"/>
                <w:spacing w:val="16"/>
                <w:sz w:val="21"/>
                <w:szCs w:val="21"/>
              </w:rPr>
              <w:t>t/a）</w:t>
            </w:r>
          </w:p>
        </w:tc>
        <w:tc>
          <w:tcPr>
            <w:tcW w:w="2024" w:type="dxa"/>
            <w:tcBorders>
              <w:top w:val="single" w:color="auto" w:sz="4" w:space="0"/>
            </w:tcBorders>
            <w:vAlign w:val="center"/>
          </w:tcPr>
          <w:p w14:paraId="62599671">
            <w:pPr>
              <w:pStyle w:val="28"/>
              <w:tabs>
                <w:tab w:val="left" w:pos="1380"/>
              </w:tabs>
              <w:spacing w:line="240" w:lineRule="exact"/>
              <w:ind w:left="27" w:firstLine="0"/>
              <w:jc w:val="center"/>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COD（t/a）</w:t>
            </w:r>
          </w:p>
        </w:tc>
        <w:tc>
          <w:tcPr>
            <w:tcW w:w="2066" w:type="dxa"/>
            <w:tcBorders>
              <w:top w:val="single" w:color="auto" w:sz="4" w:space="0"/>
              <w:right w:val="single" w:color="auto" w:sz="4" w:space="0"/>
            </w:tcBorders>
            <w:vAlign w:val="center"/>
          </w:tcPr>
          <w:p w14:paraId="1485D02F">
            <w:pPr>
              <w:pStyle w:val="28"/>
              <w:spacing w:line="240" w:lineRule="exact"/>
              <w:ind w:left="162" w:firstLine="0"/>
              <w:jc w:val="center"/>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氨氮（t/a）</w:t>
            </w:r>
          </w:p>
        </w:tc>
      </w:tr>
      <w:tr w14:paraId="259AC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436" w:type="dxa"/>
            <w:tcBorders>
              <w:top w:val="single" w:color="auto" w:sz="4" w:space="0"/>
              <w:left w:val="single" w:color="auto" w:sz="4" w:space="0"/>
              <w:bottom w:val="single" w:color="auto" w:sz="4" w:space="0"/>
            </w:tcBorders>
            <w:vAlign w:val="center"/>
          </w:tcPr>
          <w:p w14:paraId="372ACF16">
            <w:pPr>
              <w:pStyle w:val="28"/>
              <w:spacing w:line="240" w:lineRule="exact"/>
              <w:ind w:firstLine="0"/>
              <w:jc w:val="center"/>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产生量</w:t>
            </w:r>
          </w:p>
        </w:tc>
        <w:tc>
          <w:tcPr>
            <w:tcW w:w="2132" w:type="dxa"/>
            <w:tcBorders>
              <w:top w:val="single" w:color="auto" w:sz="4" w:space="0"/>
              <w:bottom w:val="single" w:color="auto" w:sz="4" w:space="0"/>
            </w:tcBorders>
            <w:vAlign w:val="center"/>
          </w:tcPr>
          <w:p w14:paraId="4A4EB40A">
            <w:pPr>
              <w:pStyle w:val="28"/>
              <w:spacing w:line="240" w:lineRule="exact"/>
              <w:ind w:firstLine="0"/>
              <w:jc w:val="center"/>
              <w:rPr>
                <w:rFonts w:hint="default"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657</w:t>
            </w:r>
          </w:p>
        </w:tc>
        <w:tc>
          <w:tcPr>
            <w:tcW w:w="2024" w:type="dxa"/>
            <w:tcBorders>
              <w:top w:val="single" w:color="auto" w:sz="4" w:space="0"/>
              <w:bottom w:val="single" w:color="auto" w:sz="4" w:space="0"/>
            </w:tcBorders>
            <w:vAlign w:val="center"/>
          </w:tcPr>
          <w:p w14:paraId="12291979">
            <w:pPr>
              <w:pStyle w:val="28"/>
              <w:spacing w:line="240" w:lineRule="exact"/>
              <w:ind w:firstLine="0"/>
              <w:jc w:val="center"/>
              <w:rPr>
                <w:rFonts w:hint="default"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12384.45</w:t>
            </w:r>
          </w:p>
        </w:tc>
        <w:tc>
          <w:tcPr>
            <w:tcW w:w="2066" w:type="dxa"/>
            <w:tcBorders>
              <w:top w:val="single" w:color="auto" w:sz="4" w:space="0"/>
              <w:bottom w:val="single" w:color="auto" w:sz="4" w:space="0"/>
              <w:right w:val="single" w:color="auto" w:sz="4" w:space="0"/>
            </w:tcBorders>
            <w:vAlign w:val="center"/>
          </w:tcPr>
          <w:p w14:paraId="267725CB">
            <w:pPr>
              <w:pStyle w:val="28"/>
              <w:spacing w:line="240" w:lineRule="exact"/>
              <w:ind w:firstLine="0"/>
              <w:jc w:val="center"/>
              <w:rPr>
                <w:rFonts w:hint="default"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100</w:t>
            </w:r>
            <w:r>
              <w:rPr>
                <w:rFonts w:hint="default" w:ascii="Times New Roman" w:hAnsi="Times New Roman" w:eastAsia="宋体" w:cs="Times New Roman"/>
                <w:color w:val="auto"/>
                <w:spacing w:val="16"/>
                <w:sz w:val="21"/>
                <w:szCs w:val="21"/>
                <w:lang w:val="en-US" w:eastAsia="zh-CN"/>
              </w:rPr>
              <w:t>.5</w:t>
            </w:r>
          </w:p>
        </w:tc>
      </w:tr>
      <w:tr w14:paraId="23813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436" w:type="dxa"/>
            <w:tcBorders>
              <w:top w:val="single" w:color="auto" w:sz="4" w:space="0"/>
              <w:left w:val="single" w:color="auto" w:sz="4" w:space="0"/>
              <w:bottom w:val="single" w:color="auto" w:sz="4" w:space="0"/>
            </w:tcBorders>
            <w:vAlign w:val="center"/>
          </w:tcPr>
          <w:p w14:paraId="469C8B2E">
            <w:pPr>
              <w:pStyle w:val="28"/>
              <w:spacing w:line="240" w:lineRule="exact"/>
              <w:ind w:firstLine="0"/>
              <w:jc w:val="center"/>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处理削减量</w:t>
            </w:r>
          </w:p>
        </w:tc>
        <w:tc>
          <w:tcPr>
            <w:tcW w:w="2132" w:type="dxa"/>
            <w:tcBorders>
              <w:top w:val="single" w:color="auto" w:sz="4" w:space="0"/>
              <w:bottom w:val="single" w:color="auto" w:sz="4" w:space="0"/>
            </w:tcBorders>
            <w:vAlign w:val="center"/>
          </w:tcPr>
          <w:p w14:paraId="37FE4945">
            <w:pPr>
              <w:pStyle w:val="28"/>
              <w:spacing w:line="240" w:lineRule="exact"/>
              <w:ind w:firstLine="0"/>
              <w:jc w:val="center"/>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0</w:t>
            </w:r>
          </w:p>
        </w:tc>
        <w:tc>
          <w:tcPr>
            <w:tcW w:w="2024" w:type="dxa"/>
            <w:tcBorders>
              <w:top w:val="single" w:color="auto" w:sz="4" w:space="0"/>
              <w:bottom w:val="single" w:color="auto" w:sz="4" w:space="0"/>
            </w:tcBorders>
            <w:vAlign w:val="center"/>
          </w:tcPr>
          <w:p w14:paraId="13992069">
            <w:pPr>
              <w:pStyle w:val="28"/>
              <w:spacing w:line="240" w:lineRule="exact"/>
              <w:ind w:firstLine="0"/>
              <w:jc w:val="center"/>
              <w:rPr>
                <w:rFonts w:hint="default"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12055.95</w:t>
            </w:r>
          </w:p>
        </w:tc>
        <w:tc>
          <w:tcPr>
            <w:tcW w:w="2066" w:type="dxa"/>
            <w:tcBorders>
              <w:top w:val="single" w:color="auto" w:sz="4" w:space="0"/>
              <w:bottom w:val="single" w:color="auto" w:sz="4" w:space="0"/>
              <w:right w:val="single" w:color="auto" w:sz="4" w:space="0"/>
            </w:tcBorders>
            <w:vAlign w:val="center"/>
          </w:tcPr>
          <w:p w14:paraId="71D6491E">
            <w:pPr>
              <w:pStyle w:val="28"/>
              <w:spacing w:line="240" w:lineRule="exact"/>
              <w:ind w:firstLine="0"/>
              <w:jc w:val="center"/>
              <w:rPr>
                <w:rFonts w:hint="default"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67.6</w:t>
            </w:r>
            <w:r>
              <w:rPr>
                <w:rFonts w:hint="default" w:ascii="Times New Roman" w:hAnsi="Times New Roman" w:eastAsia="宋体" w:cs="Times New Roman"/>
                <w:color w:val="auto"/>
                <w:spacing w:val="16"/>
                <w:sz w:val="21"/>
                <w:szCs w:val="21"/>
                <w:lang w:val="en-US" w:eastAsia="zh-CN"/>
              </w:rPr>
              <w:t>5</w:t>
            </w:r>
          </w:p>
        </w:tc>
      </w:tr>
      <w:tr w14:paraId="63040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436" w:type="dxa"/>
            <w:tcBorders>
              <w:top w:val="single" w:color="auto" w:sz="4" w:space="0"/>
              <w:left w:val="single" w:color="auto" w:sz="4" w:space="0"/>
              <w:bottom w:val="single" w:color="auto" w:sz="4" w:space="0"/>
            </w:tcBorders>
            <w:vAlign w:val="center"/>
          </w:tcPr>
          <w:p w14:paraId="10122976">
            <w:pPr>
              <w:pStyle w:val="28"/>
              <w:spacing w:line="240" w:lineRule="exact"/>
              <w:ind w:firstLine="0"/>
              <w:jc w:val="center"/>
              <w:rPr>
                <w:rFonts w:hint="default" w:ascii="Times New Roman" w:hAnsi="Times New Roman" w:eastAsia="宋体" w:cs="Times New Roman"/>
                <w:color w:val="auto"/>
                <w:spacing w:val="16"/>
                <w:sz w:val="21"/>
                <w:szCs w:val="21"/>
              </w:rPr>
            </w:pPr>
            <w:r>
              <w:rPr>
                <w:rFonts w:hint="default" w:ascii="Times New Roman" w:hAnsi="Times New Roman" w:eastAsia="宋体" w:cs="Times New Roman"/>
                <w:color w:val="auto"/>
                <w:spacing w:val="16"/>
                <w:sz w:val="21"/>
                <w:szCs w:val="21"/>
              </w:rPr>
              <w:t>排放量</w:t>
            </w:r>
          </w:p>
        </w:tc>
        <w:tc>
          <w:tcPr>
            <w:tcW w:w="2132" w:type="dxa"/>
            <w:tcBorders>
              <w:top w:val="single" w:color="auto" w:sz="4" w:space="0"/>
              <w:bottom w:val="single" w:color="auto" w:sz="4" w:space="0"/>
            </w:tcBorders>
            <w:vAlign w:val="center"/>
          </w:tcPr>
          <w:p w14:paraId="77AA8298">
            <w:pPr>
              <w:pStyle w:val="28"/>
              <w:spacing w:line="240" w:lineRule="exact"/>
              <w:ind w:firstLine="0"/>
              <w:jc w:val="center"/>
              <w:rPr>
                <w:rFonts w:hint="default"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657</w:t>
            </w:r>
          </w:p>
        </w:tc>
        <w:tc>
          <w:tcPr>
            <w:tcW w:w="2024" w:type="dxa"/>
            <w:tcBorders>
              <w:top w:val="single" w:color="auto" w:sz="4" w:space="0"/>
              <w:bottom w:val="single" w:color="auto" w:sz="4" w:space="0"/>
            </w:tcBorders>
            <w:vAlign w:val="center"/>
          </w:tcPr>
          <w:p w14:paraId="60C6DD0B">
            <w:pPr>
              <w:pStyle w:val="28"/>
              <w:spacing w:line="240" w:lineRule="exact"/>
              <w:ind w:firstLine="0" w:firstLineChars="0"/>
              <w:jc w:val="center"/>
              <w:rPr>
                <w:rFonts w:hint="default" w:ascii="Times New Roman" w:hAnsi="Times New Roman" w:eastAsia="宋体" w:cs="Times New Roman"/>
                <w:color w:val="auto"/>
                <w:spacing w:val="16"/>
                <w:sz w:val="21"/>
                <w:szCs w:val="21"/>
                <w:lang w:val="en-US"/>
              </w:rPr>
            </w:pPr>
            <w:r>
              <w:rPr>
                <w:rFonts w:hint="eastAsia" w:ascii="Times New Roman" w:hAnsi="Times New Roman" w:eastAsia="宋体" w:cs="Times New Roman"/>
                <w:color w:val="auto"/>
                <w:spacing w:val="16"/>
                <w:sz w:val="21"/>
                <w:szCs w:val="21"/>
                <w:lang w:val="en-US" w:eastAsia="zh-CN"/>
              </w:rPr>
              <w:t>328.5</w:t>
            </w:r>
          </w:p>
        </w:tc>
        <w:tc>
          <w:tcPr>
            <w:tcW w:w="2066" w:type="dxa"/>
            <w:tcBorders>
              <w:top w:val="single" w:color="auto" w:sz="4" w:space="0"/>
              <w:bottom w:val="single" w:color="auto" w:sz="4" w:space="0"/>
              <w:right w:val="single" w:color="auto" w:sz="4" w:space="0"/>
            </w:tcBorders>
            <w:vAlign w:val="center"/>
          </w:tcPr>
          <w:p w14:paraId="5EC3CB23">
            <w:pPr>
              <w:pStyle w:val="28"/>
              <w:spacing w:line="240" w:lineRule="exact"/>
              <w:ind w:firstLine="0" w:firstLineChars="0"/>
              <w:jc w:val="center"/>
              <w:rPr>
                <w:rFonts w:hint="default" w:ascii="Times New Roman" w:hAnsi="Times New Roman" w:eastAsia="宋体" w:cs="Times New Roman"/>
                <w:color w:val="auto"/>
                <w:spacing w:val="16"/>
                <w:sz w:val="21"/>
                <w:szCs w:val="21"/>
                <w:lang w:val="en-US"/>
              </w:rPr>
            </w:pPr>
            <w:r>
              <w:rPr>
                <w:rFonts w:hint="eastAsia" w:ascii="Times New Roman" w:hAnsi="Times New Roman" w:eastAsia="宋体" w:cs="Times New Roman"/>
                <w:color w:val="auto"/>
                <w:spacing w:val="16"/>
                <w:sz w:val="21"/>
                <w:szCs w:val="21"/>
                <w:lang w:val="en-US" w:eastAsia="zh-CN"/>
              </w:rPr>
              <w:t>32.85</w:t>
            </w:r>
          </w:p>
        </w:tc>
      </w:tr>
    </w:tbl>
    <w:p w14:paraId="2F12D75B">
      <w:pPr>
        <w:pStyle w:val="5"/>
        <w:tabs>
          <w:tab w:val="left" w:pos="2268"/>
        </w:tabs>
        <w:spacing w:beforeLines="0" w:afterLines="0" w:line="360" w:lineRule="auto"/>
        <w:ind w:left="0" w:firstLine="0"/>
        <w:rPr>
          <w:rStyle w:val="508"/>
          <w:rFonts w:hint="eastAsia" w:ascii="Times New Roman" w:hAnsi="Times New Roman"/>
        </w:rPr>
      </w:pPr>
      <w:bookmarkStart w:id="322" w:name="_Toc454201742"/>
      <w:bookmarkStart w:id="323" w:name="_Toc454462914"/>
      <w:r>
        <w:rPr>
          <w:rStyle w:val="508"/>
          <w:rFonts w:hint="eastAsia" w:ascii="Times New Roman" w:hAnsi="Times New Roman"/>
        </w:rPr>
        <w:t>5.2.</w:t>
      </w:r>
      <w:r>
        <w:rPr>
          <w:rStyle w:val="508"/>
          <w:rFonts w:hint="eastAsia" w:ascii="Times New Roman" w:hAnsi="Times New Roman"/>
          <w:lang w:val="en-US"/>
        </w:rPr>
        <w:t>1.2</w:t>
      </w:r>
      <w:r>
        <w:rPr>
          <w:rStyle w:val="508"/>
          <w:rFonts w:hint="eastAsia" w:ascii="Times New Roman" w:hAnsi="Times New Roman"/>
        </w:rPr>
        <w:t xml:space="preserve"> 预测范围</w:t>
      </w:r>
      <w:bookmarkEnd w:id="322"/>
      <w:bookmarkEnd w:id="323"/>
    </w:p>
    <w:p w14:paraId="606E99EE">
      <w:pPr>
        <w:tabs>
          <w:tab w:val="left" w:pos="2268"/>
        </w:tabs>
        <w:spacing w:beforeLines="0" w:afterLines="0" w:line="360" w:lineRule="auto"/>
        <w:ind w:left="0" w:firstLine="480" w:firstLineChars="200"/>
        <w:outlineLvl w:val="9"/>
        <w:rPr>
          <w:rFonts w:hint="eastAsia" w:ascii="Times New Roman" w:hAnsi="Times New Roman" w:eastAsia="宋体" w:cs="Times New Roman"/>
          <w:b w:val="0"/>
          <w:sz w:val="24"/>
          <w:szCs w:val="24"/>
          <w:lang w:val="en-US" w:eastAsia="zh-CN" w:bidi="ar-SA"/>
        </w:rPr>
      </w:pPr>
      <w:bookmarkStart w:id="324" w:name="_Toc454462915"/>
      <w:bookmarkStart w:id="325" w:name="_Toc454201743"/>
      <w:r>
        <w:rPr>
          <w:rFonts w:hint="eastAsia" w:cs="Times New Roman"/>
          <w:b w:val="0"/>
          <w:sz w:val="24"/>
          <w:szCs w:val="24"/>
          <w:lang w:val="en-US" w:eastAsia="zh-CN" w:bidi="ar-SA"/>
        </w:rPr>
        <w:t>排污口上游500m的对照断面至排污口下游11857m的消减断面，评价河流段长度为12357m。</w:t>
      </w:r>
    </w:p>
    <w:p w14:paraId="1DC756AF">
      <w:pPr>
        <w:pStyle w:val="5"/>
        <w:tabs>
          <w:tab w:val="left" w:pos="2268"/>
        </w:tabs>
        <w:spacing w:beforeLines="0" w:afterLines="0" w:line="360" w:lineRule="auto"/>
        <w:ind w:left="0" w:firstLine="0"/>
        <w:rPr>
          <w:rStyle w:val="508"/>
          <w:rFonts w:hint="eastAsia" w:ascii="Times New Roman" w:hAnsi="Times New Roman"/>
        </w:rPr>
      </w:pPr>
      <w:r>
        <w:rPr>
          <w:rStyle w:val="508"/>
          <w:rFonts w:hint="eastAsia" w:ascii="Times New Roman" w:hAnsi="Times New Roman"/>
        </w:rPr>
        <w:t>5.2.</w:t>
      </w:r>
      <w:r>
        <w:rPr>
          <w:rStyle w:val="508"/>
          <w:rFonts w:hint="eastAsia" w:ascii="Times New Roman" w:hAnsi="Times New Roman"/>
          <w:lang w:val="en-US"/>
        </w:rPr>
        <w:t>1.3</w:t>
      </w:r>
      <w:r>
        <w:rPr>
          <w:rStyle w:val="508"/>
          <w:rFonts w:hint="eastAsia" w:ascii="Times New Roman" w:hAnsi="Times New Roman"/>
        </w:rPr>
        <w:t>预测因子</w:t>
      </w:r>
      <w:bookmarkEnd w:id="324"/>
      <w:bookmarkEnd w:id="325"/>
    </w:p>
    <w:p w14:paraId="21B3D852">
      <w:pPr>
        <w:spacing w:line="360" w:lineRule="auto"/>
        <w:ind w:firstLine="480" w:firstLineChars="200"/>
        <w:rPr>
          <w:rFonts w:hint="eastAsia" w:ascii="Times New Roman" w:hAnsi="Times New Roman" w:cs="Times New Roman"/>
        </w:rPr>
      </w:pPr>
      <w:r>
        <w:rPr>
          <w:rFonts w:hint="eastAsia" w:ascii="Times New Roman" w:hAnsi="Times New Roman" w:cs="Times New Roman"/>
        </w:rPr>
        <w:t>根据嫩江水环境污染现状及本项目排污特征，选择预测因子为COD、氨氮。</w:t>
      </w:r>
    </w:p>
    <w:p w14:paraId="71776D51">
      <w:pPr>
        <w:pStyle w:val="5"/>
        <w:tabs>
          <w:tab w:val="left" w:pos="2268"/>
        </w:tabs>
        <w:spacing w:beforeLines="0" w:afterLines="0" w:line="360" w:lineRule="auto"/>
        <w:ind w:left="0" w:firstLine="0"/>
        <w:rPr>
          <w:rStyle w:val="508"/>
          <w:rFonts w:hint="eastAsia" w:ascii="Times New Roman" w:hAnsi="Times New Roman"/>
        </w:rPr>
      </w:pPr>
      <w:bookmarkStart w:id="326" w:name="_Toc454201744"/>
      <w:bookmarkStart w:id="327" w:name="_Toc454462916"/>
      <w:r>
        <w:rPr>
          <w:rStyle w:val="508"/>
          <w:rFonts w:hint="eastAsia" w:ascii="Times New Roman" w:hAnsi="Times New Roman"/>
        </w:rPr>
        <w:t>5.2.</w:t>
      </w:r>
      <w:r>
        <w:rPr>
          <w:rStyle w:val="508"/>
          <w:rFonts w:hint="eastAsia" w:ascii="Times New Roman" w:hAnsi="Times New Roman"/>
          <w:lang w:val="en-US"/>
        </w:rPr>
        <w:t>1.4</w:t>
      </w:r>
      <w:r>
        <w:rPr>
          <w:rStyle w:val="508"/>
          <w:rFonts w:hint="eastAsia" w:ascii="Times New Roman" w:hAnsi="Times New Roman"/>
        </w:rPr>
        <w:t>预测水期</w:t>
      </w:r>
      <w:bookmarkEnd w:id="326"/>
      <w:bookmarkEnd w:id="327"/>
    </w:p>
    <w:p w14:paraId="27EA0EF4">
      <w:pPr>
        <w:spacing w:line="360" w:lineRule="auto"/>
        <w:ind w:firstLine="480" w:firstLineChars="200"/>
        <w:rPr>
          <w:rFonts w:hint="eastAsia" w:ascii="Times New Roman" w:hAnsi="Times New Roman" w:cs="Times New Roman"/>
        </w:rPr>
      </w:pPr>
      <w:r>
        <w:rPr>
          <w:rFonts w:hint="eastAsia" w:ascii="Times New Roman" w:hAnsi="Times New Roman" w:cs="Times New Roman"/>
        </w:rPr>
        <w:t>选择最不利水期枯水期。</w:t>
      </w:r>
    </w:p>
    <w:p w14:paraId="54BB1472">
      <w:pPr>
        <w:pStyle w:val="5"/>
        <w:tabs>
          <w:tab w:val="left" w:pos="2268"/>
        </w:tabs>
        <w:spacing w:beforeLines="0" w:afterLines="0" w:line="360" w:lineRule="auto"/>
        <w:ind w:left="0" w:firstLine="0"/>
        <w:rPr>
          <w:rStyle w:val="508"/>
          <w:rFonts w:hint="default" w:ascii="Times New Roman" w:hAnsi="Times New Roman"/>
          <w:lang w:val="en-US"/>
        </w:rPr>
      </w:pPr>
      <w:bookmarkStart w:id="328" w:name="_Toc454201746"/>
      <w:bookmarkStart w:id="329" w:name="_Toc454462918"/>
      <w:r>
        <w:rPr>
          <w:rStyle w:val="508"/>
          <w:rFonts w:hint="eastAsia" w:ascii="Times New Roman" w:hAnsi="Times New Roman"/>
        </w:rPr>
        <w:t>5.2.</w:t>
      </w:r>
      <w:r>
        <w:rPr>
          <w:rStyle w:val="508"/>
          <w:rFonts w:hint="eastAsia" w:ascii="Times New Roman" w:hAnsi="Times New Roman"/>
          <w:lang w:val="en-US"/>
        </w:rPr>
        <w:t>1.5</w:t>
      </w:r>
      <w:r>
        <w:rPr>
          <w:rStyle w:val="508"/>
          <w:rFonts w:hint="eastAsia" w:ascii="Times New Roman" w:hAnsi="Times New Roman"/>
        </w:rPr>
        <w:t xml:space="preserve"> 预测</w:t>
      </w:r>
      <w:bookmarkEnd w:id="328"/>
      <w:bookmarkEnd w:id="329"/>
      <w:r>
        <w:rPr>
          <w:rStyle w:val="508"/>
          <w:rFonts w:hint="eastAsia" w:ascii="Times New Roman" w:hAnsi="Times New Roman"/>
          <w:lang w:val="en-US"/>
        </w:rPr>
        <w:t>情景</w:t>
      </w:r>
    </w:p>
    <w:p w14:paraId="68ED50A3">
      <w:pPr>
        <w:spacing w:line="360" w:lineRule="auto"/>
        <w:ind w:firstLine="480" w:firstLineChars="200"/>
        <w:rPr>
          <w:rFonts w:hint="eastAsia" w:ascii="Times New Roman" w:hAnsi="Times New Roman" w:cs="Times New Roman"/>
        </w:rPr>
      </w:pPr>
      <w:bookmarkStart w:id="330" w:name="_Toc454462919"/>
      <w:bookmarkStart w:id="331" w:name="_Toc454201747"/>
      <w:r>
        <w:rPr>
          <w:rFonts w:hint="eastAsia" w:ascii="Times New Roman" w:hAnsi="Times New Roman" w:cs="Times New Roman"/>
        </w:rPr>
        <w:t>嫩江水文条件最不利情况下。</w:t>
      </w:r>
    </w:p>
    <w:p w14:paraId="16ED98A8">
      <w:pPr>
        <w:pStyle w:val="5"/>
        <w:tabs>
          <w:tab w:val="left" w:pos="2268"/>
        </w:tabs>
        <w:spacing w:beforeLines="0" w:afterLines="0" w:line="360" w:lineRule="auto"/>
        <w:ind w:left="0" w:firstLine="0"/>
        <w:rPr>
          <w:rStyle w:val="508"/>
          <w:rFonts w:hint="eastAsia" w:ascii="Times New Roman" w:hAnsi="Times New Roman"/>
        </w:rPr>
      </w:pPr>
      <w:r>
        <w:rPr>
          <w:rStyle w:val="508"/>
          <w:rFonts w:hint="eastAsia" w:ascii="Times New Roman" w:hAnsi="Times New Roman"/>
        </w:rPr>
        <w:t>5.2.</w:t>
      </w:r>
      <w:r>
        <w:rPr>
          <w:rStyle w:val="508"/>
          <w:rFonts w:hint="eastAsia" w:ascii="Times New Roman" w:hAnsi="Times New Roman"/>
          <w:lang w:val="en-US" w:eastAsia="zh-CN"/>
        </w:rPr>
        <w:t>1.6</w:t>
      </w:r>
      <w:r>
        <w:rPr>
          <w:rStyle w:val="508"/>
          <w:rFonts w:hint="eastAsia" w:ascii="Times New Roman" w:hAnsi="Times New Roman"/>
        </w:rPr>
        <w:t>污染源及断面水质参数</w:t>
      </w:r>
    </w:p>
    <w:p w14:paraId="62526C42">
      <w:pPr>
        <w:spacing w:line="360" w:lineRule="auto"/>
        <w:ind w:firstLine="480" w:firstLineChars="200"/>
        <w:rPr>
          <w:rFonts w:hint="eastAsia" w:ascii="Times New Roman" w:hAnsi="Times New Roman" w:eastAsia="宋体" w:cs="Times New Roman"/>
          <w:b/>
          <w:bCs/>
          <w:color w:val="0000FF"/>
          <w:sz w:val="24"/>
          <w:szCs w:val="24"/>
          <w:lang w:val="en-US" w:eastAsia="zh-CN" w:bidi="ar-SA"/>
        </w:rPr>
      </w:pPr>
      <w:r>
        <w:rPr>
          <w:rFonts w:hint="eastAsia" w:ascii="Times New Roman" w:hAnsi="Times New Roman" w:cs="Times New Roman"/>
        </w:rPr>
        <w:t>水文参数最不利数据为尼尔基水库下泄生态流量值。</w:t>
      </w:r>
    </w:p>
    <w:p w14:paraId="6FDD27DB">
      <w:pPr>
        <w:spacing w:line="360" w:lineRule="auto"/>
        <w:jc w:val="center"/>
        <w:rPr>
          <w:rFonts w:hint="eastAsia" w:ascii="Times New Roman" w:hAnsi="Times New Roman" w:eastAsia="宋体" w:cs="Times New Roman"/>
          <w:b/>
          <w:bCs/>
          <w:color w:val="auto"/>
          <w:sz w:val="24"/>
          <w:szCs w:val="24"/>
          <w:lang w:val="en-US" w:eastAsia="zh-CN" w:bidi="ar-SA"/>
        </w:rPr>
      </w:pPr>
      <w:r>
        <w:rPr>
          <w:rFonts w:hint="eastAsia" w:ascii="Times New Roman" w:hAnsi="Times New Roman" w:eastAsia="宋体" w:cs="Times New Roman"/>
          <w:b/>
          <w:bCs/>
          <w:color w:val="auto"/>
          <w:sz w:val="24"/>
          <w:szCs w:val="24"/>
          <w:lang w:val="en-US" w:eastAsia="zh-CN" w:bidi="ar-SA"/>
        </w:rPr>
        <w:t>表5</w:t>
      </w:r>
      <w:r>
        <w:rPr>
          <w:rFonts w:hint="eastAsia" w:cs="Times New Roman"/>
          <w:b/>
          <w:bCs/>
          <w:color w:val="auto"/>
          <w:sz w:val="24"/>
          <w:szCs w:val="24"/>
          <w:lang w:val="en-US" w:eastAsia="zh-CN" w:bidi="ar-SA"/>
        </w:rPr>
        <w:t>.2-2</w:t>
      </w:r>
      <w:r>
        <w:rPr>
          <w:rFonts w:hint="eastAsia" w:ascii="Times New Roman" w:hAnsi="Times New Roman" w:eastAsia="宋体" w:cs="Times New Roman"/>
          <w:b/>
          <w:bCs/>
          <w:color w:val="auto"/>
          <w:sz w:val="24"/>
          <w:szCs w:val="24"/>
          <w:lang w:val="en-US" w:eastAsia="zh-CN" w:bidi="ar-SA"/>
        </w:rPr>
        <w:t>水文条件最不利水文水质参数</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36"/>
        <w:gridCol w:w="2291"/>
        <w:gridCol w:w="2811"/>
        <w:gridCol w:w="1689"/>
        <w:gridCol w:w="1055"/>
      </w:tblGrid>
      <w:tr w14:paraId="52D49D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632" w:type="pct"/>
            <w:shd w:val="clear" w:color="auto" w:fill="auto"/>
            <w:noWrap/>
            <w:vAlign w:val="center"/>
          </w:tcPr>
          <w:p w14:paraId="012B41F1">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污染物</w:t>
            </w:r>
          </w:p>
        </w:tc>
        <w:tc>
          <w:tcPr>
            <w:tcW w:w="1275" w:type="pct"/>
            <w:shd w:val="clear" w:color="auto" w:fill="auto"/>
            <w:noWrap/>
            <w:vAlign w:val="center"/>
          </w:tcPr>
          <w:p w14:paraId="011D0102">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排放浓度（mg/L）</w:t>
            </w:r>
          </w:p>
        </w:tc>
        <w:tc>
          <w:tcPr>
            <w:tcW w:w="1564" w:type="pct"/>
            <w:shd w:val="clear" w:color="auto" w:fill="auto"/>
            <w:noWrap/>
            <w:vAlign w:val="center"/>
          </w:tcPr>
          <w:p w14:paraId="7868B871">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本底值（mg/L）</w:t>
            </w:r>
          </w:p>
        </w:tc>
        <w:tc>
          <w:tcPr>
            <w:tcW w:w="1527" w:type="pct"/>
            <w:gridSpan w:val="2"/>
            <w:shd w:val="clear" w:color="auto" w:fill="auto"/>
            <w:noWrap/>
            <w:vAlign w:val="center"/>
          </w:tcPr>
          <w:p w14:paraId="4D12BA90">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水文参数</w:t>
            </w:r>
          </w:p>
        </w:tc>
      </w:tr>
      <w:tr w14:paraId="5719354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32" w:type="pct"/>
            <w:vMerge w:val="restart"/>
            <w:shd w:val="clear" w:color="auto" w:fill="auto"/>
            <w:noWrap/>
            <w:vAlign w:val="center"/>
          </w:tcPr>
          <w:p w14:paraId="34AB8D8C">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COD</w:t>
            </w:r>
          </w:p>
        </w:tc>
        <w:tc>
          <w:tcPr>
            <w:tcW w:w="1275" w:type="pct"/>
            <w:vMerge w:val="restart"/>
            <w:shd w:val="clear" w:color="auto" w:fill="auto"/>
            <w:noWrap/>
            <w:vAlign w:val="center"/>
          </w:tcPr>
          <w:p w14:paraId="4B6460F7">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50</w:t>
            </w:r>
          </w:p>
        </w:tc>
        <w:tc>
          <w:tcPr>
            <w:tcW w:w="1564" w:type="pct"/>
            <w:vMerge w:val="restart"/>
            <w:shd w:val="clear" w:color="auto" w:fill="auto"/>
            <w:noWrap/>
            <w:vAlign w:val="center"/>
          </w:tcPr>
          <w:p w14:paraId="7235ECAE">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18</w:t>
            </w:r>
          </w:p>
        </w:tc>
        <w:tc>
          <w:tcPr>
            <w:tcW w:w="940" w:type="pct"/>
            <w:vMerge w:val="restart"/>
            <w:shd w:val="clear" w:color="auto" w:fill="auto"/>
            <w:noWrap/>
            <w:vAlign w:val="center"/>
          </w:tcPr>
          <w:p w14:paraId="4296CBD7">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流量（m</w:t>
            </w:r>
            <w:r>
              <w:rPr>
                <w:rFonts w:hint="eastAsia" w:ascii="Times New Roman" w:hAnsi="Times New Roman" w:eastAsia="宋体" w:cs="Times New Roman"/>
                <w:color w:val="auto"/>
                <w:spacing w:val="16"/>
                <w:sz w:val="21"/>
                <w:szCs w:val="21"/>
                <w:vertAlign w:val="superscript"/>
                <w:lang w:val="en-US" w:eastAsia="zh-CN"/>
              </w:rPr>
              <w:t>3</w:t>
            </w:r>
            <w:r>
              <w:rPr>
                <w:rFonts w:hint="eastAsia" w:ascii="Times New Roman" w:hAnsi="Times New Roman" w:eastAsia="宋体" w:cs="Times New Roman"/>
                <w:color w:val="auto"/>
                <w:spacing w:val="16"/>
                <w:sz w:val="21"/>
                <w:szCs w:val="21"/>
                <w:lang w:val="en-US" w:eastAsia="zh-CN"/>
              </w:rPr>
              <w:t>/s）</w:t>
            </w:r>
          </w:p>
        </w:tc>
        <w:tc>
          <w:tcPr>
            <w:tcW w:w="587" w:type="pct"/>
            <w:vMerge w:val="restart"/>
            <w:shd w:val="clear" w:color="auto" w:fill="auto"/>
            <w:vAlign w:val="center"/>
          </w:tcPr>
          <w:p w14:paraId="2C42BC1A">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35</w:t>
            </w:r>
          </w:p>
        </w:tc>
      </w:tr>
      <w:tr w14:paraId="7E3CF5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32" w:type="pct"/>
            <w:vMerge w:val="continue"/>
            <w:shd w:val="clear" w:color="auto" w:fill="auto"/>
            <w:noWrap/>
            <w:vAlign w:val="center"/>
          </w:tcPr>
          <w:p w14:paraId="3E082E2D">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p>
        </w:tc>
        <w:tc>
          <w:tcPr>
            <w:tcW w:w="1275" w:type="pct"/>
            <w:vMerge w:val="continue"/>
            <w:shd w:val="clear" w:color="auto" w:fill="auto"/>
            <w:noWrap/>
            <w:vAlign w:val="center"/>
          </w:tcPr>
          <w:p w14:paraId="5FE5CAD0">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p>
        </w:tc>
        <w:tc>
          <w:tcPr>
            <w:tcW w:w="1564" w:type="pct"/>
            <w:vMerge w:val="continue"/>
            <w:shd w:val="clear" w:color="auto" w:fill="auto"/>
            <w:noWrap/>
            <w:vAlign w:val="center"/>
          </w:tcPr>
          <w:p w14:paraId="3E680BD9">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p>
        </w:tc>
        <w:tc>
          <w:tcPr>
            <w:tcW w:w="940" w:type="pct"/>
            <w:vMerge w:val="restart"/>
            <w:tcBorders>
              <w:bottom w:val="single" w:color="auto" w:sz="6" w:space="0"/>
            </w:tcBorders>
            <w:shd w:val="clear" w:color="auto" w:fill="auto"/>
            <w:noWrap/>
            <w:vAlign w:val="center"/>
          </w:tcPr>
          <w:p w14:paraId="4C1BE1C5">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水深（m）</w:t>
            </w:r>
          </w:p>
        </w:tc>
        <w:tc>
          <w:tcPr>
            <w:tcW w:w="587" w:type="pct"/>
            <w:vMerge w:val="restart"/>
            <w:tcBorders>
              <w:bottom w:val="single" w:color="auto" w:sz="6" w:space="0"/>
            </w:tcBorders>
            <w:shd w:val="clear" w:color="auto" w:fill="auto"/>
            <w:vAlign w:val="center"/>
          </w:tcPr>
          <w:p w14:paraId="2CACA5DD">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1.62</w:t>
            </w:r>
          </w:p>
        </w:tc>
      </w:tr>
      <w:tr w14:paraId="0846667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632" w:type="pct"/>
            <w:vMerge w:val="restart"/>
            <w:shd w:val="clear" w:color="auto" w:fill="auto"/>
            <w:noWrap/>
            <w:vAlign w:val="center"/>
          </w:tcPr>
          <w:p w14:paraId="66AA14E8">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氨氮</w:t>
            </w:r>
          </w:p>
        </w:tc>
        <w:tc>
          <w:tcPr>
            <w:tcW w:w="1275" w:type="pct"/>
            <w:vMerge w:val="restart"/>
            <w:shd w:val="clear" w:color="auto" w:fill="auto"/>
            <w:noWrap/>
            <w:vAlign w:val="center"/>
          </w:tcPr>
          <w:p w14:paraId="4FF0FD9C">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5</w:t>
            </w:r>
          </w:p>
        </w:tc>
        <w:tc>
          <w:tcPr>
            <w:tcW w:w="1564" w:type="pct"/>
            <w:vMerge w:val="restart"/>
            <w:shd w:val="clear" w:color="auto" w:fill="auto"/>
            <w:noWrap/>
            <w:vAlign w:val="center"/>
          </w:tcPr>
          <w:p w14:paraId="1DBF78BC">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0.17</w:t>
            </w:r>
          </w:p>
        </w:tc>
        <w:tc>
          <w:tcPr>
            <w:tcW w:w="940" w:type="pct"/>
            <w:shd w:val="clear" w:color="auto" w:fill="auto"/>
            <w:noWrap/>
            <w:vAlign w:val="center"/>
          </w:tcPr>
          <w:p w14:paraId="4CFBD16F">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河面宽（m）</w:t>
            </w:r>
          </w:p>
        </w:tc>
        <w:tc>
          <w:tcPr>
            <w:tcW w:w="587" w:type="pct"/>
            <w:shd w:val="clear" w:color="auto" w:fill="auto"/>
            <w:vAlign w:val="center"/>
          </w:tcPr>
          <w:p w14:paraId="5F91CFB7">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146.85</w:t>
            </w:r>
          </w:p>
        </w:tc>
      </w:tr>
      <w:tr w14:paraId="4122851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16" w:hRule="atLeast"/>
          <w:jc w:val="center"/>
        </w:trPr>
        <w:tc>
          <w:tcPr>
            <w:tcW w:w="632" w:type="pct"/>
            <w:vMerge w:val="continue"/>
            <w:shd w:val="clear" w:color="auto" w:fill="auto"/>
            <w:noWrap/>
            <w:vAlign w:val="center"/>
          </w:tcPr>
          <w:p w14:paraId="306CB7B4">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p>
        </w:tc>
        <w:tc>
          <w:tcPr>
            <w:tcW w:w="1275" w:type="pct"/>
            <w:vMerge w:val="continue"/>
            <w:shd w:val="clear" w:color="auto" w:fill="auto"/>
            <w:noWrap/>
            <w:vAlign w:val="center"/>
          </w:tcPr>
          <w:p w14:paraId="0035A1F1">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p>
        </w:tc>
        <w:tc>
          <w:tcPr>
            <w:tcW w:w="1564" w:type="pct"/>
            <w:vMerge w:val="continue"/>
            <w:shd w:val="clear" w:color="auto" w:fill="auto"/>
            <w:noWrap/>
            <w:vAlign w:val="center"/>
          </w:tcPr>
          <w:p w14:paraId="69256E6F">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p>
        </w:tc>
        <w:tc>
          <w:tcPr>
            <w:tcW w:w="940" w:type="pct"/>
            <w:shd w:val="clear" w:color="auto" w:fill="auto"/>
            <w:noWrap/>
            <w:vAlign w:val="center"/>
          </w:tcPr>
          <w:p w14:paraId="122EBAF9">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流速（m/s）</w:t>
            </w:r>
          </w:p>
        </w:tc>
        <w:tc>
          <w:tcPr>
            <w:tcW w:w="587" w:type="pct"/>
            <w:shd w:val="clear" w:color="auto" w:fill="auto"/>
            <w:vAlign w:val="center"/>
          </w:tcPr>
          <w:p w14:paraId="1CAE6B50">
            <w:pPr>
              <w:pStyle w:val="28"/>
              <w:spacing w:line="240" w:lineRule="exact"/>
              <w:ind w:firstLine="0"/>
              <w:jc w:val="center"/>
              <w:rPr>
                <w:rFonts w:hint="eastAsia" w:ascii="Times New Roman" w:hAnsi="Times New Roman" w:eastAsia="宋体" w:cs="Times New Roman"/>
                <w:color w:val="auto"/>
                <w:spacing w:val="16"/>
                <w:sz w:val="21"/>
                <w:szCs w:val="21"/>
                <w:lang w:val="en-US" w:eastAsia="zh-CN"/>
              </w:rPr>
            </w:pPr>
            <w:r>
              <w:rPr>
                <w:rFonts w:hint="eastAsia" w:ascii="Times New Roman" w:hAnsi="Times New Roman" w:eastAsia="宋体" w:cs="Times New Roman"/>
                <w:color w:val="auto"/>
                <w:spacing w:val="16"/>
                <w:sz w:val="21"/>
                <w:szCs w:val="21"/>
                <w:lang w:val="en-US" w:eastAsia="zh-CN"/>
              </w:rPr>
              <w:t>0.51</w:t>
            </w:r>
          </w:p>
        </w:tc>
      </w:tr>
      <w:bookmarkEnd w:id="330"/>
      <w:bookmarkEnd w:id="331"/>
    </w:tbl>
    <w:p w14:paraId="69A0E6C7">
      <w:pPr>
        <w:pStyle w:val="5"/>
        <w:tabs>
          <w:tab w:val="left" w:pos="2268"/>
        </w:tabs>
        <w:spacing w:beforeLines="0" w:afterLines="0" w:line="360" w:lineRule="auto"/>
        <w:ind w:left="0" w:firstLine="0"/>
        <w:rPr>
          <w:rStyle w:val="508"/>
          <w:rFonts w:hint="eastAsia" w:ascii="Times New Roman" w:hAnsi="Times New Roman"/>
          <w:color w:val="auto"/>
        </w:rPr>
      </w:pPr>
      <w:r>
        <w:rPr>
          <w:rStyle w:val="508"/>
          <w:rFonts w:hint="eastAsia" w:ascii="Times New Roman" w:hAnsi="Times New Roman"/>
          <w:color w:val="auto"/>
        </w:rPr>
        <w:t>5.2.</w:t>
      </w:r>
      <w:r>
        <w:rPr>
          <w:rStyle w:val="508"/>
          <w:rFonts w:hint="eastAsia" w:ascii="Times New Roman" w:hAnsi="Times New Roman"/>
          <w:color w:val="auto"/>
          <w:lang w:val="en-US"/>
        </w:rPr>
        <w:t>1.7</w:t>
      </w:r>
      <w:r>
        <w:rPr>
          <w:rStyle w:val="508"/>
          <w:rFonts w:hint="eastAsia" w:ascii="Times New Roman" w:hAnsi="Times New Roman"/>
          <w:color w:val="auto"/>
        </w:rPr>
        <w:t>污染混合区长度</w:t>
      </w:r>
    </w:p>
    <w:p w14:paraId="22960232">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污染混合区纵向最大长度为：</w:t>
      </w:r>
    </w:p>
    <w:p w14:paraId="101DD953">
      <w:pPr>
        <w:spacing w:line="360" w:lineRule="auto"/>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0" distR="0">
            <wp:extent cx="1343025" cy="523875"/>
            <wp:effectExtent l="0" t="0" r="9525" b="9525"/>
            <wp:docPr id="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1343025" cy="523875"/>
                    </a:xfrm>
                    <a:prstGeom prst="rect">
                      <a:avLst/>
                    </a:prstGeom>
                    <a:noFill/>
                    <a:ln>
                      <a:noFill/>
                    </a:ln>
                  </pic:spPr>
                </pic:pic>
              </a:graphicData>
            </a:graphic>
          </wp:inline>
        </w:drawing>
      </w:r>
    </w:p>
    <w:p w14:paraId="4195774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式中：u——断面流速，m/s;</w:t>
      </w:r>
    </w:p>
    <w:p w14:paraId="0D5B86D8">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h——断面水深，m；</w:t>
      </w:r>
    </w:p>
    <w:p w14:paraId="360B2BB3">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——允许升高浓度，C</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s</w:t>
      </w: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h</w:t>
      </w:r>
      <w:r>
        <w:rPr>
          <w:rFonts w:hint="default" w:ascii="Times New Roman" w:hAnsi="Times New Roman" w:eastAsia="宋体" w:cs="Times New Roman"/>
          <w:color w:val="auto"/>
          <w:sz w:val="24"/>
          <w:szCs w:val="24"/>
        </w:rPr>
        <w:t xml:space="preserve">，mg/L； </w:t>
      </w:r>
    </w:p>
    <w:p w14:paraId="40912ABD">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m——污染物排放速率，g/s；</w:t>
      </w:r>
    </w:p>
    <w:p w14:paraId="4468638C">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Cs——水功能区所执行的污染物浓度标准限值，mg/L；</w:t>
      </w:r>
    </w:p>
    <w:p w14:paraId="5F4F98D7">
      <w:pPr>
        <w:spacing w:line="360" w:lineRule="auto"/>
        <w:ind w:firstLine="1200" w:firstLineChars="5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h</w:t>
      </w:r>
      <w:r>
        <w:rPr>
          <w:rFonts w:hint="default" w:ascii="Times New Roman" w:hAnsi="Times New Roman" w:eastAsia="宋体" w:cs="Times New Roman"/>
          <w:color w:val="auto"/>
          <w:sz w:val="24"/>
          <w:szCs w:val="24"/>
        </w:rPr>
        <w:t>——河流上游污染物浓度，mg/L。</w:t>
      </w:r>
    </w:p>
    <w:p w14:paraId="0A2A8AE4">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COD：C</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s</w:t>
      </w: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h</w:t>
      </w:r>
      <w:r>
        <w:rPr>
          <w:rFonts w:hint="default" w:ascii="Times New Roman" w:hAnsi="Times New Roman" w:eastAsia="宋体" w:cs="Times New Roman"/>
          <w:color w:val="auto"/>
          <w:sz w:val="24"/>
          <w:szCs w:val="24"/>
        </w:rPr>
        <w:t>=20-1</w:t>
      </w:r>
      <w:r>
        <w:rPr>
          <w:rFonts w:hint="eastAsia" w:ascii="Times New Roman" w:hAnsi="Times New Roman" w:eastAsia="宋体" w:cs="Times New Roman"/>
          <w:color w:val="auto"/>
          <w:sz w:val="24"/>
          <w:szCs w:val="24"/>
          <w:lang w:val="en-US" w:eastAsia="zh-CN"/>
        </w:rPr>
        <w:t>8</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rPr>
        <w:t>mg/L</w:t>
      </w:r>
    </w:p>
    <w:p w14:paraId="6123BC61">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氨氮：C</w:t>
      </w:r>
      <w:r>
        <w:rPr>
          <w:rFonts w:hint="default" w:ascii="Times New Roman" w:hAnsi="Times New Roman" w:eastAsia="宋体" w:cs="Times New Roman"/>
          <w:color w:val="auto"/>
          <w:sz w:val="24"/>
          <w:szCs w:val="24"/>
          <w:vertAlign w:val="subscript"/>
        </w:rPr>
        <w:t>a</w:t>
      </w: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s</w:t>
      </w:r>
      <w:r>
        <w:rPr>
          <w:rFonts w:hint="default" w:ascii="Times New Roman" w:hAnsi="Times New Roman" w:eastAsia="宋体" w:cs="Times New Roman"/>
          <w:color w:val="auto"/>
          <w:sz w:val="24"/>
          <w:szCs w:val="24"/>
        </w:rPr>
        <w:t>-C</w:t>
      </w:r>
      <w:r>
        <w:rPr>
          <w:rFonts w:hint="default" w:ascii="Times New Roman" w:hAnsi="Times New Roman" w:eastAsia="宋体" w:cs="Times New Roman"/>
          <w:color w:val="auto"/>
          <w:sz w:val="24"/>
          <w:szCs w:val="24"/>
          <w:vertAlign w:val="subscript"/>
        </w:rPr>
        <w:t>h</w:t>
      </w:r>
      <w:r>
        <w:rPr>
          <w:rFonts w:hint="default" w:ascii="Times New Roman" w:hAnsi="Times New Roman" w:eastAsia="宋体" w:cs="Times New Roman"/>
          <w:color w:val="auto"/>
          <w:sz w:val="24"/>
          <w:szCs w:val="24"/>
        </w:rPr>
        <w:t>=1.0-0.</w:t>
      </w:r>
      <w:r>
        <w:rPr>
          <w:rFonts w:hint="eastAsia" w:ascii="Times New Roman" w:hAnsi="Times New Roman" w:eastAsia="宋体" w:cs="Times New Roman"/>
          <w:color w:val="auto"/>
          <w:sz w:val="24"/>
          <w:szCs w:val="24"/>
          <w:lang w:val="en-US" w:eastAsia="zh-CN"/>
        </w:rPr>
        <w:t>17</w:t>
      </w:r>
      <w:r>
        <w:rPr>
          <w:rFonts w:hint="default" w:ascii="Times New Roman" w:hAnsi="Times New Roman" w:eastAsia="宋体" w:cs="Times New Roman"/>
          <w:color w:val="auto"/>
          <w:sz w:val="24"/>
          <w:szCs w:val="24"/>
        </w:rPr>
        <w:t>=0.</w:t>
      </w:r>
      <w:r>
        <w:rPr>
          <w:rFonts w:hint="eastAsia" w:ascii="Times New Roman" w:hAnsi="Times New Roman" w:eastAsia="宋体" w:cs="Times New Roman"/>
          <w:color w:val="auto"/>
          <w:sz w:val="24"/>
          <w:szCs w:val="24"/>
          <w:lang w:val="en-US" w:eastAsia="zh-CN"/>
        </w:rPr>
        <w:t>83</w:t>
      </w:r>
      <w:r>
        <w:rPr>
          <w:rFonts w:hint="default" w:ascii="Times New Roman" w:hAnsi="Times New Roman" w:eastAsia="宋体" w:cs="Times New Roman"/>
          <w:color w:val="auto"/>
          <w:sz w:val="24"/>
          <w:szCs w:val="24"/>
        </w:rPr>
        <w:t>mg/L</w:t>
      </w:r>
    </w:p>
    <w:p w14:paraId="13FD459A">
      <w:pPr>
        <w:pStyle w:val="42"/>
        <w:spacing w:line="360" w:lineRule="auto"/>
        <w:rPr>
          <w:rFonts w:hint="eastAsia"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经计算</w:t>
      </w:r>
      <w:r>
        <w:rPr>
          <w:rFonts w:hint="eastAsia" w:ascii="Times New Roman" w:hAnsi="Times New Roman" w:eastAsia="宋体" w:cs="Times New Roman"/>
          <w:color w:val="auto"/>
          <w:sz w:val="24"/>
          <w:szCs w:val="24"/>
          <w:lang w:val="en-US" w:eastAsia="zh-CN" w:bidi="ar-SA"/>
        </w:rPr>
        <w:t>：</w:t>
      </w:r>
      <w:r>
        <w:rPr>
          <w:rFonts w:hint="default" w:ascii="Times New Roman" w:hAnsi="Times New Roman" w:eastAsia="宋体" w:cs="Times New Roman"/>
          <w:color w:val="auto"/>
          <w:sz w:val="24"/>
          <w:szCs w:val="24"/>
          <w:lang w:val="en-US" w:eastAsia="zh-CN" w:bidi="ar-SA"/>
        </w:rPr>
        <w:t>COD：Ls=</w:t>
      </w:r>
      <w:r>
        <w:rPr>
          <w:rFonts w:hint="eastAsia" w:cs="Times New Roman"/>
          <w:color w:val="auto"/>
          <w:sz w:val="24"/>
          <w:szCs w:val="24"/>
          <w:lang w:val="en-US" w:eastAsia="zh-CN" w:bidi="ar-SA"/>
        </w:rPr>
        <w:t>32.4</w:t>
      </w:r>
      <w:r>
        <w:rPr>
          <w:rFonts w:hint="default" w:ascii="Times New Roman" w:hAnsi="Times New Roman" w:eastAsia="宋体" w:cs="Times New Roman"/>
          <w:color w:val="auto"/>
          <w:sz w:val="24"/>
          <w:szCs w:val="24"/>
          <w:lang w:val="en-US" w:eastAsia="zh-CN" w:bidi="ar-SA"/>
        </w:rPr>
        <w:t>m；氨氮：Ls=</w:t>
      </w:r>
      <w:r>
        <w:rPr>
          <w:rFonts w:hint="eastAsia" w:ascii="Times New Roman" w:hAnsi="Times New Roman" w:eastAsia="宋体" w:cs="Times New Roman"/>
          <w:color w:val="auto"/>
          <w:sz w:val="24"/>
          <w:szCs w:val="24"/>
          <w:lang w:val="en-US" w:eastAsia="zh-CN" w:bidi="ar-SA"/>
        </w:rPr>
        <w:t>1</w:t>
      </w:r>
      <w:r>
        <w:rPr>
          <w:rFonts w:hint="eastAsia" w:cs="Times New Roman"/>
          <w:color w:val="auto"/>
          <w:sz w:val="24"/>
          <w:szCs w:val="24"/>
          <w:lang w:val="en-US" w:eastAsia="zh-CN" w:bidi="ar-SA"/>
        </w:rPr>
        <w:t>.9</w:t>
      </w:r>
      <w:r>
        <w:rPr>
          <w:rFonts w:hint="default" w:ascii="Times New Roman" w:hAnsi="Times New Roman" w:eastAsia="宋体" w:cs="Times New Roman"/>
          <w:color w:val="auto"/>
          <w:sz w:val="24"/>
          <w:szCs w:val="24"/>
          <w:lang w:val="en-US" w:eastAsia="zh-CN" w:bidi="ar-SA"/>
        </w:rPr>
        <w:t>m</w:t>
      </w:r>
      <w:r>
        <w:rPr>
          <w:rFonts w:hint="eastAsia" w:ascii="Times New Roman" w:hAnsi="Times New Roman" w:eastAsia="宋体" w:cs="Times New Roman"/>
          <w:color w:val="auto"/>
          <w:sz w:val="24"/>
          <w:szCs w:val="24"/>
          <w:lang w:val="en-US" w:eastAsia="zh-CN" w:bidi="ar-SA"/>
        </w:rPr>
        <w:t>。</w:t>
      </w:r>
    </w:p>
    <w:p w14:paraId="3EC3543B">
      <w:pPr>
        <w:spacing w:line="360" w:lineRule="auto"/>
        <w:ind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污染物混合区横向最大宽度：</w:t>
      </w:r>
    </w:p>
    <w:p w14:paraId="6F320CC6">
      <w:pPr>
        <w:spacing w:line="360" w:lineRule="auto"/>
        <w:ind w:firstLine="480" w:firstLineChars="20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drawing>
          <wp:inline distT="0" distB="0" distL="0" distR="0">
            <wp:extent cx="914400" cy="657225"/>
            <wp:effectExtent l="0" t="0" r="0" b="9525"/>
            <wp:docPr id="3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914400" cy="657225"/>
                    </a:xfrm>
                    <a:prstGeom prst="rect">
                      <a:avLst/>
                    </a:prstGeom>
                    <a:noFill/>
                    <a:ln>
                      <a:noFill/>
                    </a:ln>
                  </pic:spPr>
                </pic:pic>
              </a:graphicData>
            </a:graphic>
          </wp:inline>
        </w:drawing>
      </w:r>
    </w:p>
    <w:p w14:paraId="3B0F1B4E">
      <w:pPr>
        <w:pStyle w:val="42"/>
        <w:spacing w:line="360" w:lineRule="auto"/>
        <w:rPr>
          <w:rFonts w:hint="eastAsia"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经计算</w:t>
      </w:r>
      <w:r>
        <w:rPr>
          <w:rFonts w:hint="eastAsia" w:ascii="Times New Roman" w:hAnsi="Times New Roman" w:eastAsia="宋体" w:cs="Times New Roman"/>
          <w:color w:val="auto"/>
          <w:sz w:val="24"/>
          <w:szCs w:val="24"/>
          <w:lang w:val="en-US" w:eastAsia="zh-CN" w:bidi="ar-SA"/>
        </w:rPr>
        <w:t>：</w:t>
      </w:r>
      <w:r>
        <w:rPr>
          <w:rFonts w:hint="default" w:ascii="Times New Roman" w:hAnsi="Times New Roman" w:eastAsia="宋体" w:cs="Times New Roman"/>
          <w:color w:val="auto"/>
          <w:sz w:val="24"/>
          <w:szCs w:val="24"/>
          <w:lang w:val="en-US" w:eastAsia="zh-CN" w:bidi="ar-SA"/>
        </w:rPr>
        <w:t>COD：</w:t>
      </w:r>
      <w:r>
        <w:rPr>
          <w:rFonts w:hint="eastAsia" w:ascii="Times New Roman" w:hAnsi="Times New Roman" w:eastAsia="宋体" w:cs="Times New Roman"/>
          <w:color w:val="auto"/>
          <w:sz w:val="24"/>
          <w:szCs w:val="24"/>
          <w:lang w:val="en-US" w:eastAsia="zh-CN" w:bidi="ar-SA"/>
        </w:rPr>
        <w:t>b</w:t>
      </w:r>
      <w:r>
        <w:rPr>
          <w:rFonts w:hint="default" w:ascii="Times New Roman" w:hAnsi="Times New Roman" w:eastAsia="宋体" w:cs="Times New Roman"/>
          <w:color w:val="auto"/>
          <w:sz w:val="24"/>
          <w:szCs w:val="24"/>
          <w:lang w:val="en-US" w:eastAsia="zh-CN" w:bidi="ar-SA"/>
        </w:rPr>
        <w:t>s=</w:t>
      </w:r>
      <w:r>
        <w:rPr>
          <w:rFonts w:hint="eastAsia" w:ascii="Times New Roman" w:hAnsi="Times New Roman" w:eastAsia="宋体" w:cs="Times New Roman"/>
          <w:color w:val="auto"/>
          <w:sz w:val="24"/>
          <w:szCs w:val="24"/>
          <w:lang w:val="en-US" w:eastAsia="zh-CN" w:bidi="ar-SA"/>
        </w:rPr>
        <w:t>3.</w:t>
      </w:r>
      <w:r>
        <w:rPr>
          <w:rFonts w:hint="eastAsia" w:cs="Times New Roman"/>
          <w:color w:val="auto"/>
          <w:sz w:val="24"/>
          <w:szCs w:val="24"/>
          <w:lang w:val="en-US" w:eastAsia="zh-CN" w:bidi="ar-SA"/>
        </w:rPr>
        <w:t>1</w:t>
      </w:r>
      <w:r>
        <w:rPr>
          <w:rFonts w:hint="default" w:ascii="Times New Roman" w:hAnsi="Times New Roman" w:eastAsia="宋体" w:cs="Times New Roman"/>
          <w:color w:val="auto"/>
          <w:sz w:val="24"/>
          <w:szCs w:val="24"/>
          <w:lang w:val="en-US" w:eastAsia="zh-CN" w:bidi="ar-SA"/>
        </w:rPr>
        <w:t>m；氨氮：</w:t>
      </w:r>
      <w:r>
        <w:rPr>
          <w:rFonts w:hint="eastAsia" w:ascii="Times New Roman" w:hAnsi="Times New Roman" w:eastAsia="宋体" w:cs="Times New Roman"/>
          <w:color w:val="auto"/>
          <w:sz w:val="24"/>
          <w:szCs w:val="24"/>
          <w:lang w:val="en-US" w:eastAsia="zh-CN" w:bidi="ar-SA"/>
        </w:rPr>
        <w:t>b</w:t>
      </w:r>
      <w:r>
        <w:rPr>
          <w:rFonts w:hint="default" w:ascii="Times New Roman" w:hAnsi="Times New Roman" w:eastAsia="宋体" w:cs="Times New Roman"/>
          <w:color w:val="auto"/>
          <w:sz w:val="24"/>
          <w:szCs w:val="24"/>
          <w:lang w:val="en-US" w:eastAsia="zh-CN" w:bidi="ar-SA"/>
        </w:rPr>
        <w:t>s=</w:t>
      </w:r>
      <w:r>
        <w:rPr>
          <w:rFonts w:hint="eastAsia" w:cs="Times New Roman"/>
          <w:color w:val="auto"/>
          <w:sz w:val="24"/>
          <w:szCs w:val="24"/>
          <w:lang w:val="en-US" w:eastAsia="zh-CN" w:bidi="ar-SA"/>
        </w:rPr>
        <w:t>0.7</w:t>
      </w:r>
      <w:r>
        <w:rPr>
          <w:rFonts w:hint="default" w:ascii="Times New Roman" w:hAnsi="Times New Roman" w:eastAsia="宋体" w:cs="Times New Roman"/>
          <w:color w:val="auto"/>
          <w:sz w:val="24"/>
          <w:szCs w:val="24"/>
          <w:lang w:val="en-US" w:eastAsia="zh-CN" w:bidi="ar-SA"/>
        </w:rPr>
        <w:t>m</w:t>
      </w:r>
      <w:r>
        <w:rPr>
          <w:rFonts w:hint="eastAsia" w:cs="Times New Roman"/>
          <w:color w:val="auto"/>
          <w:sz w:val="24"/>
          <w:szCs w:val="24"/>
          <w:lang w:val="en-US" w:eastAsia="zh-CN" w:bidi="ar-SA"/>
        </w:rPr>
        <w:t>。</w:t>
      </w:r>
    </w:p>
    <w:p w14:paraId="46D735C6">
      <w:pPr>
        <w:pStyle w:val="42"/>
        <w:spacing w:line="360" w:lineRule="auto"/>
        <w:ind w:left="0" w:leftChars="0" w:firstLine="480" w:firstLineChars="200"/>
        <w:rPr>
          <w:rFonts w:hint="eastAsia" w:ascii="Times New Roman" w:hAnsi="Times New Roman" w:eastAsia="宋体" w:cs="Times New Roman"/>
          <w:color w:val="auto"/>
          <w:sz w:val="24"/>
          <w:szCs w:val="24"/>
          <w:lang w:val="en-US" w:eastAsia="zh-CN" w:bidi="ar-SA"/>
        </w:rPr>
      </w:pPr>
      <w:r>
        <w:rPr>
          <w:rFonts w:hint="eastAsia" w:ascii="Times New Roman" w:hAnsi="Times New Roman" w:eastAsia="宋体" w:cs="Times New Roman"/>
          <w:color w:val="auto"/>
          <w:sz w:val="24"/>
          <w:szCs w:val="24"/>
          <w:lang w:val="en-US" w:eastAsia="zh-CN" w:bidi="ar-SA"/>
        </w:rPr>
        <w:t>可知，各污染物最远混合长度为COD，混合纵向距离为39m，横向距离为3.</w:t>
      </w:r>
      <w:r>
        <w:rPr>
          <w:rFonts w:hint="eastAsia" w:cs="Times New Roman"/>
          <w:color w:val="auto"/>
          <w:sz w:val="24"/>
          <w:szCs w:val="24"/>
          <w:lang w:val="en-US" w:eastAsia="zh-CN" w:bidi="ar-SA"/>
        </w:rPr>
        <w:t>1</w:t>
      </w:r>
      <w:r>
        <w:rPr>
          <w:rFonts w:hint="eastAsia" w:ascii="Times New Roman" w:hAnsi="Times New Roman" w:eastAsia="宋体" w:cs="Times New Roman"/>
          <w:color w:val="auto"/>
          <w:sz w:val="24"/>
          <w:szCs w:val="24"/>
          <w:lang w:val="en-US" w:eastAsia="zh-CN" w:bidi="ar-SA"/>
        </w:rPr>
        <w:t>m。</w:t>
      </w:r>
    </w:p>
    <w:p w14:paraId="24D9CD39">
      <w:pPr>
        <w:pStyle w:val="5"/>
        <w:tabs>
          <w:tab w:val="left" w:pos="2268"/>
        </w:tabs>
        <w:spacing w:beforeLines="0" w:afterLines="0" w:line="360" w:lineRule="auto"/>
        <w:ind w:left="0" w:firstLine="0"/>
        <w:rPr>
          <w:rStyle w:val="508"/>
          <w:rFonts w:hint="eastAsia" w:ascii="Times New Roman" w:hAnsi="Times New Roman"/>
        </w:rPr>
      </w:pPr>
      <w:r>
        <w:rPr>
          <w:rStyle w:val="508"/>
          <w:rFonts w:hint="eastAsia" w:ascii="Times New Roman" w:hAnsi="Times New Roman"/>
        </w:rPr>
        <w:t>5.2.</w:t>
      </w:r>
      <w:r>
        <w:rPr>
          <w:rStyle w:val="508"/>
          <w:rFonts w:hint="eastAsia" w:ascii="Times New Roman" w:hAnsi="Times New Roman"/>
          <w:lang w:val="en-US" w:eastAsia="zh-CN"/>
        </w:rPr>
        <w:t>1.8</w:t>
      </w:r>
      <w:r>
        <w:rPr>
          <w:rStyle w:val="508"/>
          <w:rFonts w:hint="eastAsia" w:ascii="Times New Roman" w:hAnsi="Times New Roman"/>
        </w:rPr>
        <w:t>污染物完全混合浓度</w:t>
      </w:r>
    </w:p>
    <w:p w14:paraId="074B86B0">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污染物完全混合浓度计算公式如下：</w:t>
      </w:r>
    </w:p>
    <w:p w14:paraId="461E1DB4">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C=（CpQp+ChQh）/（Qp+Qh）</w:t>
      </w:r>
    </w:p>
    <w:p w14:paraId="66F2A456">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式中：</w:t>
      </w:r>
    </w:p>
    <w:p w14:paraId="3FC27561">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C</w:t>
      </w:r>
      <w:r>
        <w:rPr>
          <w:rFonts w:hint="default" w:ascii="Times New Roman" w:hAnsi="Times New Roman" w:eastAsia="宋体" w:cs="Times New Roman"/>
          <w:sz w:val="24"/>
          <w:szCs w:val="24"/>
          <w:lang w:val="en-US" w:eastAsia="zh-CN" w:bidi="ar-SA"/>
        </w:rPr>
        <w:t>——</w:t>
      </w:r>
      <w:r>
        <w:rPr>
          <w:rFonts w:hint="eastAsia" w:ascii="Times New Roman" w:hAnsi="Times New Roman" w:eastAsia="宋体" w:cs="Times New Roman"/>
          <w:sz w:val="24"/>
          <w:szCs w:val="24"/>
          <w:lang w:val="en-US" w:eastAsia="zh-CN" w:bidi="ar-SA"/>
        </w:rPr>
        <w:t>污染物浓度，mg/L</w:t>
      </w:r>
    </w:p>
    <w:p w14:paraId="75B24E3F">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Cp</w:t>
      </w:r>
      <w:r>
        <w:rPr>
          <w:rFonts w:hint="default" w:ascii="Times New Roman" w:hAnsi="Times New Roman" w:eastAsia="宋体" w:cs="Times New Roman"/>
          <w:sz w:val="24"/>
          <w:szCs w:val="24"/>
          <w:lang w:val="en-US" w:eastAsia="zh-CN" w:bidi="ar-SA"/>
        </w:rPr>
        <w:t>——</w:t>
      </w:r>
      <w:r>
        <w:rPr>
          <w:rFonts w:hint="eastAsia" w:ascii="Times New Roman" w:hAnsi="Times New Roman" w:eastAsia="宋体" w:cs="Times New Roman"/>
          <w:sz w:val="24"/>
          <w:szCs w:val="24"/>
          <w:lang w:val="en-US" w:eastAsia="zh-CN" w:bidi="ar-SA"/>
        </w:rPr>
        <w:t>污染物排放浓度，mg/L</w:t>
      </w:r>
    </w:p>
    <w:p w14:paraId="7FFD81EE">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Qp</w:t>
      </w:r>
      <w:r>
        <w:rPr>
          <w:rFonts w:hint="default" w:ascii="Times New Roman" w:hAnsi="Times New Roman" w:eastAsia="宋体" w:cs="Times New Roman"/>
          <w:sz w:val="24"/>
          <w:szCs w:val="24"/>
          <w:lang w:val="en-US" w:eastAsia="zh-CN" w:bidi="ar-SA"/>
        </w:rPr>
        <w:t>——</w:t>
      </w:r>
      <w:r>
        <w:rPr>
          <w:rFonts w:hint="eastAsia" w:ascii="Times New Roman" w:hAnsi="Times New Roman" w:eastAsia="宋体" w:cs="Times New Roman"/>
          <w:sz w:val="24"/>
          <w:szCs w:val="24"/>
          <w:lang w:val="en-US" w:eastAsia="zh-CN" w:bidi="ar-SA"/>
        </w:rPr>
        <w:t>污水排放量，m</w:t>
      </w:r>
      <w:r>
        <w:rPr>
          <w:rFonts w:hint="eastAsia" w:ascii="Times New Roman" w:hAnsi="Times New Roman" w:eastAsia="宋体" w:cs="Times New Roman"/>
          <w:sz w:val="24"/>
          <w:szCs w:val="24"/>
          <w:vertAlign w:val="superscript"/>
          <w:lang w:val="en-US" w:eastAsia="zh-CN" w:bidi="ar-SA"/>
        </w:rPr>
        <w:t>3</w:t>
      </w:r>
      <w:r>
        <w:rPr>
          <w:rFonts w:hint="eastAsia" w:ascii="Times New Roman" w:hAnsi="Times New Roman" w:eastAsia="宋体" w:cs="Times New Roman"/>
          <w:sz w:val="24"/>
          <w:szCs w:val="24"/>
          <w:lang w:val="en-US" w:eastAsia="zh-CN" w:bidi="ar-SA"/>
        </w:rPr>
        <w:t>/s</w:t>
      </w:r>
    </w:p>
    <w:p w14:paraId="632C46F9">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Ch</w:t>
      </w:r>
      <w:r>
        <w:rPr>
          <w:rFonts w:hint="default" w:ascii="Times New Roman" w:hAnsi="Times New Roman" w:eastAsia="宋体" w:cs="Times New Roman"/>
          <w:sz w:val="24"/>
          <w:szCs w:val="24"/>
          <w:lang w:val="en-US" w:eastAsia="zh-CN" w:bidi="ar-SA"/>
        </w:rPr>
        <w:t>——</w:t>
      </w:r>
      <w:r>
        <w:rPr>
          <w:rFonts w:hint="eastAsia" w:ascii="Times New Roman" w:hAnsi="Times New Roman" w:eastAsia="宋体" w:cs="Times New Roman"/>
          <w:sz w:val="24"/>
          <w:szCs w:val="24"/>
          <w:lang w:val="en-US" w:eastAsia="zh-CN" w:bidi="ar-SA"/>
        </w:rPr>
        <w:t>河流上游污染物浓度，mg/L</w:t>
      </w:r>
    </w:p>
    <w:p w14:paraId="2602B0D9">
      <w:pPr>
        <w:pStyle w:val="42"/>
        <w:spacing w:line="360" w:lineRule="auto"/>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Qh</w:t>
      </w:r>
      <w:r>
        <w:rPr>
          <w:rFonts w:hint="default" w:ascii="Times New Roman" w:hAnsi="Times New Roman" w:eastAsia="宋体" w:cs="Times New Roman"/>
          <w:sz w:val="24"/>
          <w:szCs w:val="24"/>
          <w:lang w:val="en-US" w:eastAsia="zh-CN" w:bidi="ar-SA"/>
        </w:rPr>
        <w:t>——</w:t>
      </w:r>
      <w:r>
        <w:rPr>
          <w:rFonts w:hint="eastAsia" w:ascii="Times New Roman" w:hAnsi="Times New Roman" w:eastAsia="宋体" w:cs="Times New Roman"/>
          <w:sz w:val="24"/>
          <w:szCs w:val="24"/>
          <w:lang w:val="en-US" w:eastAsia="zh-CN" w:bidi="ar-SA"/>
        </w:rPr>
        <w:t>河流流量，m</w:t>
      </w:r>
      <w:r>
        <w:rPr>
          <w:rFonts w:hint="eastAsia" w:ascii="Times New Roman" w:hAnsi="Times New Roman" w:eastAsia="宋体" w:cs="Times New Roman"/>
          <w:sz w:val="24"/>
          <w:szCs w:val="24"/>
          <w:vertAlign w:val="superscript"/>
          <w:lang w:val="en-US" w:eastAsia="zh-CN" w:bidi="ar-SA"/>
        </w:rPr>
        <w:t>3</w:t>
      </w:r>
      <w:r>
        <w:rPr>
          <w:rFonts w:hint="eastAsia" w:ascii="Times New Roman" w:hAnsi="Times New Roman" w:eastAsia="宋体" w:cs="Times New Roman"/>
          <w:sz w:val="24"/>
          <w:szCs w:val="24"/>
          <w:lang w:val="en-US" w:eastAsia="zh-CN" w:bidi="ar-SA"/>
        </w:rPr>
        <w:t>/s</w:t>
      </w:r>
    </w:p>
    <w:p w14:paraId="0CCED589">
      <w:pPr>
        <w:pStyle w:val="42"/>
        <w:spacing w:line="360" w:lineRule="auto"/>
        <w:rPr>
          <w:rFonts w:hint="eastAsia" w:ascii="Times New Roman" w:hAnsi="Times New Roman" w:eastAsia="宋体" w:cs="Times New Roman"/>
          <w:sz w:val="24"/>
          <w:szCs w:val="24"/>
          <w:lang w:val="en-US" w:eastAsia="zh-CN" w:bidi="ar-SA"/>
        </w:rPr>
      </w:pPr>
      <w:r>
        <w:rPr>
          <w:rFonts w:hint="default" w:ascii="Times New Roman" w:hAnsi="Times New Roman" w:eastAsia="宋体" w:cs="Times New Roman"/>
          <w:sz w:val="24"/>
          <w:szCs w:val="24"/>
          <w:lang w:val="en-US" w:eastAsia="zh-CN" w:bidi="ar-SA"/>
        </w:rPr>
        <w:t>经计算</w:t>
      </w:r>
      <w:r>
        <w:rPr>
          <w:rFonts w:hint="eastAsia" w:ascii="Times New Roman" w:hAnsi="Times New Roman" w:eastAsia="宋体" w:cs="Times New Roman"/>
          <w:sz w:val="24"/>
          <w:szCs w:val="24"/>
          <w:lang w:val="en-US" w:eastAsia="zh-CN" w:bidi="ar-SA"/>
        </w:rPr>
        <w:t>：</w:t>
      </w:r>
      <w:r>
        <w:rPr>
          <w:rFonts w:hint="default" w:ascii="Times New Roman" w:hAnsi="Times New Roman" w:eastAsia="宋体" w:cs="Times New Roman"/>
          <w:sz w:val="24"/>
          <w:szCs w:val="24"/>
          <w:lang w:val="en-US" w:eastAsia="zh-CN" w:bidi="ar-SA"/>
        </w:rPr>
        <w:t>COD</w:t>
      </w:r>
      <w:r>
        <w:rPr>
          <w:rFonts w:hint="eastAsia" w:cs="Times New Roman"/>
          <w:sz w:val="24"/>
          <w:szCs w:val="24"/>
          <w:lang w:val="en-US" w:eastAsia="zh-CN" w:bidi="ar-SA"/>
        </w:rPr>
        <w:t>混合浓度为</w:t>
      </w:r>
      <w:r>
        <w:rPr>
          <w:rFonts w:hint="default" w:ascii="Times New Roman" w:hAnsi="Times New Roman" w:eastAsia="宋体" w:cs="Times New Roman"/>
          <w:sz w:val="24"/>
          <w:szCs w:val="24"/>
          <w:lang w:val="en-US" w:eastAsia="zh-CN" w:bidi="ar-SA"/>
        </w:rPr>
        <w:t>：</w:t>
      </w:r>
      <w:r>
        <w:rPr>
          <w:rFonts w:hint="eastAsia" w:cs="Times New Roman"/>
          <w:sz w:val="24"/>
          <w:szCs w:val="24"/>
          <w:lang w:val="en-US" w:eastAsia="zh-CN" w:bidi="ar-SA"/>
        </w:rPr>
        <w:t>18.19</w:t>
      </w:r>
      <w:r>
        <w:rPr>
          <w:rFonts w:hint="eastAsia" w:ascii="Times New Roman" w:hAnsi="Times New Roman" w:eastAsia="宋体" w:cs="Times New Roman"/>
          <w:sz w:val="24"/>
          <w:szCs w:val="24"/>
          <w:lang w:val="en-US" w:eastAsia="zh-CN" w:bidi="ar-SA"/>
        </w:rPr>
        <w:t>mg/L</w:t>
      </w:r>
      <w:r>
        <w:rPr>
          <w:rFonts w:hint="default" w:ascii="Times New Roman" w:hAnsi="Times New Roman" w:eastAsia="宋体" w:cs="Times New Roman"/>
          <w:sz w:val="24"/>
          <w:szCs w:val="24"/>
          <w:lang w:val="en-US" w:eastAsia="zh-CN" w:bidi="ar-SA"/>
        </w:rPr>
        <w:t>；氨氮</w:t>
      </w:r>
      <w:r>
        <w:rPr>
          <w:rFonts w:hint="eastAsia" w:cs="Times New Roman"/>
          <w:sz w:val="24"/>
          <w:szCs w:val="24"/>
          <w:lang w:val="en-US" w:eastAsia="zh-CN" w:bidi="ar-SA"/>
        </w:rPr>
        <w:t>混合浓度为0.20</w:t>
      </w:r>
      <w:r>
        <w:rPr>
          <w:rFonts w:hint="eastAsia" w:ascii="Times New Roman" w:hAnsi="Times New Roman" w:eastAsia="宋体" w:cs="Times New Roman"/>
          <w:sz w:val="24"/>
          <w:szCs w:val="24"/>
          <w:lang w:val="en-US" w:eastAsia="zh-CN" w:bidi="ar-SA"/>
        </w:rPr>
        <w:t>mg/L</w:t>
      </w:r>
      <w:r>
        <w:rPr>
          <w:rFonts w:hint="eastAsia" w:cs="Times New Roman"/>
          <w:sz w:val="24"/>
          <w:szCs w:val="24"/>
          <w:lang w:val="en-US" w:eastAsia="zh-CN" w:bidi="ar-SA"/>
        </w:rPr>
        <w:t>。</w:t>
      </w:r>
    </w:p>
    <w:p w14:paraId="6A12365C">
      <w:pPr>
        <w:pStyle w:val="5"/>
        <w:tabs>
          <w:tab w:val="left" w:pos="2268"/>
        </w:tabs>
        <w:spacing w:beforeLines="0" w:afterLines="0" w:line="360" w:lineRule="auto"/>
        <w:ind w:left="0" w:firstLine="0"/>
        <w:rPr>
          <w:rStyle w:val="508"/>
          <w:rFonts w:hint="eastAsia" w:ascii="Times New Roman" w:hAnsi="Times New Roman"/>
        </w:rPr>
      </w:pPr>
      <w:r>
        <w:rPr>
          <w:rStyle w:val="508"/>
          <w:rFonts w:hint="eastAsia" w:ascii="Times New Roman" w:hAnsi="Times New Roman"/>
        </w:rPr>
        <w:t>5.2.</w:t>
      </w:r>
      <w:r>
        <w:rPr>
          <w:rStyle w:val="508"/>
          <w:rFonts w:hint="eastAsia" w:ascii="Times New Roman" w:hAnsi="Times New Roman"/>
          <w:lang w:val="en-US"/>
        </w:rPr>
        <w:t>1.9</w:t>
      </w:r>
      <w:r>
        <w:rPr>
          <w:rStyle w:val="508"/>
          <w:rFonts w:hint="eastAsia" w:ascii="Times New Roman" w:hAnsi="Times New Roman"/>
        </w:rPr>
        <w:t>预测模式及预测过程</w:t>
      </w:r>
    </w:p>
    <w:p w14:paraId="6D04713F">
      <w:pPr>
        <w:pStyle w:val="42"/>
        <w:spacing w:line="360" w:lineRule="auto"/>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本次评价采用平面二维数学模型。</w:t>
      </w:r>
    </w:p>
    <w:p w14:paraId="6BCE2DC4">
      <w:pPr>
        <w:pStyle w:val="42"/>
        <w:spacing w:line="360" w:lineRule="auto"/>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①水动力数学模型的基本方程</w:t>
      </w:r>
    </w:p>
    <w:p w14:paraId="5D095CEA">
      <w:pPr>
        <w:jc w:val="center"/>
        <w:rPr>
          <w:rFonts w:eastAsia="仿宋_GB2312"/>
          <w:sz w:val="28"/>
          <w:szCs w:val="28"/>
        </w:rPr>
      </w:pPr>
      <w:r>
        <w:drawing>
          <wp:inline distT="0" distB="0" distL="114300" distR="114300">
            <wp:extent cx="5267325" cy="3433445"/>
            <wp:effectExtent l="0" t="0" r="9525" b="1460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86"/>
                    <a:stretch>
                      <a:fillRect/>
                    </a:stretch>
                  </pic:blipFill>
                  <pic:spPr>
                    <a:xfrm>
                      <a:off x="0" y="0"/>
                      <a:ext cx="5267325" cy="3433445"/>
                    </a:xfrm>
                    <a:prstGeom prst="rect">
                      <a:avLst/>
                    </a:prstGeom>
                    <a:noFill/>
                    <a:ln>
                      <a:noFill/>
                    </a:ln>
                  </pic:spPr>
                </pic:pic>
              </a:graphicData>
            </a:graphic>
          </wp:inline>
        </w:drawing>
      </w:r>
    </w:p>
    <w:p w14:paraId="535A59DB">
      <w:pPr>
        <w:pStyle w:val="42"/>
        <w:spacing w:line="360" w:lineRule="auto"/>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fldChar w:fldCharType="begin"/>
      </w:r>
      <w:r>
        <w:rPr>
          <w:rFonts w:hint="eastAsia" w:ascii="Times New Roman" w:hAnsi="Times New Roman" w:eastAsia="宋体" w:cs="Times New Roman"/>
          <w:sz w:val="24"/>
          <w:szCs w:val="24"/>
          <w:lang w:val="en-US" w:eastAsia="zh-CN" w:bidi="ar-SA"/>
        </w:rPr>
        <w:instrText xml:space="preserve"> = 2 \* GB3 \* MERGEFORMAT </w:instrText>
      </w:r>
      <w:r>
        <w:rPr>
          <w:rFonts w:hint="eastAsia" w:ascii="Times New Roman" w:hAnsi="Times New Roman" w:eastAsia="宋体" w:cs="Times New Roman"/>
          <w:sz w:val="24"/>
          <w:szCs w:val="24"/>
          <w:lang w:val="en-US" w:eastAsia="zh-CN" w:bidi="ar-SA"/>
        </w:rPr>
        <w:fldChar w:fldCharType="separate"/>
      </w:r>
      <w:r>
        <w:t>②</w:t>
      </w:r>
      <w:r>
        <w:rPr>
          <w:rFonts w:hint="eastAsia" w:ascii="Times New Roman" w:hAnsi="Times New Roman" w:eastAsia="宋体" w:cs="Times New Roman"/>
          <w:sz w:val="24"/>
          <w:szCs w:val="24"/>
          <w:lang w:val="en-US" w:eastAsia="zh-CN" w:bidi="ar-SA"/>
        </w:rPr>
        <w:fldChar w:fldCharType="end"/>
      </w:r>
      <w:r>
        <w:rPr>
          <w:rFonts w:hint="eastAsia" w:ascii="Times New Roman" w:hAnsi="Times New Roman" w:eastAsia="宋体" w:cs="Times New Roman"/>
          <w:sz w:val="24"/>
          <w:szCs w:val="24"/>
          <w:lang w:val="en-US" w:eastAsia="zh-CN" w:bidi="ar-SA"/>
        </w:rPr>
        <w:t>连续稳定排放解析方法</w:t>
      </w:r>
    </w:p>
    <w:p w14:paraId="60937C58">
      <w:pPr>
        <w:pStyle w:val="42"/>
        <w:spacing w:line="360" w:lineRule="auto"/>
        <w:ind w:left="0" w:leftChars="0" w:firstLine="480" w:firstLineChars="200"/>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不考虑岸边反射影响的宽浅型平直恒定均匀河流，岸边点源稳定排放，浓度分布公式为：</w:t>
      </w:r>
    </w:p>
    <w:p w14:paraId="31A7969B">
      <w:pPr>
        <w:jc w:val="center"/>
        <w:rPr>
          <w:rFonts w:hint="eastAsia"/>
          <w:lang w:val="en-US" w:eastAsia="zh-CN"/>
        </w:rPr>
      </w:pPr>
      <w:r>
        <w:drawing>
          <wp:inline distT="0" distB="0" distL="114300" distR="114300">
            <wp:extent cx="5269865" cy="3839845"/>
            <wp:effectExtent l="0" t="0" r="6985" b="825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87"/>
                    <a:stretch>
                      <a:fillRect/>
                    </a:stretch>
                  </pic:blipFill>
                  <pic:spPr>
                    <a:xfrm>
                      <a:off x="0" y="0"/>
                      <a:ext cx="5269865" cy="3839845"/>
                    </a:xfrm>
                    <a:prstGeom prst="rect">
                      <a:avLst/>
                    </a:prstGeom>
                    <a:noFill/>
                    <a:ln>
                      <a:noFill/>
                    </a:ln>
                  </pic:spPr>
                </pic:pic>
              </a:graphicData>
            </a:graphic>
          </wp:inline>
        </w:drawing>
      </w:r>
    </w:p>
    <w:p w14:paraId="63377CF6">
      <w:pPr>
        <w:pStyle w:val="5"/>
        <w:tabs>
          <w:tab w:val="left" w:pos="2268"/>
        </w:tabs>
        <w:spacing w:beforeLines="0" w:afterLines="0" w:line="360" w:lineRule="auto"/>
        <w:ind w:left="0" w:firstLine="0"/>
        <w:rPr>
          <w:rStyle w:val="508"/>
          <w:rFonts w:hint="eastAsia" w:ascii="Times New Roman" w:hAnsi="Times New Roman"/>
        </w:rPr>
      </w:pPr>
      <w:r>
        <w:rPr>
          <w:rStyle w:val="508"/>
          <w:rFonts w:hint="eastAsia" w:ascii="Times New Roman" w:hAnsi="Times New Roman"/>
        </w:rPr>
        <w:t>5.2.</w:t>
      </w:r>
      <w:r>
        <w:rPr>
          <w:rStyle w:val="508"/>
          <w:rFonts w:hint="eastAsia" w:ascii="Times New Roman" w:hAnsi="Times New Roman"/>
          <w:lang w:val="en-US" w:eastAsia="zh-CN"/>
        </w:rPr>
        <w:t>1.10</w:t>
      </w:r>
      <w:r>
        <w:rPr>
          <w:rStyle w:val="508"/>
          <w:rFonts w:hint="eastAsia" w:ascii="Times New Roman" w:hAnsi="Times New Roman"/>
        </w:rPr>
        <w:t xml:space="preserve">预测结果及分析 </w:t>
      </w:r>
    </w:p>
    <w:p w14:paraId="765807FE">
      <w:pPr>
        <w:pStyle w:val="42"/>
        <w:spacing w:line="360" w:lineRule="auto"/>
        <w:ind w:left="0" w:leftChars="0" w:firstLine="480" w:firstLineChars="200"/>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采用《环境影响评价技术导则-地表水环境》（HJ2.3-2018）中的平面二维数学模型中的连续稳定排放公式计算分析本项目排污口对水质的影响范围和程度，获得枯水期COD、氨氮的浓度。</w:t>
      </w:r>
    </w:p>
    <w:p w14:paraId="63D80237">
      <w:pPr>
        <w:pStyle w:val="42"/>
        <w:spacing w:line="360" w:lineRule="auto"/>
        <w:rPr>
          <w:rFonts w:hint="eastAsia"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正常排放情况下各项污染物浓度衰减情况见下表。</w:t>
      </w:r>
    </w:p>
    <w:p w14:paraId="3E01EAA6">
      <w:pPr>
        <w:spacing w:line="360" w:lineRule="auto"/>
        <w:jc w:val="center"/>
        <w:rPr>
          <w:rFonts w:hint="eastAsia" w:ascii="Times New Roman" w:hAnsi="Times New Roman" w:eastAsia="宋体" w:cs="Times New Roman"/>
          <w:b/>
          <w:bCs/>
          <w:color w:val="auto"/>
          <w:sz w:val="24"/>
          <w:szCs w:val="24"/>
          <w:lang w:val="en-US" w:eastAsia="zh-CN" w:bidi="ar-SA"/>
        </w:rPr>
      </w:pPr>
      <w:r>
        <w:rPr>
          <w:rFonts w:hint="eastAsia" w:ascii="Times New Roman" w:hAnsi="Times New Roman" w:eastAsia="宋体" w:cs="Times New Roman"/>
          <w:b/>
          <w:bCs/>
          <w:color w:val="auto"/>
          <w:sz w:val="24"/>
          <w:szCs w:val="24"/>
          <w:lang w:val="en-US" w:eastAsia="zh-CN" w:bidi="ar-SA"/>
        </w:rPr>
        <w:t>表5</w:t>
      </w:r>
      <w:r>
        <w:rPr>
          <w:rFonts w:hint="eastAsia" w:cs="Times New Roman"/>
          <w:b/>
          <w:bCs/>
          <w:color w:val="auto"/>
          <w:sz w:val="24"/>
          <w:szCs w:val="24"/>
          <w:lang w:val="en-US" w:eastAsia="zh-CN" w:bidi="ar-SA"/>
        </w:rPr>
        <w:t>.</w:t>
      </w:r>
      <w:r>
        <w:rPr>
          <w:rFonts w:hint="eastAsia" w:ascii="Times New Roman" w:hAnsi="Times New Roman" w:eastAsia="宋体" w:cs="Times New Roman"/>
          <w:b/>
          <w:bCs/>
          <w:color w:val="auto"/>
          <w:sz w:val="24"/>
          <w:szCs w:val="24"/>
          <w:lang w:val="en-US" w:eastAsia="zh-CN" w:bidi="ar-SA"/>
        </w:rPr>
        <w:t>2-</w:t>
      </w:r>
      <w:r>
        <w:rPr>
          <w:rFonts w:hint="eastAsia" w:cs="Times New Roman"/>
          <w:b/>
          <w:bCs/>
          <w:color w:val="auto"/>
          <w:sz w:val="24"/>
          <w:szCs w:val="24"/>
          <w:lang w:val="en-US" w:eastAsia="zh-CN" w:bidi="ar-SA"/>
        </w:rPr>
        <w:t>3</w:t>
      </w:r>
      <w:r>
        <w:rPr>
          <w:rFonts w:hint="eastAsia" w:ascii="Times New Roman" w:hAnsi="Times New Roman" w:eastAsia="宋体" w:cs="Times New Roman"/>
          <w:b/>
          <w:bCs/>
          <w:color w:val="auto"/>
          <w:sz w:val="24"/>
          <w:szCs w:val="24"/>
          <w:lang w:val="en-US" w:eastAsia="zh-CN" w:bidi="ar-SA"/>
        </w:rPr>
        <w:t xml:space="preserve"> COD浓度变化情况 单位：mg/L</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330"/>
        <w:gridCol w:w="1260"/>
        <w:gridCol w:w="1260"/>
        <w:gridCol w:w="1260"/>
        <w:gridCol w:w="1260"/>
        <w:gridCol w:w="1260"/>
        <w:gridCol w:w="1260"/>
      </w:tblGrid>
      <w:tr w14:paraId="6BC0636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90" w:hRule="atLeast"/>
          <w:jc w:val="center"/>
        </w:trPr>
        <w:tc>
          <w:tcPr>
            <w:tcW w:w="1330" w:type="dxa"/>
            <w:tcBorders>
              <w:bottom w:val="single" w:color="auto" w:sz="4" w:space="0"/>
              <w:right w:val="single" w:color="auto" w:sz="4" w:space="0"/>
              <w:tl2br w:val="single" w:color="auto" w:sz="12" w:space="0"/>
            </w:tcBorders>
            <w:shd w:val="clear" w:color="auto" w:fill="auto"/>
            <w:vAlign w:val="center"/>
          </w:tcPr>
          <w:p w14:paraId="5BF75952">
            <w:pPr>
              <w:pStyle w:val="512"/>
              <w:tabs>
                <w:tab w:val="left" w:pos="6033"/>
                <w:tab w:val="left" w:pos="6271"/>
              </w:tabs>
              <w:wordWrap w:val="0"/>
              <w:autoSpaceDE w:val="0"/>
              <w:autoSpaceDN w:val="0"/>
              <w:spacing w:line="440" w:lineRule="exact"/>
              <w:jc w:val="right"/>
              <w:textAlignment w:val="bottom"/>
              <w:rPr>
                <w:rFonts w:ascii="Times New Roman" w:eastAsia="仿宋_GB2312"/>
                <w:bCs/>
                <w:color w:val="auto"/>
                <w:sz w:val="21"/>
                <w:szCs w:val="21"/>
              </w:rPr>
            </w:pPr>
            <w:r>
              <w:rPr>
                <w:rFonts w:hint="eastAsia" w:ascii="Times New Roman" w:eastAsia="仿宋_GB2312"/>
                <w:bCs/>
                <w:color w:val="auto"/>
                <w:sz w:val="21"/>
                <w:szCs w:val="21"/>
              </w:rPr>
              <w:t xml:space="preserve">     </w:t>
            </w:r>
            <w:r>
              <w:rPr>
                <w:rFonts w:ascii="Times New Roman" w:eastAsia="仿宋_GB2312"/>
                <w:bCs/>
                <w:color w:val="auto"/>
                <w:sz w:val="21"/>
                <w:szCs w:val="21"/>
              </w:rPr>
              <w:t>Y（m）</w:t>
            </w:r>
          </w:p>
          <w:p w14:paraId="652E0C09">
            <w:pPr>
              <w:pStyle w:val="512"/>
              <w:tabs>
                <w:tab w:val="left" w:pos="6033"/>
                <w:tab w:val="left" w:pos="6271"/>
              </w:tabs>
              <w:autoSpaceDE w:val="0"/>
              <w:autoSpaceDN w:val="0"/>
              <w:spacing w:line="440" w:lineRule="exact"/>
              <w:textAlignment w:val="bottom"/>
              <w:rPr>
                <w:rFonts w:ascii="Times New Roman" w:eastAsia="仿宋_GB2312"/>
                <w:bCs/>
                <w:color w:val="auto"/>
                <w:sz w:val="21"/>
                <w:szCs w:val="21"/>
              </w:rPr>
            </w:pPr>
            <w:r>
              <w:rPr>
                <w:rFonts w:ascii="Times New Roman" w:eastAsia="仿宋_GB2312"/>
                <w:bCs/>
                <w:color w:val="auto"/>
                <w:sz w:val="21"/>
                <w:szCs w:val="21"/>
              </w:rPr>
              <w:t>X（km）</w:t>
            </w:r>
          </w:p>
        </w:tc>
        <w:tc>
          <w:tcPr>
            <w:tcW w:w="1260" w:type="dxa"/>
            <w:tcBorders>
              <w:left w:val="single" w:color="auto" w:sz="4" w:space="0"/>
            </w:tcBorders>
            <w:shd w:val="clear" w:color="auto" w:fill="auto"/>
            <w:vAlign w:val="center"/>
          </w:tcPr>
          <w:p w14:paraId="14AFE942">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0</w:t>
            </w:r>
          </w:p>
        </w:tc>
        <w:tc>
          <w:tcPr>
            <w:tcW w:w="1260" w:type="dxa"/>
            <w:shd w:val="clear" w:color="auto" w:fill="auto"/>
            <w:vAlign w:val="center"/>
          </w:tcPr>
          <w:p w14:paraId="197BFAB4">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30</w:t>
            </w:r>
          </w:p>
        </w:tc>
        <w:tc>
          <w:tcPr>
            <w:tcW w:w="1260" w:type="dxa"/>
            <w:shd w:val="clear" w:color="auto" w:fill="auto"/>
            <w:vAlign w:val="center"/>
          </w:tcPr>
          <w:p w14:paraId="7D49A8F4">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60</w:t>
            </w:r>
          </w:p>
        </w:tc>
        <w:tc>
          <w:tcPr>
            <w:tcW w:w="1260" w:type="dxa"/>
            <w:shd w:val="clear" w:color="auto" w:fill="auto"/>
            <w:vAlign w:val="center"/>
          </w:tcPr>
          <w:p w14:paraId="30BE385F">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90</w:t>
            </w:r>
          </w:p>
        </w:tc>
        <w:tc>
          <w:tcPr>
            <w:tcW w:w="1260" w:type="dxa"/>
            <w:shd w:val="clear" w:color="auto" w:fill="auto"/>
            <w:vAlign w:val="center"/>
          </w:tcPr>
          <w:p w14:paraId="6619519E">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120</w:t>
            </w:r>
          </w:p>
        </w:tc>
        <w:tc>
          <w:tcPr>
            <w:tcW w:w="1260" w:type="dxa"/>
            <w:shd w:val="clear" w:color="auto" w:fill="auto"/>
            <w:vAlign w:val="center"/>
          </w:tcPr>
          <w:p w14:paraId="569B3087">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hint="eastAsia" w:ascii="Times New Roman" w:eastAsia="仿宋_GB2312"/>
                <w:bCs/>
                <w:color w:val="auto"/>
                <w:sz w:val="21"/>
                <w:szCs w:val="21"/>
              </w:rPr>
              <w:t>146.85</w:t>
            </w:r>
          </w:p>
        </w:tc>
      </w:tr>
      <w:tr w14:paraId="5BB58BF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tcBorders>
              <w:top w:val="single" w:color="auto" w:sz="4" w:space="0"/>
            </w:tcBorders>
            <w:shd w:val="clear" w:color="auto" w:fill="auto"/>
            <w:vAlign w:val="center"/>
          </w:tcPr>
          <w:p w14:paraId="623BB96C">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0.5</w:t>
            </w:r>
          </w:p>
        </w:tc>
        <w:tc>
          <w:tcPr>
            <w:tcW w:w="1260" w:type="dxa"/>
            <w:shd w:val="clear" w:color="auto" w:fill="auto"/>
            <w:vAlign w:val="center"/>
          </w:tcPr>
          <w:p w14:paraId="78524E40">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18.474 </w:t>
            </w:r>
          </w:p>
        </w:tc>
        <w:tc>
          <w:tcPr>
            <w:tcW w:w="1260" w:type="dxa"/>
            <w:shd w:val="clear" w:color="auto" w:fill="auto"/>
            <w:vAlign w:val="center"/>
          </w:tcPr>
          <w:p w14:paraId="02665670">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18.174 </w:t>
            </w:r>
          </w:p>
        </w:tc>
        <w:tc>
          <w:tcPr>
            <w:tcW w:w="1260" w:type="dxa"/>
            <w:shd w:val="clear" w:color="auto" w:fill="auto"/>
            <w:vAlign w:val="center"/>
          </w:tcPr>
          <w:p w14:paraId="385E376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18.009 </w:t>
            </w:r>
          </w:p>
        </w:tc>
        <w:tc>
          <w:tcPr>
            <w:tcW w:w="1260" w:type="dxa"/>
            <w:shd w:val="clear" w:color="auto" w:fill="auto"/>
            <w:vAlign w:val="center"/>
          </w:tcPr>
          <w:p w14:paraId="255ED48E">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18.000 </w:t>
            </w:r>
          </w:p>
        </w:tc>
        <w:tc>
          <w:tcPr>
            <w:tcW w:w="1260" w:type="dxa"/>
            <w:shd w:val="clear" w:color="auto" w:fill="auto"/>
            <w:vAlign w:val="center"/>
          </w:tcPr>
          <w:p w14:paraId="4D61EE46">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18.000 </w:t>
            </w:r>
          </w:p>
        </w:tc>
        <w:tc>
          <w:tcPr>
            <w:tcW w:w="1260" w:type="dxa"/>
            <w:shd w:val="clear" w:color="auto" w:fill="auto"/>
            <w:vAlign w:val="center"/>
          </w:tcPr>
          <w:p w14:paraId="3A10CB5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18.000 </w:t>
            </w:r>
          </w:p>
        </w:tc>
      </w:tr>
      <w:tr w14:paraId="40B031D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shd w:val="clear" w:color="auto" w:fill="auto"/>
            <w:vAlign w:val="center"/>
          </w:tcPr>
          <w:p w14:paraId="3BF8C203">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1</w:t>
            </w:r>
          </w:p>
        </w:tc>
        <w:tc>
          <w:tcPr>
            <w:tcW w:w="1260" w:type="dxa"/>
            <w:shd w:val="clear" w:color="auto" w:fill="auto"/>
            <w:vAlign w:val="center"/>
          </w:tcPr>
          <w:p w14:paraId="2F1DD974">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18.335 </w:t>
            </w:r>
          </w:p>
        </w:tc>
        <w:tc>
          <w:tcPr>
            <w:tcW w:w="1260" w:type="dxa"/>
            <w:shd w:val="clear" w:color="auto" w:fill="auto"/>
            <w:vAlign w:val="center"/>
          </w:tcPr>
          <w:p w14:paraId="2A213149">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18.203 </w:t>
            </w:r>
          </w:p>
        </w:tc>
        <w:tc>
          <w:tcPr>
            <w:tcW w:w="1260" w:type="dxa"/>
            <w:shd w:val="clear" w:color="auto" w:fill="auto"/>
            <w:vAlign w:val="center"/>
          </w:tcPr>
          <w:p w14:paraId="0778E003">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18.045 </w:t>
            </w:r>
          </w:p>
        </w:tc>
        <w:tc>
          <w:tcPr>
            <w:tcW w:w="1260" w:type="dxa"/>
            <w:shd w:val="clear" w:color="auto" w:fill="auto"/>
            <w:vAlign w:val="center"/>
          </w:tcPr>
          <w:p w14:paraId="44C79E92">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18.004 </w:t>
            </w:r>
          </w:p>
        </w:tc>
        <w:tc>
          <w:tcPr>
            <w:tcW w:w="1260" w:type="dxa"/>
            <w:shd w:val="clear" w:color="auto" w:fill="auto"/>
            <w:vAlign w:val="center"/>
          </w:tcPr>
          <w:p w14:paraId="31AFCBAA">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18.000 </w:t>
            </w:r>
          </w:p>
        </w:tc>
        <w:tc>
          <w:tcPr>
            <w:tcW w:w="1260" w:type="dxa"/>
            <w:shd w:val="clear" w:color="auto" w:fill="auto"/>
            <w:vAlign w:val="center"/>
          </w:tcPr>
          <w:p w14:paraId="60F59DE4">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18.000 </w:t>
            </w:r>
          </w:p>
        </w:tc>
      </w:tr>
      <w:tr w14:paraId="089E9CC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shd w:val="clear" w:color="auto" w:fill="auto"/>
            <w:vAlign w:val="center"/>
          </w:tcPr>
          <w:p w14:paraId="73029569">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2</w:t>
            </w:r>
          </w:p>
        </w:tc>
        <w:tc>
          <w:tcPr>
            <w:tcW w:w="1260" w:type="dxa"/>
            <w:shd w:val="clear" w:color="auto" w:fill="auto"/>
            <w:vAlign w:val="center"/>
          </w:tcPr>
          <w:p w14:paraId="6642605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18.237 </w:t>
            </w:r>
          </w:p>
        </w:tc>
        <w:tc>
          <w:tcPr>
            <w:tcW w:w="1260" w:type="dxa"/>
            <w:shd w:val="clear" w:color="auto" w:fill="auto"/>
            <w:vAlign w:val="center"/>
          </w:tcPr>
          <w:p w14:paraId="5B6920AF">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18.185 </w:t>
            </w:r>
          </w:p>
        </w:tc>
        <w:tc>
          <w:tcPr>
            <w:tcW w:w="1260" w:type="dxa"/>
            <w:shd w:val="clear" w:color="auto" w:fill="auto"/>
            <w:vAlign w:val="center"/>
          </w:tcPr>
          <w:p w14:paraId="15CE989A">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18.087 </w:t>
            </w:r>
          </w:p>
        </w:tc>
        <w:tc>
          <w:tcPr>
            <w:tcW w:w="1260" w:type="dxa"/>
            <w:shd w:val="clear" w:color="auto" w:fill="auto"/>
            <w:vAlign w:val="center"/>
          </w:tcPr>
          <w:p w14:paraId="0B817B94">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18.025 </w:t>
            </w:r>
          </w:p>
        </w:tc>
        <w:tc>
          <w:tcPr>
            <w:tcW w:w="1260" w:type="dxa"/>
            <w:shd w:val="clear" w:color="auto" w:fill="auto"/>
            <w:vAlign w:val="center"/>
          </w:tcPr>
          <w:p w14:paraId="08D1973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18.004 </w:t>
            </w:r>
          </w:p>
        </w:tc>
        <w:tc>
          <w:tcPr>
            <w:tcW w:w="1260" w:type="dxa"/>
            <w:shd w:val="clear" w:color="auto" w:fill="auto"/>
            <w:vAlign w:val="center"/>
          </w:tcPr>
          <w:p w14:paraId="394DA04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18.001 </w:t>
            </w:r>
          </w:p>
        </w:tc>
      </w:tr>
      <w:tr w14:paraId="0BAE9B8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shd w:val="clear" w:color="auto" w:fill="auto"/>
            <w:vAlign w:val="center"/>
          </w:tcPr>
          <w:p w14:paraId="6A3A3541">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5</w:t>
            </w:r>
          </w:p>
        </w:tc>
        <w:tc>
          <w:tcPr>
            <w:tcW w:w="1260" w:type="dxa"/>
            <w:shd w:val="clear" w:color="auto" w:fill="auto"/>
            <w:vAlign w:val="center"/>
          </w:tcPr>
          <w:p w14:paraId="3D32A1C2">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18.150 </w:t>
            </w:r>
          </w:p>
        </w:tc>
        <w:tc>
          <w:tcPr>
            <w:tcW w:w="1260" w:type="dxa"/>
            <w:shd w:val="clear" w:color="auto" w:fill="auto"/>
            <w:vAlign w:val="center"/>
          </w:tcPr>
          <w:p w14:paraId="617957DA">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18.136 </w:t>
            </w:r>
          </w:p>
        </w:tc>
        <w:tc>
          <w:tcPr>
            <w:tcW w:w="1260" w:type="dxa"/>
            <w:shd w:val="clear" w:color="auto" w:fill="auto"/>
            <w:vAlign w:val="center"/>
          </w:tcPr>
          <w:p w14:paraId="7AE8D87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18.100 </w:t>
            </w:r>
          </w:p>
        </w:tc>
        <w:tc>
          <w:tcPr>
            <w:tcW w:w="1260" w:type="dxa"/>
            <w:shd w:val="clear" w:color="auto" w:fill="auto"/>
            <w:vAlign w:val="center"/>
          </w:tcPr>
          <w:p w14:paraId="272F938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18.061 </w:t>
            </w:r>
          </w:p>
        </w:tc>
        <w:tc>
          <w:tcPr>
            <w:tcW w:w="1260" w:type="dxa"/>
            <w:shd w:val="clear" w:color="auto" w:fill="auto"/>
            <w:vAlign w:val="center"/>
          </w:tcPr>
          <w:p w14:paraId="4842327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18.030 </w:t>
            </w:r>
          </w:p>
        </w:tc>
        <w:tc>
          <w:tcPr>
            <w:tcW w:w="1260" w:type="dxa"/>
            <w:shd w:val="clear" w:color="auto" w:fill="auto"/>
            <w:vAlign w:val="center"/>
          </w:tcPr>
          <w:p w14:paraId="11A3305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18.014 </w:t>
            </w:r>
          </w:p>
        </w:tc>
      </w:tr>
      <w:tr w14:paraId="7E7B976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shd w:val="clear" w:color="auto" w:fill="auto"/>
            <w:vAlign w:val="center"/>
          </w:tcPr>
          <w:p w14:paraId="7E4F933E">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10</w:t>
            </w:r>
          </w:p>
        </w:tc>
        <w:tc>
          <w:tcPr>
            <w:tcW w:w="1260" w:type="dxa"/>
            <w:shd w:val="clear" w:color="auto" w:fill="auto"/>
            <w:vAlign w:val="center"/>
          </w:tcPr>
          <w:p w14:paraId="1C9EF81C">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18.034 </w:t>
            </w:r>
          </w:p>
        </w:tc>
        <w:tc>
          <w:tcPr>
            <w:tcW w:w="1260" w:type="dxa"/>
            <w:shd w:val="clear" w:color="auto" w:fill="auto"/>
            <w:vAlign w:val="center"/>
          </w:tcPr>
          <w:p w14:paraId="159E8C52">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18.033 </w:t>
            </w:r>
          </w:p>
        </w:tc>
        <w:tc>
          <w:tcPr>
            <w:tcW w:w="1260" w:type="dxa"/>
            <w:shd w:val="clear" w:color="auto" w:fill="auto"/>
            <w:vAlign w:val="center"/>
          </w:tcPr>
          <w:p w14:paraId="69342284">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18.033 </w:t>
            </w:r>
          </w:p>
        </w:tc>
        <w:tc>
          <w:tcPr>
            <w:tcW w:w="1260" w:type="dxa"/>
            <w:shd w:val="clear" w:color="auto" w:fill="auto"/>
            <w:vAlign w:val="center"/>
          </w:tcPr>
          <w:p w14:paraId="4A25FEE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18.032 </w:t>
            </w:r>
          </w:p>
        </w:tc>
        <w:tc>
          <w:tcPr>
            <w:tcW w:w="1260" w:type="dxa"/>
            <w:shd w:val="clear" w:color="auto" w:fill="auto"/>
            <w:vAlign w:val="center"/>
          </w:tcPr>
          <w:p w14:paraId="3D67896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18.031 </w:t>
            </w:r>
          </w:p>
        </w:tc>
        <w:tc>
          <w:tcPr>
            <w:tcW w:w="1260" w:type="dxa"/>
            <w:shd w:val="clear" w:color="auto" w:fill="auto"/>
            <w:vAlign w:val="center"/>
          </w:tcPr>
          <w:p w14:paraId="465C7E0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18.030 </w:t>
            </w:r>
          </w:p>
        </w:tc>
      </w:tr>
      <w:tr w14:paraId="0870A96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shd w:val="clear" w:color="auto" w:fill="auto"/>
            <w:vAlign w:val="center"/>
          </w:tcPr>
          <w:p w14:paraId="75A35617">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hint="eastAsia" w:ascii="Times New Roman" w:eastAsia="仿宋_GB2312"/>
                <w:bCs/>
                <w:color w:val="auto"/>
                <w:sz w:val="21"/>
                <w:szCs w:val="21"/>
              </w:rPr>
              <w:t>24.196</w:t>
            </w:r>
          </w:p>
        </w:tc>
        <w:tc>
          <w:tcPr>
            <w:tcW w:w="1260" w:type="dxa"/>
            <w:shd w:val="clear" w:color="auto" w:fill="auto"/>
            <w:vAlign w:val="center"/>
          </w:tcPr>
          <w:p w14:paraId="06F5875A">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18.068 </w:t>
            </w:r>
          </w:p>
        </w:tc>
        <w:tc>
          <w:tcPr>
            <w:tcW w:w="1260" w:type="dxa"/>
            <w:shd w:val="clear" w:color="auto" w:fill="auto"/>
            <w:vAlign w:val="center"/>
          </w:tcPr>
          <w:p w14:paraId="5B2AFF4E">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18.067 </w:t>
            </w:r>
          </w:p>
        </w:tc>
        <w:tc>
          <w:tcPr>
            <w:tcW w:w="1260" w:type="dxa"/>
            <w:shd w:val="clear" w:color="auto" w:fill="auto"/>
            <w:vAlign w:val="center"/>
          </w:tcPr>
          <w:p w14:paraId="2FE0098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18.063 </w:t>
            </w:r>
          </w:p>
        </w:tc>
        <w:tc>
          <w:tcPr>
            <w:tcW w:w="1260" w:type="dxa"/>
            <w:shd w:val="clear" w:color="auto" w:fill="auto"/>
            <w:vAlign w:val="center"/>
          </w:tcPr>
          <w:p w14:paraId="3FF1EF7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18.057 </w:t>
            </w:r>
          </w:p>
        </w:tc>
        <w:tc>
          <w:tcPr>
            <w:tcW w:w="1260" w:type="dxa"/>
            <w:shd w:val="clear" w:color="auto" w:fill="auto"/>
            <w:vAlign w:val="center"/>
          </w:tcPr>
          <w:p w14:paraId="32B9D13C">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18.049 </w:t>
            </w:r>
          </w:p>
        </w:tc>
        <w:tc>
          <w:tcPr>
            <w:tcW w:w="1260" w:type="dxa"/>
            <w:shd w:val="clear" w:color="auto" w:fill="auto"/>
            <w:vAlign w:val="center"/>
          </w:tcPr>
          <w:p w14:paraId="25C82DC6">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18.041 </w:t>
            </w:r>
          </w:p>
        </w:tc>
      </w:tr>
      <w:tr w14:paraId="4ACCEE4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shd w:val="clear" w:color="auto" w:fill="auto"/>
            <w:vAlign w:val="center"/>
          </w:tcPr>
          <w:p w14:paraId="2A94B935">
            <w:pPr>
              <w:pStyle w:val="512"/>
              <w:tabs>
                <w:tab w:val="left" w:pos="6033"/>
                <w:tab w:val="left" w:pos="6271"/>
              </w:tabs>
              <w:autoSpaceDE w:val="0"/>
              <w:autoSpaceDN w:val="0"/>
              <w:spacing w:line="440" w:lineRule="exact"/>
              <w:jc w:val="center"/>
              <w:textAlignment w:val="bottom"/>
              <w:rPr>
                <w:rFonts w:hint="default"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75</w:t>
            </w:r>
          </w:p>
        </w:tc>
        <w:tc>
          <w:tcPr>
            <w:tcW w:w="1260" w:type="dxa"/>
            <w:shd w:val="clear" w:color="auto" w:fill="auto"/>
            <w:vAlign w:val="center"/>
          </w:tcPr>
          <w:p w14:paraId="5B13FD5F">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18.039 </w:t>
            </w:r>
          </w:p>
        </w:tc>
        <w:tc>
          <w:tcPr>
            <w:tcW w:w="1260" w:type="dxa"/>
            <w:shd w:val="clear" w:color="auto" w:fill="auto"/>
            <w:vAlign w:val="center"/>
          </w:tcPr>
          <w:p w14:paraId="5B47455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18.038 </w:t>
            </w:r>
          </w:p>
        </w:tc>
        <w:tc>
          <w:tcPr>
            <w:tcW w:w="1260" w:type="dxa"/>
            <w:shd w:val="clear" w:color="auto" w:fill="auto"/>
            <w:vAlign w:val="center"/>
          </w:tcPr>
          <w:p w14:paraId="4CB1A860">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18.038 </w:t>
            </w:r>
          </w:p>
        </w:tc>
        <w:tc>
          <w:tcPr>
            <w:tcW w:w="1260" w:type="dxa"/>
            <w:shd w:val="clear" w:color="auto" w:fill="auto"/>
            <w:vAlign w:val="center"/>
          </w:tcPr>
          <w:p w14:paraId="1BD9B34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18.036 </w:t>
            </w:r>
          </w:p>
        </w:tc>
        <w:tc>
          <w:tcPr>
            <w:tcW w:w="1260" w:type="dxa"/>
            <w:shd w:val="clear" w:color="auto" w:fill="auto"/>
            <w:vAlign w:val="center"/>
          </w:tcPr>
          <w:p w14:paraId="6392BDB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18.035 </w:t>
            </w:r>
          </w:p>
        </w:tc>
        <w:tc>
          <w:tcPr>
            <w:tcW w:w="1260" w:type="dxa"/>
            <w:shd w:val="clear" w:color="auto" w:fill="auto"/>
            <w:vAlign w:val="center"/>
          </w:tcPr>
          <w:p w14:paraId="4C1C8E5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18.033 </w:t>
            </w:r>
          </w:p>
        </w:tc>
      </w:tr>
      <w:tr w14:paraId="27B2066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330" w:type="dxa"/>
            <w:shd w:val="clear" w:color="auto" w:fill="auto"/>
            <w:vAlign w:val="center"/>
          </w:tcPr>
          <w:p w14:paraId="574E20E3">
            <w:pPr>
              <w:pStyle w:val="512"/>
              <w:tabs>
                <w:tab w:val="left" w:pos="6033"/>
                <w:tab w:val="left" w:pos="6271"/>
              </w:tabs>
              <w:autoSpaceDE w:val="0"/>
              <w:autoSpaceDN w:val="0"/>
              <w:spacing w:line="440" w:lineRule="exact"/>
              <w:jc w:val="center"/>
              <w:textAlignment w:val="bottom"/>
              <w:rPr>
                <w:rFonts w:hint="default" w:ascii="Times New Roman" w:eastAsia="仿宋_GB2312"/>
                <w:bCs/>
                <w:color w:val="auto"/>
                <w:sz w:val="21"/>
                <w:szCs w:val="21"/>
                <w:lang w:val="en-US" w:eastAsia="zh-CN"/>
              </w:rPr>
            </w:pPr>
            <w:r>
              <w:rPr>
                <w:rFonts w:hint="eastAsia" w:ascii="Times New Roman" w:eastAsia="仿宋_GB2312"/>
                <w:bCs/>
                <w:color w:val="auto"/>
                <w:sz w:val="21"/>
                <w:szCs w:val="21"/>
              </w:rPr>
              <w:t>1</w:t>
            </w:r>
            <w:r>
              <w:rPr>
                <w:rFonts w:hint="eastAsia" w:ascii="Times New Roman" w:eastAsia="仿宋_GB2312"/>
                <w:bCs/>
                <w:color w:val="auto"/>
                <w:sz w:val="21"/>
                <w:szCs w:val="21"/>
                <w:lang w:val="en-US" w:eastAsia="zh-CN"/>
              </w:rPr>
              <w:t>45</w:t>
            </w:r>
          </w:p>
        </w:tc>
        <w:tc>
          <w:tcPr>
            <w:tcW w:w="1260" w:type="dxa"/>
            <w:shd w:val="clear" w:color="auto" w:fill="auto"/>
            <w:vAlign w:val="center"/>
          </w:tcPr>
          <w:p w14:paraId="6DF7D0A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18.028 </w:t>
            </w:r>
          </w:p>
        </w:tc>
        <w:tc>
          <w:tcPr>
            <w:tcW w:w="1260" w:type="dxa"/>
            <w:shd w:val="clear" w:color="auto" w:fill="auto"/>
            <w:vAlign w:val="center"/>
          </w:tcPr>
          <w:p w14:paraId="44051FDC">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18.028 </w:t>
            </w:r>
          </w:p>
        </w:tc>
        <w:tc>
          <w:tcPr>
            <w:tcW w:w="1260" w:type="dxa"/>
            <w:shd w:val="clear" w:color="auto" w:fill="auto"/>
            <w:vAlign w:val="center"/>
          </w:tcPr>
          <w:p w14:paraId="4CAABEA3">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18.027 </w:t>
            </w:r>
          </w:p>
        </w:tc>
        <w:tc>
          <w:tcPr>
            <w:tcW w:w="1260" w:type="dxa"/>
            <w:shd w:val="clear" w:color="auto" w:fill="auto"/>
            <w:vAlign w:val="center"/>
          </w:tcPr>
          <w:p w14:paraId="7B0CAEF6">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18.027 </w:t>
            </w:r>
          </w:p>
        </w:tc>
        <w:tc>
          <w:tcPr>
            <w:tcW w:w="1260" w:type="dxa"/>
            <w:shd w:val="clear" w:color="auto" w:fill="auto"/>
            <w:vAlign w:val="center"/>
          </w:tcPr>
          <w:p w14:paraId="200993F2">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18.026 </w:t>
            </w:r>
          </w:p>
        </w:tc>
        <w:tc>
          <w:tcPr>
            <w:tcW w:w="1260" w:type="dxa"/>
            <w:shd w:val="clear" w:color="auto" w:fill="auto"/>
            <w:vAlign w:val="center"/>
          </w:tcPr>
          <w:p w14:paraId="6CD37A6F">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rPr>
            </w:pPr>
            <w:r>
              <w:rPr>
                <w:rFonts w:hint="eastAsia" w:ascii="Times New Roman" w:eastAsia="仿宋_GB2312"/>
                <w:bCs/>
                <w:color w:val="auto"/>
                <w:sz w:val="21"/>
                <w:szCs w:val="21"/>
                <w:lang w:val="en-US" w:eastAsia="zh-CN"/>
              </w:rPr>
              <w:t xml:space="preserve">18.026 </w:t>
            </w:r>
          </w:p>
        </w:tc>
      </w:tr>
    </w:tbl>
    <w:p w14:paraId="535C8142">
      <w:pPr>
        <w:jc w:val="center"/>
        <w:rPr>
          <w:b/>
          <w:color w:val="auto"/>
          <w:lang w:bidi="ar"/>
        </w:rPr>
      </w:pPr>
    </w:p>
    <w:p w14:paraId="6AE4ACDC">
      <w:pPr>
        <w:spacing w:line="360" w:lineRule="auto"/>
        <w:jc w:val="center"/>
        <w:rPr>
          <w:rFonts w:hint="eastAsia" w:ascii="Times New Roman" w:hAnsi="Times New Roman" w:eastAsia="宋体" w:cs="Times New Roman"/>
          <w:b/>
          <w:bCs/>
          <w:color w:val="auto"/>
          <w:sz w:val="24"/>
          <w:szCs w:val="24"/>
          <w:lang w:val="en-US" w:eastAsia="zh-CN" w:bidi="ar-SA"/>
        </w:rPr>
      </w:pPr>
      <w:r>
        <w:rPr>
          <w:rFonts w:hint="eastAsia" w:ascii="Times New Roman" w:hAnsi="Times New Roman" w:eastAsia="宋体" w:cs="Times New Roman"/>
          <w:b/>
          <w:bCs/>
          <w:color w:val="auto"/>
          <w:sz w:val="24"/>
          <w:szCs w:val="24"/>
          <w:lang w:val="en-US" w:eastAsia="zh-CN" w:bidi="ar-SA"/>
        </w:rPr>
        <w:t>表5</w:t>
      </w:r>
      <w:r>
        <w:rPr>
          <w:rFonts w:hint="eastAsia" w:cs="Times New Roman"/>
          <w:b/>
          <w:bCs/>
          <w:color w:val="auto"/>
          <w:sz w:val="24"/>
          <w:szCs w:val="24"/>
          <w:lang w:val="en-US" w:eastAsia="zh-CN" w:bidi="ar-SA"/>
        </w:rPr>
        <w:t>.</w:t>
      </w:r>
      <w:r>
        <w:rPr>
          <w:rFonts w:hint="eastAsia" w:ascii="Times New Roman" w:hAnsi="Times New Roman" w:eastAsia="宋体" w:cs="Times New Roman"/>
          <w:b/>
          <w:bCs/>
          <w:color w:val="auto"/>
          <w:sz w:val="24"/>
          <w:szCs w:val="24"/>
          <w:lang w:val="en-US" w:eastAsia="zh-CN" w:bidi="ar-SA"/>
        </w:rPr>
        <w:t>2-</w:t>
      </w:r>
      <w:r>
        <w:rPr>
          <w:rFonts w:hint="eastAsia" w:cs="Times New Roman"/>
          <w:b/>
          <w:bCs/>
          <w:color w:val="auto"/>
          <w:sz w:val="24"/>
          <w:szCs w:val="24"/>
          <w:lang w:val="en-US" w:eastAsia="zh-CN" w:bidi="ar-SA"/>
        </w:rPr>
        <w:t>4</w:t>
      </w:r>
      <w:r>
        <w:rPr>
          <w:rFonts w:hint="eastAsia" w:ascii="Times New Roman" w:hAnsi="Times New Roman" w:eastAsia="宋体" w:cs="Times New Roman"/>
          <w:b/>
          <w:bCs/>
          <w:color w:val="auto"/>
          <w:sz w:val="24"/>
          <w:szCs w:val="24"/>
          <w:lang w:val="en-US" w:eastAsia="zh-CN" w:bidi="ar-SA"/>
        </w:rPr>
        <w:t xml:space="preserve"> 正常情况下氨氮浓度变化情况 单位：mg/L</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29"/>
        <w:gridCol w:w="1247"/>
        <w:gridCol w:w="1247"/>
        <w:gridCol w:w="1247"/>
        <w:gridCol w:w="1247"/>
        <w:gridCol w:w="1247"/>
        <w:gridCol w:w="1256"/>
      </w:tblGrid>
      <w:tr w14:paraId="137815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57" w:hRule="atLeast"/>
          <w:jc w:val="center"/>
        </w:trPr>
        <w:tc>
          <w:tcPr>
            <w:tcW w:w="1229" w:type="dxa"/>
            <w:tcBorders>
              <w:bottom w:val="single" w:color="auto" w:sz="4" w:space="0"/>
              <w:right w:val="single" w:color="auto" w:sz="4" w:space="0"/>
              <w:tl2br w:val="single" w:color="auto" w:sz="12" w:space="0"/>
            </w:tcBorders>
            <w:shd w:val="clear" w:color="auto" w:fill="auto"/>
            <w:vAlign w:val="center"/>
          </w:tcPr>
          <w:p w14:paraId="694EBD66">
            <w:pPr>
              <w:pStyle w:val="512"/>
              <w:tabs>
                <w:tab w:val="left" w:pos="6033"/>
                <w:tab w:val="left" w:pos="6271"/>
              </w:tabs>
              <w:wordWrap w:val="0"/>
              <w:autoSpaceDE w:val="0"/>
              <w:autoSpaceDN w:val="0"/>
              <w:spacing w:line="440" w:lineRule="exact"/>
              <w:jc w:val="right"/>
              <w:textAlignment w:val="bottom"/>
              <w:rPr>
                <w:rFonts w:ascii="Times New Roman" w:eastAsia="仿宋_GB2312"/>
                <w:bCs/>
                <w:color w:val="auto"/>
                <w:sz w:val="21"/>
                <w:szCs w:val="21"/>
              </w:rPr>
            </w:pPr>
            <w:r>
              <w:rPr>
                <w:rFonts w:hint="eastAsia" w:ascii="Times New Roman" w:eastAsia="仿宋_GB2312"/>
                <w:bCs/>
                <w:color w:val="auto"/>
                <w:sz w:val="21"/>
                <w:szCs w:val="21"/>
              </w:rPr>
              <w:t xml:space="preserve">    </w:t>
            </w:r>
            <w:r>
              <w:rPr>
                <w:rFonts w:ascii="Times New Roman" w:eastAsia="仿宋_GB2312"/>
                <w:bCs/>
                <w:color w:val="auto"/>
                <w:sz w:val="21"/>
                <w:szCs w:val="21"/>
              </w:rPr>
              <w:t>Y（m）</w:t>
            </w:r>
          </w:p>
          <w:p w14:paraId="240B9F73">
            <w:pPr>
              <w:pStyle w:val="512"/>
              <w:tabs>
                <w:tab w:val="left" w:pos="6033"/>
                <w:tab w:val="left" w:pos="6271"/>
              </w:tabs>
              <w:autoSpaceDE w:val="0"/>
              <w:autoSpaceDN w:val="0"/>
              <w:spacing w:line="440" w:lineRule="exact"/>
              <w:textAlignment w:val="bottom"/>
              <w:rPr>
                <w:rFonts w:ascii="Times New Roman" w:eastAsia="仿宋_GB2312"/>
                <w:bCs/>
                <w:color w:val="auto"/>
                <w:sz w:val="21"/>
                <w:szCs w:val="21"/>
              </w:rPr>
            </w:pPr>
            <w:r>
              <w:rPr>
                <w:rFonts w:ascii="Times New Roman" w:eastAsia="仿宋_GB2312"/>
                <w:bCs/>
                <w:color w:val="auto"/>
                <w:sz w:val="21"/>
                <w:szCs w:val="21"/>
              </w:rPr>
              <w:t>X（km）</w:t>
            </w:r>
          </w:p>
        </w:tc>
        <w:tc>
          <w:tcPr>
            <w:tcW w:w="1247" w:type="dxa"/>
            <w:tcBorders>
              <w:left w:val="single" w:color="auto" w:sz="4" w:space="0"/>
            </w:tcBorders>
            <w:shd w:val="clear" w:color="auto" w:fill="auto"/>
            <w:vAlign w:val="center"/>
          </w:tcPr>
          <w:p w14:paraId="0BA3B204">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0</w:t>
            </w:r>
          </w:p>
        </w:tc>
        <w:tc>
          <w:tcPr>
            <w:tcW w:w="1247" w:type="dxa"/>
            <w:shd w:val="clear" w:color="auto" w:fill="auto"/>
            <w:vAlign w:val="center"/>
          </w:tcPr>
          <w:p w14:paraId="3E66AC53">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30</w:t>
            </w:r>
          </w:p>
        </w:tc>
        <w:tc>
          <w:tcPr>
            <w:tcW w:w="1247" w:type="dxa"/>
            <w:shd w:val="clear" w:color="auto" w:fill="auto"/>
            <w:vAlign w:val="center"/>
          </w:tcPr>
          <w:p w14:paraId="159A5247">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60</w:t>
            </w:r>
          </w:p>
        </w:tc>
        <w:tc>
          <w:tcPr>
            <w:tcW w:w="1247" w:type="dxa"/>
            <w:shd w:val="clear" w:color="auto" w:fill="auto"/>
            <w:vAlign w:val="center"/>
          </w:tcPr>
          <w:p w14:paraId="7AF66043">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90</w:t>
            </w:r>
          </w:p>
        </w:tc>
        <w:tc>
          <w:tcPr>
            <w:tcW w:w="1247" w:type="dxa"/>
            <w:shd w:val="clear" w:color="auto" w:fill="auto"/>
            <w:vAlign w:val="center"/>
          </w:tcPr>
          <w:p w14:paraId="32E8C69E">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120</w:t>
            </w:r>
          </w:p>
        </w:tc>
        <w:tc>
          <w:tcPr>
            <w:tcW w:w="1256" w:type="dxa"/>
            <w:shd w:val="clear" w:color="auto" w:fill="auto"/>
            <w:vAlign w:val="center"/>
          </w:tcPr>
          <w:p w14:paraId="6523BD3B">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hint="eastAsia" w:ascii="Times New Roman" w:eastAsia="仿宋_GB2312"/>
                <w:bCs/>
                <w:color w:val="auto"/>
                <w:sz w:val="21"/>
                <w:szCs w:val="21"/>
              </w:rPr>
              <w:t>146.85</w:t>
            </w:r>
          </w:p>
        </w:tc>
      </w:tr>
      <w:tr w14:paraId="2EE82BA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tcBorders>
              <w:top w:val="single" w:color="auto" w:sz="4" w:space="0"/>
            </w:tcBorders>
            <w:shd w:val="clear" w:color="auto" w:fill="auto"/>
            <w:vAlign w:val="center"/>
          </w:tcPr>
          <w:p w14:paraId="0F918F20">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0.5</w:t>
            </w:r>
          </w:p>
        </w:tc>
        <w:tc>
          <w:tcPr>
            <w:tcW w:w="1247" w:type="dxa"/>
            <w:shd w:val="clear" w:color="auto" w:fill="auto"/>
            <w:vAlign w:val="center"/>
          </w:tcPr>
          <w:p w14:paraId="52A1B67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0.217 </w:t>
            </w:r>
          </w:p>
        </w:tc>
        <w:tc>
          <w:tcPr>
            <w:tcW w:w="1247" w:type="dxa"/>
            <w:shd w:val="clear" w:color="auto" w:fill="auto"/>
            <w:vAlign w:val="center"/>
          </w:tcPr>
          <w:p w14:paraId="61B05CB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0.187 </w:t>
            </w:r>
          </w:p>
        </w:tc>
        <w:tc>
          <w:tcPr>
            <w:tcW w:w="1247" w:type="dxa"/>
            <w:shd w:val="clear" w:color="auto" w:fill="auto"/>
            <w:vAlign w:val="center"/>
          </w:tcPr>
          <w:p w14:paraId="5A3AF48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0.171 </w:t>
            </w:r>
          </w:p>
        </w:tc>
        <w:tc>
          <w:tcPr>
            <w:tcW w:w="1247" w:type="dxa"/>
            <w:shd w:val="clear" w:color="auto" w:fill="auto"/>
            <w:vAlign w:val="center"/>
          </w:tcPr>
          <w:p w14:paraId="74794FE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c>
          <w:tcPr>
            <w:tcW w:w="1247" w:type="dxa"/>
            <w:shd w:val="clear" w:color="auto" w:fill="auto"/>
            <w:vAlign w:val="center"/>
          </w:tcPr>
          <w:p w14:paraId="2157EF8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c>
          <w:tcPr>
            <w:tcW w:w="1256" w:type="dxa"/>
            <w:shd w:val="clear" w:color="auto" w:fill="auto"/>
            <w:vAlign w:val="center"/>
          </w:tcPr>
          <w:p w14:paraId="2DE6DA8A">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r>
      <w:tr w14:paraId="1A96B4C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shd w:val="clear" w:color="auto" w:fill="auto"/>
            <w:vAlign w:val="center"/>
          </w:tcPr>
          <w:p w14:paraId="1FFCB721">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1</w:t>
            </w:r>
          </w:p>
        </w:tc>
        <w:tc>
          <w:tcPr>
            <w:tcW w:w="1247" w:type="dxa"/>
            <w:shd w:val="clear" w:color="auto" w:fill="auto"/>
            <w:vAlign w:val="center"/>
          </w:tcPr>
          <w:p w14:paraId="758D7A2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0.204 </w:t>
            </w:r>
          </w:p>
        </w:tc>
        <w:tc>
          <w:tcPr>
            <w:tcW w:w="1247" w:type="dxa"/>
            <w:shd w:val="clear" w:color="auto" w:fill="auto"/>
            <w:vAlign w:val="center"/>
          </w:tcPr>
          <w:p w14:paraId="4E68A68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0.190 </w:t>
            </w:r>
          </w:p>
        </w:tc>
        <w:tc>
          <w:tcPr>
            <w:tcW w:w="1247" w:type="dxa"/>
            <w:shd w:val="clear" w:color="auto" w:fill="auto"/>
            <w:vAlign w:val="center"/>
          </w:tcPr>
          <w:p w14:paraId="193EFDA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0.175 </w:t>
            </w:r>
          </w:p>
        </w:tc>
        <w:tc>
          <w:tcPr>
            <w:tcW w:w="1247" w:type="dxa"/>
            <w:shd w:val="clear" w:color="auto" w:fill="auto"/>
            <w:vAlign w:val="center"/>
          </w:tcPr>
          <w:p w14:paraId="0024A7EA">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c>
          <w:tcPr>
            <w:tcW w:w="1247" w:type="dxa"/>
            <w:shd w:val="clear" w:color="auto" w:fill="auto"/>
            <w:vAlign w:val="center"/>
          </w:tcPr>
          <w:p w14:paraId="730ED849">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c>
          <w:tcPr>
            <w:tcW w:w="1256" w:type="dxa"/>
            <w:shd w:val="clear" w:color="auto" w:fill="auto"/>
            <w:vAlign w:val="center"/>
          </w:tcPr>
          <w:p w14:paraId="4E134F7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r>
      <w:tr w14:paraId="2F9ABB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shd w:val="clear" w:color="auto" w:fill="auto"/>
            <w:vAlign w:val="center"/>
          </w:tcPr>
          <w:p w14:paraId="39E7A8C8">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2</w:t>
            </w:r>
          </w:p>
        </w:tc>
        <w:tc>
          <w:tcPr>
            <w:tcW w:w="1247" w:type="dxa"/>
            <w:shd w:val="clear" w:color="auto" w:fill="auto"/>
            <w:vAlign w:val="center"/>
          </w:tcPr>
          <w:p w14:paraId="0DA4D076">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0.194 </w:t>
            </w:r>
          </w:p>
        </w:tc>
        <w:tc>
          <w:tcPr>
            <w:tcW w:w="1247" w:type="dxa"/>
            <w:shd w:val="clear" w:color="auto" w:fill="auto"/>
            <w:vAlign w:val="center"/>
          </w:tcPr>
          <w:p w14:paraId="3ADD72C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0.188 </w:t>
            </w:r>
          </w:p>
        </w:tc>
        <w:tc>
          <w:tcPr>
            <w:tcW w:w="1247" w:type="dxa"/>
            <w:shd w:val="clear" w:color="auto" w:fill="auto"/>
            <w:vAlign w:val="center"/>
          </w:tcPr>
          <w:p w14:paraId="2790022F">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0.179 </w:t>
            </w:r>
          </w:p>
        </w:tc>
        <w:tc>
          <w:tcPr>
            <w:tcW w:w="1247" w:type="dxa"/>
            <w:shd w:val="clear" w:color="auto" w:fill="auto"/>
            <w:vAlign w:val="center"/>
          </w:tcPr>
          <w:p w14:paraId="78171313">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0.172 </w:t>
            </w:r>
          </w:p>
        </w:tc>
        <w:tc>
          <w:tcPr>
            <w:tcW w:w="1247" w:type="dxa"/>
            <w:shd w:val="clear" w:color="auto" w:fill="auto"/>
            <w:vAlign w:val="center"/>
          </w:tcPr>
          <w:p w14:paraId="02EDD65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c>
          <w:tcPr>
            <w:tcW w:w="1256" w:type="dxa"/>
            <w:shd w:val="clear" w:color="auto" w:fill="auto"/>
            <w:vAlign w:val="center"/>
          </w:tcPr>
          <w:p w14:paraId="0E07E1F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0.170 </w:t>
            </w:r>
          </w:p>
        </w:tc>
      </w:tr>
      <w:tr w14:paraId="64DA2B5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shd w:val="clear" w:color="auto" w:fill="auto"/>
            <w:vAlign w:val="center"/>
          </w:tcPr>
          <w:p w14:paraId="4EBFC7FA">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5</w:t>
            </w:r>
          </w:p>
        </w:tc>
        <w:tc>
          <w:tcPr>
            <w:tcW w:w="1247" w:type="dxa"/>
            <w:shd w:val="clear" w:color="auto" w:fill="auto"/>
            <w:vAlign w:val="center"/>
          </w:tcPr>
          <w:p w14:paraId="7B2E3C4F">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0.185 </w:t>
            </w:r>
          </w:p>
        </w:tc>
        <w:tc>
          <w:tcPr>
            <w:tcW w:w="1247" w:type="dxa"/>
            <w:shd w:val="clear" w:color="auto" w:fill="auto"/>
            <w:vAlign w:val="center"/>
          </w:tcPr>
          <w:p w14:paraId="5FECA60E">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0.184 </w:t>
            </w:r>
          </w:p>
        </w:tc>
        <w:tc>
          <w:tcPr>
            <w:tcW w:w="1247" w:type="dxa"/>
            <w:shd w:val="clear" w:color="auto" w:fill="auto"/>
            <w:vAlign w:val="center"/>
          </w:tcPr>
          <w:p w14:paraId="362CAD4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0.180 </w:t>
            </w:r>
          </w:p>
        </w:tc>
        <w:tc>
          <w:tcPr>
            <w:tcW w:w="1247" w:type="dxa"/>
            <w:shd w:val="clear" w:color="auto" w:fill="auto"/>
            <w:vAlign w:val="center"/>
          </w:tcPr>
          <w:p w14:paraId="221339C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0.176 </w:t>
            </w:r>
          </w:p>
        </w:tc>
        <w:tc>
          <w:tcPr>
            <w:tcW w:w="1247" w:type="dxa"/>
            <w:shd w:val="clear" w:color="auto" w:fill="auto"/>
            <w:vAlign w:val="center"/>
          </w:tcPr>
          <w:p w14:paraId="3DC70FEA">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56" w:type="dxa"/>
            <w:shd w:val="clear" w:color="auto" w:fill="auto"/>
            <w:vAlign w:val="center"/>
          </w:tcPr>
          <w:p w14:paraId="2E0E7F0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0.171 </w:t>
            </w:r>
          </w:p>
        </w:tc>
      </w:tr>
      <w:tr w14:paraId="46AD57C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shd w:val="clear" w:color="auto" w:fill="auto"/>
            <w:vAlign w:val="center"/>
          </w:tcPr>
          <w:p w14:paraId="1843E368">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ascii="Times New Roman" w:eastAsia="仿宋_GB2312"/>
                <w:bCs/>
                <w:color w:val="auto"/>
                <w:sz w:val="21"/>
                <w:szCs w:val="21"/>
              </w:rPr>
              <w:t>10</w:t>
            </w:r>
          </w:p>
        </w:tc>
        <w:tc>
          <w:tcPr>
            <w:tcW w:w="1247" w:type="dxa"/>
            <w:shd w:val="clear" w:color="auto" w:fill="auto"/>
            <w:vAlign w:val="center"/>
          </w:tcPr>
          <w:p w14:paraId="7DE412F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38E6DD03">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7065E061">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658E16A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48622F49">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56" w:type="dxa"/>
            <w:shd w:val="clear" w:color="auto" w:fill="auto"/>
            <w:vAlign w:val="center"/>
          </w:tcPr>
          <w:p w14:paraId="5D0B9B9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r>
      <w:tr w14:paraId="195C2B9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shd w:val="clear" w:color="auto" w:fill="auto"/>
            <w:vAlign w:val="center"/>
          </w:tcPr>
          <w:p w14:paraId="48AD5B84">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hint="eastAsia" w:ascii="Times New Roman" w:eastAsia="仿宋_GB2312"/>
                <w:bCs/>
                <w:color w:val="auto"/>
                <w:sz w:val="21"/>
                <w:szCs w:val="21"/>
              </w:rPr>
              <w:t>24.196</w:t>
            </w:r>
          </w:p>
        </w:tc>
        <w:tc>
          <w:tcPr>
            <w:tcW w:w="1247" w:type="dxa"/>
            <w:shd w:val="clear" w:color="auto" w:fill="auto"/>
            <w:vAlign w:val="center"/>
          </w:tcPr>
          <w:p w14:paraId="58593F5E">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0.177 </w:t>
            </w:r>
          </w:p>
        </w:tc>
        <w:tc>
          <w:tcPr>
            <w:tcW w:w="1247" w:type="dxa"/>
            <w:shd w:val="clear" w:color="auto" w:fill="auto"/>
            <w:vAlign w:val="center"/>
          </w:tcPr>
          <w:p w14:paraId="071C4E33">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0.177 </w:t>
            </w:r>
          </w:p>
        </w:tc>
        <w:tc>
          <w:tcPr>
            <w:tcW w:w="1247" w:type="dxa"/>
            <w:shd w:val="clear" w:color="auto" w:fill="auto"/>
            <w:vAlign w:val="center"/>
          </w:tcPr>
          <w:p w14:paraId="79B771E3">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0.176 </w:t>
            </w:r>
          </w:p>
        </w:tc>
        <w:tc>
          <w:tcPr>
            <w:tcW w:w="1247" w:type="dxa"/>
            <w:shd w:val="clear" w:color="auto" w:fill="auto"/>
            <w:vAlign w:val="center"/>
          </w:tcPr>
          <w:p w14:paraId="64163BB7">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0.176 </w:t>
            </w:r>
          </w:p>
        </w:tc>
        <w:tc>
          <w:tcPr>
            <w:tcW w:w="1247" w:type="dxa"/>
            <w:shd w:val="clear" w:color="auto" w:fill="auto"/>
            <w:vAlign w:val="center"/>
          </w:tcPr>
          <w:p w14:paraId="5B2D9936">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0.175 </w:t>
            </w:r>
          </w:p>
        </w:tc>
        <w:tc>
          <w:tcPr>
            <w:tcW w:w="1256" w:type="dxa"/>
            <w:shd w:val="clear" w:color="auto" w:fill="auto"/>
            <w:vAlign w:val="center"/>
          </w:tcPr>
          <w:p w14:paraId="7B16ED6D">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0.174 </w:t>
            </w:r>
          </w:p>
        </w:tc>
      </w:tr>
      <w:tr w14:paraId="5988971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shd w:val="clear" w:color="auto" w:fill="auto"/>
            <w:vAlign w:val="center"/>
          </w:tcPr>
          <w:p w14:paraId="13AF3DDB">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hint="eastAsia" w:ascii="Times New Roman" w:eastAsia="仿宋_GB2312"/>
                <w:bCs/>
                <w:color w:val="auto"/>
                <w:sz w:val="21"/>
                <w:szCs w:val="21"/>
              </w:rPr>
              <w:t>75</w:t>
            </w:r>
          </w:p>
        </w:tc>
        <w:tc>
          <w:tcPr>
            <w:tcW w:w="1247" w:type="dxa"/>
            <w:shd w:val="clear" w:color="auto" w:fill="auto"/>
            <w:vAlign w:val="center"/>
          </w:tcPr>
          <w:p w14:paraId="7CB4C6B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0.174 </w:t>
            </w:r>
          </w:p>
        </w:tc>
        <w:tc>
          <w:tcPr>
            <w:tcW w:w="1247" w:type="dxa"/>
            <w:shd w:val="clear" w:color="auto" w:fill="auto"/>
            <w:vAlign w:val="center"/>
          </w:tcPr>
          <w:p w14:paraId="2C0C1BA9">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0.174 </w:t>
            </w:r>
          </w:p>
        </w:tc>
        <w:tc>
          <w:tcPr>
            <w:tcW w:w="1247" w:type="dxa"/>
            <w:shd w:val="clear" w:color="auto" w:fill="auto"/>
            <w:vAlign w:val="center"/>
          </w:tcPr>
          <w:p w14:paraId="32BC277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0.174 </w:t>
            </w:r>
          </w:p>
        </w:tc>
        <w:tc>
          <w:tcPr>
            <w:tcW w:w="1247" w:type="dxa"/>
            <w:shd w:val="clear" w:color="auto" w:fill="auto"/>
            <w:vAlign w:val="center"/>
          </w:tcPr>
          <w:p w14:paraId="74939DA9">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0.174 </w:t>
            </w:r>
          </w:p>
        </w:tc>
        <w:tc>
          <w:tcPr>
            <w:tcW w:w="1247" w:type="dxa"/>
            <w:shd w:val="clear" w:color="auto" w:fill="auto"/>
            <w:vAlign w:val="center"/>
          </w:tcPr>
          <w:p w14:paraId="2E2649FF">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56" w:type="dxa"/>
            <w:shd w:val="clear" w:color="auto" w:fill="auto"/>
            <w:vAlign w:val="center"/>
          </w:tcPr>
          <w:p w14:paraId="637F699C">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r>
      <w:tr w14:paraId="2A78E42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229" w:type="dxa"/>
            <w:shd w:val="clear" w:color="auto" w:fill="auto"/>
            <w:vAlign w:val="center"/>
          </w:tcPr>
          <w:p w14:paraId="4534B175">
            <w:pPr>
              <w:pStyle w:val="512"/>
              <w:tabs>
                <w:tab w:val="left" w:pos="6033"/>
                <w:tab w:val="left" w:pos="6271"/>
              </w:tabs>
              <w:autoSpaceDE w:val="0"/>
              <w:autoSpaceDN w:val="0"/>
              <w:spacing w:line="440" w:lineRule="exact"/>
              <w:jc w:val="center"/>
              <w:textAlignment w:val="bottom"/>
              <w:rPr>
                <w:rFonts w:ascii="Times New Roman" w:eastAsia="仿宋_GB2312"/>
                <w:bCs/>
                <w:color w:val="auto"/>
                <w:sz w:val="21"/>
                <w:szCs w:val="21"/>
              </w:rPr>
            </w:pPr>
            <w:r>
              <w:rPr>
                <w:rFonts w:hint="eastAsia" w:ascii="Times New Roman" w:eastAsia="仿宋_GB2312"/>
                <w:bCs/>
                <w:color w:val="auto"/>
                <w:sz w:val="21"/>
                <w:szCs w:val="21"/>
              </w:rPr>
              <w:t>145</w:t>
            </w:r>
          </w:p>
        </w:tc>
        <w:tc>
          <w:tcPr>
            <w:tcW w:w="1247" w:type="dxa"/>
            <w:shd w:val="clear" w:color="auto" w:fill="auto"/>
            <w:vAlign w:val="center"/>
          </w:tcPr>
          <w:p w14:paraId="48258338">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3EAD3C49">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50748C7C">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5F2BFAFB">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47" w:type="dxa"/>
            <w:shd w:val="clear" w:color="auto" w:fill="auto"/>
            <w:vAlign w:val="center"/>
          </w:tcPr>
          <w:p w14:paraId="14C143CF">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c>
          <w:tcPr>
            <w:tcW w:w="1256" w:type="dxa"/>
            <w:shd w:val="clear" w:color="auto" w:fill="auto"/>
            <w:vAlign w:val="center"/>
          </w:tcPr>
          <w:p w14:paraId="2C9C7265">
            <w:pPr>
              <w:pStyle w:val="512"/>
              <w:tabs>
                <w:tab w:val="left" w:pos="6033"/>
                <w:tab w:val="left" w:pos="6271"/>
              </w:tabs>
              <w:autoSpaceDE w:val="0"/>
              <w:autoSpaceDN w:val="0"/>
              <w:spacing w:line="440" w:lineRule="exact"/>
              <w:jc w:val="center"/>
              <w:textAlignment w:val="bottom"/>
              <w:rPr>
                <w:rFonts w:hint="eastAsia" w:ascii="Times New Roman" w:eastAsia="仿宋_GB2312"/>
                <w:bCs/>
                <w:color w:val="auto"/>
                <w:sz w:val="21"/>
                <w:szCs w:val="21"/>
                <w:lang w:val="en-US" w:eastAsia="zh-CN"/>
              </w:rPr>
            </w:pPr>
            <w:r>
              <w:rPr>
                <w:rFonts w:hint="eastAsia" w:ascii="Times New Roman" w:eastAsia="仿宋_GB2312"/>
                <w:bCs/>
                <w:color w:val="auto"/>
                <w:sz w:val="21"/>
                <w:szCs w:val="21"/>
                <w:lang w:val="en-US" w:eastAsia="zh-CN"/>
              </w:rPr>
              <w:t xml:space="preserve">0.173 </w:t>
            </w:r>
          </w:p>
        </w:tc>
      </w:tr>
    </w:tbl>
    <w:p w14:paraId="328A3C3A">
      <w:pPr>
        <w:spacing w:line="360" w:lineRule="auto"/>
        <w:ind w:firstLine="480" w:firstLineChars="200"/>
        <w:outlineLvl w:val="9"/>
        <w:rPr>
          <w:rFonts w:hint="eastAsia" w:ascii="Times New Roman" w:hAnsi="Times New Roman" w:eastAsia="宋体" w:cs="Times New Roman"/>
          <w:b w:val="0"/>
          <w:sz w:val="24"/>
          <w:szCs w:val="24"/>
          <w:lang w:val="en-US" w:eastAsia="zh-CN" w:bidi="ar-SA"/>
        </w:rPr>
      </w:pPr>
      <w:r>
        <w:rPr>
          <w:rFonts w:hint="eastAsia" w:ascii="Times New Roman" w:hAnsi="Times New Roman" w:eastAsia="宋体" w:cs="Times New Roman"/>
          <w:b w:val="0"/>
          <w:sz w:val="24"/>
          <w:szCs w:val="24"/>
          <w:lang w:val="en-US" w:eastAsia="zh-CN" w:bidi="ar-SA"/>
        </w:rPr>
        <w:t>根据上述分析预测，本项目实施后各污染物排入嫩江中对嫩江影响不大，随距离增加，污染物充分混合衰减，到各断面水质浓度亦随之减小，故项目实施后对嫩江水质可接受。</w:t>
      </w:r>
    </w:p>
    <w:p w14:paraId="40BD5134">
      <w:pPr>
        <w:pStyle w:val="4"/>
        <w:spacing w:line="360" w:lineRule="auto"/>
        <w:rPr>
          <w:szCs w:val="28"/>
        </w:rPr>
      </w:pPr>
      <w:r>
        <w:rPr>
          <w:szCs w:val="28"/>
        </w:rPr>
        <w:t>5.2.2大气环境影响预测分析</w:t>
      </w:r>
      <w:bookmarkEnd w:id="304"/>
      <w:bookmarkEnd w:id="305"/>
      <w:bookmarkEnd w:id="306"/>
      <w:bookmarkEnd w:id="307"/>
      <w:bookmarkEnd w:id="308"/>
      <w:bookmarkEnd w:id="309"/>
      <w:bookmarkEnd w:id="310"/>
      <w:bookmarkEnd w:id="311"/>
    </w:p>
    <w:p w14:paraId="7727FEF5">
      <w:pPr>
        <w:pStyle w:val="5"/>
        <w:numPr>
          <w:ilvl w:val="0"/>
          <w:numId w:val="0"/>
        </w:numPr>
        <w:bidi w:val="0"/>
        <w:ind w:leftChars="0"/>
        <w:rPr>
          <w:rFonts w:hint="default" w:ascii="Times New Roman" w:hAnsi="Times New Roman" w:eastAsia="宋体" w:cs="Times New Roman"/>
          <w:b w:val="0"/>
          <w:bCs/>
          <w:color w:val="auto"/>
          <w:szCs w:val="30"/>
        </w:rPr>
      </w:pPr>
      <w:bookmarkStart w:id="332" w:name="_Toc493059022"/>
      <w:bookmarkStart w:id="333" w:name="_Toc490466808"/>
      <w:bookmarkStart w:id="334" w:name="_Toc28908"/>
      <w:bookmarkStart w:id="335" w:name="_Toc490466559"/>
      <w:bookmarkStart w:id="336" w:name="_Toc11147"/>
      <w:r>
        <w:rPr>
          <w:rFonts w:hint="default" w:ascii="Times New Roman" w:hAnsi="Times New Roman" w:cs="Times New Roman"/>
          <w:color w:val="auto"/>
        </w:rPr>
        <w:t>5.2.2.1废气产生及排放情况</w:t>
      </w:r>
      <w:bookmarkEnd w:id="332"/>
      <w:bookmarkEnd w:id="333"/>
      <w:bookmarkEnd w:id="334"/>
      <w:bookmarkEnd w:id="335"/>
      <w:bookmarkEnd w:id="336"/>
    </w:p>
    <w:p w14:paraId="78E37886">
      <w:pPr>
        <w:pageBreakBefore w:val="0"/>
        <w:widowControl w:val="0"/>
        <w:kinsoku/>
        <w:wordWrap/>
        <w:overflowPunct/>
        <w:topLinePunct w:val="0"/>
        <w:autoSpaceDE/>
        <w:bidi w:val="0"/>
        <w:adjustRightInd w:val="0"/>
        <w:snapToGrid w:val="0"/>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本项目废气产生及排放情况见表5.2-</w:t>
      </w:r>
      <w:r>
        <w:rPr>
          <w:rFonts w:hint="eastAsia" w:cs="Times New Roman"/>
          <w:color w:val="auto"/>
          <w:sz w:val="24"/>
          <w:lang w:val="en-US" w:eastAsia="zh-CN"/>
        </w:rPr>
        <w:t>5</w:t>
      </w:r>
      <w:r>
        <w:rPr>
          <w:rFonts w:hint="default" w:ascii="Times New Roman" w:hAnsi="Times New Roman" w:cs="Times New Roman"/>
          <w:color w:val="auto"/>
          <w:sz w:val="24"/>
        </w:rPr>
        <w:t>。</w:t>
      </w:r>
    </w:p>
    <w:p w14:paraId="0DEAF86D">
      <w:pPr>
        <w:pageBreakBefore w:val="0"/>
        <w:widowControl w:val="0"/>
        <w:kinsoku/>
        <w:wordWrap/>
        <w:overflowPunct/>
        <w:topLinePunct w:val="0"/>
        <w:autoSpaceDE/>
        <w:bidi w:val="0"/>
        <w:adjustRightInd w:val="0"/>
        <w:snapToGrid w:val="0"/>
        <w:spacing w:line="360" w:lineRule="auto"/>
        <w:jc w:val="center"/>
        <w:textAlignment w:val="auto"/>
        <w:rPr>
          <w:rFonts w:hint="default" w:ascii="Times New Roman" w:hAnsi="Times New Roman" w:cs="Times New Roman"/>
          <w:color w:val="auto"/>
          <w:sz w:val="24"/>
        </w:rPr>
      </w:pPr>
      <w:r>
        <w:rPr>
          <w:rFonts w:hint="default" w:ascii="Times New Roman" w:hAnsi="Times New Roman" w:cs="Times New Roman"/>
          <w:b/>
          <w:bCs/>
          <w:color w:val="auto"/>
          <w:sz w:val="24"/>
        </w:rPr>
        <w:t>表5.2-</w:t>
      </w:r>
      <w:r>
        <w:rPr>
          <w:rFonts w:hint="eastAsia" w:cs="Times New Roman"/>
          <w:b/>
          <w:bCs/>
          <w:color w:val="auto"/>
          <w:sz w:val="24"/>
          <w:lang w:val="en-US" w:eastAsia="zh-CN"/>
        </w:rPr>
        <w:t>5</w:t>
      </w:r>
      <w:r>
        <w:rPr>
          <w:rFonts w:hint="default" w:ascii="Times New Roman" w:hAnsi="Times New Roman" w:cs="Times New Roman"/>
          <w:b/>
          <w:bCs/>
          <w:color w:val="auto"/>
          <w:sz w:val="24"/>
        </w:rPr>
        <w:t xml:space="preserve"> </w:t>
      </w:r>
      <w:r>
        <w:rPr>
          <w:rFonts w:hint="default" w:ascii="Times New Roman" w:hAnsi="Times New Roman" w:cs="Times New Roman"/>
          <w:b/>
          <w:color w:val="auto"/>
          <w:kern w:val="18"/>
          <w:sz w:val="24"/>
        </w:rPr>
        <w:t xml:space="preserve"> 厂区废气</w:t>
      </w:r>
      <w:r>
        <w:rPr>
          <w:rFonts w:hint="default" w:ascii="Times New Roman" w:hAnsi="Times New Roman" w:cs="Times New Roman"/>
          <w:b/>
          <w:bCs/>
          <w:color w:val="auto"/>
          <w:kern w:val="18"/>
          <w:sz w:val="24"/>
        </w:rPr>
        <w:t>污染物排放情况一览表</w:t>
      </w:r>
    </w:p>
    <w:tbl>
      <w:tblPr>
        <w:tblStyle w:val="53"/>
        <w:tblW w:w="8938"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81"/>
        <w:gridCol w:w="1358"/>
        <w:gridCol w:w="3302"/>
        <w:gridCol w:w="1088"/>
        <w:gridCol w:w="892"/>
        <w:gridCol w:w="917"/>
      </w:tblGrid>
      <w:tr w14:paraId="37005E1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71" w:hRule="atLeast"/>
          <w:jc w:val="center"/>
        </w:trPr>
        <w:tc>
          <w:tcPr>
            <w:tcW w:w="1381" w:type="dxa"/>
            <w:vMerge w:val="restart"/>
            <w:noWrap w:val="0"/>
            <w:vAlign w:val="center"/>
          </w:tcPr>
          <w:p w14:paraId="2CFBE4B2">
            <w:pPr>
              <w:spacing w:line="240" w:lineRule="auto"/>
              <w:jc w:val="center"/>
              <w:rPr>
                <w:rFonts w:hint="eastAsia" w:ascii="Times New Roman" w:hAnsi="Times New Roman"/>
                <w:color w:val="auto"/>
                <w:sz w:val="21"/>
              </w:rPr>
            </w:pPr>
            <w:r>
              <w:rPr>
                <w:rFonts w:hint="eastAsia" w:ascii="Times New Roman" w:hAnsi="Times New Roman"/>
                <w:color w:val="auto"/>
                <w:sz w:val="21"/>
              </w:rPr>
              <w:t>产污点</w:t>
            </w:r>
          </w:p>
        </w:tc>
        <w:tc>
          <w:tcPr>
            <w:tcW w:w="1358" w:type="dxa"/>
            <w:vMerge w:val="restart"/>
            <w:noWrap w:val="0"/>
            <w:vAlign w:val="center"/>
          </w:tcPr>
          <w:p w14:paraId="6E0F9CA4">
            <w:pPr>
              <w:spacing w:line="240" w:lineRule="auto"/>
              <w:jc w:val="center"/>
              <w:rPr>
                <w:rFonts w:ascii="Times New Roman" w:hAnsi="Times New Roman"/>
                <w:color w:val="auto"/>
                <w:sz w:val="21"/>
              </w:rPr>
            </w:pPr>
            <w:r>
              <w:rPr>
                <w:rFonts w:ascii="Times New Roman" w:hAnsi="Times New Roman"/>
                <w:color w:val="auto"/>
                <w:sz w:val="21"/>
              </w:rPr>
              <w:t>污染物</w:t>
            </w:r>
          </w:p>
        </w:tc>
        <w:tc>
          <w:tcPr>
            <w:tcW w:w="3302" w:type="dxa"/>
            <w:vMerge w:val="restart"/>
            <w:noWrap w:val="0"/>
            <w:vAlign w:val="center"/>
          </w:tcPr>
          <w:p w14:paraId="6CB6B035">
            <w:pPr>
              <w:spacing w:line="240" w:lineRule="auto"/>
              <w:jc w:val="center"/>
              <w:rPr>
                <w:rFonts w:ascii="Times New Roman" w:hAnsi="Times New Roman"/>
                <w:color w:val="auto"/>
                <w:sz w:val="21"/>
              </w:rPr>
            </w:pPr>
            <w:r>
              <w:rPr>
                <w:rFonts w:ascii="Times New Roman" w:hAnsi="Times New Roman"/>
                <w:color w:val="auto"/>
                <w:sz w:val="21"/>
              </w:rPr>
              <w:t>措施</w:t>
            </w:r>
          </w:p>
        </w:tc>
        <w:tc>
          <w:tcPr>
            <w:tcW w:w="2897" w:type="dxa"/>
            <w:gridSpan w:val="3"/>
            <w:noWrap w:val="0"/>
            <w:vAlign w:val="center"/>
          </w:tcPr>
          <w:p w14:paraId="33C0E8D0">
            <w:pPr>
              <w:spacing w:line="240" w:lineRule="auto"/>
              <w:jc w:val="center"/>
              <w:rPr>
                <w:rFonts w:ascii="Times New Roman" w:hAnsi="Times New Roman"/>
                <w:color w:val="auto"/>
                <w:sz w:val="21"/>
              </w:rPr>
            </w:pPr>
            <w:r>
              <w:rPr>
                <w:rFonts w:ascii="Times New Roman" w:hAnsi="Times New Roman"/>
                <w:color w:val="auto"/>
                <w:sz w:val="21"/>
              </w:rPr>
              <w:t>排放情况</w:t>
            </w:r>
          </w:p>
        </w:tc>
      </w:tr>
      <w:tr w14:paraId="735BCF5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vMerge w:val="continue"/>
            <w:noWrap w:val="0"/>
            <w:vAlign w:val="center"/>
          </w:tcPr>
          <w:p w14:paraId="38BD1DA6">
            <w:pPr>
              <w:spacing w:line="240" w:lineRule="auto"/>
              <w:jc w:val="center"/>
              <w:rPr>
                <w:rFonts w:ascii="Times New Roman" w:hAnsi="Times New Roman"/>
                <w:color w:val="auto"/>
                <w:sz w:val="21"/>
              </w:rPr>
            </w:pPr>
          </w:p>
        </w:tc>
        <w:tc>
          <w:tcPr>
            <w:tcW w:w="1358" w:type="dxa"/>
            <w:vMerge w:val="continue"/>
            <w:noWrap w:val="0"/>
            <w:vAlign w:val="center"/>
          </w:tcPr>
          <w:p w14:paraId="61456B83">
            <w:pPr>
              <w:spacing w:line="240" w:lineRule="auto"/>
              <w:jc w:val="center"/>
              <w:rPr>
                <w:rFonts w:ascii="Times New Roman" w:hAnsi="Times New Roman"/>
                <w:color w:val="auto"/>
                <w:sz w:val="21"/>
              </w:rPr>
            </w:pPr>
          </w:p>
        </w:tc>
        <w:tc>
          <w:tcPr>
            <w:tcW w:w="3302" w:type="dxa"/>
            <w:vMerge w:val="continue"/>
            <w:noWrap w:val="0"/>
            <w:vAlign w:val="center"/>
          </w:tcPr>
          <w:p w14:paraId="3E741C8D">
            <w:pPr>
              <w:spacing w:line="240" w:lineRule="auto"/>
              <w:jc w:val="center"/>
              <w:rPr>
                <w:rFonts w:ascii="Times New Roman" w:hAnsi="Times New Roman"/>
                <w:color w:val="auto"/>
                <w:sz w:val="21"/>
              </w:rPr>
            </w:pPr>
          </w:p>
        </w:tc>
        <w:tc>
          <w:tcPr>
            <w:tcW w:w="1088" w:type="dxa"/>
            <w:noWrap w:val="0"/>
            <w:vAlign w:val="center"/>
          </w:tcPr>
          <w:p w14:paraId="2586F84A">
            <w:pPr>
              <w:spacing w:line="240" w:lineRule="auto"/>
              <w:jc w:val="center"/>
              <w:rPr>
                <w:rFonts w:ascii="Times New Roman" w:hAnsi="Times New Roman"/>
                <w:color w:val="auto"/>
                <w:sz w:val="21"/>
              </w:rPr>
            </w:pPr>
            <w:r>
              <w:rPr>
                <w:rFonts w:ascii="Times New Roman" w:hAnsi="Times New Roman"/>
                <w:color w:val="auto"/>
                <w:sz w:val="21"/>
              </w:rPr>
              <w:t>Kg/h</w:t>
            </w:r>
          </w:p>
        </w:tc>
        <w:tc>
          <w:tcPr>
            <w:tcW w:w="892" w:type="dxa"/>
            <w:tcBorders>
              <w:right w:val="single" w:color="auto" w:sz="4" w:space="0"/>
            </w:tcBorders>
            <w:noWrap w:val="0"/>
            <w:vAlign w:val="center"/>
          </w:tcPr>
          <w:p w14:paraId="0D2AE6EB">
            <w:pPr>
              <w:spacing w:line="240" w:lineRule="auto"/>
              <w:jc w:val="center"/>
              <w:rPr>
                <w:rFonts w:ascii="Times New Roman" w:hAnsi="Times New Roman"/>
                <w:color w:val="auto"/>
                <w:sz w:val="21"/>
              </w:rPr>
            </w:pPr>
            <w:r>
              <w:rPr>
                <w:rFonts w:ascii="Times New Roman" w:hAnsi="Times New Roman"/>
                <w:color w:val="auto"/>
                <w:sz w:val="21"/>
              </w:rPr>
              <w:t>t/a</w:t>
            </w:r>
          </w:p>
        </w:tc>
        <w:tc>
          <w:tcPr>
            <w:tcW w:w="917" w:type="dxa"/>
            <w:tcBorders>
              <w:left w:val="single" w:color="auto" w:sz="4" w:space="0"/>
            </w:tcBorders>
            <w:noWrap w:val="0"/>
            <w:vAlign w:val="center"/>
          </w:tcPr>
          <w:p w14:paraId="5E005307">
            <w:pPr>
              <w:spacing w:line="240" w:lineRule="auto"/>
              <w:jc w:val="center"/>
              <w:rPr>
                <w:rFonts w:ascii="Times New Roman" w:hAnsi="Times New Roman"/>
                <w:color w:val="auto"/>
                <w:sz w:val="21"/>
              </w:rPr>
            </w:pPr>
            <w:r>
              <w:rPr>
                <w:rFonts w:ascii="Times New Roman" w:hAnsi="Times New Roman"/>
                <w:color w:val="auto"/>
                <w:sz w:val="21"/>
              </w:rPr>
              <w:t>mg/m</w:t>
            </w:r>
            <w:r>
              <w:rPr>
                <w:rFonts w:ascii="Times New Roman" w:hAnsi="Times New Roman"/>
                <w:color w:val="auto"/>
                <w:sz w:val="21"/>
                <w:vertAlign w:val="superscript"/>
              </w:rPr>
              <w:t>3</w:t>
            </w:r>
          </w:p>
        </w:tc>
      </w:tr>
      <w:tr w14:paraId="6B7E5C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noWrap w:val="0"/>
            <w:vAlign w:val="center"/>
          </w:tcPr>
          <w:p w14:paraId="7C77E955">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玉米粉碎</w:t>
            </w:r>
          </w:p>
        </w:tc>
        <w:tc>
          <w:tcPr>
            <w:tcW w:w="1358" w:type="dxa"/>
            <w:noWrap w:val="0"/>
            <w:vAlign w:val="center"/>
          </w:tcPr>
          <w:p w14:paraId="7D4E5D9D">
            <w:pPr>
              <w:spacing w:line="240" w:lineRule="auto"/>
              <w:jc w:val="center"/>
              <w:rPr>
                <w:rFonts w:hint="eastAsia" w:ascii="Times New Roman" w:hAnsi="Times New Roman" w:eastAsia="宋体"/>
                <w:color w:val="auto"/>
                <w:sz w:val="21"/>
                <w:lang w:val="en-US" w:eastAsia="zh-CN"/>
              </w:rPr>
            </w:pPr>
            <w:r>
              <w:rPr>
                <w:rFonts w:hint="eastAsia"/>
                <w:color w:val="auto"/>
                <w:sz w:val="21"/>
                <w:lang w:val="en-US" w:eastAsia="zh-CN"/>
              </w:rPr>
              <w:t>颗粒物</w:t>
            </w:r>
          </w:p>
        </w:tc>
        <w:tc>
          <w:tcPr>
            <w:tcW w:w="3302" w:type="dxa"/>
            <w:noWrap w:val="0"/>
            <w:vAlign w:val="center"/>
          </w:tcPr>
          <w:p w14:paraId="0F5674F1">
            <w:pPr>
              <w:spacing w:line="240" w:lineRule="auto"/>
              <w:jc w:val="center"/>
              <w:rPr>
                <w:rFonts w:hint="default"/>
                <w:color w:val="auto"/>
                <w:sz w:val="21"/>
                <w:lang w:val="en-US" w:eastAsia="zh-CN"/>
              </w:rPr>
            </w:pPr>
            <w:r>
              <w:rPr>
                <w:rFonts w:hint="eastAsia"/>
                <w:color w:val="auto"/>
                <w:sz w:val="21"/>
                <w:lang w:val="en-US" w:eastAsia="zh-CN"/>
              </w:rPr>
              <w:t>布袋除尘器除尘，9个22.5m高排气筒（DA005-DA010、DA014、DA015、DA040）排放和13个25m高排气筒（DA018-DA029、DA035）排放</w:t>
            </w:r>
          </w:p>
        </w:tc>
        <w:tc>
          <w:tcPr>
            <w:tcW w:w="1088" w:type="dxa"/>
            <w:noWrap w:val="0"/>
            <w:vAlign w:val="center"/>
          </w:tcPr>
          <w:p w14:paraId="493EAC32">
            <w:pPr>
              <w:spacing w:line="240" w:lineRule="auto"/>
              <w:jc w:val="center"/>
              <w:rPr>
                <w:rFonts w:hint="default"/>
                <w:color w:val="auto"/>
                <w:sz w:val="21"/>
                <w:lang w:val="en-US" w:eastAsia="zh-CN"/>
              </w:rPr>
            </w:pPr>
            <w:r>
              <w:rPr>
                <w:rFonts w:hint="eastAsia"/>
                <w:color w:val="auto"/>
                <w:sz w:val="21"/>
                <w:lang w:val="en-US" w:eastAsia="zh-CN"/>
              </w:rPr>
              <w:t>0.273</w:t>
            </w:r>
          </w:p>
        </w:tc>
        <w:tc>
          <w:tcPr>
            <w:tcW w:w="892" w:type="dxa"/>
            <w:tcBorders>
              <w:right w:val="single" w:color="auto" w:sz="4" w:space="0"/>
            </w:tcBorders>
            <w:noWrap w:val="0"/>
            <w:vAlign w:val="center"/>
          </w:tcPr>
          <w:p w14:paraId="2B3538D0">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48.05</w:t>
            </w:r>
          </w:p>
        </w:tc>
        <w:tc>
          <w:tcPr>
            <w:tcW w:w="917" w:type="dxa"/>
            <w:tcBorders>
              <w:left w:val="single" w:color="auto" w:sz="4" w:space="0"/>
            </w:tcBorders>
            <w:noWrap w:val="0"/>
            <w:vAlign w:val="center"/>
          </w:tcPr>
          <w:p w14:paraId="469767B3">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21.1</w:t>
            </w:r>
          </w:p>
        </w:tc>
      </w:tr>
      <w:tr w14:paraId="2BFBC3D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vMerge w:val="restart"/>
            <w:noWrap w:val="0"/>
            <w:vAlign w:val="center"/>
          </w:tcPr>
          <w:p w14:paraId="4E1BD66D">
            <w:pPr>
              <w:spacing w:line="240" w:lineRule="auto"/>
              <w:jc w:val="center"/>
              <w:rPr>
                <w:rFonts w:hint="eastAsia"/>
                <w:color w:val="auto"/>
                <w:sz w:val="21"/>
                <w:lang w:val="en-US" w:eastAsia="zh-CN"/>
              </w:rPr>
            </w:pPr>
            <w:r>
              <w:rPr>
                <w:rFonts w:hint="eastAsia"/>
                <w:color w:val="auto"/>
                <w:sz w:val="21"/>
                <w:lang w:val="en-US" w:eastAsia="zh-CN"/>
              </w:rPr>
              <w:t>发酵车间CO</w:t>
            </w:r>
            <w:r>
              <w:rPr>
                <w:rFonts w:hint="eastAsia"/>
                <w:color w:val="auto"/>
                <w:sz w:val="21"/>
                <w:vertAlign w:val="subscript"/>
                <w:lang w:val="en-US" w:eastAsia="zh-CN"/>
              </w:rPr>
              <w:t>2</w:t>
            </w:r>
            <w:r>
              <w:rPr>
                <w:rFonts w:hint="eastAsia"/>
                <w:color w:val="auto"/>
                <w:sz w:val="21"/>
                <w:lang w:val="en-US" w:eastAsia="zh-CN"/>
              </w:rPr>
              <w:t>洗涤塔</w:t>
            </w:r>
          </w:p>
        </w:tc>
        <w:tc>
          <w:tcPr>
            <w:tcW w:w="1358" w:type="dxa"/>
            <w:noWrap w:val="0"/>
            <w:vAlign w:val="center"/>
          </w:tcPr>
          <w:p w14:paraId="003194F6">
            <w:pPr>
              <w:spacing w:line="240" w:lineRule="auto"/>
              <w:jc w:val="center"/>
              <w:rPr>
                <w:rFonts w:hint="default"/>
                <w:color w:val="auto"/>
                <w:sz w:val="21"/>
                <w:lang w:val="en-US" w:eastAsia="zh-CN"/>
              </w:rPr>
            </w:pPr>
            <w:r>
              <w:rPr>
                <w:rFonts w:hint="eastAsia"/>
                <w:color w:val="auto"/>
                <w:sz w:val="21"/>
                <w:lang w:val="en-US" w:eastAsia="zh-CN"/>
              </w:rPr>
              <w:t>非甲烷总烃</w:t>
            </w:r>
          </w:p>
        </w:tc>
        <w:tc>
          <w:tcPr>
            <w:tcW w:w="3302" w:type="dxa"/>
            <w:vMerge w:val="restart"/>
            <w:noWrap w:val="0"/>
            <w:vAlign w:val="center"/>
          </w:tcPr>
          <w:p w14:paraId="2295527D">
            <w:pPr>
              <w:spacing w:line="240" w:lineRule="auto"/>
              <w:jc w:val="center"/>
              <w:rPr>
                <w:rFonts w:hint="eastAsia"/>
                <w:color w:val="auto"/>
                <w:sz w:val="21"/>
                <w:lang w:val="en-US" w:eastAsia="zh-CN"/>
              </w:rPr>
            </w:pPr>
            <w:r>
              <w:rPr>
                <w:rFonts w:hint="eastAsia"/>
                <w:color w:val="auto"/>
                <w:sz w:val="21"/>
                <w:lang w:val="en-US" w:eastAsia="zh-CN"/>
              </w:rPr>
              <w:t>4个15</w:t>
            </w:r>
            <w:r>
              <w:rPr>
                <w:rFonts w:hint="default"/>
                <w:color w:val="auto"/>
                <w:sz w:val="21"/>
                <w:lang w:val="en-US" w:eastAsia="zh-CN"/>
              </w:rPr>
              <w:t>m高排气筒</w:t>
            </w:r>
            <w:r>
              <w:rPr>
                <w:rFonts w:hint="eastAsia"/>
                <w:color w:val="auto"/>
                <w:sz w:val="21"/>
                <w:lang w:val="en-US" w:eastAsia="zh-CN"/>
              </w:rPr>
              <w:t>（DA002、DA032、DA041、DA042）</w:t>
            </w:r>
            <w:r>
              <w:rPr>
                <w:rFonts w:hint="default"/>
                <w:color w:val="auto"/>
                <w:sz w:val="21"/>
                <w:lang w:val="en-US" w:eastAsia="zh-CN"/>
              </w:rPr>
              <w:t>排放</w:t>
            </w:r>
          </w:p>
        </w:tc>
        <w:tc>
          <w:tcPr>
            <w:tcW w:w="1088" w:type="dxa"/>
            <w:noWrap w:val="0"/>
            <w:vAlign w:val="center"/>
          </w:tcPr>
          <w:p w14:paraId="34E06668">
            <w:pPr>
              <w:spacing w:line="240" w:lineRule="auto"/>
              <w:jc w:val="center"/>
              <w:rPr>
                <w:rFonts w:hint="default"/>
                <w:color w:val="auto"/>
                <w:sz w:val="21"/>
                <w:lang w:val="en-US" w:eastAsia="zh-CN"/>
              </w:rPr>
            </w:pPr>
            <w:r>
              <w:rPr>
                <w:rFonts w:hint="eastAsia"/>
                <w:color w:val="auto"/>
                <w:sz w:val="21"/>
                <w:lang w:val="en-US" w:eastAsia="zh-CN"/>
              </w:rPr>
              <w:t>0.746</w:t>
            </w:r>
          </w:p>
        </w:tc>
        <w:tc>
          <w:tcPr>
            <w:tcW w:w="892" w:type="dxa"/>
            <w:tcBorders>
              <w:right w:val="single" w:color="auto" w:sz="4" w:space="0"/>
            </w:tcBorders>
            <w:noWrap w:val="0"/>
            <w:vAlign w:val="center"/>
          </w:tcPr>
          <w:p w14:paraId="407A5E8A">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23.71</w:t>
            </w:r>
          </w:p>
        </w:tc>
        <w:tc>
          <w:tcPr>
            <w:tcW w:w="917" w:type="dxa"/>
            <w:tcBorders>
              <w:left w:val="single" w:color="auto" w:sz="4" w:space="0"/>
            </w:tcBorders>
            <w:noWrap w:val="0"/>
            <w:vAlign w:val="center"/>
          </w:tcPr>
          <w:p w14:paraId="7956EE7A">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6.38</w:t>
            </w:r>
          </w:p>
        </w:tc>
      </w:tr>
      <w:tr w14:paraId="4D51FBA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381" w:type="dxa"/>
            <w:vMerge w:val="continue"/>
            <w:noWrap w:val="0"/>
            <w:vAlign w:val="center"/>
          </w:tcPr>
          <w:p w14:paraId="61DF36C9">
            <w:pPr>
              <w:spacing w:line="240" w:lineRule="auto"/>
              <w:jc w:val="center"/>
              <w:rPr>
                <w:rFonts w:ascii="Times New Roman" w:hAnsi="Times New Roman"/>
                <w:color w:val="auto"/>
                <w:sz w:val="21"/>
              </w:rPr>
            </w:pPr>
          </w:p>
        </w:tc>
        <w:tc>
          <w:tcPr>
            <w:tcW w:w="1358" w:type="dxa"/>
            <w:noWrap w:val="0"/>
            <w:vAlign w:val="center"/>
          </w:tcPr>
          <w:p w14:paraId="5399D6C9">
            <w:pPr>
              <w:spacing w:line="240" w:lineRule="auto"/>
              <w:jc w:val="center"/>
              <w:rPr>
                <w:rFonts w:ascii="Times New Roman" w:hAnsi="Times New Roman"/>
                <w:color w:val="auto"/>
                <w:sz w:val="21"/>
              </w:rPr>
            </w:pPr>
            <w:r>
              <w:rPr>
                <w:rFonts w:hint="eastAsia"/>
                <w:color w:val="auto"/>
                <w:sz w:val="21"/>
                <w:lang w:val="en-US" w:eastAsia="zh-CN"/>
              </w:rPr>
              <w:t>臭气浓度</w:t>
            </w:r>
          </w:p>
        </w:tc>
        <w:tc>
          <w:tcPr>
            <w:tcW w:w="3302" w:type="dxa"/>
            <w:vMerge w:val="continue"/>
            <w:noWrap w:val="0"/>
            <w:vAlign w:val="center"/>
          </w:tcPr>
          <w:p w14:paraId="5E5D8F8B">
            <w:pPr>
              <w:spacing w:line="240" w:lineRule="auto"/>
              <w:jc w:val="center"/>
              <w:rPr>
                <w:rFonts w:ascii="Times New Roman" w:hAnsi="Times New Roman"/>
                <w:color w:val="auto"/>
                <w:sz w:val="21"/>
              </w:rPr>
            </w:pPr>
          </w:p>
        </w:tc>
        <w:tc>
          <w:tcPr>
            <w:tcW w:w="2897" w:type="dxa"/>
            <w:gridSpan w:val="3"/>
            <w:noWrap w:val="0"/>
            <w:vAlign w:val="center"/>
          </w:tcPr>
          <w:p w14:paraId="566CBBAA">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549（无量纲）</w:t>
            </w:r>
          </w:p>
        </w:tc>
      </w:tr>
      <w:tr w14:paraId="352A2C4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1381" w:type="dxa"/>
            <w:vMerge w:val="restart"/>
            <w:noWrap w:val="0"/>
            <w:vAlign w:val="center"/>
          </w:tcPr>
          <w:p w14:paraId="190A2892">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全厂污水处理站站</w:t>
            </w:r>
          </w:p>
        </w:tc>
        <w:tc>
          <w:tcPr>
            <w:tcW w:w="1358" w:type="dxa"/>
            <w:noWrap w:val="0"/>
            <w:vAlign w:val="center"/>
          </w:tcPr>
          <w:p w14:paraId="5D5F5FE8">
            <w:pPr>
              <w:spacing w:line="240" w:lineRule="auto"/>
              <w:jc w:val="center"/>
              <w:rPr>
                <w:rFonts w:ascii="Times New Roman" w:hAnsi="Times New Roman"/>
                <w:color w:val="auto"/>
                <w:sz w:val="21"/>
              </w:rPr>
            </w:pPr>
            <w:r>
              <w:rPr>
                <w:rFonts w:ascii="Times New Roman" w:hAnsi="Times New Roman"/>
                <w:color w:val="auto"/>
                <w:sz w:val="21"/>
              </w:rPr>
              <w:t>NH</w:t>
            </w:r>
            <w:r>
              <w:rPr>
                <w:rFonts w:ascii="Times New Roman" w:hAnsi="Times New Roman"/>
                <w:color w:val="auto"/>
                <w:sz w:val="21"/>
                <w:vertAlign w:val="subscript"/>
              </w:rPr>
              <w:t>3</w:t>
            </w:r>
          </w:p>
        </w:tc>
        <w:tc>
          <w:tcPr>
            <w:tcW w:w="3302" w:type="dxa"/>
            <w:vMerge w:val="restart"/>
            <w:noWrap w:val="0"/>
            <w:vAlign w:val="center"/>
          </w:tcPr>
          <w:p w14:paraId="4209FDD2">
            <w:pPr>
              <w:spacing w:line="240" w:lineRule="auto"/>
              <w:jc w:val="center"/>
              <w:rPr>
                <w:rFonts w:ascii="Times New Roman" w:hAnsi="Times New Roman"/>
                <w:color w:val="auto"/>
                <w:sz w:val="21"/>
              </w:rPr>
            </w:pPr>
            <w:r>
              <w:rPr>
                <w:rFonts w:hint="eastAsia" w:ascii="Times New Roman" w:hAnsi="Times New Roman"/>
                <w:color w:val="auto"/>
                <w:sz w:val="21"/>
              </w:rPr>
              <w:t>活性炭吸附净化处理后由1个</w:t>
            </w:r>
            <w:r>
              <w:rPr>
                <w:rFonts w:hint="eastAsia" w:ascii="Times New Roman" w:hAnsi="Times New Roman"/>
                <w:color w:val="auto"/>
                <w:sz w:val="21"/>
                <w:lang w:val="en-US" w:eastAsia="zh-CN"/>
              </w:rPr>
              <w:t>15</w:t>
            </w:r>
            <w:r>
              <w:rPr>
                <w:rFonts w:hint="eastAsia" w:ascii="Times New Roman" w:hAnsi="Times New Roman"/>
                <w:color w:val="auto"/>
                <w:sz w:val="21"/>
              </w:rPr>
              <w:t>m高排气筒</w:t>
            </w:r>
            <w:r>
              <w:rPr>
                <w:rFonts w:hint="eastAsia"/>
                <w:color w:val="auto"/>
                <w:sz w:val="21"/>
                <w:lang w:eastAsia="zh-CN"/>
              </w:rPr>
              <w:t>（</w:t>
            </w:r>
            <w:r>
              <w:rPr>
                <w:rFonts w:hint="eastAsia"/>
                <w:color w:val="auto"/>
                <w:sz w:val="21"/>
                <w:lang w:val="en-US" w:eastAsia="zh-CN"/>
              </w:rPr>
              <w:t>DA011</w:t>
            </w:r>
            <w:r>
              <w:rPr>
                <w:rFonts w:hint="eastAsia"/>
                <w:color w:val="auto"/>
                <w:sz w:val="21"/>
                <w:lang w:eastAsia="zh-CN"/>
              </w:rPr>
              <w:t>）</w:t>
            </w:r>
            <w:r>
              <w:rPr>
                <w:rFonts w:hint="eastAsia" w:ascii="Times New Roman" w:hAnsi="Times New Roman"/>
                <w:color w:val="auto"/>
                <w:sz w:val="21"/>
              </w:rPr>
              <w:t>排放</w:t>
            </w:r>
          </w:p>
        </w:tc>
        <w:tc>
          <w:tcPr>
            <w:tcW w:w="1088" w:type="dxa"/>
            <w:noWrap w:val="0"/>
            <w:vAlign w:val="center"/>
          </w:tcPr>
          <w:p w14:paraId="1238AD7F">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0.034</w:t>
            </w:r>
          </w:p>
        </w:tc>
        <w:tc>
          <w:tcPr>
            <w:tcW w:w="892" w:type="dxa"/>
            <w:tcBorders>
              <w:right w:val="single" w:color="auto" w:sz="4" w:space="0"/>
            </w:tcBorders>
            <w:noWrap w:val="0"/>
            <w:vAlign w:val="center"/>
          </w:tcPr>
          <w:p w14:paraId="222AF5DA">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0.27</w:t>
            </w:r>
          </w:p>
        </w:tc>
        <w:tc>
          <w:tcPr>
            <w:tcW w:w="917" w:type="dxa"/>
            <w:tcBorders>
              <w:left w:val="single" w:color="auto" w:sz="4" w:space="0"/>
            </w:tcBorders>
            <w:noWrap w:val="0"/>
            <w:vAlign w:val="center"/>
          </w:tcPr>
          <w:p w14:paraId="347AE8E7">
            <w:pPr>
              <w:spacing w:line="240" w:lineRule="auto"/>
              <w:jc w:val="center"/>
              <w:rPr>
                <w:rFonts w:hint="default"/>
                <w:color w:val="auto"/>
                <w:sz w:val="21"/>
                <w:lang w:val="en-US" w:eastAsia="zh-CN"/>
              </w:rPr>
            </w:pPr>
            <w:r>
              <w:rPr>
                <w:rFonts w:hint="eastAsia"/>
                <w:color w:val="auto"/>
                <w:sz w:val="21"/>
                <w:lang w:val="en-US" w:eastAsia="zh-CN"/>
              </w:rPr>
              <w:t>47.8</w:t>
            </w:r>
          </w:p>
        </w:tc>
      </w:tr>
      <w:tr w14:paraId="0958954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56" w:hRule="atLeast"/>
          <w:jc w:val="center"/>
        </w:trPr>
        <w:tc>
          <w:tcPr>
            <w:tcW w:w="1381" w:type="dxa"/>
            <w:vMerge w:val="continue"/>
            <w:noWrap w:val="0"/>
            <w:vAlign w:val="center"/>
          </w:tcPr>
          <w:p w14:paraId="7B3F35DF">
            <w:pPr>
              <w:spacing w:line="240" w:lineRule="auto"/>
              <w:jc w:val="center"/>
              <w:rPr>
                <w:rFonts w:ascii="Times New Roman" w:hAnsi="Times New Roman"/>
                <w:color w:val="auto"/>
                <w:sz w:val="21"/>
              </w:rPr>
            </w:pPr>
          </w:p>
        </w:tc>
        <w:tc>
          <w:tcPr>
            <w:tcW w:w="1358" w:type="dxa"/>
            <w:noWrap w:val="0"/>
            <w:vAlign w:val="center"/>
          </w:tcPr>
          <w:p w14:paraId="0821B47A">
            <w:pPr>
              <w:spacing w:line="240" w:lineRule="auto"/>
              <w:jc w:val="center"/>
              <w:rPr>
                <w:rFonts w:ascii="Times New Roman" w:hAnsi="Times New Roman"/>
                <w:color w:val="auto"/>
                <w:sz w:val="21"/>
              </w:rPr>
            </w:pPr>
            <w:r>
              <w:rPr>
                <w:rFonts w:ascii="Times New Roman" w:hAnsi="Times New Roman"/>
                <w:color w:val="auto"/>
                <w:sz w:val="21"/>
              </w:rPr>
              <w:t>H</w:t>
            </w:r>
            <w:r>
              <w:rPr>
                <w:rFonts w:ascii="Times New Roman" w:hAnsi="Times New Roman"/>
                <w:color w:val="auto"/>
                <w:sz w:val="21"/>
                <w:vertAlign w:val="subscript"/>
              </w:rPr>
              <w:t>2</w:t>
            </w:r>
            <w:r>
              <w:rPr>
                <w:rFonts w:ascii="Times New Roman" w:hAnsi="Times New Roman"/>
                <w:color w:val="auto"/>
                <w:sz w:val="21"/>
              </w:rPr>
              <w:t>S</w:t>
            </w:r>
          </w:p>
        </w:tc>
        <w:tc>
          <w:tcPr>
            <w:tcW w:w="3302" w:type="dxa"/>
            <w:vMerge w:val="continue"/>
            <w:noWrap w:val="0"/>
            <w:vAlign w:val="center"/>
          </w:tcPr>
          <w:p w14:paraId="159FF612">
            <w:pPr>
              <w:spacing w:line="240" w:lineRule="auto"/>
              <w:jc w:val="center"/>
              <w:rPr>
                <w:rFonts w:ascii="Times New Roman" w:hAnsi="Times New Roman"/>
                <w:color w:val="auto"/>
                <w:sz w:val="21"/>
              </w:rPr>
            </w:pPr>
          </w:p>
        </w:tc>
        <w:tc>
          <w:tcPr>
            <w:tcW w:w="1088" w:type="dxa"/>
            <w:noWrap w:val="0"/>
            <w:vAlign w:val="center"/>
          </w:tcPr>
          <w:p w14:paraId="050C877C">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0.003</w:t>
            </w:r>
          </w:p>
        </w:tc>
        <w:tc>
          <w:tcPr>
            <w:tcW w:w="892" w:type="dxa"/>
            <w:tcBorders>
              <w:right w:val="single" w:color="auto" w:sz="4" w:space="0"/>
            </w:tcBorders>
            <w:noWrap w:val="0"/>
            <w:vAlign w:val="center"/>
          </w:tcPr>
          <w:p w14:paraId="6B00A7A5">
            <w:pPr>
              <w:spacing w:line="240" w:lineRule="auto"/>
              <w:jc w:val="center"/>
              <w:rPr>
                <w:rFonts w:hint="default" w:ascii="Times New Roman" w:hAnsi="Times New Roman" w:eastAsia="宋体"/>
                <w:color w:val="auto"/>
                <w:sz w:val="21"/>
                <w:lang w:val="en-US" w:eastAsia="zh-CN"/>
              </w:rPr>
            </w:pPr>
            <w:r>
              <w:rPr>
                <w:rFonts w:hint="eastAsia"/>
                <w:color w:val="auto"/>
                <w:sz w:val="21"/>
                <w:lang w:val="en-US" w:eastAsia="zh-CN"/>
              </w:rPr>
              <w:t>0.024</w:t>
            </w:r>
          </w:p>
        </w:tc>
        <w:tc>
          <w:tcPr>
            <w:tcW w:w="917" w:type="dxa"/>
            <w:tcBorders>
              <w:left w:val="single" w:color="auto" w:sz="4" w:space="0"/>
            </w:tcBorders>
            <w:noWrap w:val="0"/>
            <w:vAlign w:val="center"/>
          </w:tcPr>
          <w:p w14:paraId="19FCD28F">
            <w:pPr>
              <w:spacing w:line="240" w:lineRule="auto"/>
              <w:jc w:val="center"/>
              <w:rPr>
                <w:rFonts w:hint="default"/>
                <w:color w:val="auto"/>
                <w:sz w:val="21"/>
                <w:lang w:val="en-US" w:eastAsia="zh-CN"/>
              </w:rPr>
            </w:pPr>
            <w:r>
              <w:rPr>
                <w:rFonts w:hint="eastAsia"/>
                <w:color w:val="auto"/>
                <w:sz w:val="21"/>
                <w:lang w:val="en-US" w:eastAsia="zh-CN"/>
              </w:rPr>
              <w:t>4.38</w:t>
            </w:r>
          </w:p>
        </w:tc>
      </w:tr>
      <w:tr w14:paraId="2E127F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6" w:hRule="atLeast"/>
          <w:jc w:val="center"/>
        </w:trPr>
        <w:tc>
          <w:tcPr>
            <w:tcW w:w="1381" w:type="dxa"/>
            <w:vMerge w:val="continue"/>
            <w:noWrap w:val="0"/>
            <w:vAlign w:val="center"/>
          </w:tcPr>
          <w:p w14:paraId="7D129031">
            <w:pPr>
              <w:spacing w:line="240" w:lineRule="auto"/>
              <w:jc w:val="center"/>
              <w:rPr>
                <w:rFonts w:ascii="Times New Roman" w:hAnsi="Times New Roman"/>
                <w:color w:val="auto"/>
                <w:sz w:val="21"/>
              </w:rPr>
            </w:pPr>
          </w:p>
        </w:tc>
        <w:tc>
          <w:tcPr>
            <w:tcW w:w="1358" w:type="dxa"/>
            <w:noWrap w:val="0"/>
            <w:vAlign w:val="center"/>
          </w:tcPr>
          <w:p w14:paraId="15F31FC6">
            <w:pPr>
              <w:spacing w:line="240" w:lineRule="auto"/>
              <w:jc w:val="center"/>
              <w:rPr>
                <w:rFonts w:ascii="Times New Roman" w:hAnsi="Times New Roman"/>
                <w:color w:val="auto"/>
                <w:sz w:val="21"/>
              </w:rPr>
            </w:pPr>
            <w:r>
              <w:rPr>
                <w:rFonts w:hint="eastAsia"/>
                <w:color w:val="auto"/>
                <w:sz w:val="21"/>
                <w:lang w:val="en-US" w:eastAsia="zh-CN"/>
              </w:rPr>
              <w:t>臭气浓度</w:t>
            </w:r>
          </w:p>
        </w:tc>
        <w:tc>
          <w:tcPr>
            <w:tcW w:w="3302" w:type="dxa"/>
            <w:vMerge w:val="continue"/>
            <w:noWrap w:val="0"/>
            <w:vAlign w:val="center"/>
          </w:tcPr>
          <w:p w14:paraId="7161E5E0">
            <w:pPr>
              <w:spacing w:line="240" w:lineRule="auto"/>
              <w:jc w:val="center"/>
              <w:rPr>
                <w:rFonts w:ascii="Times New Roman" w:hAnsi="Times New Roman"/>
                <w:color w:val="auto"/>
                <w:sz w:val="21"/>
              </w:rPr>
            </w:pPr>
          </w:p>
        </w:tc>
        <w:tc>
          <w:tcPr>
            <w:tcW w:w="2897" w:type="dxa"/>
            <w:gridSpan w:val="3"/>
            <w:noWrap w:val="0"/>
            <w:vAlign w:val="center"/>
          </w:tcPr>
          <w:p w14:paraId="102D3840">
            <w:pPr>
              <w:spacing w:line="240" w:lineRule="auto"/>
              <w:jc w:val="center"/>
              <w:rPr>
                <w:rFonts w:hint="default"/>
                <w:color w:val="auto"/>
                <w:sz w:val="21"/>
                <w:lang w:val="en-US" w:eastAsia="zh-CN"/>
              </w:rPr>
            </w:pPr>
            <w:r>
              <w:rPr>
                <w:rFonts w:hint="eastAsia"/>
                <w:color w:val="auto"/>
                <w:sz w:val="21"/>
                <w:lang w:val="en-US" w:eastAsia="zh-CN"/>
              </w:rPr>
              <w:t>416（无量纲）</w:t>
            </w:r>
          </w:p>
        </w:tc>
      </w:tr>
    </w:tbl>
    <w:p w14:paraId="4CCE14F9">
      <w:pPr>
        <w:pStyle w:val="5"/>
        <w:numPr>
          <w:ilvl w:val="0"/>
          <w:numId w:val="0"/>
        </w:numPr>
        <w:bidi w:val="0"/>
        <w:ind w:leftChars="0"/>
        <w:rPr>
          <w:rFonts w:hint="default" w:ascii="Times New Roman" w:hAnsi="Times New Roman" w:cs="Times New Roman"/>
          <w:color w:val="auto"/>
        </w:rPr>
      </w:pPr>
      <w:bookmarkStart w:id="337" w:name="_Toc18308"/>
      <w:bookmarkStart w:id="338" w:name="_Toc490466809"/>
      <w:bookmarkStart w:id="339" w:name="_Toc31314"/>
      <w:bookmarkStart w:id="340" w:name="_Toc493059023"/>
      <w:bookmarkStart w:id="341" w:name="_Toc490466560"/>
      <w:r>
        <w:rPr>
          <w:rFonts w:hint="default" w:ascii="Times New Roman" w:hAnsi="Times New Roman" w:cs="Times New Roman"/>
          <w:color w:val="auto"/>
        </w:rPr>
        <w:t>5.2.2.2</w:t>
      </w:r>
      <w:bookmarkEnd w:id="337"/>
      <w:bookmarkEnd w:id="338"/>
      <w:bookmarkEnd w:id="339"/>
      <w:bookmarkEnd w:id="340"/>
      <w:bookmarkEnd w:id="341"/>
      <w:r>
        <w:rPr>
          <w:rFonts w:hint="default" w:ascii="Times New Roman" w:hAnsi="Times New Roman" w:cs="Times New Roman"/>
          <w:color w:val="auto"/>
        </w:rPr>
        <w:t>气象资料</w:t>
      </w:r>
    </w:p>
    <w:p w14:paraId="40AC6748">
      <w:pPr>
        <w:spacing w:line="360" w:lineRule="auto"/>
        <w:ind w:firstLine="480" w:firstLineChars="200"/>
        <w:jc w:val="left"/>
        <w:rPr>
          <w:color w:val="auto"/>
        </w:rPr>
      </w:pPr>
      <w:r>
        <w:rPr>
          <w:color w:val="auto"/>
        </w:rPr>
        <w:t>地面气象资料来源于</w:t>
      </w:r>
      <w:r>
        <w:rPr>
          <w:rFonts w:hint="eastAsia"/>
          <w:color w:val="auto"/>
        </w:rPr>
        <w:t>讷河气象站</w:t>
      </w:r>
      <w:r>
        <w:rPr>
          <w:color w:val="auto"/>
        </w:rPr>
        <w:t>（气象台站区站号：</w:t>
      </w:r>
      <w:r>
        <w:rPr>
          <w:rFonts w:hint="eastAsia"/>
          <w:color w:val="auto"/>
        </w:rPr>
        <w:t>50646</w:t>
      </w:r>
      <w:r>
        <w:rPr>
          <w:color w:val="auto"/>
        </w:rPr>
        <w:t>），</w:t>
      </w:r>
      <w:r>
        <w:rPr>
          <w:rFonts w:hint="eastAsia"/>
          <w:color w:val="auto"/>
        </w:rPr>
        <w:t>位于黑龙江省齐齐哈尔市，地理坐标为东经</w:t>
      </w:r>
      <w:r>
        <w:rPr>
          <w:color w:val="auto"/>
        </w:rPr>
        <w:t xml:space="preserve">124.8622 </w:t>
      </w:r>
      <w:r>
        <w:rPr>
          <w:rFonts w:hint="eastAsia"/>
          <w:color w:val="auto"/>
        </w:rPr>
        <w:t>度，北纬</w:t>
      </w:r>
      <w:r>
        <w:rPr>
          <w:color w:val="auto"/>
        </w:rPr>
        <w:t>48.4986</w:t>
      </w:r>
      <w:r>
        <w:rPr>
          <w:rFonts w:hint="eastAsia"/>
          <w:color w:val="auto"/>
        </w:rPr>
        <w:t>度，海拔高度</w:t>
      </w:r>
      <w:r>
        <w:rPr>
          <w:color w:val="auto"/>
        </w:rPr>
        <w:t>202.8</w:t>
      </w:r>
      <w:r>
        <w:rPr>
          <w:rFonts w:hint="eastAsia"/>
          <w:color w:val="auto"/>
        </w:rPr>
        <w:t xml:space="preserve">米。站点性质为一般站。 </w:t>
      </w:r>
      <w:r>
        <w:rPr>
          <w:color w:val="auto"/>
        </w:rPr>
        <w:t>采用</w:t>
      </w:r>
      <w:r>
        <w:rPr>
          <w:rFonts w:hint="eastAsia"/>
          <w:color w:val="auto"/>
        </w:rPr>
        <w:t>讷河气象站</w:t>
      </w:r>
      <w:r>
        <w:rPr>
          <w:color w:val="auto"/>
        </w:rPr>
        <w:t>20</w:t>
      </w:r>
      <w:r>
        <w:rPr>
          <w:rFonts w:hint="eastAsia"/>
          <w:color w:val="auto"/>
          <w:lang w:val="en-US" w:eastAsia="zh-CN"/>
        </w:rPr>
        <w:t>24</w:t>
      </w:r>
      <w:r>
        <w:rPr>
          <w:color w:val="auto"/>
        </w:rPr>
        <w:t xml:space="preserve">年的气象数据，对当地的温度、风速、风向风频、稳定度进行统计。 </w:t>
      </w:r>
    </w:p>
    <w:p w14:paraId="343A41AF">
      <w:pPr>
        <w:pStyle w:val="5"/>
        <w:numPr>
          <w:ilvl w:val="0"/>
          <w:numId w:val="0"/>
        </w:numPr>
        <w:bidi w:val="0"/>
        <w:ind w:leftChars="0"/>
        <w:rPr>
          <w:rFonts w:hint="default" w:ascii="Times New Roman" w:hAnsi="Times New Roman" w:cs="Times New Roman"/>
          <w:color w:val="auto"/>
        </w:rPr>
      </w:pPr>
      <w:r>
        <w:rPr>
          <w:rFonts w:hint="default" w:ascii="Times New Roman" w:hAnsi="Times New Roman" w:cs="Times New Roman"/>
          <w:color w:val="auto"/>
        </w:rPr>
        <w:t>5.2.2.3大气污染物影响预测</w:t>
      </w:r>
    </w:p>
    <w:p w14:paraId="6852FF98">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一、预测因子</w:t>
      </w:r>
    </w:p>
    <w:p w14:paraId="1BC0AD00">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本项目预测因子为氨、硫化氢</w:t>
      </w:r>
      <w:r>
        <w:rPr>
          <w:rFonts w:hint="default" w:ascii="Times New Roman" w:hAnsi="Times New Roman" w:cs="Times New Roman"/>
          <w:color w:val="auto"/>
          <w:sz w:val="24"/>
          <w:lang w:eastAsia="zh-CN"/>
        </w:rPr>
        <w:t>、颗粒物、</w:t>
      </w:r>
      <w:r>
        <w:rPr>
          <w:rFonts w:hint="eastAsia" w:ascii="Times New Roman" w:hAnsi="Times New Roman" w:cs="Times New Roman"/>
          <w:color w:val="auto"/>
          <w:sz w:val="24"/>
          <w:lang w:val="en-US" w:eastAsia="zh-CN"/>
        </w:rPr>
        <w:t>非甲烷总烃</w:t>
      </w:r>
      <w:r>
        <w:rPr>
          <w:rFonts w:hint="default" w:ascii="Times New Roman" w:hAnsi="Times New Roman" w:cs="Times New Roman"/>
          <w:color w:val="auto"/>
          <w:sz w:val="24"/>
        </w:rPr>
        <w:t>。</w:t>
      </w:r>
    </w:p>
    <w:p w14:paraId="73D59BF3">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二、预测范围</w:t>
      </w:r>
    </w:p>
    <w:p w14:paraId="21DB71EA">
      <w:pPr>
        <w:spacing w:line="360" w:lineRule="auto"/>
        <w:ind w:firstLine="48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环境空气预测范围</w:t>
      </w:r>
      <w:r>
        <w:rPr>
          <w:rFonts w:hint="eastAsia" w:ascii="Times New Roman" w:hAnsi="Times New Roman" w:eastAsia="宋体" w:cs="Times New Roman"/>
          <w:color w:val="auto"/>
          <w:sz w:val="24"/>
          <w:lang w:eastAsia="zh-CN"/>
        </w:rPr>
        <w:t>以</w:t>
      </w:r>
      <w:r>
        <w:rPr>
          <w:rFonts w:hint="default" w:ascii="Times New Roman" w:hAnsi="Times New Roman" w:eastAsia="宋体" w:cs="Times New Roman"/>
          <w:color w:val="auto"/>
          <w:sz w:val="24"/>
        </w:rPr>
        <w:t>为以厂址为中心，边长5km的矩形区域</w:t>
      </w:r>
      <w:r>
        <w:rPr>
          <w:rFonts w:hint="eastAsia" w:ascii="Times New Roman" w:hAnsi="Times New Roman" w:eastAsia="宋体" w:cs="Times New Roman"/>
          <w:color w:val="auto"/>
          <w:sz w:val="24"/>
          <w:lang w:eastAsia="zh-CN"/>
        </w:rPr>
        <w:t>，面积</w:t>
      </w:r>
      <w:r>
        <w:rPr>
          <w:rFonts w:hint="eastAsia" w:ascii="Times New Roman" w:hAnsi="Times New Roman" w:eastAsia="宋体" w:cs="Times New Roman"/>
          <w:color w:val="auto"/>
          <w:sz w:val="24"/>
          <w:lang w:val="en-US" w:eastAsia="zh-CN"/>
        </w:rPr>
        <w:t>25</w:t>
      </w:r>
      <w:r>
        <w:rPr>
          <w:rFonts w:hint="eastAsia" w:ascii="Times New Roman" w:hAnsi="Times New Roman" w:eastAsia="宋体" w:cs="Times New Roman"/>
          <w:color w:val="auto"/>
          <w:sz w:val="24"/>
          <w:lang w:eastAsia="zh-CN"/>
        </w:rPr>
        <w:t>km</w:t>
      </w:r>
      <w:r>
        <w:rPr>
          <w:rFonts w:hint="eastAsia" w:ascii="Times New Roman" w:hAnsi="Times New Roman" w:eastAsia="宋体" w:cs="Times New Roman"/>
          <w:color w:val="auto"/>
          <w:sz w:val="24"/>
          <w:vertAlign w:val="superscript"/>
          <w:lang w:eastAsia="zh-CN"/>
        </w:rPr>
        <w:t>2</w:t>
      </w:r>
      <w:r>
        <w:rPr>
          <w:rFonts w:hint="default" w:ascii="Times New Roman" w:hAnsi="Times New Roman" w:eastAsia="宋体" w:cs="Times New Roman"/>
          <w:color w:val="auto"/>
          <w:sz w:val="24"/>
        </w:rPr>
        <w:t>。</w:t>
      </w:r>
    </w:p>
    <w:p w14:paraId="46A1A722">
      <w:pPr>
        <w:numPr>
          <w:ilvl w:val="0"/>
          <w:numId w:val="8"/>
        </w:num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预测周期</w:t>
      </w:r>
    </w:p>
    <w:p w14:paraId="35281B7C">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选取评价基准年（20</w:t>
      </w:r>
      <w:r>
        <w:rPr>
          <w:rFonts w:hint="default" w:ascii="Times New Roman" w:hAnsi="Times New Roman" w:cs="Times New Roman"/>
          <w:color w:val="auto"/>
          <w:sz w:val="24"/>
          <w:lang w:val="en-US" w:eastAsia="zh-CN"/>
        </w:rPr>
        <w:t>24</w:t>
      </w:r>
      <w:r>
        <w:rPr>
          <w:rFonts w:hint="default" w:ascii="Times New Roman" w:hAnsi="Times New Roman" w:cs="Times New Roman"/>
          <w:color w:val="auto"/>
          <w:sz w:val="24"/>
        </w:rPr>
        <w:t>年）作为预测周期，预测时段取连续1年。</w:t>
      </w:r>
    </w:p>
    <w:p w14:paraId="6C60A2E4">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四、预测模型</w:t>
      </w:r>
    </w:p>
    <w:p w14:paraId="499A6881">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本次大气环境影响采用《环境影响评价技术导则大气环境》</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HJ2.2-2018</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附录A中推荐的AERMOD模式系统进行预测。</w:t>
      </w:r>
    </w:p>
    <w:p w14:paraId="36371F3C">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AERMOD是一个稳态烟羽扩散模式，可基于大气边界层数据特征模拟点源、面源、体源等排放出的污染物在短期（小时平均、日平均）、长期（年平均）的浓度分布，适用于农村或城市地区、简单或复杂地形。模式使用每小时连续预处理气象数据模拟大于等于1小时平均时间的浓度分布，适用于评价范围边长小于等于50km的评价项目。</w:t>
      </w:r>
    </w:p>
    <w:p w14:paraId="69CD2A12">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AERMOD模式系统包括AERMOD</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大气扩散模型）、AERMET</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气象数摘理器）和AERMAP（地形数据预处理器）。</w:t>
      </w:r>
    </w:p>
    <w:p w14:paraId="648B80A7">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（1）地形预处理-AERMAP</w:t>
      </w:r>
    </w:p>
    <w:p w14:paraId="0850227B">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本项目厂界外5km范围内的地形高度低于本项目污染源高度，因此，确定本项目所在区域为简单地形。地形高度为0m。</w:t>
      </w:r>
    </w:p>
    <w:p w14:paraId="0B9452DD">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（2）气象预处理-AERMET</w:t>
      </w:r>
    </w:p>
    <w:p w14:paraId="2D703219">
      <w:pPr>
        <w:spacing w:line="360" w:lineRule="auto"/>
        <w:ind w:firstLine="480" w:firstLineChars="200"/>
        <w:jc w:val="left"/>
        <w:rPr>
          <w:color w:val="auto"/>
        </w:rPr>
      </w:pPr>
      <w:r>
        <w:rPr>
          <w:color w:val="auto"/>
        </w:rPr>
        <w:t>本评价预测中气象数据包含地面气象数据和探空气象数据。地面气象数据资料输入</w:t>
      </w:r>
      <w:r>
        <w:rPr>
          <w:rFonts w:hint="eastAsia"/>
          <w:color w:val="auto"/>
        </w:rPr>
        <w:t>讷河气象站</w:t>
      </w:r>
      <w:r>
        <w:rPr>
          <w:color w:val="auto"/>
        </w:rPr>
        <w:t>（</w:t>
      </w:r>
      <w:r>
        <w:rPr>
          <w:rFonts w:hint="eastAsia"/>
          <w:color w:val="auto"/>
        </w:rPr>
        <w:t>50646</w:t>
      </w:r>
      <w:r>
        <w:rPr>
          <w:color w:val="auto"/>
        </w:rPr>
        <w:t>）20</w:t>
      </w:r>
      <w:r>
        <w:rPr>
          <w:rFonts w:hint="eastAsia"/>
          <w:color w:val="auto"/>
        </w:rPr>
        <w:t>2</w:t>
      </w:r>
      <w:r>
        <w:rPr>
          <w:rFonts w:hint="eastAsia"/>
          <w:color w:val="auto"/>
          <w:lang w:val="en-US" w:eastAsia="zh-CN"/>
        </w:rPr>
        <w:t>4</w:t>
      </w:r>
      <w:r>
        <w:rPr>
          <w:color w:val="auto"/>
        </w:rPr>
        <w:t>年1月～20</w:t>
      </w:r>
      <w:r>
        <w:rPr>
          <w:rFonts w:hint="eastAsia"/>
          <w:color w:val="auto"/>
        </w:rPr>
        <w:t>2</w:t>
      </w:r>
      <w:r>
        <w:rPr>
          <w:rFonts w:hint="eastAsia"/>
          <w:color w:val="auto"/>
          <w:lang w:val="en-US" w:eastAsia="zh-CN"/>
        </w:rPr>
        <w:t>4</w:t>
      </w:r>
      <w:r>
        <w:rPr>
          <w:color w:val="auto"/>
        </w:rPr>
        <w:t>年12月期间共计12个月的逐日的常 规地面气象资料，数据包括：时间、风向、风速、总云量、低云量、干球温度。探空气象数据资料输入</w:t>
      </w:r>
      <w:r>
        <w:rPr>
          <w:rFonts w:hint="eastAsia"/>
          <w:color w:val="auto"/>
        </w:rPr>
        <w:t>讷河气象站</w:t>
      </w:r>
      <w:r>
        <w:rPr>
          <w:color w:val="auto"/>
        </w:rPr>
        <w:t>（</w:t>
      </w:r>
      <w:r>
        <w:rPr>
          <w:rFonts w:hint="eastAsia"/>
          <w:color w:val="auto"/>
        </w:rPr>
        <w:t>50646</w:t>
      </w:r>
      <w:r>
        <w:rPr>
          <w:color w:val="auto"/>
        </w:rPr>
        <w:t>）20</w:t>
      </w:r>
      <w:r>
        <w:rPr>
          <w:rFonts w:hint="eastAsia"/>
          <w:color w:val="auto"/>
        </w:rPr>
        <w:t>2</w:t>
      </w:r>
      <w:r>
        <w:rPr>
          <w:rFonts w:hint="eastAsia"/>
          <w:color w:val="auto"/>
          <w:lang w:val="en-US" w:eastAsia="zh-CN"/>
        </w:rPr>
        <w:t>4</w:t>
      </w:r>
      <w:r>
        <w:rPr>
          <w:color w:val="auto"/>
        </w:rPr>
        <w:t>年1月～20</w:t>
      </w:r>
      <w:r>
        <w:rPr>
          <w:rFonts w:hint="eastAsia"/>
          <w:color w:val="auto"/>
        </w:rPr>
        <w:t>2</w:t>
      </w:r>
      <w:r>
        <w:rPr>
          <w:rFonts w:hint="eastAsia"/>
          <w:color w:val="auto"/>
          <w:lang w:val="en-US" w:eastAsia="zh-CN"/>
        </w:rPr>
        <w:t>4</w:t>
      </w:r>
      <w:r>
        <w:rPr>
          <w:color w:val="auto"/>
        </w:rPr>
        <w:t>年12月期间共计12个月的逐日（8时和20时）的探空气象数据，数据包括：气压、离地高度、干球温 度和垂直层数。按AERMET参数格式生成地面逐时气象输入文件。</w:t>
      </w:r>
    </w:p>
    <w:p w14:paraId="48964D7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表5.2-</w:t>
      </w:r>
      <w:r>
        <w:rPr>
          <w:rFonts w:hint="eastAsia" w:cs="Times New Roman"/>
          <w:b/>
          <w:color w:val="auto"/>
          <w:sz w:val="24"/>
          <w:lang w:val="en-US" w:eastAsia="zh-CN"/>
        </w:rPr>
        <w:t>6</w:t>
      </w:r>
      <w:r>
        <w:rPr>
          <w:rFonts w:hint="default" w:ascii="Times New Roman" w:hAnsi="Times New Roman" w:cs="Times New Roman"/>
          <w:b/>
          <w:color w:val="auto"/>
          <w:sz w:val="24"/>
        </w:rPr>
        <w:t xml:space="preserve">  观测气象数据信息</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905"/>
        <w:gridCol w:w="907"/>
        <w:gridCol w:w="1004"/>
        <w:gridCol w:w="899"/>
        <w:gridCol w:w="1047"/>
        <w:gridCol w:w="1029"/>
        <w:gridCol w:w="800"/>
        <w:gridCol w:w="1481"/>
      </w:tblGrid>
      <w:tr w14:paraId="6D6B0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504" w:type="pct"/>
            <w:vMerge w:val="restart"/>
            <w:tcBorders>
              <w:tl2br w:val="nil"/>
              <w:tr2bl w:val="nil"/>
            </w:tcBorders>
            <w:noWrap w:val="0"/>
            <w:vAlign w:val="center"/>
          </w:tcPr>
          <w:p w14:paraId="3BC93A3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气象站名称</w:t>
            </w:r>
          </w:p>
        </w:tc>
        <w:tc>
          <w:tcPr>
            <w:tcW w:w="504" w:type="pct"/>
            <w:vMerge w:val="restart"/>
            <w:tcBorders>
              <w:tl2br w:val="nil"/>
              <w:tr2bl w:val="nil"/>
            </w:tcBorders>
            <w:noWrap w:val="0"/>
            <w:vAlign w:val="center"/>
          </w:tcPr>
          <w:p w14:paraId="131B6900">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气象站编号</w:t>
            </w:r>
          </w:p>
        </w:tc>
        <w:tc>
          <w:tcPr>
            <w:tcW w:w="505" w:type="pct"/>
            <w:vMerge w:val="restart"/>
            <w:tcBorders>
              <w:tl2br w:val="nil"/>
              <w:tr2bl w:val="nil"/>
            </w:tcBorders>
            <w:noWrap w:val="0"/>
            <w:vAlign w:val="center"/>
          </w:tcPr>
          <w:p w14:paraId="44A0632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气象站等级</w:t>
            </w:r>
          </w:p>
        </w:tc>
        <w:tc>
          <w:tcPr>
            <w:tcW w:w="1059" w:type="pct"/>
            <w:gridSpan w:val="2"/>
            <w:tcBorders>
              <w:tl2br w:val="nil"/>
              <w:tr2bl w:val="nil"/>
            </w:tcBorders>
            <w:noWrap w:val="0"/>
            <w:vAlign w:val="center"/>
          </w:tcPr>
          <w:p w14:paraId="355F9FDF">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气象站坐标/m</w:t>
            </w:r>
          </w:p>
        </w:tc>
        <w:tc>
          <w:tcPr>
            <w:tcW w:w="583" w:type="pct"/>
            <w:vMerge w:val="restart"/>
            <w:tcBorders>
              <w:tl2br w:val="nil"/>
              <w:tr2bl w:val="nil"/>
            </w:tcBorders>
            <w:noWrap w:val="0"/>
            <w:vAlign w:val="center"/>
          </w:tcPr>
          <w:p w14:paraId="255AF0E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相对距离/m</w:t>
            </w:r>
          </w:p>
        </w:tc>
        <w:tc>
          <w:tcPr>
            <w:tcW w:w="573" w:type="pct"/>
            <w:vMerge w:val="restart"/>
            <w:tcBorders>
              <w:tl2br w:val="nil"/>
              <w:tr2bl w:val="nil"/>
            </w:tcBorders>
            <w:noWrap w:val="0"/>
            <w:vAlign w:val="center"/>
          </w:tcPr>
          <w:p w14:paraId="003E45A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海拔高度/m</w:t>
            </w:r>
          </w:p>
        </w:tc>
        <w:tc>
          <w:tcPr>
            <w:tcW w:w="445" w:type="pct"/>
            <w:vMerge w:val="restart"/>
            <w:tcBorders>
              <w:tl2br w:val="nil"/>
              <w:tr2bl w:val="nil"/>
            </w:tcBorders>
            <w:noWrap w:val="0"/>
            <w:vAlign w:val="center"/>
          </w:tcPr>
          <w:p w14:paraId="3D993F1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数据年份</w:t>
            </w:r>
          </w:p>
        </w:tc>
        <w:tc>
          <w:tcPr>
            <w:tcW w:w="824" w:type="pct"/>
            <w:vMerge w:val="restart"/>
            <w:tcBorders>
              <w:tl2br w:val="nil"/>
              <w:tr2bl w:val="nil"/>
            </w:tcBorders>
            <w:noWrap w:val="0"/>
            <w:vAlign w:val="center"/>
          </w:tcPr>
          <w:p w14:paraId="354D347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气象要素</w:t>
            </w:r>
          </w:p>
        </w:tc>
      </w:tr>
      <w:tr w14:paraId="3DF67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504" w:type="pct"/>
            <w:vMerge w:val="continue"/>
            <w:tcBorders>
              <w:tl2br w:val="nil"/>
              <w:tr2bl w:val="nil"/>
            </w:tcBorders>
            <w:noWrap w:val="0"/>
            <w:vAlign w:val="center"/>
          </w:tcPr>
          <w:p w14:paraId="7ED531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04" w:type="pct"/>
            <w:vMerge w:val="continue"/>
            <w:tcBorders>
              <w:tl2br w:val="nil"/>
              <w:tr2bl w:val="nil"/>
            </w:tcBorders>
            <w:noWrap w:val="0"/>
            <w:vAlign w:val="center"/>
          </w:tcPr>
          <w:p w14:paraId="0C8B685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05" w:type="pct"/>
            <w:vMerge w:val="continue"/>
            <w:tcBorders>
              <w:tl2br w:val="nil"/>
              <w:tr2bl w:val="nil"/>
            </w:tcBorders>
            <w:noWrap w:val="0"/>
            <w:vAlign w:val="center"/>
          </w:tcPr>
          <w:p w14:paraId="6726965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59" w:type="pct"/>
            <w:tcBorders>
              <w:tl2br w:val="nil"/>
              <w:tr2bl w:val="nil"/>
            </w:tcBorders>
            <w:noWrap w:val="0"/>
            <w:vAlign w:val="center"/>
          </w:tcPr>
          <w:p w14:paraId="5314113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w:t>
            </w:r>
          </w:p>
        </w:tc>
        <w:tc>
          <w:tcPr>
            <w:tcW w:w="500" w:type="pct"/>
            <w:tcBorders>
              <w:tl2br w:val="nil"/>
              <w:tr2bl w:val="nil"/>
            </w:tcBorders>
            <w:noWrap w:val="0"/>
            <w:vAlign w:val="center"/>
          </w:tcPr>
          <w:p w14:paraId="1F6E62CE">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w:t>
            </w:r>
          </w:p>
        </w:tc>
        <w:tc>
          <w:tcPr>
            <w:tcW w:w="583" w:type="pct"/>
            <w:vMerge w:val="continue"/>
            <w:tcBorders>
              <w:tl2br w:val="nil"/>
              <w:tr2bl w:val="nil"/>
            </w:tcBorders>
            <w:noWrap w:val="0"/>
            <w:vAlign w:val="center"/>
          </w:tcPr>
          <w:p w14:paraId="056F268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73" w:type="pct"/>
            <w:vMerge w:val="continue"/>
            <w:tcBorders>
              <w:tl2br w:val="nil"/>
              <w:tr2bl w:val="nil"/>
            </w:tcBorders>
            <w:noWrap w:val="0"/>
            <w:vAlign w:val="center"/>
          </w:tcPr>
          <w:p w14:paraId="40D07BF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445" w:type="pct"/>
            <w:vMerge w:val="continue"/>
            <w:tcBorders>
              <w:tl2br w:val="nil"/>
              <w:tr2bl w:val="nil"/>
            </w:tcBorders>
            <w:noWrap w:val="0"/>
            <w:vAlign w:val="center"/>
          </w:tcPr>
          <w:p w14:paraId="5CA9DEC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24" w:type="pct"/>
            <w:vMerge w:val="continue"/>
            <w:tcBorders>
              <w:tl2br w:val="nil"/>
              <w:tr2bl w:val="nil"/>
            </w:tcBorders>
            <w:noWrap w:val="0"/>
            <w:vAlign w:val="center"/>
          </w:tcPr>
          <w:p w14:paraId="51AF62E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34509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905" w:type="dxa"/>
            <w:tcBorders>
              <w:tl2br w:val="nil"/>
              <w:tr2bl w:val="nil"/>
            </w:tcBorders>
            <w:noWrap w:val="0"/>
            <w:vAlign w:val="center"/>
          </w:tcPr>
          <w:p w14:paraId="56D08ADD">
            <w:pPr>
              <w:pStyle w:val="65"/>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1"/>
              </w:rPr>
              <w:t>讷河</w:t>
            </w:r>
            <w:r>
              <w:rPr>
                <w:rFonts w:ascii="Times New Roman" w:hAnsi="Times New Roman" w:eastAsia="宋体"/>
                <w:color w:val="auto"/>
                <w:sz w:val="21"/>
                <w:szCs w:val="21"/>
              </w:rPr>
              <w:t>站</w:t>
            </w:r>
          </w:p>
        </w:tc>
        <w:tc>
          <w:tcPr>
            <w:tcW w:w="905" w:type="dxa"/>
            <w:tcBorders>
              <w:tl2br w:val="nil"/>
              <w:tr2bl w:val="nil"/>
            </w:tcBorders>
            <w:noWrap w:val="0"/>
            <w:vAlign w:val="center"/>
          </w:tcPr>
          <w:p w14:paraId="5209E9BD">
            <w:pPr>
              <w:pStyle w:val="65"/>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1"/>
              </w:rPr>
              <w:t>50646</w:t>
            </w:r>
          </w:p>
        </w:tc>
        <w:tc>
          <w:tcPr>
            <w:tcW w:w="907" w:type="dxa"/>
            <w:tcBorders>
              <w:tl2br w:val="nil"/>
              <w:tr2bl w:val="nil"/>
            </w:tcBorders>
            <w:noWrap w:val="0"/>
            <w:vAlign w:val="center"/>
          </w:tcPr>
          <w:p w14:paraId="560263E0">
            <w:pPr>
              <w:pStyle w:val="65"/>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1"/>
              </w:rPr>
              <w:t>一般</w:t>
            </w:r>
            <w:r>
              <w:rPr>
                <w:rFonts w:ascii="Times New Roman" w:hAnsi="Times New Roman" w:eastAsia="宋体"/>
                <w:color w:val="auto"/>
                <w:sz w:val="21"/>
                <w:szCs w:val="21"/>
              </w:rPr>
              <w:t>站</w:t>
            </w:r>
          </w:p>
        </w:tc>
        <w:tc>
          <w:tcPr>
            <w:tcW w:w="1004" w:type="dxa"/>
            <w:tcBorders>
              <w:tl2br w:val="nil"/>
              <w:tr2bl w:val="nil"/>
            </w:tcBorders>
            <w:noWrap w:val="0"/>
            <w:vAlign w:val="center"/>
          </w:tcPr>
          <w:p w14:paraId="55AEDCEF">
            <w:pPr>
              <w:pStyle w:val="65"/>
              <w:jc w:val="center"/>
              <w:rPr>
                <w:rFonts w:hint="default" w:ascii="Times New Roman" w:hAnsi="Times New Roman" w:eastAsia="宋体" w:cs="Times New Roman"/>
                <w:color w:val="auto"/>
                <w:sz w:val="21"/>
                <w:szCs w:val="21"/>
              </w:rPr>
            </w:pPr>
            <w:r>
              <w:rPr>
                <w:rFonts w:ascii="Times New Roman" w:hAnsi="Times New Roman" w:eastAsia="宋体"/>
                <w:color w:val="auto"/>
                <w:sz w:val="21"/>
                <w:szCs w:val="21"/>
              </w:rPr>
              <w:t>12</w:t>
            </w:r>
            <w:r>
              <w:rPr>
                <w:rFonts w:hint="eastAsia" w:ascii="Times New Roman" w:hAnsi="Times New Roman" w:eastAsia="宋体"/>
                <w:color w:val="auto"/>
                <w:sz w:val="21"/>
                <w:szCs w:val="21"/>
              </w:rPr>
              <w:t>4.8622</w:t>
            </w:r>
          </w:p>
        </w:tc>
        <w:tc>
          <w:tcPr>
            <w:tcW w:w="899" w:type="dxa"/>
            <w:tcBorders>
              <w:tl2br w:val="nil"/>
              <w:tr2bl w:val="nil"/>
            </w:tcBorders>
            <w:noWrap w:val="0"/>
            <w:vAlign w:val="center"/>
          </w:tcPr>
          <w:p w14:paraId="275348D4">
            <w:pPr>
              <w:pStyle w:val="65"/>
              <w:jc w:val="center"/>
              <w:rPr>
                <w:rFonts w:hint="default" w:ascii="Times New Roman" w:hAnsi="Times New Roman" w:eastAsia="宋体" w:cs="Times New Roman"/>
                <w:color w:val="auto"/>
                <w:sz w:val="21"/>
                <w:szCs w:val="21"/>
              </w:rPr>
            </w:pPr>
            <w:r>
              <w:rPr>
                <w:rFonts w:ascii="Times New Roman" w:hAnsi="Times New Roman" w:eastAsia="宋体"/>
                <w:color w:val="auto"/>
                <w:sz w:val="21"/>
                <w:szCs w:val="21"/>
              </w:rPr>
              <w:t>4</w:t>
            </w:r>
            <w:r>
              <w:rPr>
                <w:rFonts w:hint="eastAsia" w:ascii="Times New Roman" w:hAnsi="Times New Roman" w:eastAsia="宋体"/>
                <w:color w:val="auto"/>
                <w:sz w:val="21"/>
                <w:szCs w:val="21"/>
              </w:rPr>
              <w:t>8.4986</w:t>
            </w:r>
          </w:p>
        </w:tc>
        <w:tc>
          <w:tcPr>
            <w:tcW w:w="1047" w:type="dxa"/>
            <w:tcBorders>
              <w:tl2br w:val="nil"/>
              <w:tr2bl w:val="nil"/>
            </w:tcBorders>
            <w:noWrap w:val="0"/>
            <w:vAlign w:val="center"/>
          </w:tcPr>
          <w:p w14:paraId="2C61C13D">
            <w:pPr>
              <w:pStyle w:val="65"/>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1"/>
              </w:rPr>
              <w:t>35</w:t>
            </w:r>
            <w:r>
              <w:rPr>
                <w:rFonts w:ascii="Times New Roman" w:hAnsi="Times New Roman" w:eastAsia="宋体"/>
                <w:color w:val="auto"/>
                <w:sz w:val="21"/>
                <w:szCs w:val="21"/>
              </w:rPr>
              <w:t>00</w:t>
            </w:r>
          </w:p>
        </w:tc>
        <w:tc>
          <w:tcPr>
            <w:tcW w:w="1029" w:type="dxa"/>
            <w:tcBorders>
              <w:tl2br w:val="nil"/>
              <w:tr2bl w:val="nil"/>
            </w:tcBorders>
            <w:noWrap w:val="0"/>
            <w:vAlign w:val="center"/>
          </w:tcPr>
          <w:p w14:paraId="1C629DC3">
            <w:pPr>
              <w:pStyle w:val="65"/>
              <w:jc w:val="center"/>
              <w:rPr>
                <w:rFonts w:hint="default" w:ascii="Times New Roman" w:hAnsi="Times New Roman" w:eastAsia="宋体" w:cs="Times New Roman"/>
                <w:color w:val="auto"/>
                <w:sz w:val="21"/>
                <w:szCs w:val="21"/>
              </w:rPr>
            </w:pPr>
            <w:r>
              <w:rPr>
                <w:rFonts w:ascii="Times New Roman" w:hAnsi="Times New Roman" w:eastAsia="宋体"/>
                <w:color w:val="auto"/>
                <w:sz w:val="21"/>
                <w:szCs w:val="21"/>
              </w:rPr>
              <w:t>149</w:t>
            </w:r>
          </w:p>
        </w:tc>
        <w:tc>
          <w:tcPr>
            <w:tcW w:w="800" w:type="dxa"/>
            <w:tcBorders>
              <w:tl2br w:val="nil"/>
              <w:tr2bl w:val="nil"/>
            </w:tcBorders>
            <w:noWrap w:val="0"/>
            <w:vAlign w:val="center"/>
          </w:tcPr>
          <w:p w14:paraId="265BEE3D">
            <w:pPr>
              <w:pStyle w:val="65"/>
              <w:jc w:val="center"/>
              <w:rPr>
                <w:rFonts w:hint="default" w:ascii="Times New Roman" w:hAnsi="Times New Roman" w:eastAsia="宋体" w:cs="Times New Roman"/>
                <w:color w:val="auto"/>
                <w:sz w:val="21"/>
                <w:szCs w:val="21"/>
                <w:lang w:val="en-US" w:eastAsia="zh-CN"/>
              </w:rPr>
            </w:pPr>
            <w:r>
              <w:rPr>
                <w:rFonts w:ascii="Times New Roman" w:hAnsi="Times New Roman" w:eastAsia="宋体"/>
                <w:color w:val="auto"/>
                <w:sz w:val="21"/>
                <w:szCs w:val="21"/>
              </w:rPr>
              <w:t>20</w:t>
            </w:r>
            <w:r>
              <w:rPr>
                <w:rFonts w:hint="eastAsia" w:ascii="Times New Roman" w:hAnsi="Times New Roman" w:eastAsia="宋体"/>
                <w:color w:val="auto"/>
                <w:sz w:val="21"/>
                <w:szCs w:val="21"/>
              </w:rPr>
              <w:t>2</w:t>
            </w:r>
            <w:r>
              <w:rPr>
                <w:rFonts w:hint="eastAsia" w:ascii="Times New Roman" w:hAnsi="Times New Roman" w:eastAsia="宋体"/>
                <w:color w:val="auto"/>
                <w:sz w:val="21"/>
                <w:szCs w:val="21"/>
                <w:lang w:val="en-US" w:eastAsia="zh-CN"/>
              </w:rPr>
              <w:t>4</w:t>
            </w:r>
          </w:p>
        </w:tc>
        <w:tc>
          <w:tcPr>
            <w:tcW w:w="1481" w:type="dxa"/>
            <w:tcBorders>
              <w:tl2br w:val="nil"/>
              <w:tr2bl w:val="nil"/>
            </w:tcBorders>
            <w:noWrap w:val="0"/>
            <w:vAlign w:val="center"/>
          </w:tcPr>
          <w:p w14:paraId="17C09D82">
            <w:pPr>
              <w:pStyle w:val="65"/>
              <w:jc w:val="center"/>
              <w:rPr>
                <w:rFonts w:hint="default" w:ascii="Times New Roman" w:hAnsi="Times New Roman" w:eastAsia="宋体" w:cs="Times New Roman"/>
                <w:color w:val="auto"/>
                <w:sz w:val="21"/>
                <w:szCs w:val="21"/>
              </w:rPr>
            </w:pPr>
            <w:r>
              <w:rPr>
                <w:rFonts w:ascii="Times New Roman" w:hAnsi="Times New Roman" w:eastAsia="宋体"/>
                <w:color w:val="auto"/>
                <w:sz w:val="21"/>
                <w:szCs w:val="21"/>
              </w:rPr>
              <w:t>风速、风向、总云量、低云量、干球温度</w:t>
            </w:r>
          </w:p>
        </w:tc>
      </w:tr>
    </w:tbl>
    <w:p w14:paraId="24574BE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表5.2-</w:t>
      </w:r>
      <w:r>
        <w:rPr>
          <w:rFonts w:hint="eastAsia" w:cs="Times New Roman"/>
          <w:b/>
          <w:color w:val="auto"/>
          <w:sz w:val="24"/>
          <w:lang w:val="en-US" w:eastAsia="zh-CN"/>
        </w:rPr>
        <w:t>7</w:t>
      </w:r>
      <w:r>
        <w:rPr>
          <w:rFonts w:hint="default" w:ascii="Times New Roman" w:hAnsi="Times New Roman" w:cs="Times New Roman"/>
          <w:b/>
          <w:color w:val="auto"/>
          <w:sz w:val="24"/>
        </w:rPr>
        <w:t xml:space="preserve">  模拟气象数据信息</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144"/>
        <w:gridCol w:w="1735"/>
        <w:gridCol w:w="1240"/>
        <w:gridCol w:w="1859"/>
        <w:gridCol w:w="1858"/>
      </w:tblGrid>
      <w:tr w14:paraId="36E38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2" w:type="pct"/>
            <w:gridSpan w:val="2"/>
            <w:tcBorders>
              <w:tl2br w:val="nil"/>
              <w:tr2bl w:val="nil"/>
            </w:tcBorders>
            <w:noWrap w:val="0"/>
            <w:vAlign w:val="center"/>
          </w:tcPr>
          <w:p w14:paraId="4F4CBC6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气象站坐标/m</w:t>
            </w:r>
          </w:p>
        </w:tc>
        <w:tc>
          <w:tcPr>
            <w:tcW w:w="966" w:type="pct"/>
            <w:vMerge w:val="restart"/>
            <w:tcBorders>
              <w:tl2br w:val="nil"/>
              <w:tr2bl w:val="nil"/>
            </w:tcBorders>
            <w:noWrap w:val="0"/>
            <w:vAlign w:val="center"/>
          </w:tcPr>
          <w:p w14:paraId="7464FD08">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相对距离/m</w:t>
            </w:r>
          </w:p>
        </w:tc>
        <w:tc>
          <w:tcPr>
            <w:tcW w:w="690" w:type="pct"/>
            <w:vMerge w:val="restart"/>
            <w:tcBorders>
              <w:tl2br w:val="nil"/>
              <w:tr2bl w:val="nil"/>
            </w:tcBorders>
            <w:noWrap w:val="0"/>
            <w:vAlign w:val="center"/>
          </w:tcPr>
          <w:p w14:paraId="1E2C829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数据年份</w:t>
            </w:r>
          </w:p>
        </w:tc>
        <w:tc>
          <w:tcPr>
            <w:tcW w:w="1035" w:type="pct"/>
            <w:vMerge w:val="restart"/>
            <w:tcBorders>
              <w:tl2br w:val="nil"/>
              <w:tr2bl w:val="nil"/>
            </w:tcBorders>
            <w:noWrap w:val="0"/>
            <w:vAlign w:val="center"/>
          </w:tcPr>
          <w:p w14:paraId="1423F459">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气象要素</w:t>
            </w:r>
          </w:p>
        </w:tc>
        <w:tc>
          <w:tcPr>
            <w:tcW w:w="1034" w:type="pct"/>
            <w:vMerge w:val="restart"/>
            <w:tcBorders>
              <w:tl2br w:val="nil"/>
              <w:tr2bl w:val="nil"/>
            </w:tcBorders>
            <w:noWrap w:val="0"/>
            <w:vAlign w:val="center"/>
          </w:tcPr>
          <w:p w14:paraId="27607FE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模拟方式</w:t>
            </w:r>
          </w:p>
        </w:tc>
      </w:tr>
      <w:tr w14:paraId="3E58C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5" w:type="pct"/>
            <w:tcBorders>
              <w:tl2br w:val="nil"/>
              <w:tr2bl w:val="nil"/>
            </w:tcBorders>
            <w:noWrap w:val="0"/>
            <w:vAlign w:val="center"/>
          </w:tcPr>
          <w:p w14:paraId="69CA5595">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w:t>
            </w:r>
          </w:p>
        </w:tc>
        <w:tc>
          <w:tcPr>
            <w:tcW w:w="637" w:type="pct"/>
            <w:tcBorders>
              <w:tl2br w:val="nil"/>
              <w:tr2bl w:val="nil"/>
            </w:tcBorders>
            <w:noWrap w:val="0"/>
            <w:vAlign w:val="center"/>
          </w:tcPr>
          <w:p w14:paraId="681F6CC6">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w:t>
            </w:r>
          </w:p>
        </w:tc>
        <w:tc>
          <w:tcPr>
            <w:tcW w:w="966" w:type="pct"/>
            <w:vMerge w:val="continue"/>
            <w:tcBorders>
              <w:tl2br w:val="nil"/>
              <w:tr2bl w:val="nil"/>
            </w:tcBorders>
            <w:noWrap w:val="0"/>
            <w:vAlign w:val="center"/>
          </w:tcPr>
          <w:p w14:paraId="098324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90" w:type="pct"/>
            <w:vMerge w:val="continue"/>
            <w:tcBorders>
              <w:tl2br w:val="nil"/>
              <w:tr2bl w:val="nil"/>
            </w:tcBorders>
            <w:noWrap w:val="0"/>
            <w:vAlign w:val="center"/>
          </w:tcPr>
          <w:p w14:paraId="6E212FF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035" w:type="pct"/>
            <w:vMerge w:val="continue"/>
            <w:tcBorders>
              <w:tl2br w:val="nil"/>
              <w:tr2bl w:val="nil"/>
            </w:tcBorders>
            <w:noWrap w:val="0"/>
            <w:vAlign w:val="center"/>
          </w:tcPr>
          <w:p w14:paraId="19F65B0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034" w:type="pct"/>
            <w:vMerge w:val="continue"/>
            <w:tcBorders>
              <w:tl2br w:val="nil"/>
              <w:tr2bl w:val="nil"/>
            </w:tcBorders>
            <w:noWrap w:val="0"/>
            <w:vAlign w:val="center"/>
          </w:tcPr>
          <w:p w14:paraId="39C5B22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r>
      <w:tr w14:paraId="2F0C1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1" w:type="dxa"/>
            <w:tcBorders>
              <w:tl2br w:val="nil"/>
              <w:tr2bl w:val="nil"/>
            </w:tcBorders>
            <w:noWrap w:val="0"/>
            <w:vAlign w:val="center"/>
          </w:tcPr>
          <w:p w14:paraId="64B49794">
            <w:pPr>
              <w:pStyle w:val="65"/>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1"/>
              </w:rPr>
              <w:t>124.7620</w:t>
            </w:r>
          </w:p>
        </w:tc>
        <w:tc>
          <w:tcPr>
            <w:tcW w:w="1144" w:type="dxa"/>
            <w:tcBorders>
              <w:tl2br w:val="nil"/>
              <w:tr2bl w:val="nil"/>
            </w:tcBorders>
            <w:noWrap w:val="0"/>
            <w:vAlign w:val="center"/>
          </w:tcPr>
          <w:p w14:paraId="43B1FC13">
            <w:pPr>
              <w:pStyle w:val="65"/>
              <w:jc w:val="center"/>
              <w:rPr>
                <w:rFonts w:hint="default" w:ascii="Times New Roman" w:hAnsi="Times New Roman" w:eastAsia="宋体" w:cs="Times New Roman"/>
                <w:color w:val="auto"/>
                <w:sz w:val="21"/>
                <w:szCs w:val="21"/>
              </w:rPr>
            </w:pPr>
            <w:r>
              <w:rPr>
                <w:rFonts w:ascii="Times New Roman" w:hAnsi="Times New Roman" w:eastAsia="宋体"/>
                <w:color w:val="auto"/>
                <w:sz w:val="21"/>
                <w:szCs w:val="21"/>
              </w:rPr>
              <w:t>4</w:t>
            </w:r>
            <w:r>
              <w:rPr>
                <w:rFonts w:hint="eastAsia" w:ascii="Times New Roman" w:hAnsi="Times New Roman" w:eastAsia="宋体"/>
                <w:color w:val="auto"/>
                <w:sz w:val="21"/>
                <w:szCs w:val="21"/>
              </w:rPr>
              <w:t>8.6997</w:t>
            </w:r>
          </w:p>
        </w:tc>
        <w:tc>
          <w:tcPr>
            <w:tcW w:w="1735" w:type="dxa"/>
            <w:tcBorders>
              <w:tl2br w:val="nil"/>
              <w:tr2bl w:val="nil"/>
            </w:tcBorders>
            <w:noWrap w:val="0"/>
            <w:vAlign w:val="center"/>
          </w:tcPr>
          <w:p w14:paraId="7ABBB8C6">
            <w:pPr>
              <w:pStyle w:val="65"/>
              <w:jc w:val="center"/>
              <w:rPr>
                <w:rFonts w:hint="default" w:ascii="Times New Roman" w:hAnsi="Times New Roman" w:eastAsia="宋体" w:cs="Times New Roman"/>
                <w:color w:val="auto"/>
                <w:sz w:val="21"/>
                <w:szCs w:val="21"/>
              </w:rPr>
            </w:pPr>
            <w:r>
              <w:rPr>
                <w:rFonts w:hint="eastAsia" w:ascii="Times New Roman" w:hAnsi="Times New Roman" w:eastAsia="宋体"/>
                <w:color w:val="auto"/>
                <w:sz w:val="21"/>
                <w:szCs w:val="21"/>
              </w:rPr>
              <w:t>156139</w:t>
            </w:r>
          </w:p>
        </w:tc>
        <w:tc>
          <w:tcPr>
            <w:tcW w:w="690" w:type="pct"/>
            <w:tcBorders>
              <w:tl2br w:val="nil"/>
              <w:tr2bl w:val="nil"/>
            </w:tcBorders>
            <w:noWrap w:val="0"/>
            <w:vAlign w:val="center"/>
          </w:tcPr>
          <w:p w14:paraId="1E4334B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20</w:t>
            </w:r>
            <w:r>
              <w:rPr>
                <w:rFonts w:hint="default" w:ascii="Times New Roman" w:hAnsi="Times New Roman" w:eastAsia="宋体" w:cs="Times New Roman"/>
                <w:color w:val="auto"/>
                <w:sz w:val="21"/>
                <w:szCs w:val="21"/>
                <w:lang w:val="en-US" w:eastAsia="zh-CN"/>
              </w:rPr>
              <w:t>24</w:t>
            </w:r>
          </w:p>
        </w:tc>
        <w:tc>
          <w:tcPr>
            <w:tcW w:w="1035" w:type="pct"/>
            <w:tcBorders>
              <w:tl2br w:val="nil"/>
              <w:tr2bl w:val="nil"/>
            </w:tcBorders>
            <w:noWrap w:val="0"/>
            <w:vAlign w:val="center"/>
          </w:tcPr>
          <w:p w14:paraId="6E26268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气压、离地高度、干球温度</w:t>
            </w:r>
          </w:p>
        </w:tc>
        <w:tc>
          <w:tcPr>
            <w:tcW w:w="1034" w:type="pct"/>
            <w:tcBorders>
              <w:tl2br w:val="nil"/>
              <w:tr2bl w:val="nil"/>
            </w:tcBorders>
            <w:noWrap w:val="0"/>
            <w:vAlign w:val="center"/>
          </w:tcPr>
          <w:p w14:paraId="620A111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WRF中尺度模拟数据</w:t>
            </w:r>
          </w:p>
        </w:tc>
      </w:tr>
    </w:tbl>
    <w:p w14:paraId="560F9C4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（3）计算点</w:t>
      </w:r>
    </w:p>
    <w:p w14:paraId="5487F22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计算点包括：</w:t>
      </w:r>
    </w:p>
    <w:p w14:paraId="4681BA7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①预测范围内环境空气敏感区中的环境空气保护目标；</w:t>
      </w:r>
    </w:p>
    <w:p w14:paraId="2DCDAAE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②预测范围内的网格点，预测网格采用直角坐标系，预测网格间距</w:t>
      </w:r>
      <w:r>
        <w:rPr>
          <w:rFonts w:hint="eastAsia" w:ascii="Times New Roman" w:cs="Times New Roman"/>
          <w:color w:val="auto"/>
          <w:sz w:val="24"/>
          <w:lang w:val="en-US" w:eastAsia="zh-CN"/>
        </w:rPr>
        <w:t>10</w:t>
      </w:r>
      <w:r>
        <w:rPr>
          <w:rFonts w:hint="default" w:ascii="Times New Roman" w:hAnsi="Times New Roman" w:cs="Times New Roman"/>
          <w:color w:val="auto"/>
          <w:sz w:val="24"/>
        </w:rPr>
        <w:t>0m；</w:t>
      </w:r>
    </w:p>
    <w:p w14:paraId="29F5CAE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③区域最大地面浓度点。</w:t>
      </w:r>
    </w:p>
    <w:p w14:paraId="20889E6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rPr>
      </w:pPr>
      <w:r>
        <w:rPr>
          <w:rFonts w:hint="default" w:ascii="Times New Roman" w:hAnsi="Times New Roman" w:cs="Times New Roman"/>
          <w:color w:val="auto"/>
          <w:sz w:val="24"/>
        </w:rPr>
        <w:t>四、预测内容</w:t>
      </w:r>
    </w:p>
    <w:p w14:paraId="156F63F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表5.2-</w:t>
      </w:r>
      <w:r>
        <w:rPr>
          <w:rFonts w:hint="eastAsia" w:cs="Times New Roman"/>
          <w:b/>
          <w:color w:val="auto"/>
          <w:sz w:val="24"/>
          <w:lang w:val="en-US" w:eastAsia="zh-CN"/>
        </w:rPr>
        <w:t>8</w:t>
      </w:r>
      <w:r>
        <w:rPr>
          <w:rFonts w:hint="default" w:ascii="Times New Roman" w:hAnsi="Times New Roman" w:cs="Times New Roman"/>
          <w:b/>
          <w:color w:val="auto"/>
          <w:sz w:val="24"/>
        </w:rPr>
        <w:t xml:space="preserve">  预测内容和评价要求</w:t>
      </w:r>
    </w:p>
    <w:tbl>
      <w:tblPr>
        <w:tblStyle w:val="5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1401"/>
        <w:gridCol w:w="1381"/>
        <w:gridCol w:w="1424"/>
        <w:gridCol w:w="3485"/>
      </w:tblGrid>
      <w:tr w14:paraId="77DEA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15" w:type="pct"/>
            <w:tcBorders>
              <w:tl2br w:val="nil"/>
              <w:tr2bl w:val="nil"/>
            </w:tcBorders>
            <w:noWrap w:val="0"/>
            <w:vAlign w:val="center"/>
          </w:tcPr>
          <w:p w14:paraId="11B7931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评价对象</w:t>
            </w:r>
          </w:p>
        </w:tc>
        <w:tc>
          <w:tcPr>
            <w:tcW w:w="780" w:type="pct"/>
            <w:tcBorders>
              <w:tl2br w:val="nil"/>
              <w:tr2bl w:val="nil"/>
            </w:tcBorders>
            <w:noWrap w:val="0"/>
            <w:vAlign w:val="center"/>
          </w:tcPr>
          <w:p w14:paraId="4BBB4BD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污染源</w:t>
            </w:r>
          </w:p>
        </w:tc>
        <w:tc>
          <w:tcPr>
            <w:tcW w:w="769" w:type="pct"/>
            <w:tcBorders>
              <w:tl2br w:val="nil"/>
              <w:tr2bl w:val="nil"/>
            </w:tcBorders>
            <w:noWrap w:val="0"/>
            <w:vAlign w:val="center"/>
          </w:tcPr>
          <w:p w14:paraId="2444AE1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污染源排放形式</w:t>
            </w:r>
          </w:p>
        </w:tc>
        <w:tc>
          <w:tcPr>
            <w:tcW w:w="793" w:type="pct"/>
            <w:tcBorders>
              <w:tl2br w:val="nil"/>
              <w:tr2bl w:val="nil"/>
            </w:tcBorders>
            <w:noWrap w:val="0"/>
            <w:vAlign w:val="center"/>
          </w:tcPr>
          <w:p w14:paraId="7A7E93E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预测内容</w:t>
            </w:r>
          </w:p>
        </w:tc>
        <w:tc>
          <w:tcPr>
            <w:tcW w:w="1940" w:type="pct"/>
            <w:tcBorders>
              <w:tl2br w:val="nil"/>
              <w:tr2bl w:val="nil"/>
            </w:tcBorders>
            <w:noWrap w:val="0"/>
            <w:vAlign w:val="center"/>
          </w:tcPr>
          <w:p w14:paraId="0617EA5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评价内容</w:t>
            </w:r>
          </w:p>
        </w:tc>
      </w:tr>
      <w:tr w14:paraId="16D05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15" w:type="pct"/>
            <w:vMerge w:val="restart"/>
            <w:tcBorders>
              <w:tl2br w:val="nil"/>
              <w:tr2bl w:val="nil"/>
            </w:tcBorders>
            <w:noWrap w:val="0"/>
            <w:vAlign w:val="center"/>
          </w:tcPr>
          <w:p w14:paraId="047FECDE">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达标区评价项目</w:t>
            </w:r>
          </w:p>
        </w:tc>
        <w:tc>
          <w:tcPr>
            <w:tcW w:w="780" w:type="pct"/>
            <w:vMerge w:val="restart"/>
            <w:tcBorders>
              <w:tl2br w:val="nil"/>
              <w:tr2bl w:val="nil"/>
            </w:tcBorders>
            <w:noWrap w:val="0"/>
            <w:vAlign w:val="center"/>
          </w:tcPr>
          <w:p w14:paraId="7AD6103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新增污染源</w:t>
            </w:r>
          </w:p>
        </w:tc>
        <w:tc>
          <w:tcPr>
            <w:tcW w:w="769" w:type="pct"/>
            <w:vMerge w:val="restart"/>
            <w:tcBorders>
              <w:tl2br w:val="nil"/>
              <w:tr2bl w:val="nil"/>
            </w:tcBorders>
            <w:noWrap w:val="0"/>
            <w:vAlign w:val="center"/>
          </w:tcPr>
          <w:p w14:paraId="62B4E7AD">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正常排放</w:t>
            </w:r>
          </w:p>
        </w:tc>
        <w:tc>
          <w:tcPr>
            <w:tcW w:w="793" w:type="pct"/>
            <w:tcBorders>
              <w:tl2br w:val="nil"/>
              <w:tr2bl w:val="nil"/>
            </w:tcBorders>
            <w:noWrap w:val="0"/>
            <w:vAlign w:val="center"/>
          </w:tcPr>
          <w:p w14:paraId="23F4C6F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短期浓度</w:t>
            </w:r>
          </w:p>
          <w:p w14:paraId="21F3D5C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长期浓度</w:t>
            </w:r>
          </w:p>
        </w:tc>
        <w:tc>
          <w:tcPr>
            <w:tcW w:w="1940" w:type="pct"/>
            <w:tcBorders>
              <w:tl2br w:val="nil"/>
              <w:tr2bl w:val="nil"/>
            </w:tcBorders>
            <w:noWrap w:val="0"/>
            <w:vAlign w:val="center"/>
          </w:tcPr>
          <w:p w14:paraId="561D3BD2">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最大浓度占标率</w:t>
            </w:r>
          </w:p>
        </w:tc>
      </w:tr>
      <w:tr w14:paraId="0B201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15" w:type="pct"/>
            <w:vMerge w:val="continue"/>
            <w:tcBorders>
              <w:tl2br w:val="nil"/>
              <w:tr2bl w:val="nil"/>
            </w:tcBorders>
            <w:noWrap w:val="0"/>
            <w:vAlign w:val="center"/>
          </w:tcPr>
          <w:p w14:paraId="2813D43C">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80" w:type="pct"/>
            <w:vMerge w:val="continue"/>
            <w:tcBorders>
              <w:tl2br w:val="nil"/>
              <w:tr2bl w:val="nil"/>
            </w:tcBorders>
            <w:noWrap w:val="0"/>
            <w:vAlign w:val="center"/>
          </w:tcPr>
          <w:p w14:paraId="5F97714A">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69" w:type="pct"/>
            <w:vMerge w:val="continue"/>
            <w:tcBorders>
              <w:tl2br w:val="nil"/>
              <w:tr2bl w:val="nil"/>
            </w:tcBorders>
            <w:noWrap w:val="0"/>
            <w:vAlign w:val="center"/>
          </w:tcPr>
          <w:p w14:paraId="680C8C27">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793" w:type="pct"/>
            <w:tcBorders>
              <w:tl2br w:val="nil"/>
              <w:tr2bl w:val="nil"/>
            </w:tcBorders>
            <w:noWrap w:val="0"/>
            <w:vAlign w:val="center"/>
          </w:tcPr>
          <w:p w14:paraId="6256C2C9">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短期浓度</w:t>
            </w:r>
          </w:p>
          <w:p w14:paraId="0D62B31B">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长期浓度</w:t>
            </w:r>
          </w:p>
        </w:tc>
        <w:tc>
          <w:tcPr>
            <w:tcW w:w="1940" w:type="pct"/>
            <w:tcBorders>
              <w:tl2br w:val="nil"/>
              <w:tr2bl w:val="nil"/>
            </w:tcBorders>
            <w:noWrap w:val="0"/>
            <w:vAlign w:val="center"/>
          </w:tcPr>
          <w:p w14:paraId="56F86F51">
            <w:pPr>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叠加环境质量现状浓度后的保证率日平均质量浓度和年平均质量浓度的占标率，或短期浓度的达标情况</w:t>
            </w:r>
          </w:p>
        </w:tc>
      </w:tr>
      <w:tr w14:paraId="67189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15" w:type="pct"/>
            <w:tcBorders>
              <w:tl2br w:val="nil"/>
              <w:tr2bl w:val="nil"/>
            </w:tcBorders>
            <w:noWrap w:val="0"/>
            <w:vAlign w:val="center"/>
          </w:tcPr>
          <w:p w14:paraId="3BBF97D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大气环境防护距离</w:t>
            </w:r>
          </w:p>
        </w:tc>
        <w:tc>
          <w:tcPr>
            <w:tcW w:w="780" w:type="pct"/>
            <w:tcBorders>
              <w:tl2br w:val="nil"/>
              <w:tr2bl w:val="nil"/>
            </w:tcBorders>
            <w:noWrap w:val="0"/>
            <w:vAlign w:val="center"/>
          </w:tcPr>
          <w:p w14:paraId="13CE75D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新增污染源</w:t>
            </w:r>
          </w:p>
        </w:tc>
        <w:tc>
          <w:tcPr>
            <w:tcW w:w="769" w:type="pct"/>
            <w:tcBorders>
              <w:tl2br w:val="nil"/>
              <w:tr2bl w:val="nil"/>
            </w:tcBorders>
            <w:noWrap w:val="0"/>
            <w:vAlign w:val="center"/>
          </w:tcPr>
          <w:p w14:paraId="21801DC6">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正常排放</w:t>
            </w:r>
          </w:p>
        </w:tc>
        <w:tc>
          <w:tcPr>
            <w:tcW w:w="793" w:type="pct"/>
            <w:tcBorders>
              <w:tl2br w:val="nil"/>
              <w:tr2bl w:val="nil"/>
            </w:tcBorders>
            <w:noWrap w:val="0"/>
            <w:vAlign w:val="center"/>
          </w:tcPr>
          <w:p w14:paraId="0A15A7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短期浓度</w:t>
            </w:r>
          </w:p>
        </w:tc>
        <w:tc>
          <w:tcPr>
            <w:tcW w:w="1940" w:type="pct"/>
            <w:tcBorders>
              <w:tl2br w:val="nil"/>
              <w:tr2bl w:val="nil"/>
            </w:tcBorders>
            <w:noWrap w:val="0"/>
            <w:vAlign w:val="center"/>
          </w:tcPr>
          <w:p w14:paraId="773E0D2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大气环境防护距离</w:t>
            </w:r>
          </w:p>
        </w:tc>
      </w:tr>
    </w:tbl>
    <w:p w14:paraId="364A9127">
      <w:pPr>
        <w:rPr>
          <w:rFonts w:hint="default" w:ascii="Times New Roman" w:hAnsi="Times New Roman" w:cs="Times New Roman"/>
          <w:b/>
          <w:color w:val="auto"/>
          <w:sz w:val="24"/>
        </w:rPr>
        <w:sectPr>
          <w:pgSz w:w="11907" w:h="16840"/>
          <w:pgMar w:top="1440" w:right="1440" w:bottom="1440" w:left="1701"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61E21CF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color w:val="auto"/>
          <w:sz w:val="24"/>
        </w:rPr>
      </w:pPr>
      <w:r>
        <w:rPr>
          <w:rFonts w:hint="default" w:ascii="Times New Roman" w:hAnsi="Times New Roman" w:cs="Times New Roman"/>
          <w:color w:val="auto"/>
          <w:sz w:val="24"/>
        </w:rPr>
        <w:t>五、预测源强</w:t>
      </w:r>
    </w:p>
    <w:p w14:paraId="3B377DBF">
      <w:pPr>
        <w:spacing w:line="360" w:lineRule="auto"/>
        <w:jc w:val="center"/>
        <w:rPr>
          <w:rFonts w:hint="default" w:ascii="Times New Roman" w:hAnsi="Times New Roman" w:cs="Times New Roman"/>
          <w:b/>
          <w:color w:val="auto"/>
          <w:sz w:val="24"/>
        </w:rPr>
      </w:pPr>
      <w:r>
        <w:rPr>
          <w:rFonts w:hint="default" w:ascii="Times New Roman" w:hAnsi="Times New Roman" w:cs="Times New Roman"/>
          <w:b/>
          <w:color w:val="auto"/>
          <w:sz w:val="24"/>
        </w:rPr>
        <w:t>表5.2-</w:t>
      </w:r>
      <w:r>
        <w:rPr>
          <w:rFonts w:hint="eastAsia" w:cs="Times New Roman"/>
          <w:b/>
          <w:color w:val="auto"/>
          <w:sz w:val="24"/>
          <w:lang w:val="en-US" w:eastAsia="zh-CN"/>
        </w:rPr>
        <w:t>9</w:t>
      </w:r>
      <w:r>
        <w:rPr>
          <w:rFonts w:hint="default" w:ascii="Times New Roman" w:hAnsi="Times New Roman" w:cs="Times New Roman"/>
          <w:b/>
          <w:color w:val="auto"/>
          <w:sz w:val="24"/>
        </w:rPr>
        <w:t xml:space="preserve"> </w:t>
      </w:r>
      <w:r>
        <w:rPr>
          <w:rFonts w:hint="default" w:ascii="Times New Roman" w:hAnsi="Times New Roman" w:cs="Times New Roman"/>
          <w:b/>
          <w:color w:val="auto"/>
          <w:sz w:val="24"/>
          <w:lang w:val="en-US" w:eastAsia="zh-CN"/>
        </w:rPr>
        <w:t xml:space="preserve"> </w:t>
      </w:r>
      <w:r>
        <w:rPr>
          <w:rFonts w:hint="default" w:ascii="Times New Roman" w:hAnsi="Times New Roman" w:cs="Times New Roman"/>
          <w:b/>
          <w:color w:val="auto"/>
          <w:sz w:val="24"/>
        </w:rPr>
        <w:t>主要废气污染源参数一览表</w:t>
      </w:r>
      <w:r>
        <w:rPr>
          <w:rFonts w:hint="default" w:ascii="Times New Roman" w:hAnsi="Times New Roman" w:cs="Times New Roman"/>
          <w:b/>
          <w:color w:val="auto"/>
          <w:sz w:val="24"/>
          <w:lang w:eastAsia="zh-CN"/>
        </w:rPr>
        <w:t>（</w:t>
      </w:r>
      <w:r>
        <w:rPr>
          <w:rFonts w:hint="eastAsia" w:ascii="Times New Roman" w:hAnsi="Times New Roman" w:cs="Times New Roman"/>
          <w:b/>
          <w:color w:val="auto"/>
          <w:sz w:val="24"/>
          <w:lang w:val="en-US" w:eastAsia="zh-CN"/>
        </w:rPr>
        <w:t>点</w:t>
      </w:r>
      <w:r>
        <w:rPr>
          <w:rFonts w:hint="default" w:ascii="Times New Roman" w:hAnsi="Times New Roman" w:cs="Times New Roman"/>
          <w:b/>
          <w:color w:val="auto"/>
          <w:sz w:val="24"/>
        </w:rPr>
        <w:t>源</w:t>
      </w:r>
      <w:r>
        <w:rPr>
          <w:rFonts w:hint="default" w:ascii="Times New Roman" w:hAnsi="Times New Roman" w:cs="Times New Roman"/>
          <w:b/>
          <w:color w:val="auto"/>
          <w:sz w:val="24"/>
          <w:lang w:eastAsia="zh-CN"/>
        </w:rPr>
        <w:t>）</w:t>
      </w:r>
    </w:p>
    <w:tbl>
      <w:tblPr>
        <w:tblStyle w:val="53"/>
        <w:tblW w:w="47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5"/>
        <w:gridCol w:w="1555"/>
        <w:gridCol w:w="1449"/>
        <w:gridCol w:w="1037"/>
        <w:gridCol w:w="917"/>
        <w:gridCol w:w="827"/>
        <w:gridCol w:w="949"/>
        <w:gridCol w:w="990"/>
        <w:gridCol w:w="825"/>
        <w:gridCol w:w="846"/>
        <w:gridCol w:w="1026"/>
        <w:gridCol w:w="1026"/>
      </w:tblGrid>
      <w:tr w14:paraId="6111D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767" w:type="pct"/>
            <w:vMerge w:val="restart"/>
            <w:tcBorders>
              <w:tl2br w:val="nil"/>
              <w:tr2bl w:val="nil"/>
            </w:tcBorders>
            <w:vAlign w:val="center"/>
          </w:tcPr>
          <w:p w14:paraId="528FFAF5">
            <w:pPr>
              <w:jc w:val="center"/>
              <w:rPr>
                <w:b w:val="0"/>
                <w:bCs w:val="0"/>
                <w:color w:val="auto"/>
                <w:sz w:val="21"/>
                <w:szCs w:val="21"/>
              </w:rPr>
            </w:pPr>
            <w:r>
              <w:rPr>
                <w:b w:val="0"/>
                <w:bCs w:val="0"/>
                <w:color w:val="auto"/>
                <w:sz w:val="21"/>
                <w:szCs w:val="21"/>
              </w:rPr>
              <w:t>污染源名称</w:t>
            </w:r>
          </w:p>
        </w:tc>
        <w:tc>
          <w:tcPr>
            <w:tcW w:w="1110" w:type="pct"/>
            <w:gridSpan w:val="2"/>
            <w:tcBorders>
              <w:tl2br w:val="nil"/>
              <w:tr2bl w:val="nil"/>
            </w:tcBorders>
            <w:vAlign w:val="center"/>
          </w:tcPr>
          <w:p w14:paraId="27E1F9F4">
            <w:pPr>
              <w:jc w:val="center"/>
              <w:rPr>
                <w:b w:val="0"/>
                <w:bCs w:val="0"/>
                <w:color w:val="auto"/>
                <w:sz w:val="21"/>
                <w:szCs w:val="21"/>
              </w:rPr>
            </w:pPr>
            <w:r>
              <w:rPr>
                <w:b w:val="0"/>
                <w:bCs w:val="0"/>
                <w:color w:val="auto"/>
                <w:sz w:val="21"/>
                <w:szCs w:val="21"/>
              </w:rPr>
              <w:t>排气筒底部中心坐标(°)</w:t>
            </w:r>
          </w:p>
        </w:tc>
        <w:tc>
          <w:tcPr>
            <w:tcW w:w="383" w:type="pct"/>
            <w:vMerge w:val="restart"/>
            <w:tcBorders>
              <w:tl2br w:val="nil"/>
              <w:tr2bl w:val="nil"/>
            </w:tcBorders>
            <w:vAlign w:val="center"/>
          </w:tcPr>
          <w:p w14:paraId="2B5A6B6C">
            <w:pPr>
              <w:jc w:val="center"/>
              <w:rPr>
                <w:b w:val="0"/>
                <w:bCs w:val="0"/>
                <w:color w:val="auto"/>
                <w:sz w:val="21"/>
                <w:szCs w:val="21"/>
              </w:rPr>
            </w:pPr>
            <w:r>
              <w:rPr>
                <w:b w:val="0"/>
                <w:bCs w:val="0"/>
                <w:color w:val="auto"/>
                <w:sz w:val="21"/>
                <w:szCs w:val="21"/>
              </w:rPr>
              <w:t>排气筒底部海拔高度(m)</w:t>
            </w:r>
          </w:p>
        </w:tc>
        <w:tc>
          <w:tcPr>
            <w:tcW w:w="1361" w:type="pct"/>
            <w:gridSpan w:val="4"/>
            <w:tcBorders>
              <w:tl2br w:val="nil"/>
              <w:tr2bl w:val="nil"/>
            </w:tcBorders>
            <w:vAlign w:val="center"/>
          </w:tcPr>
          <w:p w14:paraId="115C4326">
            <w:pPr>
              <w:jc w:val="center"/>
              <w:rPr>
                <w:b w:val="0"/>
                <w:bCs w:val="0"/>
                <w:color w:val="auto"/>
                <w:sz w:val="21"/>
                <w:szCs w:val="21"/>
              </w:rPr>
            </w:pPr>
            <w:r>
              <w:rPr>
                <w:b w:val="0"/>
                <w:bCs w:val="0"/>
                <w:color w:val="auto"/>
                <w:sz w:val="21"/>
                <w:szCs w:val="21"/>
              </w:rPr>
              <w:t>排气筒参数</w:t>
            </w:r>
          </w:p>
        </w:tc>
        <w:tc>
          <w:tcPr>
            <w:tcW w:w="1376" w:type="pct"/>
            <w:gridSpan w:val="4"/>
            <w:tcBorders>
              <w:tl2br w:val="nil"/>
              <w:tr2bl w:val="nil"/>
            </w:tcBorders>
            <w:vAlign w:val="center"/>
          </w:tcPr>
          <w:p w14:paraId="0B865D7B">
            <w:pPr>
              <w:jc w:val="center"/>
              <w:rPr>
                <w:b w:val="0"/>
                <w:bCs w:val="0"/>
                <w:color w:val="auto"/>
                <w:sz w:val="21"/>
                <w:szCs w:val="21"/>
              </w:rPr>
            </w:pPr>
            <w:r>
              <w:rPr>
                <w:b w:val="0"/>
                <w:bCs w:val="0"/>
                <w:color w:val="auto"/>
                <w:sz w:val="21"/>
                <w:szCs w:val="21"/>
              </w:rPr>
              <w:t>污染物排放速率(kg/h)</w:t>
            </w:r>
          </w:p>
        </w:tc>
      </w:tr>
      <w:tr w14:paraId="2EA9D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767" w:type="pct"/>
            <w:vMerge w:val="continue"/>
            <w:tcBorders>
              <w:tl2br w:val="nil"/>
              <w:tr2bl w:val="nil"/>
            </w:tcBorders>
            <w:vAlign w:val="center"/>
          </w:tcPr>
          <w:p w14:paraId="31B5D2C1">
            <w:pPr>
              <w:jc w:val="center"/>
              <w:rPr>
                <w:b w:val="0"/>
                <w:bCs w:val="0"/>
                <w:color w:val="auto"/>
                <w:sz w:val="21"/>
                <w:szCs w:val="21"/>
              </w:rPr>
            </w:pPr>
          </w:p>
        </w:tc>
        <w:tc>
          <w:tcPr>
            <w:tcW w:w="574" w:type="pct"/>
            <w:tcBorders>
              <w:tl2br w:val="nil"/>
              <w:tr2bl w:val="nil"/>
            </w:tcBorders>
            <w:vAlign w:val="center"/>
          </w:tcPr>
          <w:p w14:paraId="76E1957C">
            <w:pPr>
              <w:jc w:val="center"/>
              <w:rPr>
                <w:b w:val="0"/>
                <w:bCs w:val="0"/>
                <w:color w:val="auto"/>
                <w:sz w:val="21"/>
                <w:szCs w:val="21"/>
              </w:rPr>
            </w:pPr>
            <w:r>
              <w:rPr>
                <w:b w:val="0"/>
                <w:bCs w:val="0"/>
                <w:color w:val="auto"/>
                <w:sz w:val="21"/>
                <w:szCs w:val="21"/>
              </w:rPr>
              <w:t>经度</w:t>
            </w:r>
          </w:p>
        </w:tc>
        <w:tc>
          <w:tcPr>
            <w:tcW w:w="535" w:type="pct"/>
            <w:tcBorders>
              <w:tl2br w:val="nil"/>
              <w:tr2bl w:val="nil"/>
            </w:tcBorders>
            <w:vAlign w:val="center"/>
          </w:tcPr>
          <w:p w14:paraId="1A0F3AC8">
            <w:pPr>
              <w:jc w:val="center"/>
              <w:rPr>
                <w:b w:val="0"/>
                <w:bCs w:val="0"/>
                <w:color w:val="auto"/>
                <w:sz w:val="21"/>
                <w:szCs w:val="21"/>
              </w:rPr>
            </w:pPr>
            <w:r>
              <w:rPr>
                <w:b w:val="0"/>
                <w:bCs w:val="0"/>
                <w:color w:val="auto"/>
                <w:sz w:val="21"/>
                <w:szCs w:val="21"/>
              </w:rPr>
              <w:t>纬度</w:t>
            </w:r>
          </w:p>
        </w:tc>
        <w:tc>
          <w:tcPr>
            <w:tcW w:w="383" w:type="pct"/>
            <w:vMerge w:val="continue"/>
            <w:tcBorders>
              <w:tl2br w:val="nil"/>
              <w:tr2bl w:val="nil"/>
            </w:tcBorders>
            <w:vAlign w:val="center"/>
          </w:tcPr>
          <w:p w14:paraId="147C0D96">
            <w:pPr>
              <w:jc w:val="center"/>
              <w:rPr>
                <w:b w:val="0"/>
                <w:bCs w:val="0"/>
                <w:color w:val="auto"/>
                <w:sz w:val="21"/>
                <w:szCs w:val="21"/>
              </w:rPr>
            </w:pPr>
          </w:p>
        </w:tc>
        <w:tc>
          <w:tcPr>
            <w:tcW w:w="339" w:type="pct"/>
            <w:tcBorders>
              <w:tl2br w:val="nil"/>
              <w:tr2bl w:val="nil"/>
            </w:tcBorders>
            <w:vAlign w:val="center"/>
          </w:tcPr>
          <w:p w14:paraId="4F698AB3">
            <w:pPr>
              <w:jc w:val="center"/>
              <w:rPr>
                <w:b w:val="0"/>
                <w:bCs w:val="0"/>
                <w:color w:val="auto"/>
                <w:sz w:val="21"/>
                <w:szCs w:val="21"/>
              </w:rPr>
            </w:pPr>
            <w:r>
              <w:rPr>
                <w:b w:val="0"/>
                <w:bCs w:val="0"/>
                <w:color w:val="auto"/>
                <w:sz w:val="21"/>
                <w:szCs w:val="21"/>
              </w:rPr>
              <w:t>高度(m)</w:t>
            </w:r>
          </w:p>
        </w:tc>
        <w:tc>
          <w:tcPr>
            <w:tcW w:w="305" w:type="pct"/>
            <w:tcBorders>
              <w:tl2br w:val="nil"/>
              <w:tr2bl w:val="nil"/>
            </w:tcBorders>
            <w:vAlign w:val="center"/>
          </w:tcPr>
          <w:p w14:paraId="5368EEA3">
            <w:pPr>
              <w:jc w:val="center"/>
              <w:rPr>
                <w:b w:val="0"/>
                <w:bCs w:val="0"/>
                <w:color w:val="auto"/>
                <w:sz w:val="21"/>
                <w:szCs w:val="21"/>
              </w:rPr>
            </w:pPr>
            <w:r>
              <w:rPr>
                <w:b w:val="0"/>
                <w:bCs w:val="0"/>
                <w:color w:val="auto"/>
                <w:sz w:val="21"/>
                <w:szCs w:val="21"/>
              </w:rPr>
              <w:t>内径(m)</w:t>
            </w:r>
          </w:p>
        </w:tc>
        <w:tc>
          <w:tcPr>
            <w:tcW w:w="350" w:type="pct"/>
            <w:tcBorders>
              <w:tl2br w:val="nil"/>
              <w:tr2bl w:val="nil"/>
            </w:tcBorders>
            <w:vAlign w:val="center"/>
          </w:tcPr>
          <w:p w14:paraId="296C73B7">
            <w:pPr>
              <w:jc w:val="center"/>
              <w:rPr>
                <w:b w:val="0"/>
                <w:bCs w:val="0"/>
                <w:color w:val="auto"/>
                <w:sz w:val="21"/>
                <w:szCs w:val="21"/>
              </w:rPr>
            </w:pPr>
            <w:r>
              <w:rPr>
                <w:b w:val="0"/>
                <w:bCs w:val="0"/>
                <w:color w:val="auto"/>
                <w:sz w:val="21"/>
                <w:szCs w:val="21"/>
              </w:rPr>
              <w:t>温度(℃)</w:t>
            </w:r>
          </w:p>
        </w:tc>
        <w:tc>
          <w:tcPr>
            <w:tcW w:w="366" w:type="pct"/>
            <w:tcBorders>
              <w:tl2br w:val="nil"/>
              <w:tr2bl w:val="nil"/>
            </w:tcBorders>
            <w:vAlign w:val="center"/>
          </w:tcPr>
          <w:p w14:paraId="246073E6">
            <w:pPr>
              <w:jc w:val="center"/>
              <w:rPr>
                <w:b w:val="0"/>
                <w:bCs w:val="0"/>
                <w:color w:val="auto"/>
                <w:sz w:val="21"/>
                <w:szCs w:val="21"/>
              </w:rPr>
            </w:pPr>
            <w:r>
              <w:rPr>
                <w:b w:val="0"/>
                <w:bCs w:val="0"/>
                <w:color w:val="auto"/>
                <w:sz w:val="21"/>
                <w:szCs w:val="21"/>
              </w:rPr>
              <w:t>流速(m/s)</w:t>
            </w:r>
          </w:p>
        </w:tc>
        <w:tc>
          <w:tcPr>
            <w:tcW w:w="305" w:type="pct"/>
            <w:tcBorders>
              <w:tl2br w:val="nil"/>
              <w:tr2bl w:val="nil"/>
            </w:tcBorders>
            <w:vAlign w:val="center"/>
          </w:tcPr>
          <w:p w14:paraId="74AD5761">
            <w:pPr>
              <w:jc w:val="center"/>
              <w:rPr>
                <w:b w:val="0"/>
                <w:bCs w:val="0"/>
                <w:color w:val="auto"/>
                <w:sz w:val="21"/>
                <w:szCs w:val="21"/>
              </w:rPr>
            </w:pPr>
            <w:r>
              <w:rPr>
                <w:rFonts w:hint="eastAsia"/>
                <w:b w:val="0"/>
                <w:bCs w:val="0"/>
                <w:color w:val="auto"/>
                <w:sz w:val="21"/>
                <w:szCs w:val="21"/>
              </w:rPr>
              <w:t>H2S</w:t>
            </w:r>
          </w:p>
        </w:tc>
        <w:tc>
          <w:tcPr>
            <w:tcW w:w="312" w:type="pct"/>
            <w:tcBorders>
              <w:tl2br w:val="nil"/>
              <w:tr2bl w:val="nil"/>
            </w:tcBorders>
            <w:vAlign w:val="center"/>
          </w:tcPr>
          <w:p w14:paraId="0107F634">
            <w:pPr>
              <w:jc w:val="center"/>
              <w:rPr>
                <w:b w:val="0"/>
                <w:bCs w:val="0"/>
                <w:color w:val="auto"/>
                <w:sz w:val="21"/>
                <w:szCs w:val="21"/>
              </w:rPr>
            </w:pPr>
            <w:r>
              <w:rPr>
                <w:rFonts w:hint="eastAsia"/>
                <w:b w:val="0"/>
                <w:bCs w:val="0"/>
                <w:color w:val="auto"/>
                <w:sz w:val="21"/>
                <w:szCs w:val="21"/>
              </w:rPr>
              <w:t>NH3</w:t>
            </w:r>
          </w:p>
        </w:tc>
        <w:tc>
          <w:tcPr>
            <w:tcW w:w="379" w:type="pct"/>
            <w:tcBorders>
              <w:tl2br w:val="nil"/>
              <w:tr2bl w:val="nil"/>
            </w:tcBorders>
            <w:vAlign w:val="center"/>
          </w:tcPr>
          <w:p w14:paraId="506E2874">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非甲烷总烃</w:t>
            </w:r>
          </w:p>
        </w:tc>
        <w:tc>
          <w:tcPr>
            <w:tcW w:w="379" w:type="pct"/>
            <w:tcBorders>
              <w:tl2br w:val="nil"/>
              <w:tr2bl w:val="nil"/>
            </w:tcBorders>
            <w:vAlign w:val="center"/>
          </w:tcPr>
          <w:p w14:paraId="25EA7376">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颗粒物</w:t>
            </w:r>
          </w:p>
        </w:tc>
      </w:tr>
      <w:tr w14:paraId="208F6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767" w:type="pct"/>
            <w:tcBorders>
              <w:tl2br w:val="nil"/>
              <w:tr2bl w:val="nil"/>
            </w:tcBorders>
            <w:vAlign w:val="center"/>
          </w:tcPr>
          <w:p w14:paraId="6E21018A">
            <w:pPr>
              <w:jc w:val="center"/>
              <w:rPr>
                <w:rFonts w:hint="default"/>
                <w:b w:val="0"/>
                <w:bCs w:val="0"/>
                <w:color w:val="auto"/>
                <w:sz w:val="21"/>
                <w:szCs w:val="21"/>
                <w:lang w:val="en-US" w:eastAsia="zh-CN"/>
              </w:rPr>
            </w:pPr>
            <w:r>
              <w:rPr>
                <w:rFonts w:hint="eastAsia"/>
                <w:b w:val="0"/>
                <w:bCs w:val="0"/>
                <w:color w:val="auto"/>
                <w:sz w:val="21"/>
                <w:szCs w:val="21"/>
                <w:lang w:val="en-US" w:eastAsia="zh-CN"/>
              </w:rPr>
              <w:t>污水处理站排气筒（DA011）</w:t>
            </w:r>
          </w:p>
        </w:tc>
        <w:tc>
          <w:tcPr>
            <w:tcW w:w="574" w:type="pct"/>
            <w:tcBorders>
              <w:tl2br w:val="nil"/>
              <w:tr2bl w:val="nil"/>
            </w:tcBorders>
            <w:vAlign w:val="center"/>
          </w:tcPr>
          <w:p w14:paraId="746967E5">
            <w:pPr>
              <w:jc w:val="center"/>
              <w:rPr>
                <w:b w:val="0"/>
                <w:bCs w:val="0"/>
                <w:color w:val="auto"/>
                <w:sz w:val="21"/>
                <w:szCs w:val="21"/>
              </w:rPr>
            </w:pPr>
            <w:r>
              <w:rPr>
                <w:b w:val="0"/>
                <w:bCs w:val="0"/>
                <w:color w:val="auto"/>
                <w:sz w:val="21"/>
                <w:szCs w:val="21"/>
              </w:rPr>
              <w:t>124°36′16.60″</w:t>
            </w:r>
          </w:p>
        </w:tc>
        <w:tc>
          <w:tcPr>
            <w:tcW w:w="535" w:type="pct"/>
            <w:tcBorders>
              <w:tl2br w:val="nil"/>
              <w:tr2bl w:val="nil"/>
            </w:tcBorders>
            <w:vAlign w:val="center"/>
          </w:tcPr>
          <w:p w14:paraId="56B24C12">
            <w:pPr>
              <w:jc w:val="center"/>
              <w:rPr>
                <w:b w:val="0"/>
                <w:bCs w:val="0"/>
                <w:color w:val="auto"/>
                <w:sz w:val="21"/>
                <w:szCs w:val="21"/>
              </w:rPr>
            </w:pPr>
            <w:r>
              <w:rPr>
                <w:b w:val="0"/>
                <w:bCs w:val="0"/>
                <w:color w:val="auto"/>
                <w:sz w:val="21"/>
                <w:szCs w:val="21"/>
              </w:rPr>
              <w:t>48°12′45.36″</w:t>
            </w:r>
          </w:p>
        </w:tc>
        <w:tc>
          <w:tcPr>
            <w:tcW w:w="383" w:type="pct"/>
            <w:tcBorders>
              <w:tl2br w:val="nil"/>
              <w:tr2bl w:val="nil"/>
            </w:tcBorders>
            <w:shd w:val="clear" w:color="auto" w:fill="auto"/>
            <w:vAlign w:val="center"/>
          </w:tcPr>
          <w:p w14:paraId="677D0C12">
            <w:pPr>
              <w:jc w:val="center"/>
              <w:rPr>
                <w:rFonts w:eastAsia="宋体"/>
                <w:b w:val="0"/>
                <w:bCs w:val="0"/>
                <w:color w:val="auto"/>
                <w:sz w:val="21"/>
                <w:szCs w:val="21"/>
                <w:lang w:val="en-US" w:eastAsia="zh-CN"/>
              </w:rPr>
            </w:pPr>
            <w:r>
              <w:rPr>
                <w:rFonts w:eastAsia="宋体"/>
                <w:b w:val="0"/>
                <w:bCs w:val="0"/>
                <w:color w:val="auto"/>
                <w:sz w:val="21"/>
                <w:szCs w:val="21"/>
              </w:rPr>
              <w:t>181</w:t>
            </w:r>
          </w:p>
        </w:tc>
        <w:tc>
          <w:tcPr>
            <w:tcW w:w="339" w:type="pct"/>
            <w:tcBorders>
              <w:tl2br w:val="nil"/>
              <w:tr2bl w:val="nil"/>
            </w:tcBorders>
            <w:vAlign w:val="center"/>
          </w:tcPr>
          <w:p w14:paraId="1DE894FF">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vAlign w:val="center"/>
          </w:tcPr>
          <w:p w14:paraId="3CADCDAB">
            <w:pPr>
              <w:jc w:val="center"/>
              <w:rPr>
                <w:rFonts w:hint="default" w:eastAsia="宋体"/>
                <w:b w:val="0"/>
                <w:bCs w:val="0"/>
                <w:color w:val="auto"/>
                <w:sz w:val="21"/>
                <w:szCs w:val="21"/>
                <w:lang w:val="en-US" w:eastAsia="zh-CN"/>
              </w:rPr>
            </w:pPr>
            <w:r>
              <w:rPr>
                <w:rFonts w:hint="eastAsia" w:eastAsia="宋体"/>
                <w:b w:val="0"/>
                <w:bCs w:val="0"/>
                <w:color w:val="auto"/>
                <w:sz w:val="21"/>
                <w:szCs w:val="21"/>
                <w:lang w:val="en-US" w:eastAsia="zh-CN"/>
              </w:rPr>
              <w:t>0.3</w:t>
            </w:r>
          </w:p>
        </w:tc>
        <w:tc>
          <w:tcPr>
            <w:tcW w:w="350" w:type="pct"/>
            <w:tcBorders>
              <w:tl2br w:val="nil"/>
              <w:tr2bl w:val="nil"/>
            </w:tcBorders>
            <w:shd w:val="clear" w:color="auto" w:fill="auto"/>
            <w:vAlign w:val="center"/>
          </w:tcPr>
          <w:p w14:paraId="573E3CCE">
            <w:pPr>
              <w:jc w:val="center"/>
              <w:rPr>
                <w:rFonts w:hint="default"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42F9D99C">
            <w:pPr>
              <w:jc w:val="center"/>
              <w:rPr>
                <w:rFonts w:eastAsia="宋体"/>
                <w:b w:val="0"/>
                <w:bCs w:val="0"/>
                <w:color w:val="auto"/>
                <w:sz w:val="21"/>
                <w:szCs w:val="21"/>
                <w:lang w:val="en-US" w:eastAsia="zh-CN"/>
              </w:rPr>
            </w:pPr>
            <w:r>
              <w:rPr>
                <w:rFonts w:eastAsia="宋体"/>
                <w:b w:val="0"/>
                <w:bCs w:val="0"/>
                <w:color w:val="auto"/>
                <w:sz w:val="21"/>
                <w:szCs w:val="21"/>
              </w:rPr>
              <w:t>2.17</w:t>
            </w:r>
          </w:p>
        </w:tc>
        <w:tc>
          <w:tcPr>
            <w:tcW w:w="305" w:type="pct"/>
            <w:tcBorders>
              <w:tl2br w:val="nil"/>
              <w:tr2bl w:val="nil"/>
            </w:tcBorders>
            <w:shd w:val="clear" w:color="auto" w:fill="auto"/>
            <w:vAlign w:val="center"/>
          </w:tcPr>
          <w:p w14:paraId="329C9006">
            <w:pPr>
              <w:jc w:val="center"/>
              <w:rPr>
                <w:rFonts w:hint="eastAsia" w:eastAsia="宋体"/>
                <w:b w:val="0"/>
                <w:bCs w:val="0"/>
                <w:color w:val="auto"/>
                <w:sz w:val="21"/>
                <w:szCs w:val="21"/>
                <w:lang w:val="en-US" w:eastAsia="zh-CN"/>
              </w:rPr>
            </w:pPr>
            <w:r>
              <w:rPr>
                <w:rFonts w:eastAsia="宋体"/>
                <w:b w:val="0"/>
                <w:bCs w:val="0"/>
                <w:color w:val="auto"/>
                <w:sz w:val="21"/>
                <w:szCs w:val="21"/>
              </w:rPr>
              <w:t>0.003</w:t>
            </w:r>
          </w:p>
        </w:tc>
        <w:tc>
          <w:tcPr>
            <w:tcW w:w="312" w:type="pct"/>
            <w:tcBorders>
              <w:tl2br w:val="nil"/>
              <w:tr2bl w:val="nil"/>
            </w:tcBorders>
            <w:shd w:val="clear" w:color="auto" w:fill="auto"/>
            <w:vAlign w:val="center"/>
          </w:tcPr>
          <w:p w14:paraId="3DE091D8">
            <w:pPr>
              <w:jc w:val="center"/>
              <w:rPr>
                <w:rFonts w:hint="eastAsia" w:eastAsia="宋体"/>
                <w:b w:val="0"/>
                <w:bCs w:val="0"/>
                <w:color w:val="auto"/>
                <w:sz w:val="21"/>
                <w:szCs w:val="21"/>
                <w:lang w:val="en-US" w:eastAsia="zh-CN"/>
              </w:rPr>
            </w:pPr>
            <w:r>
              <w:rPr>
                <w:rFonts w:eastAsia="宋体"/>
                <w:b w:val="0"/>
                <w:bCs w:val="0"/>
                <w:color w:val="auto"/>
                <w:sz w:val="21"/>
                <w:szCs w:val="21"/>
              </w:rPr>
              <w:t>0.034</w:t>
            </w:r>
          </w:p>
        </w:tc>
        <w:tc>
          <w:tcPr>
            <w:tcW w:w="379" w:type="pct"/>
            <w:tcBorders>
              <w:tl2br w:val="nil"/>
              <w:tr2bl w:val="nil"/>
            </w:tcBorders>
            <w:shd w:val="clear" w:color="auto" w:fill="auto"/>
            <w:vAlign w:val="center"/>
          </w:tcPr>
          <w:p w14:paraId="7D5ECDA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552980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450D4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08AC6562">
            <w:pPr>
              <w:jc w:val="center"/>
              <w:rPr>
                <w:rFonts w:hint="eastAsia"/>
                <w:b w:val="0"/>
                <w:bCs w:val="0"/>
                <w:color w:val="auto"/>
                <w:sz w:val="21"/>
                <w:szCs w:val="21"/>
                <w:lang w:val="en-US" w:eastAsia="zh-CN"/>
              </w:rPr>
            </w:pPr>
            <w:r>
              <w:rPr>
                <w:b w:val="0"/>
                <w:bCs w:val="0"/>
                <w:color w:val="auto"/>
                <w:sz w:val="21"/>
                <w:szCs w:val="21"/>
              </w:rPr>
              <w:t>粉碎风机排气筒1</w:t>
            </w:r>
            <w:r>
              <w:rPr>
                <w:rFonts w:hint="eastAsia"/>
                <w:b w:val="0"/>
                <w:bCs w:val="0"/>
                <w:color w:val="auto"/>
                <w:sz w:val="21"/>
                <w:szCs w:val="21"/>
                <w:lang w:eastAsia="zh-CN"/>
              </w:rPr>
              <w:t>（</w:t>
            </w:r>
            <w:r>
              <w:rPr>
                <w:b w:val="0"/>
                <w:bCs w:val="0"/>
                <w:color w:val="auto"/>
                <w:sz w:val="21"/>
                <w:szCs w:val="21"/>
              </w:rPr>
              <w:t>DA005</w:t>
            </w:r>
            <w:r>
              <w:rPr>
                <w:rFonts w:hint="eastAsia"/>
                <w:b w:val="0"/>
                <w:bCs w:val="0"/>
                <w:color w:val="auto"/>
                <w:sz w:val="21"/>
                <w:szCs w:val="21"/>
                <w:lang w:eastAsia="zh-CN"/>
              </w:rPr>
              <w:t>）</w:t>
            </w:r>
          </w:p>
        </w:tc>
        <w:tc>
          <w:tcPr>
            <w:tcW w:w="574" w:type="pct"/>
            <w:tcBorders>
              <w:tl2br w:val="nil"/>
              <w:tr2bl w:val="nil"/>
            </w:tcBorders>
            <w:vAlign w:val="center"/>
          </w:tcPr>
          <w:p w14:paraId="2BFAB533">
            <w:pPr>
              <w:jc w:val="center"/>
              <w:rPr>
                <w:b w:val="0"/>
                <w:bCs w:val="0"/>
                <w:color w:val="auto"/>
                <w:sz w:val="21"/>
                <w:szCs w:val="21"/>
              </w:rPr>
            </w:pPr>
            <w:r>
              <w:rPr>
                <w:b w:val="0"/>
                <w:bCs w:val="0"/>
                <w:color w:val="auto"/>
                <w:sz w:val="21"/>
                <w:szCs w:val="21"/>
              </w:rPr>
              <w:t>124°36′27.40″</w:t>
            </w:r>
          </w:p>
        </w:tc>
        <w:tc>
          <w:tcPr>
            <w:tcW w:w="535" w:type="pct"/>
            <w:tcBorders>
              <w:tl2br w:val="nil"/>
              <w:tr2bl w:val="nil"/>
            </w:tcBorders>
            <w:vAlign w:val="center"/>
          </w:tcPr>
          <w:p w14:paraId="48BEEB33">
            <w:pPr>
              <w:jc w:val="center"/>
              <w:rPr>
                <w:b w:val="0"/>
                <w:bCs w:val="0"/>
                <w:color w:val="auto"/>
                <w:sz w:val="21"/>
                <w:szCs w:val="21"/>
              </w:rPr>
            </w:pPr>
            <w:r>
              <w:rPr>
                <w:b w:val="0"/>
                <w:bCs w:val="0"/>
                <w:color w:val="auto"/>
                <w:sz w:val="21"/>
                <w:szCs w:val="21"/>
              </w:rPr>
              <w:t>48°12′53.82″</w:t>
            </w:r>
          </w:p>
        </w:tc>
        <w:tc>
          <w:tcPr>
            <w:tcW w:w="383" w:type="pct"/>
            <w:tcBorders>
              <w:tl2br w:val="nil"/>
              <w:tr2bl w:val="nil"/>
            </w:tcBorders>
            <w:shd w:val="clear" w:color="auto" w:fill="auto"/>
            <w:vAlign w:val="center"/>
          </w:tcPr>
          <w:p w14:paraId="3C3E597F">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vAlign w:val="center"/>
          </w:tcPr>
          <w:p w14:paraId="26394E2B">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2AF146FF">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0EE61F2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3B9D44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720DB73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1941C38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D867B0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88806B4">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25782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B693E31">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2（</w:t>
            </w:r>
            <w:r>
              <w:rPr>
                <w:b w:val="0"/>
                <w:bCs w:val="0"/>
                <w:color w:val="auto"/>
                <w:sz w:val="21"/>
                <w:szCs w:val="21"/>
              </w:rPr>
              <w:t>DA006</w:t>
            </w:r>
            <w:r>
              <w:rPr>
                <w:rFonts w:hint="eastAsia"/>
                <w:b w:val="0"/>
                <w:bCs w:val="0"/>
                <w:color w:val="auto"/>
                <w:sz w:val="21"/>
                <w:szCs w:val="21"/>
                <w:lang w:val="en-US" w:eastAsia="zh-CN"/>
              </w:rPr>
              <w:t>）</w:t>
            </w:r>
          </w:p>
        </w:tc>
        <w:tc>
          <w:tcPr>
            <w:tcW w:w="574" w:type="pct"/>
            <w:tcBorders>
              <w:tl2br w:val="nil"/>
              <w:tr2bl w:val="nil"/>
            </w:tcBorders>
            <w:vAlign w:val="center"/>
          </w:tcPr>
          <w:p w14:paraId="3FBFE7DF">
            <w:pPr>
              <w:jc w:val="center"/>
              <w:rPr>
                <w:b w:val="0"/>
                <w:bCs w:val="0"/>
                <w:color w:val="auto"/>
                <w:sz w:val="21"/>
                <w:szCs w:val="21"/>
              </w:rPr>
            </w:pPr>
            <w:r>
              <w:rPr>
                <w:b w:val="0"/>
                <w:bCs w:val="0"/>
                <w:color w:val="auto"/>
                <w:sz w:val="21"/>
                <w:szCs w:val="21"/>
              </w:rPr>
              <w:t>124°36′26.39″</w:t>
            </w:r>
          </w:p>
        </w:tc>
        <w:tc>
          <w:tcPr>
            <w:tcW w:w="535" w:type="pct"/>
            <w:tcBorders>
              <w:tl2br w:val="nil"/>
              <w:tr2bl w:val="nil"/>
            </w:tcBorders>
            <w:vAlign w:val="center"/>
          </w:tcPr>
          <w:p w14:paraId="4DCA6C8B">
            <w:pPr>
              <w:jc w:val="center"/>
              <w:rPr>
                <w:b w:val="0"/>
                <w:bCs w:val="0"/>
                <w:color w:val="auto"/>
                <w:sz w:val="21"/>
                <w:szCs w:val="21"/>
              </w:rPr>
            </w:pPr>
            <w:r>
              <w:rPr>
                <w:b w:val="0"/>
                <w:bCs w:val="0"/>
                <w:color w:val="auto"/>
                <w:sz w:val="21"/>
                <w:szCs w:val="21"/>
              </w:rPr>
              <w:t>48°12′53.46″</w:t>
            </w:r>
          </w:p>
        </w:tc>
        <w:tc>
          <w:tcPr>
            <w:tcW w:w="383" w:type="pct"/>
            <w:tcBorders>
              <w:tl2br w:val="nil"/>
              <w:tr2bl w:val="nil"/>
            </w:tcBorders>
            <w:shd w:val="clear" w:color="auto" w:fill="auto"/>
            <w:vAlign w:val="center"/>
          </w:tcPr>
          <w:p w14:paraId="67FC8A9B">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23AC5172">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57586344">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68CC33F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3F18E9A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67BAEB8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01BF9E2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24C882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AE4224A">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3087A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22AA53AB">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3（</w:t>
            </w:r>
            <w:r>
              <w:rPr>
                <w:b w:val="0"/>
                <w:bCs w:val="0"/>
                <w:color w:val="auto"/>
                <w:sz w:val="21"/>
                <w:szCs w:val="21"/>
              </w:rPr>
              <w:t>DA007</w:t>
            </w:r>
            <w:r>
              <w:rPr>
                <w:rFonts w:hint="eastAsia"/>
                <w:b w:val="0"/>
                <w:bCs w:val="0"/>
                <w:color w:val="auto"/>
                <w:sz w:val="21"/>
                <w:szCs w:val="21"/>
                <w:lang w:val="en-US" w:eastAsia="zh-CN"/>
              </w:rPr>
              <w:t>）</w:t>
            </w:r>
          </w:p>
        </w:tc>
        <w:tc>
          <w:tcPr>
            <w:tcW w:w="574" w:type="pct"/>
            <w:tcBorders>
              <w:tl2br w:val="nil"/>
              <w:tr2bl w:val="nil"/>
            </w:tcBorders>
            <w:vAlign w:val="center"/>
          </w:tcPr>
          <w:p w14:paraId="59CC172D">
            <w:pPr>
              <w:jc w:val="center"/>
              <w:rPr>
                <w:b w:val="0"/>
                <w:bCs w:val="0"/>
                <w:color w:val="auto"/>
                <w:sz w:val="21"/>
                <w:szCs w:val="21"/>
              </w:rPr>
            </w:pPr>
            <w:r>
              <w:rPr>
                <w:b w:val="0"/>
                <w:bCs w:val="0"/>
                <w:color w:val="auto"/>
                <w:sz w:val="21"/>
                <w:szCs w:val="21"/>
              </w:rPr>
              <w:t>124°36′26.57″</w:t>
            </w:r>
          </w:p>
        </w:tc>
        <w:tc>
          <w:tcPr>
            <w:tcW w:w="535" w:type="pct"/>
            <w:tcBorders>
              <w:tl2br w:val="nil"/>
              <w:tr2bl w:val="nil"/>
            </w:tcBorders>
            <w:vAlign w:val="center"/>
          </w:tcPr>
          <w:p w14:paraId="2EF69360">
            <w:pPr>
              <w:jc w:val="center"/>
              <w:rPr>
                <w:b w:val="0"/>
                <w:bCs w:val="0"/>
                <w:color w:val="auto"/>
                <w:sz w:val="21"/>
                <w:szCs w:val="21"/>
              </w:rPr>
            </w:pPr>
            <w:r>
              <w:rPr>
                <w:b w:val="0"/>
                <w:bCs w:val="0"/>
                <w:color w:val="auto"/>
                <w:sz w:val="21"/>
                <w:szCs w:val="21"/>
              </w:rPr>
              <w:t>48°12′53.35″</w:t>
            </w:r>
          </w:p>
        </w:tc>
        <w:tc>
          <w:tcPr>
            <w:tcW w:w="383" w:type="pct"/>
            <w:tcBorders>
              <w:tl2br w:val="nil"/>
              <w:tr2bl w:val="nil"/>
            </w:tcBorders>
            <w:shd w:val="clear" w:color="auto" w:fill="auto"/>
            <w:vAlign w:val="center"/>
          </w:tcPr>
          <w:p w14:paraId="67E2BAE5">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795A1565">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4DF45263">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687E9E6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7FC57A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64ECEDC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1CFAC01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06F732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EF024F1">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3DAEC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4B1C5BA1">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4（</w:t>
            </w:r>
            <w:r>
              <w:rPr>
                <w:b w:val="0"/>
                <w:bCs w:val="0"/>
                <w:color w:val="auto"/>
                <w:sz w:val="21"/>
                <w:szCs w:val="21"/>
              </w:rPr>
              <w:t>DA008</w:t>
            </w:r>
            <w:r>
              <w:rPr>
                <w:rFonts w:hint="eastAsia"/>
                <w:b w:val="0"/>
                <w:bCs w:val="0"/>
                <w:color w:val="auto"/>
                <w:sz w:val="21"/>
                <w:szCs w:val="21"/>
                <w:lang w:val="en-US" w:eastAsia="zh-CN"/>
              </w:rPr>
              <w:t>）</w:t>
            </w:r>
          </w:p>
        </w:tc>
        <w:tc>
          <w:tcPr>
            <w:tcW w:w="574" w:type="pct"/>
            <w:tcBorders>
              <w:tl2br w:val="nil"/>
              <w:tr2bl w:val="nil"/>
            </w:tcBorders>
            <w:vAlign w:val="center"/>
          </w:tcPr>
          <w:p w14:paraId="565E201B">
            <w:pPr>
              <w:jc w:val="center"/>
              <w:rPr>
                <w:b w:val="0"/>
                <w:bCs w:val="0"/>
                <w:color w:val="auto"/>
                <w:sz w:val="21"/>
                <w:szCs w:val="21"/>
              </w:rPr>
            </w:pPr>
            <w:r>
              <w:rPr>
                <w:b w:val="0"/>
                <w:bCs w:val="0"/>
                <w:color w:val="auto"/>
                <w:sz w:val="21"/>
                <w:szCs w:val="21"/>
              </w:rPr>
              <w:t>124°36′27.29″</w:t>
            </w:r>
          </w:p>
        </w:tc>
        <w:tc>
          <w:tcPr>
            <w:tcW w:w="535" w:type="pct"/>
            <w:tcBorders>
              <w:tl2br w:val="nil"/>
              <w:tr2bl w:val="nil"/>
            </w:tcBorders>
            <w:vAlign w:val="center"/>
          </w:tcPr>
          <w:p w14:paraId="63BE6CE5">
            <w:pPr>
              <w:jc w:val="center"/>
              <w:rPr>
                <w:b w:val="0"/>
                <w:bCs w:val="0"/>
                <w:color w:val="auto"/>
                <w:sz w:val="21"/>
                <w:szCs w:val="21"/>
              </w:rPr>
            </w:pPr>
            <w:r>
              <w:rPr>
                <w:b w:val="0"/>
                <w:bCs w:val="0"/>
                <w:color w:val="auto"/>
                <w:sz w:val="21"/>
                <w:szCs w:val="21"/>
              </w:rPr>
              <w:t>48°12′53.39″</w:t>
            </w:r>
          </w:p>
        </w:tc>
        <w:tc>
          <w:tcPr>
            <w:tcW w:w="383" w:type="pct"/>
            <w:tcBorders>
              <w:tl2br w:val="nil"/>
              <w:tr2bl w:val="nil"/>
            </w:tcBorders>
            <w:shd w:val="clear" w:color="auto" w:fill="auto"/>
            <w:vAlign w:val="center"/>
          </w:tcPr>
          <w:p w14:paraId="364E977B">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692E5B96">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556DE1A4">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52CC628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56759E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7F82DCC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70342E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368864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67BCAEA">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6A78E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78E003F5">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5（</w:t>
            </w:r>
            <w:r>
              <w:rPr>
                <w:b w:val="0"/>
                <w:bCs w:val="0"/>
                <w:color w:val="auto"/>
                <w:sz w:val="21"/>
                <w:szCs w:val="21"/>
              </w:rPr>
              <w:t>DA009</w:t>
            </w:r>
            <w:r>
              <w:rPr>
                <w:rFonts w:hint="eastAsia"/>
                <w:b w:val="0"/>
                <w:bCs w:val="0"/>
                <w:color w:val="auto"/>
                <w:sz w:val="21"/>
                <w:szCs w:val="21"/>
                <w:lang w:val="en-US" w:eastAsia="zh-CN"/>
              </w:rPr>
              <w:t>）</w:t>
            </w:r>
          </w:p>
        </w:tc>
        <w:tc>
          <w:tcPr>
            <w:tcW w:w="574" w:type="pct"/>
            <w:tcBorders>
              <w:tl2br w:val="nil"/>
              <w:tr2bl w:val="nil"/>
            </w:tcBorders>
            <w:vAlign w:val="center"/>
          </w:tcPr>
          <w:p w14:paraId="4B098BE5">
            <w:pPr>
              <w:jc w:val="center"/>
              <w:rPr>
                <w:b w:val="0"/>
                <w:bCs w:val="0"/>
                <w:color w:val="auto"/>
                <w:sz w:val="21"/>
                <w:szCs w:val="21"/>
              </w:rPr>
            </w:pPr>
            <w:r>
              <w:rPr>
                <w:b w:val="0"/>
                <w:bCs w:val="0"/>
                <w:color w:val="auto"/>
                <w:sz w:val="21"/>
                <w:szCs w:val="21"/>
              </w:rPr>
              <w:t>124°36′26.06″</w:t>
            </w:r>
          </w:p>
        </w:tc>
        <w:tc>
          <w:tcPr>
            <w:tcW w:w="535" w:type="pct"/>
            <w:tcBorders>
              <w:tl2br w:val="nil"/>
              <w:tr2bl w:val="nil"/>
            </w:tcBorders>
            <w:vAlign w:val="center"/>
          </w:tcPr>
          <w:p w14:paraId="3A71E9F5">
            <w:pPr>
              <w:jc w:val="center"/>
              <w:rPr>
                <w:b w:val="0"/>
                <w:bCs w:val="0"/>
                <w:color w:val="auto"/>
                <w:sz w:val="21"/>
                <w:szCs w:val="21"/>
              </w:rPr>
            </w:pPr>
            <w:r>
              <w:rPr>
                <w:b w:val="0"/>
                <w:bCs w:val="0"/>
                <w:color w:val="auto"/>
                <w:sz w:val="21"/>
                <w:szCs w:val="21"/>
              </w:rPr>
              <w:t>48°12′53.50″</w:t>
            </w:r>
          </w:p>
        </w:tc>
        <w:tc>
          <w:tcPr>
            <w:tcW w:w="383" w:type="pct"/>
            <w:tcBorders>
              <w:tl2br w:val="nil"/>
              <w:tr2bl w:val="nil"/>
            </w:tcBorders>
            <w:shd w:val="clear" w:color="auto" w:fill="auto"/>
            <w:vAlign w:val="center"/>
          </w:tcPr>
          <w:p w14:paraId="6161F7B0">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vAlign w:val="center"/>
          </w:tcPr>
          <w:p w14:paraId="5A06D1F3">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641B7BD7">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5751A935">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1292B85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25408CB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AA4FD3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733D94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D7F565D">
            <w:pPr>
              <w:jc w:val="center"/>
              <w:rPr>
                <w:rFonts w:hint="eastAsia" w:eastAsia="宋体"/>
                <w:b w:val="0"/>
                <w:bCs w:val="0"/>
                <w:color w:val="auto"/>
                <w:sz w:val="21"/>
                <w:szCs w:val="21"/>
                <w:lang w:val="en-US" w:eastAsia="zh-CN"/>
              </w:rPr>
            </w:pPr>
            <w:r>
              <w:rPr>
                <w:rFonts w:eastAsia="宋体"/>
                <w:b w:val="0"/>
                <w:bCs w:val="0"/>
                <w:color w:val="auto"/>
                <w:sz w:val="21"/>
                <w:szCs w:val="21"/>
              </w:rPr>
              <w:t>0.237</w:t>
            </w:r>
          </w:p>
        </w:tc>
      </w:tr>
      <w:tr w14:paraId="79370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2D48C1B9">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6（</w:t>
            </w:r>
            <w:r>
              <w:rPr>
                <w:b w:val="0"/>
                <w:bCs w:val="0"/>
                <w:color w:val="auto"/>
                <w:sz w:val="21"/>
                <w:szCs w:val="21"/>
              </w:rPr>
              <w:t>DA010</w:t>
            </w:r>
            <w:r>
              <w:rPr>
                <w:rFonts w:hint="eastAsia"/>
                <w:b w:val="0"/>
                <w:bCs w:val="0"/>
                <w:color w:val="auto"/>
                <w:sz w:val="21"/>
                <w:szCs w:val="21"/>
                <w:lang w:val="en-US" w:eastAsia="zh-CN"/>
              </w:rPr>
              <w:t>）</w:t>
            </w:r>
          </w:p>
        </w:tc>
        <w:tc>
          <w:tcPr>
            <w:tcW w:w="574" w:type="pct"/>
            <w:tcBorders>
              <w:tl2br w:val="nil"/>
              <w:tr2bl w:val="nil"/>
            </w:tcBorders>
            <w:vAlign w:val="center"/>
          </w:tcPr>
          <w:p w14:paraId="6586B536">
            <w:pPr>
              <w:jc w:val="center"/>
              <w:rPr>
                <w:b w:val="0"/>
                <w:bCs w:val="0"/>
                <w:color w:val="auto"/>
                <w:sz w:val="21"/>
                <w:szCs w:val="21"/>
              </w:rPr>
            </w:pPr>
            <w:r>
              <w:rPr>
                <w:b w:val="0"/>
                <w:bCs w:val="0"/>
                <w:color w:val="auto"/>
                <w:sz w:val="21"/>
                <w:szCs w:val="21"/>
              </w:rPr>
              <w:t>124°36′27.04″</w:t>
            </w:r>
          </w:p>
        </w:tc>
        <w:tc>
          <w:tcPr>
            <w:tcW w:w="535" w:type="pct"/>
            <w:tcBorders>
              <w:tl2br w:val="nil"/>
              <w:tr2bl w:val="nil"/>
            </w:tcBorders>
            <w:vAlign w:val="center"/>
          </w:tcPr>
          <w:p w14:paraId="0717CD02">
            <w:pPr>
              <w:jc w:val="center"/>
              <w:rPr>
                <w:b w:val="0"/>
                <w:bCs w:val="0"/>
                <w:color w:val="auto"/>
                <w:sz w:val="21"/>
                <w:szCs w:val="21"/>
              </w:rPr>
            </w:pPr>
            <w:r>
              <w:rPr>
                <w:b w:val="0"/>
                <w:bCs w:val="0"/>
                <w:color w:val="auto"/>
                <w:sz w:val="21"/>
                <w:szCs w:val="21"/>
              </w:rPr>
              <w:t>48°12′54.18″</w:t>
            </w:r>
          </w:p>
        </w:tc>
        <w:tc>
          <w:tcPr>
            <w:tcW w:w="383" w:type="pct"/>
            <w:tcBorders>
              <w:tl2br w:val="nil"/>
              <w:tr2bl w:val="nil"/>
            </w:tcBorders>
            <w:shd w:val="clear" w:color="auto" w:fill="auto"/>
            <w:vAlign w:val="center"/>
          </w:tcPr>
          <w:p w14:paraId="1BA98C43">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vAlign w:val="center"/>
          </w:tcPr>
          <w:p w14:paraId="6C145B25">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36793B1C">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35536E9F">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7A82E0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2E481A2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7BF545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973323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1AA3CC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41B78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vAlign w:val="center"/>
          </w:tcPr>
          <w:p w14:paraId="1F30FF70">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7（</w:t>
            </w:r>
            <w:r>
              <w:rPr>
                <w:b w:val="0"/>
                <w:bCs w:val="0"/>
                <w:color w:val="auto"/>
                <w:sz w:val="21"/>
                <w:szCs w:val="21"/>
              </w:rPr>
              <w:t>DA01</w:t>
            </w:r>
            <w:r>
              <w:rPr>
                <w:rFonts w:hint="eastAsia"/>
                <w:b w:val="0"/>
                <w:bCs w:val="0"/>
                <w:color w:val="auto"/>
                <w:sz w:val="21"/>
                <w:szCs w:val="21"/>
                <w:lang w:val="en-US" w:eastAsia="zh-CN"/>
              </w:rPr>
              <w:t>4）</w:t>
            </w:r>
          </w:p>
        </w:tc>
        <w:tc>
          <w:tcPr>
            <w:tcW w:w="574" w:type="pct"/>
            <w:tcBorders>
              <w:tl2br w:val="nil"/>
              <w:tr2bl w:val="nil"/>
            </w:tcBorders>
            <w:vAlign w:val="center"/>
          </w:tcPr>
          <w:p w14:paraId="736E5BCE">
            <w:pPr>
              <w:jc w:val="center"/>
              <w:rPr>
                <w:b w:val="0"/>
                <w:bCs w:val="0"/>
                <w:color w:val="auto"/>
                <w:sz w:val="21"/>
                <w:szCs w:val="21"/>
              </w:rPr>
            </w:pPr>
            <w:r>
              <w:rPr>
                <w:b w:val="0"/>
                <w:bCs w:val="0"/>
                <w:color w:val="auto"/>
                <w:sz w:val="21"/>
                <w:szCs w:val="21"/>
              </w:rPr>
              <w:t>124°36′26.06″</w:t>
            </w:r>
          </w:p>
        </w:tc>
        <w:tc>
          <w:tcPr>
            <w:tcW w:w="535" w:type="pct"/>
            <w:tcBorders>
              <w:tl2br w:val="nil"/>
              <w:tr2bl w:val="nil"/>
            </w:tcBorders>
            <w:vAlign w:val="center"/>
          </w:tcPr>
          <w:p w14:paraId="22FC77AC">
            <w:pPr>
              <w:jc w:val="center"/>
              <w:rPr>
                <w:b w:val="0"/>
                <w:bCs w:val="0"/>
                <w:color w:val="auto"/>
                <w:sz w:val="21"/>
                <w:szCs w:val="21"/>
              </w:rPr>
            </w:pPr>
            <w:r>
              <w:rPr>
                <w:b w:val="0"/>
                <w:bCs w:val="0"/>
                <w:color w:val="auto"/>
                <w:sz w:val="21"/>
                <w:szCs w:val="21"/>
              </w:rPr>
              <w:t>48°12′54.22″</w:t>
            </w:r>
          </w:p>
        </w:tc>
        <w:tc>
          <w:tcPr>
            <w:tcW w:w="383" w:type="pct"/>
            <w:tcBorders>
              <w:tl2br w:val="nil"/>
              <w:tr2bl w:val="nil"/>
            </w:tcBorders>
            <w:shd w:val="clear" w:color="auto" w:fill="auto"/>
            <w:vAlign w:val="center"/>
          </w:tcPr>
          <w:p w14:paraId="71B53978">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vAlign w:val="center"/>
          </w:tcPr>
          <w:p w14:paraId="0D886A92">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vAlign w:val="center"/>
          </w:tcPr>
          <w:p w14:paraId="18B0495E">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44FA87DA">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14CBEF9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7363B50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51C5B0D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B5BC54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870854F">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0B23A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vAlign w:val="center"/>
          </w:tcPr>
          <w:p w14:paraId="43EED557">
            <w:pPr>
              <w:jc w:val="center"/>
              <w:rPr>
                <w:rFonts w:hint="eastAsia"/>
                <w:b w:val="0"/>
                <w:bCs w:val="0"/>
                <w:color w:val="auto"/>
                <w:sz w:val="21"/>
                <w:szCs w:val="21"/>
                <w:lang w:val="en-US" w:eastAsia="zh-CN"/>
              </w:rPr>
            </w:pPr>
            <w:r>
              <w:rPr>
                <w:b w:val="0"/>
                <w:bCs w:val="0"/>
                <w:color w:val="auto"/>
                <w:sz w:val="21"/>
                <w:szCs w:val="21"/>
              </w:rPr>
              <w:t>粉碎风机排气筒</w:t>
            </w:r>
            <w:r>
              <w:rPr>
                <w:rFonts w:hint="eastAsia"/>
                <w:b w:val="0"/>
                <w:bCs w:val="0"/>
                <w:color w:val="auto"/>
                <w:sz w:val="21"/>
                <w:szCs w:val="21"/>
                <w:lang w:val="en-US" w:eastAsia="zh-CN"/>
              </w:rPr>
              <w:t>8（</w:t>
            </w:r>
            <w:r>
              <w:rPr>
                <w:b w:val="0"/>
                <w:bCs w:val="0"/>
                <w:color w:val="auto"/>
                <w:sz w:val="21"/>
                <w:szCs w:val="21"/>
              </w:rPr>
              <w:t>DA01</w:t>
            </w:r>
            <w:r>
              <w:rPr>
                <w:rFonts w:hint="eastAsia"/>
                <w:b w:val="0"/>
                <w:bCs w:val="0"/>
                <w:color w:val="auto"/>
                <w:sz w:val="21"/>
                <w:szCs w:val="21"/>
                <w:lang w:val="en-US" w:eastAsia="zh-CN"/>
              </w:rPr>
              <w:t>5）</w:t>
            </w:r>
          </w:p>
        </w:tc>
        <w:tc>
          <w:tcPr>
            <w:tcW w:w="574" w:type="pct"/>
            <w:tcBorders>
              <w:tl2br w:val="nil"/>
              <w:tr2bl w:val="nil"/>
            </w:tcBorders>
            <w:vAlign w:val="center"/>
          </w:tcPr>
          <w:p w14:paraId="7A24B0D9">
            <w:pPr>
              <w:jc w:val="center"/>
              <w:rPr>
                <w:b w:val="0"/>
                <w:bCs w:val="0"/>
                <w:color w:val="auto"/>
                <w:sz w:val="21"/>
                <w:szCs w:val="21"/>
              </w:rPr>
            </w:pPr>
            <w:r>
              <w:rPr>
                <w:b w:val="0"/>
                <w:bCs w:val="0"/>
                <w:color w:val="auto"/>
                <w:sz w:val="21"/>
                <w:szCs w:val="21"/>
              </w:rPr>
              <w:t>124°36′26.32″</w:t>
            </w:r>
          </w:p>
        </w:tc>
        <w:tc>
          <w:tcPr>
            <w:tcW w:w="535" w:type="pct"/>
            <w:tcBorders>
              <w:tl2br w:val="nil"/>
              <w:tr2bl w:val="nil"/>
            </w:tcBorders>
            <w:vAlign w:val="center"/>
          </w:tcPr>
          <w:p w14:paraId="297A25DB">
            <w:pPr>
              <w:jc w:val="center"/>
              <w:rPr>
                <w:b w:val="0"/>
                <w:bCs w:val="0"/>
                <w:color w:val="auto"/>
                <w:sz w:val="21"/>
                <w:szCs w:val="21"/>
              </w:rPr>
            </w:pPr>
            <w:r>
              <w:rPr>
                <w:b w:val="0"/>
                <w:bCs w:val="0"/>
                <w:color w:val="auto"/>
                <w:sz w:val="21"/>
                <w:szCs w:val="21"/>
              </w:rPr>
              <w:t>48°12′54.22″</w:t>
            </w:r>
          </w:p>
        </w:tc>
        <w:tc>
          <w:tcPr>
            <w:tcW w:w="383" w:type="pct"/>
            <w:tcBorders>
              <w:tl2br w:val="nil"/>
              <w:tr2bl w:val="nil"/>
            </w:tcBorders>
            <w:shd w:val="clear" w:color="auto" w:fill="auto"/>
            <w:vAlign w:val="center"/>
          </w:tcPr>
          <w:p w14:paraId="50F01F1D">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69B12F31">
            <w:pPr>
              <w:jc w:val="center"/>
              <w:rPr>
                <w:rFonts w:eastAsia="宋体"/>
                <w:b w:val="0"/>
                <w:bCs w:val="0"/>
                <w:color w:val="auto"/>
                <w:sz w:val="21"/>
                <w:szCs w:val="21"/>
                <w:lang w:val="en-US" w:eastAsia="en-US"/>
              </w:rPr>
            </w:pPr>
            <w:r>
              <w:rPr>
                <w:rFonts w:eastAsia="宋体"/>
                <w:b w:val="0"/>
                <w:bCs w:val="0"/>
                <w:color w:val="auto"/>
                <w:sz w:val="21"/>
                <w:szCs w:val="21"/>
              </w:rPr>
              <w:t>22.5</w:t>
            </w:r>
          </w:p>
        </w:tc>
        <w:tc>
          <w:tcPr>
            <w:tcW w:w="305" w:type="pct"/>
            <w:tcBorders>
              <w:tl2br w:val="nil"/>
              <w:tr2bl w:val="nil"/>
            </w:tcBorders>
            <w:shd w:val="clear" w:color="auto" w:fill="auto"/>
            <w:vAlign w:val="center"/>
          </w:tcPr>
          <w:p w14:paraId="169BF712">
            <w:pPr>
              <w:jc w:val="center"/>
              <w:rPr>
                <w:rFonts w:eastAsia="宋体"/>
                <w:b w:val="0"/>
                <w:bCs w:val="0"/>
                <w:color w:val="auto"/>
                <w:sz w:val="21"/>
                <w:szCs w:val="21"/>
                <w:lang w:val="en-US" w:eastAsia="en-US"/>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5F29865F">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E5333C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28.2</w:t>
            </w:r>
          </w:p>
        </w:tc>
        <w:tc>
          <w:tcPr>
            <w:tcW w:w="305" w:type="pct"/>
            <w:tcBorders>
              <w:tl2br w:val="nil"/>
              <w:tr2bl w:val="nil"/>
            </w:tcBorders>
            <w:shd w:val="clear" w:color="auto" w:fill="auto"/>
            <w:vAlign w:val="center"/>
          </w:tcPr>
          <w:p w14:paraId="6AF57E1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258BE0C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C36037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E325ED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42335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EBEF45F">
            <w:pPr>
              <w:jc w:val="center"/>
              <w:rPr>
                <w:rFonts w:hint="eastAsia" w:eastAsia="宋体"/>
                <w:b w:val="0"/>
                <w:bCs w:val="0"/>
                <w:color w:val="auto"/>
                <w:sz w:val="21"/>
                <w:szCs w:val="21"/>
                <w:lang w:val="en-US" w:eastAsia="zh-CN"/>
              </w:rPr>
            </w:pPr>
            <w:r>
              <w:rPr>
                <w:b w:val="0"/>
                <w:bCs w:val="0"/>
                <w:color w:val="auto"/>
                <w:sz w:val="21"/>
                <w:szCs w:val="21"/>
              </w:rPr>
              <w:t>粉碎风机排气筒10</w:t>
            </w:r>
            <w:r>
              <w:rPr>
                <w:rFonts w:hint="eastAsia"/>
                <w:b w:val="0"/>
                <w:bCs w:val="0"/>
                <w:color w:val="auto"/>
                <w:sz w:val="21"/>
                <w:szCs w:val="21"/>
                <w:lang w:eastAsia="zh-CN"/>
              </w:rPr>
              <w:t>（</w:t>
            </w:r>
            <w:r>
              <w:rPr>
                <w:b w:val="0"/>
                <w:bCs w:val="0"/>
                <w:color w:val="auto"/>
                <w:sz w:val="21"/>
                <w:szCs w:val="21"/>
              </w:rPr>
              <w:t>DA018</w:t>
            </w:r>
            <w:r>
              <w:rPr>
                <w:rFonts w:hint="eastAsia"/>
                <w:b w:val="0"/>
                <w:bCs w:val="0"/>
                <w:color w:val="auto"/>
                <w:sz w:val="21"/>
                <w:szCs w:val="21"/>
                <w:lang w:eastAsia="zh-CN"/>
              </w:rPr>
              <w:t>）</w:t>
            </w:r>
          </w:p>
        </w:tc>
        <w:tc>
          <w:tcPr>
            <w:tcW w:w="574" w:type="pct"/>
            <w:tcBorders>
              <w:tl2br w:val="nil"/>
              <w:tr2bl w:val="nil"/>
            </w:tcBorders>
            <w:vAlign w:val="center"/>
          </w:tcPr>
          <w:p w14:paraId="35998EEC">
            <w:pPr>
              <w:jc w:val="center"/>
              <w:rPr>
                <w:b w:val="0"/>
                <w:bCs w:val="0"/>
                <w:color w:val="auto"/>
                <w:sz w:val="21"/>
                <w:szCs w:val="21"/>
              </w:rPr>
            </w:pPr>
            <w:r>
              <w:rPr>
                <w:b w:val="0"/>
                <w:bCs w:val="0"/>
                <w:color w:val="auto"/>
                <w:sz w:val="21"/>
                <w:szCs w:val="21"/>
              </w:rPr>
              <w:t>124°36′26.21″</w:t>
            </w:r>
          </w:p>
        </w:tc>
        <w:tc>
          <w:tcPr>
            <w:tcW w:w="535" w:type="pct"/>
            <w:tcBorders>
              <w:tl2br w:val="nil"/>
              <w:tr2bl w:val="nil"/>
            </w:tcBorders>
            <w:vAlign w:val="center"/>
          </w:tcPr>
          <w:p w14:paraId="671A07EE">
            <w:pPr>
              <w:jc w:val="center"/>
              <w:rPr>
                <w:b w:val="0"/>
                <w:bCs w:val="0"/>
                <w:color w:val="auto"/>
                <w:sz w:val="21"/>
                <w:szCs w:val="21"/>
              </w:rPr>
            </w:pPr>
            <w:r>
              <w:rPr>
                <w:b w:val="0"/>
                <w:bCs w:val="0"/>
                <w:color w:val="auto"/>
                <w:sz w:val="21"/>
                <w:szCs w:val="21"/>
              </w:rPr>
              <w:t>48°12′56.09″</w:t>
            </w:r>
          </w:p>
        </w:tc>
        <w:tc>
          <w:tcPr>
            <w:tcW w:w="383" w:type="pct"/>
            <w:tcBorders>
              <w:tl2br w:val="nil"/>
              <w:tr2bl w:val="nil"/>
            </w:tcBorders>
            <w:shd w:val="clear" w:color="auto" w:fill="auto"/>
            <w:vAlign w:val="center"/>
          </w:tcPr>
          <w:p w14:paraId="1EEF4B4B">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0AAE5AD7">
            <w:pPr>
              <w:jc w:val="center"/>
              <w:rPr>
                <w:rFonts w:eastAsia="宋体"/>
                <w:b w:val="0"/>
                <w:bCs w:val="0"/>
                <w:color w:val="auto"/>
                <w:sz w:val="21"/>
                <w:szCs w:val="21"/>
                <w:lang w:val="en-US" w:eastAsia="en-US"/>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7C9F6D32">
            <w:pPr>
              <w:jc w:val="center"/>
              <w:rPr>
                <w:rFonts w:eastAsia="宋体"/>
                <w:b w:val="0"/>
                <w:bCs w:val="0"/>
                <w:color w:val="auto"/>
                <w:sz w:val="21"/>
                <w:szCs w:val="21"/>
                <w:lang w:val="en-US" w:eastAsia="en-US"/>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53E78F75">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4B401F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68C6C2D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01D70CD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DB59BD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47E1727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0D867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BDA515B">
            <w:pPr>
              <w:jc w:val="center"/>
              <w:rPr>
                <w:rFonts w:hint="eastAsia" w:eastAsia="宋体"/>
                <w:b w:val="0"/>
                <w:bCs w:val="0"/>
                <w:color w:val="auto"/>
                <w:sz w:val="21"/>
                <w:szCs w:val="21"/>
                <w:lang w:val="en-US" w:eastAsia="zh-CN"/>
              </w:rPr>
            </w:pPr>
            <w:r>
              <w:rPr>
                <w:b w:val="0"/>
                <w:bCs w:val="0"/>
                <w:color w:val="auto"/>
                <w:sz w:val="21"/>
                <w:szCs w:val="21"/>
              </w:rPr>
              <w:t>粉碎风机排气筒20</w:t>
            </w:r>
            <w:r>
              <w:rPr>
                <w:rFonts w:hint="eastAsia"/>
                <w:b w:val="0"/>
                <w:bCs w:val="0"/>
                <w:color w:val="auto"/>
                <w:sz w:val="21"/>
                <w:szCs w:val="21"/>
                <w:lang w:eastAsia="zh-CN"/>
              </w:rPr>
              <w:t>（</w:t>
            </w:r>
            <w:r>
              <w:rPr>
                <w:b w:val="0"/>
                <w:bCs w:val="0"/>
                <w:color w:val="auto"/>
                <w:sz w:val="21"/>
                <w:szCs w:val="21"/>
              </w:rPr>
              <w:t>DA019</w:t>
            </w:r>
            <w:r>
              <w:rPr>
                <w:rFonts w:hint="eastAsia"/>
                <w:b w:val="0"/>
                <w:bCs w:val="0"/>
                <w:color w:val="auto"/>
                <w:sz w:val="21"/>
                <w:szCs w:val="21"/>
                <w:lang w:eastAsia="zh-CN"/>
              </w:rPr>
              <w:t>）</w:t>
            </w:r>
          </w:p>
        </w:tc>
        <w:tc>
          <w:tcPr>
            <w:tcW w:w="574" w:type="pct"/>
            <w:tcBorders>
              <w:tl2br w:val="nil"/>
              <w:tr2bl w:val="nil"/>
            </w:tcBorders>
            <w:vAlign w:val="center"/>
          </w:tcPr>
          <w:p w14:paraId="43B446D3">
            <w:pPr>
              <w:jc w:val="center"/>
              <w:rPr>
                <w:b w:val="0"/>
                <w:bCs w:val="0"/>
                <w:color w:val="auto"/>
                <w:sz w:val="21"/>
                <w:szCs w:val="21"/>
              </w:rPr>
            </w:pPr>
            <w:r>
              <w:rPr>
                <w:b w:val="0"/>
                <w:bCs w:val="0"/>
                <w:color w:val="auto"/>
                <w:sz w:val="21"/>
                <w:szCs w:val="21"/>
              </w:rPr>
              <w:t>124°36′26.39″</w:t>
            </w:r>
          </w:p>
        </w:tc>
        <w:tc>
          <w:tcPr>
            <w:tcW w:w="535" w:type="pct"/>
            <w:tcBorders>
              <w:tl2br w:val="nil"/>
              <w:tr2bl w:val="nil"/>
            </w:tcBorders>
            <w:vAlign w:val="center"/>
          </w:tcPr>
          <w:p w14:paraId="7AFC850A">
            <w:pPr>
              <w:jc w:val="center"/>
              <w:rPr>
                <w:b w:val="0"/>
                <w:bCs w:val="0"/>
                <w:color w:val="auto"/>
                <w:sz w:val="21"/>
                <w:szCs w:val="21"/>
              </w:rPr>
            </w:pPr>
            <w:r>
              <w:rPr>
                <w:b w:val="0"/>
                <w:bCs w:val="0"/>
                <w:color w:val="auto"/>
                <w:sz w:val="21"/>
                <w:szCs w:val="21"/>
              </w:rPr>
              <w:t>48°12′56.05″</w:t>
            </w:r>
          </w:p>
        </w:tc>
        <w:tc>
          <w:tcPr>
            <w:tcW w:w="383" w:type="pct"/>
            <w:tcBorders>
              <w:tl2br w:val="nil"/>
              <w:tr2bl w:val="nil"/>
            </w:tcBorders>
            <w:shd w:val="clear" w:color="auto" w:fill="auto"/>
            <w:vAlign w:val="center"/>
          </w:tcPr>
          <w:p w14:paraId="375B535F">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4867C2A8">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699F6B33">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131EA73D">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2B8E169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76CFDD1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C52847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4AC398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B92FF2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075EE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4B4FFD2A">
            <w:pPr>
              <w:jc w:val="center"/>
              <w:rPr>
                <w:rFonts w:hint="eastAsia" w:eastAsia="宋体"/>
                <w:b w:val="0"/>
                <w:bCs w:val="0"/>
                <w:color w:val="auto"/>
                <w:sz w:val="21"/>
                <w:szCs w:val="21"/>
                <w:lang w:val="en-US" w:eastAsia="zh-CN"/>
              </w:rPr>
            </w:pPr>
            <w:r>
              <w:rPr>
                <w:b w:val="0"/>
                <w:bCs w:val="0"/>
                <w:color w:val="auto"/>
                <w:sz w:val="21"/>
                <w:szCs w:val="21"/>
              </w:rPr>
              <w:t>粉碎风机排气筒11</w:t>
            </w:r>
            <w:r>
              <w:rPr>
                <w:rFonts w:hint="eastAsia"/>
                <w:b w:val="0"/>
                <w:bCs w:val="0"/>
                <w:color w:val="auto"/>
                <w:sz w:val="21"/>
                <w:szCs w:val="21"/>
                <w:lang w:eastAsia="zh-CN"/>
              </w:rPr>
              <w:t>（</w:t>
            </w:r>
            <w:r>
              <w:rPr>
                <w:b w:val="0"/>
                <w:bCs w:val="0"/>
                <w:color w:val="auto"/>
                <w:sz w:val="21"/>
                <w:szCs w:val="21"/>
              </w:rPr>
              <w:t>DA020</w:t>
            </w:r>
            <w:r>
              <w:rPr>
                <w:rFonts w:hint="eastAsia"/>
                <w:b w:val="0"/>
                <w:bCs w:val="0"/>
                <w:color w:val="auto"/>
                <w:sz w:val="21"/>
                <w:szCs w:val="21"/>
                <w:lang w:eastAsia="zh-CN"/>
              </w:rPr>
              <w:t>）</w:t>
            </w:r>
          </w:p>
        </w:tc>
        <w:tc>
          <w:tcPr>
            <w:tcW w:w="574" w:type="pct"/>
            <w:tcBorders>
              <w:tl2br w:val="nil"/>
              <w:tr2bl w:val="nil"/>
            </w:tcBorders>
            <w:vAlign w:val="center"/>
          </w:tcPr>
          <w:p w14:paraId="442ED22C">
            <w:pPr>
              <w:jc w:val="center"/>
              <w:rPr>
                <w:b w:val="0"/>
                <w:bCs w:val="0"/>
                <w:color w:val="auto"/>
                <w:sz w:val="21"/>
                <w:szCs w:val="21"/>
              </w:rPr>
            </w:pPr>
            <w:r>
              <w:rPr>
                <w:b w:val="0"/>
                <w:bCs w:val="0"/>
                <w:color w:val="auto"/>
                <w:sz w:val="21"/>
                <w:szCs w:val="21"/>
              </w:rPr>
              <w:t>124°36′26.60″</w:t>
            </w:r>
          </w:p>
        </w:tc>
        <w:tc>
          <w:tcPr>
            <w:tcW w:w="535" w:type="pct"/>
            <w:tcBorders>
              <w:tl2br w:val="nil"/>
              <w:tr2bl w:val="nil"/>
            </w:tcBorders>
            <w:vAlign w:val="center"/>
          </w:tcPr>
          <w:p w14:paraId="42979DA6">
            <w:pPr>
              <w:jc w:val="center"/>
              <w:rPr>
                <w:b w:val="0"/>
                <w:bCs w:val="0"/>
                <w:color w:val="auto"/>
                <w:sz w:val="21"/>
                <w:szCs w:val="21"/>
              </w:rPr>
            </w:pPr>
            <w:r>
              <w:rPr>
                <w:b w:val="0"/>
                <w:bCs w:val="0"/>
                <w:color w:val="auto"/>
                <w:sz w:val="21"/>
                <w:szCs w:val="21"/>
              </w:rPr>
              <w:t>48°12′56.09″</w:t>
            </w:r>
          </w:p>
        </w:tc>
        <w:tc>
          <w:tcPr>
            <w:tcW w:w="383" w:type="pct"/>
            <w:tcBorders>
              <w:tl2br w:val="nil"/>
              <w:tr2bl w:val="nil"/>
            </w:tcBorders>
            <w:shd w:val="clear" w:color="auto" w:fill="auto"/>
            <w:vAlign w:val="center"/>
          </w:tcPr>
          <w:p w14:paraId="1B74930E">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40ADFD6E">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4C7FAE5A">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3614B591">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04A8E5F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596971E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59952C2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A7E36F2">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E071D7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1F6C1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7D2F76F6">
            <w:pPr>
              <w:jc w:val="center"/>
              <w:rPr>
                <w:rFonts w:hint="eastAsia" w:eastAsia="宋体"/>
                <w:b w:val="0"/>
                <w:bCs w:val="0"/>
                <w:color w:val="auto"/>
                <w:sz w:val="21"/>
                <w:szCs w:val="21"/>
                <w:lang w:val="en-US" w:eastAsia="zh-CN"/>
              </w:rPr>
            </w:pPr>
            <w:r>
              <w:rPr>
                <w:b w:val="0"/>
                <w:bCs w:val="0"/>
                <w:color w:val="auto"/>
                <w:sz w:val="21"/>
                <w:szCs w:val="21"/>
              </w:rPr>
              <w:t>粉碎风机排气筒9</w:t>
            </w:r>
            <w:r>
              <w:rPr>
                <w:rFonts w:hint="eastAsia"/>
                <w:b w:val="0"/>
                <w:bCs w:val="0"/>
                <w:color w:val="auto"/>
                <w:sz w:val="21"/>
                <w:szCs w:val="21"/>
                <w:lang w:eastAsia="zh-CN"/>
              </w:rPr>
              <w:t>（</w:t>
            </w:r>
            <w:r>
              <w:rPr>
                <w:b w:val="0"/>
                <w:bCs w:val="0"/>
                <w:color w:val="auto"/>
                <w:sz w:val="21"/>
                <w:szCs w:val="21"/>
              </w:rPr>
              <w:t>DA021</w:t>
            </w:r>
            <w:r>
              <w:rPr>
                <w:rFonts w:hint="eastAsia"/>
                <w:b w:val="0"/>
                <w:bCs w:val="0"/>
                <w:color w:val="auto"/>
                <w:sz w:val="21"/>
                <w:szCs w:val="21"/>
                <w:lang w:eastAsia="zh-CN"/>
              </w:rPr>
              <w:t>）</w:t>
            </w:r>
          </w:p>
        </w:tc>
        <w:tc>
          <w:tcPr>
            <w:tcW w:w="574" w:type="pct"/>
            <w:tcBorders>
              <w:tl2br w:val="nil"/>
              <w:tr2bl w:val="nil"/>
            </w:tcBorders>
            <w:vAlign w:val="center"/>
          </w:tcPr>
          <w:p w14:paraId="461EA4E4">
            <w:pPr>
              <w:jc w:val="center"/>
              <w:rPr>
                <w:b w:val="0"/>
                <w:bCs w:val="0"/>
                <w:color w:val="auto"/>
                <w:sz w:val="21"/>
                <w:szCs w:val="21"/>
              </w:rPr>
            </w:pPr>
            <w:r>
              <w:rPr>
                <w:b w:val="0"/>
                <w:bCs w:val="0"/>
                <w:color w:val="auto"/>
                <w:sz w:val="21"/>
                <w:szCs w:val="21"/>
              </w:rPr>
              <w:t>124°36′26.86″</w:t>
            </w:r>
          </w:p>
        </w:tc>
        <w:tc>
          <w:tcPr>
            <w:tcW w:w="535" w:type="pct"/>
            <w:tcBorders>
              <w:tl2br w:val="nil"/>
              <w:tr2bl w:val="nil"/>
            </w:tcBorders>
            <w:vAlign w:val="center"/>
          </w:tcPr>
          <w:p w14:paraId="489092E0">
            <w:pPr>
              <w:jc w:val="center"/>
              <w:rPr>
                <w:b w:val="0"/>
                <w:bCs w:val="0"/>
                <w:color w:val="auto"/>
                <w:sz w:val="21"/>
                <w:szCs w:val="21"/>
              </w:rPr>
            </w:pPr>
            <w:r>
              <w:rPr>
                <w:b w:val="0"/>
                <w:bCs w:val="0"/>
                <w:color w:val="auto"/>
                <w:sz w:val="21"/>
                <w:szCs w:val="21"/>
              </w:rPr>
              <w:t>48°12′56.12″</w:t>
            </w:r>
          </w:p>
        </w:tc>
        <w:tc>
          <w:tcPr>
            <w:tcW w:w="383" w:type="pct"/>
            <w:tcBorders>
              <w:tl2br w:val="nil"/>
              <w:tr2bl w:val="nil"/>
            </w:tcBorders>
            <w:shd w:val="clear" w:color="auto" w:fill="auto"/>
            <w:vAlign w:val="center"/>
          </w:tcPr>
          <w:p w14:paraId="5E93324B">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63B39DE9">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4F5C6755">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6C2FCD64">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D19575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543D596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6E77B7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BA560C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56B989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371B9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598C8CBC">
            <w:pPr>
              <w:jc w:val="center"/>
              <w:rPr>
                <w:rFonts w:hint="default" w:eastAsia="宋体"/>
                <w:b w:val="0"/>
                <w:bCs w:val="0"/>
                <w:color w:val="auto"/>
                <w:sz w:val="21"/>
                <w:szCs w:val="21"/>
                <w:lang w:val="en-US" w:eastAsia="zh-CN"/>
              </w:rPr>
            </w:pPr>
            <w:r>
              <w:rPr>
                <w:b w:val="0"/>
                <w:bCs w:val="0"/>
                <w:color w:val="auto"/>
                <w:sz w:val="21"/>
                <w:szCs w:val="21"/>
              </w:rPr>
              <w:t>粉碎风机排气筒14</w:t>
            </w:r>
            <w:r>
              <w:rPr>
                <w:rFonts w:hint="eastAsia"/>
                <w:b w:val="0"/>
                <w:bCs w:val="0"/>
                <w:color w:val="auto"/>
                <w:sz w:val="21"/>
                <w:szCs w:val="21"/>
                <w:lang w:eastAsia="zh-CN"/>
              </w:rPr>
              <w:t>（</w:t>
            </w:r>
            <w:r>
              <w:rPr>
                <w:b w:val="0"/>
                <w:bCs w:val="0"/>
                <w:color w:val="auto"/>
                <w:sz w:val="21"/>
                <w:szCs w:val="21"/>
              </w:rPr>
              <w:t>DA022</w:t>
            </w:r>
            <w:r>
              <w:rPr>
                <w:rFonts w:hint="eastAsia"/>
                <w:b w:val="0"/>
                <w:bCs w:val="0"/>
                <w:color w:val="auto"/>
                <w:sz w:val="21"/>
                <w:szCs w:val="21"/>
                <w:lang w:eastAsia="zh-CN"/>
              </w:rPr>
              <w:t>）</w:t>
            </w:r>
          </w:p>
        </w:tc>
        <w:tc>
          <w:tcPr>
            <w:tcW w:w="574" w:type="pct"/>
            <w:tcBorders>
              <w:tl2br w:val="nil"/>
              <w:tr2bl w:val="nil"/>
            </w:tcBorders>
            <w:vAlign w:val="center"/>
          </w:tcPr>
          <w:p w14:paraId="214DA69A">
            <w:pPr>
              <w:jc w:val="center"/>
              <w:rPr>
                <w:b w:val="0"/>
                <w:bCs w:val="0"/>
                <w:color w:val="auto"/>
                <w:sz w:val="21"/>
                <w:szCs w:val="21"/>
              </w:rPr>
            </w:pPr>
            <w:r>
              <w:rPr>
                <w:b w:val="0"/>
                <w:bCs w:val="0"/>
                <w:color w:val="auto"/>
                <w:sz w:val="21"/>
                <w:szCs w:val="21"/>
              </w:rPr>
              <w:t>124°36′27.22″</w:t>
            </w:r>
          </w:p>
        </w:tc>
        <w:tc>
          <w:tcPr>
            <w:tcW w:w="535" w:type="pct"/>
            <w:tcBorders>
              <w:tl2br w:val="nil"/>
              <w:tr2bl w:val="nil"/>
            </w:tcBorders>
            <w:vAlign w:val="center"/>
          </w:tcPr>
          <w:p w14:paraId="397D7AC3">
            <w:pPr>
              <w:jc w:val="center"/>
              <w:rPr>
                <w:b w:val="0"/>
                <w:bCs w:val="0"/>
                <w:color w:val="auto"/>
                <w:sz w:val="21"/>
                <w:szCs w:val="21"/>
              </w:rPr>
            </w:pPr>
            <w:r>
              <w:rPr>
                <w:b w:val="0"/>
                <w:bCs w:val="0"/>
                <w:color w:val="auto"/>
                <w:sz w:val="21"/>
                <w:szCs w:val="21"/>
              </w:rPr>
              <w:t>48°12′56.05″</w:t>
            </w:r>
          </w:p>
        </w:tc>
        <w:tc>
          <w:tcPr>
            <w:tcW w:w="383" w:type="pct"/>
            <w:tcBorders>
              <w:tl2br w:val="nil"/>
              <w:tr2bl w:val="nil"/>
            </w:tcBorders>
            <w:shd w:val="clear" w:color="auto" w:fill="auto"/>
            <w:vAlign w:val="center"/>
          </w:tcPr>
          <w:p w14:paraId="32BEAB1D">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561C5A88">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79341233">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178FD78C">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244191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15392C0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1DAE56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55672B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DEC63B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4CB31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48E7BDEB">
            <w:pPr>
              <w:jc w:val="center"/>
              <w:rPr>
                <w:rFonts w:hint="default" w:eastAsia="宋体"/>
                <w:b w:val="0"/>
                <w:bCs w:val="0"/>
                <w:color w:val="auto"/>
                <w:sz w:val="21"/>
                <w:szCs w:val="21"/>
                <w:lang w:val="en-US" w:eastAsia="zh-CN"/>
              </w:rPr>
            </w:pPr>
            <w:r>
              <w:rPr>
                <w:b w:val="0"/>
                <w:bCs w:val="0"/>
                <w:color w:val="auto"/>
                <w:sz w:val="21"/>
                <w:szCs w:val="21"/>
              </w:rPr>
              <w:t>粉碎风机排气筒12</w:t>
            </w:r>
            <w:r>
              <w:rPr>
                <w:rFonts w:hint="eastAsia"/>
                <w:b w:val="0"/>
                <w:bCs w:val="0"/>
                <w:color w:val="auto"/>
                <w:sz w:val="21"/>
                <w:szCs w:val="21"/>
                <w:lang w:eastAsia="zh-CN"/>
              </w:rPr>
              <w:t>（</w:t>
            </w:r>
            <w:r>
              <w:rPr>
                <w:b w:val="0"/>
                <w:bCs w:val="0"/>
                <w:color w:val="auto"/>
                <w:sz w:val="21"/>
                <w:szCs w:val="21"/>
              </w:rPr>
              <w:t>DA023</w:t>
            </w:r>
            <w:r>
              <w:rPr>
                <w:rFonts w:hint="eastAsia"/>
                <w:b w:val="0"/>
                <w:bCs w:val="0"/>
                <w:color w:val="auto"/>
                <w:sz w:val="21"/>
                <w:szCs w:val="21"/>
                <w:lang w:eastAsia="zh-CN"/>
              </w:rPr>
              <w:t>）</w:t>
            </w:r>
          </w:p>
        </w:tc>
        <w:tc>
          <w:tcPr>
            <w:tcW w:w="574" w:type="pct"/>
            <w:tcBorders>
              <w:tl2br w:val="nil"/>
              <w:tr2bl w:val="nil"/>
            </w:tcBorders>
            <w:vAlign w:val="center"/>
          </w:tcPr>
          <w:p w14:paraId="755231BC">
            <w:pPr>
              <w:jc w:val="center"/>
              <w:rPr>
                <w:b w:val="0"/>
                <w:bCs w:val="0"/>
                <w:color w:val="auto"/>
                <w:sz w:val="21"/>
                <w:szCs w:val="21"/>
              </w:rPr>
            </w:pPr>
            <w:r>
              <w:rPr>
                <w:b w:val="0"/>
                <w:bCs w:val="0"/>
                <w:color w:val="auto"/>
                <w:sz w:val="21"/>
                <w:szCs w:val="21"/>
              </w:rPr>
              <w:t>124°36′27.40″</w:t>
            </w:r>
          </w:p>
        </w:tc>
        <w:tc>
          <w:tcPr>
            <w:tcW w:w="535" w:type="pct"/>
            <w:tcBorders>
              <w:tl2br w:val="nil"/>
              <w:tr2bl w:val="nil"/>
            </w:tcBorders>
            <w:vAlign w:val="center"/>
          </w:tcPr>
          <w:p w14:paraId="3B1529B4">
            <w:pPr>
              <w:jc w:val="center"/>
              <w:rPr>
                <w:b w:val="0"/>
                <w:bCs w:val="0"/>
                <w:color w:val="auto"/>
                <w:sz w:val="21"/>
                <w:szCs w:val="21"/>
              </w:rPr>
            </w:pPr>
            <w:r>
              <w:rPr>
                <w:b w:val="0"/>
                <w:bCs w:val="0"/>
                <w:color w:val="auto"/>
                <w:sz w:val="21"/>
                <w:szCs w:val="21"/>
              </w:rPr>
              <w:t>48°12′56.09″</w:t>
            </w:r>
          </w:p>
        </w:tc>
        <w:tc>
          <w:tcPr>
            <w:tcW w:w="383" w:type="pct"/>
            <w:tcBorders>
              <w:tl2br w:val="nil"/>
              <w:tr2bl w:val="nil"/>
            </w:tcBorders>
            <w:shd w:val="clear" w:color="auto" w:fill="auto"/>
            <w:vAlign w:val="center"/>
          </w:tcPr>
          <w:p w14:paraId="37C91E18">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62871F4D">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02F411D2">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52BE0E39">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36DFE0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4DCA4E0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7783A7C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DC2DA7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99DD75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62596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6CA83E2">
            <w:pPr>
              <w:jc w:val="center"/>
              <w:rPr>
                <w:rFonts w:hint="eastAsia" w:eastAsia="宋体"/>
                <w:b w:val="0"/>
                <w:bCs w:val="0"/>
                <w:color w:val="auto"/>
                <w:sz w:val="21"/>
                <w:szCs w:val="21"/>
                <w:lang w:val="en-US" w:eastAsia="zh-CN"/>
              </w:rPr>
            </w:pPr>
            <w:r>
              <w:rPr>
                <w:b w:val="0"/>
                <w:bCs w:val="0"/>
                <w:color w:val="auto"/>
                <w:sz w:val="21"/>
                <w:szCs w:val="21"/>
              </w:rPr>
              <w:t>粉碎风机排气筒16</w:t>
            </w:r>
            <w:r>
              <w:rPr>
                <w:rFonts w:hint="eastAsia"/>
                <w:b w:val="0"/>
                <w:bCs w:val="0"/>
                <w:color w:val="auto"/>
                <w:sz w:val="21"/>
                <w:szCs w:val="21"/>
                <w:lang w:eastAsia="zh-CN"/>
              </w:rPr>
              <w:t>（</w:t>
            </w:r>
            <w:r>
              <w:rPr>
                <w:b w:val="0"/>
                <w:bCs w:val="0"/>
                <w:color w:val="auto"/>
                <w:sz w:val="21"/>
                <w:szCs w:val="21"/>
              </w:rPr>
              <w:t>DA024</w:t>
            </w:r>
            <w:r>
              <w:rPr>
                <w:rFonts w:hint="eastAsia"/>
                <w:b w:val="0"/>
                <w:bCs w:val="0"/>
                <w:color w:val="auto"/>
                <w:sz w:val="21"/>
                <w:szCs w:val="21"/>
                <w:lang w:eastAsia="zh-CN"/>
              </w:rPr>
              <w:t>）</w:t>
            </w:r>
          </w:p>
        </w:tc>
        <w:tc>
          <w:tcPr>
            <w:tcW w:w="574" w:type="pct"/>
            <w:tcBorders>
              <w:tl2br w:val="nil"/>
              <w:tr2bl w:val="nil"/>
            </w:tcBorders>
            <w:vAlign w:val="center"/>
          </w:tcPr>
          <w:p w14:paraId="6DDF07A1">
            <w:pPr>
              <w:jc w:val="center"/>
              <w:rPr>
                <w:b w:val="0"/>
                <w:bCs w:val="0"/>
                <w:color w:val="auto"/>
                <w:sz w:val="21"/>
                <w:szCs w:val="21"/>
              </w:rPr>
            </w:pPr>
            <w:r>
              <w:rPr>
                <w:b w:val="0"/>
                <w:bCs w:val="0"/>
                <w:color w:val="auto"/>
                <w:sz w:val="21"/>
                <w:szCs w:val="21"/>
              </w:rPr>
              <w:t>124°36′26.24″</w:t>
            </w:r>
          </w:p>
        </w:tc>
        <w:tc>
          <w:tcPr>
            <w:tcW w:w="535" w:type="pct"/>
            <w:tcBorders>
              <w:tl2br w:val="nil"/>
              <w:tr2bl w:val="nil"/>
            </w:tcBorders>
            <w:vAlign w:val="center"/>
          </w:tcPr>
          <w:p w14:paraId="1CDFE92E">
            <w:pPr>
              <w:jc w:val="center"/>
              <w:rPr>
                <w:b w:val="0"/>
                <w:bCs w:val="0"/>
                <w:color w:val="auto"/>
                <w:sz w:val="21"/>
                <w:szCs w:val="21"/>
              </w:rPr>
            </w:pPr>
            <w:r>
              <w:rPr>
                <w:b w:val="0"/>
                <w:bCs w:val="0"/>
                <w:color w:val="auto"/>
                <w:sz w:val="21"/>
                <w:szCs w:val="21"/>
              </w:rPr>
              <w:t>48°12′56.81″</w:t>
            </w:r>
          </w:p>
        </w:tc>
        <w:tc>
          <w:tcPr>
            <w:tcW w:w="383" w:type="pct"/>
            <w:tcBorders>
              <w:tl2br w:val="nil"/>
              <w:tr2bl w:val="nil"/>
            </w:tcBorders>
            <w:shd w:val="clear" w:color="auto" w:fill="auto"/>
            <w:vAlign w:val="center"/>
          </w:tcPr>
          <w:p w14:paraId="3EFB09FF">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2D9B1F7F">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003F3BE1">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690B8BF8">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5C41E11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3A345B2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8355A2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F894B5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D60A08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65288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71A41235">
            <w:pPr>
              <w:jc w:val="center"/>
              <w:rPr>
                <w:rFonts w:hint="default" w:eastAsia="宋体"/>
                <w:b w:val="0"/>
                <w:bCs w:val="0"/>
                <w:color w:val="auto"/>
                <w:sz w:val="21"/>
                <w:szCs w:val="21"/>
                <w:lang w:val="en-US" w:eastAsia="zh-CN"/>
              </w:rPr>
            </w:pPr>
            <w:r>
              <w:rPr>
                <w:b w:val="0"/>
                <w:bCs w:val="0"/>
                <w:color w:val="auto"/>
                <w:sz w:val="21"/>
                <w:szCs w:val="21"/>
              </w:rPr>
              <w:t>粉碎风机排气筒17</w:t>
            </w:r>
            <w:r>
              <w:rPr>
                <w:rFonts w:hint="eastAsia"/>
                <w:b w:val="0"/>
                <w:bCs w:val="0"/>
                <w:color w:val="auto"/>
                <w:sz w:val="21"/>
                <w:szCs w:val="21"/>
                <w:lang w:eastAsia="zh-CN"/>
              </w:rPr>
              <w:t>（</w:t>
            </w:r>
            <w:r>
              <w:rPr>
                <w:b w:val="0"/>
                <w:bCs w:val="0"/>
                <w:color w:val="auto"/>
                <w:sz w:val="21"/>
                <w:szCs w:val="21"/>
              </w:rPr>
              <w:t>DA025</w:t>
            </w:r>
            <w:r>
              <w:rPr>
                <w:rFonts w:hint="eastAsia"/>
                <w:b w:val="0"/>
                <w:bCs w:val="0"/>
                <w:color w:val="auto"/>
                <w:sz w:val="21"/>
                <w:szCs w:val="21"/>
                <w:lang w:eastAsia="zh-CN"/>
              </w:rPr>
              <w:t>）</w:t>
            </w:r>
          </w:p>
        </w:tc>
        <w:tc>
          <w:tcPr>
            <w:tcW w:w="574" w:type="pct"/>
            <w:tcBorders>
              <w:tl2br w:val="nil"/>
              <w:tr2bl w:val="nil"/>
            </w:tcBorders>
            <w:vAlign w:val="center"/>
          </w:tcPr>
          <w:p w14:paraId="7328571A">
            <w:pPr>
              <w:jc w:val="center"/>
              <w:rPr>
                <w:b w:val="0"/>
                <w:bCs w:val="0"/>
                <w:color w:val="auto"/>
                <w:sz w:val="21"/>
                <w:szCs w:val="21"/>
              </w:rPr>
            </w:pPr>
            <w:r>
              <w:rPr>
                <w:b w:val="0"/>
                <w:bCs w:val="0"/>
                <w:color w:val="auto"/>
                <w:sz w:val="21"/>
                <w:szCs w:val="21"/>
              </w:rPr>
              <w:t>124°36′26.39″</w:t>
            </w:r>
          </w:p>
        </w:tc>
        <w:tc>
          <w:tcPr>
            <w:tcW w:w="535" w:type="pct"/>
            <w:tcBorders>
              <w:tl2br w:val="nil"/>
              <w:tr2bl w:val="nil"/>
            </w:tcBorders>
            <w:vAlign w:val="center"/>
          </w:tcPr>
          <w:p w14:paraId="21A85C87">
            <w:pPr>
              <w:jc w:val="center"/>
              <w:rPr>
                <w:b w:val="0"/>
                <w:bCs w:val="0"/>
                <w:color w:val="auto"/>
                <w:sz w:val="21"/>
                <w:szCs w:val="21"/>
              </w:rPr>
            </w:pPr>
            <w:r>
              <w:rPr>
                <w:b w:val="0"/>
                <w:bCs w:val="0"/>
                <w:color w:val="auto"/>
                <w:sz w:val="21"/>
                <w:szCs w:val="21"/>
              </w:rPr>
              <w:t>48°12′56.84″</w:t>
            </w:r>
          </w:p>
        </w:tc>
        <w:tc>
          <w:tcPr>
            <w:tcW w:w="383" w:type="pct"/>
            <w:tcBorders>
              <w:tl2br w:val="nil"/>
              <w:tr2bl w:val="nil"/>
            </w:tcBorders>
            <w:shd w:val="clear" w:color="auto" w:fill="auto"/>
            <w:vAlign w:val="center"/>
          </w:tcPr>
          <w:p w14:paraId="4F932BBA">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04D53579">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155F45C7">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13F03821">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0B16727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13D4825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779C24D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9E1515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A9E0D0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47CF1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46368C46">
            <w:pPr>
              <w:jc w:val="center"/>
              <w:rPr>
                <w:rFonts w:hint="eastAsia" w:eastAsia="宋体"/>
                <w:b w:val="0"/>
                <w:bCs w:val="0"/>
                <w:color w:val="auto"/>
                <w:sz w:val="21"/>
                <w:szCs w:val="21"/>
                <w:lang w:val="en-US" w:eastAsia="zh-CN"/>
              </w:rPr>
            </w:pPr>
            <w:r>
              <w:rPr>
                <w:b w:val="0"/>
                <w:bCs w:val="0"/>
                <w:color w:val="auto"/>
                <w:sz w:val="21"/>
                <w:szCs w:val="21"/>
              </w:rPr>
              <w:t>粉碎风机排气筒15</w:t>
            </w:r>
            <w:r>
              <w:rPr>
                <w:rFonts w:hint="eastAsia"/>
                <w:b w:val="0"/>
                <w:bCs w:val="0"/>
                <w:color w:val="auto"/>
                <w:sz w:val="21"/>
                <w:szCs w:val="21"/>
                <w:lang w:eastAsia="zh-CN"/>
              </w:rPr>
              <w:t>（</w:t>
            </w:r>
            <w:r>
              <w:rPr>
                <w:b w:val="0"/>
                <w:bCs w:val="0"/>
                <w:color w:val="auto"/>
                <w:sz w:val="21"/>
                <w:szCs w:val="21"/>
              </w:rPr>
              <w:t>DA026</w:t>
            </w:r>
            <w:r>
              <w:rPr>
                <w:rFonts w:hint="eastAsia"/>
                <w:b w:val="0"/>
                <w:bCs w:val="0"/>
                <w:color w:val="auto"/>
                <w:sz w:val="21"/>
                <w:szCs w:val="21"/>
                <w:lang w:eastAsia="zh-CN"/>
              </w:rPr>
              <w:t>）</w:t>
            </w:r>
          </w:p>
        </w:tc>
        <w:tc>
          <w:tcPr>
            <w:tcW w:w="574" w:type="pct"/>
            <w:tcBorders>
              <w:tl2br w:val="nil"/>
              <w:tr2bl w:val="nil"/>
            </w:tcBorders>
            <w:vAlign w:val="center"/>
          </w:tcPr>
          <w:p w14:paraId="1826DF55">
            <w:pPr>
              <w:jc w:val="center"/>
              <w:rPr>
                <w:rFonts w:hint="eastAsia"/>
                <w:b w:val="0"/>
                <w:bCs w:val="0"/>
                <w:color w:val="auto"/>
                <w:sz w:val="21"/>
                <w:szCs w:val="21"/>
                <w:lang w:eastAsia="zh-CN"/>
              </w:rPr>
            </w:pPr>
            <w:r>
              <w:rPr>
                <w:rFonts w:hint="eastAsia"/>
                <w:b w:val="0"/>
                <w:bCs w:val="0"/>
                <w:color w:val="auto"/>
                <w:sz w:val="21"/>
                <w:szCs w:val="21"/>
                <w:lang w:val="en-US" w:eastAsia="zh-CN"/>
              </w:rPr>
              <w:t>1</w:t>
            </w:r>
            <w:r>
              <w:rPr>
                <w:b w:val="0"/>
                <w:bCs w:val="0"/>
                <w:color w:val="auto"/>
                <w:sz w:val="21"/>
                <w:szCs w:val="21"/>
              </w:rPr>
              <w:t>24°36′26.68</w:t>
            </w:r>
            <w:r>
              <w:rPr>
                <w:rFonts w:hint="eastAsia"/>
                <w:b w:val="0"/>
                <w:bCs w:val="0"/>
                <w:color w:val="auto"/>
                <w:sz w:val="21"/>
                <w:szCs w:val="21"/>
                <w:lang w:eastAsia="zh-CN"/>
              </w:rPr>
              <w:t>″</w:t>
            </w:r>
          </w:p>
        </w:tc>
        <w:tc>
          <w:tcPr>
            <w:tcW w:w="535" w:type="pct"/>
            <w:tcBorders>
              <w:tl2br w:val="nil"/>
              <w:tr2bl w:val="nil"/>
            </w:tcBorders>
            <w:vAlign w:val="center"/>
          </w:tcPr>
          <w:p w14:paraId="054ECAB5">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′56.8l</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08D77180">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79852A54">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18D4C335">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582F87DE">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EF3347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4ECEA88C">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5292B3D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4F0639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4F5A3B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7EE1D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4BC343E0">
            <w:pPr>
              <w:jc w:val="center"/>
              <w:rPr>
                <w:rFonts w:hint="eastAsia"/>
                <w:b w:val="0"/>
                <w:bCs w:val="0"/>
                <w:color w:val="auto"/>
                <w:sz w:val="21"/>
                <w:szCs w:val="21"/>
                <w:lang w:val="en-US" w:eastAsia="zh-CN"/>
              </w:rPr>
            </w:pPr>
            <w:r>
              <w:rPr>
                <w:b w:val="0"/>
                <w:bCs w:val="0"/>
                <w:color w:val="auto"/>
                <w:sz w:val="21"/>
                <w:szCs w:val="21"/>
              </w:rPr>
              <w:t>粉碎风机排气筒18</w:t>
            </w:r>
            <w:r>
              <w:rPr>
                <w:rFonts w:hint="eastAsia"/>
                <w:b w:val="0"/>
                <w:bCs w:val="0"/>
                <w:color w:val="auto"/>
                <w:sz w:val="21"/>
                <w:szCs w:val="21"/>
                <w:lang w:eastAsia="zh-CN"/>
              </w:rPr>
              <w:t>（</w:t>
            </w:r>
            <w:r>
              <w:rPr>
                <w:b w:val="0"/>
                <w:bCs w:val="0"/>
                <w:color w:val="auto"/>
                <w:sz w:val="21"/>
                <w:szCs w:val="21"/>
              </w:rPr>
              <w:t>DA027</w:t>
            </w:r>
            <w:r>
              <w:rPr>
                <w:rFonts w:hint="eastAsia"/>
                <w:b w:val="0"/>
                <w:bCs w:val="0"/>
                <w:color w:val="auto"/>
                <w:sz w:val="21"/>
                <w:szCs w:val="21"/>
                <w:lang w:eastAsia="zh-CN"/>
              </w:rPr>
              <w:t>）</w:t>
            </w:r>
          </w:p>
        </w:tc>
        <w:tc>
          <w:tcPr>
            <w:tcW w:w="574" w:type="pct"/>
            <w:tcBorders>
              <w:tl2br w:val="nil"/>
              <w:tr2bl w:val="nil"/>
            </w:tcBorders>
            <w:vAlign w:val="center"/>
          </w:tcPr>
          <w:p w14:paraId="27395C69">
            <w:pPr>
              <w:jc w:val="center"/>
              <w:rPr>
                <w:rFonts w:hint="eastAsia"/>
                <w:b w:val="0"/>
                <w:bCs w:val="0"/>
                <w:color w:val="auto"/>
                <w:sz w:val="21"/>
                <w:szCs w:val="21"/>
                <w:lang w:eastAsia="zh-CN"/>
              </w:rPr>
            </w:pPr>
            <w:r>
              <w:rPr>
                <w:rFonts w:hint="eastAsia"/>
                <w:b w:val="0"/>
                <w:bCs w:val="0"/>
                <w:color w:val="auto"/>
                <w:sz w:val="21"/>
                <w:szCs w:val="21"/>
                <w:lang w:val="en-US" w:eastAsia="zh-CN"/>
              </w:rPr>
              <w:t>1</w:t>
            </w:r>
            <w:r>
              <w:rPr>
                <w:b w:val="0"/>
                <w:bCs w:val="0"/>
                <w:color w:val="auto"/>
                <w:sz w:val="21"/>
                <w:szCs w:val="21"/>
              </w:rPr>
              <w:t>24°36′26.96</w:t>
            </w:r>
            <w:r>
              <w:rPr>
                <w:rFonts w:hint="eastAsia"/>
                <w:b w:val="0"/>
                <w:bCs w:val="0"/>
                <w:color w:val="auto"/>
                <w:sz w:val="21"/>
                <w:szCs w:val="21"/>
                <w:lang w:eastAsia="zh-CN"/>
              </w:rPr>
              <w:t>″</w:t>
            </w:r>
          </w:p>
        </w:tc>
        <w:tc>
          <w:tcPr>
            <w:tcW w:w="535" w:type="pct"/>
            <w:tcBorders>
              <w:tl2br w:val="nil"/>
              <w:tr2bl w:val="nil"/>
            </w:tcBorders>
            <w:vAlign w:val="center"/>
          </w:tcPr>
          <w:p w14:paraId="3F5855E3">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′56.84</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3C8C65D1">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4CC0DAE3">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7D2BAF1F">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2707597B">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8EB0A7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6A829AE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7F3414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D0E818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43E371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5D071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3AF81827">
            <w:pPr>
              <w:jc w:val="center"/>
              <w:rPr>
                <w:rFonts w:hint="eastAsia"/>
                <w:b w:val="0"/>
                <w:bCs w:val="0"/>
                <w:color w:val="auto"/>
                <w:sz w:val="21"/>
                <w:szCs w:val="21"/>
                <w:lang w:val="en-US" w:eastAsia="zh-CN"/>
              </w:rPr>
            </w:pPr>
            <w:r>
              <w:rPr>
                <w:b w:val="0"/>
                <w:bCs w:val="0"/>
                <w:color w:val="auto"/>
                <w:sz w:val="21"/>
                <w:szCs w:val="21"/>
              </w:rPr>
              <w:t>粉碎风机排气筒13</w:t>
            </w:r>
            <w:r>
              <w:rPr>
                <w:rFonts w:hint="eastAsia"/>
                <w:b w:val="0"/>
                <w:bCs w:val="0"/>
                <w:color w:val="auto"/>
                <w:sz w:val="21"/>
                <w:szCs w:val="21"/>
                <w:lang w:eastAsia="zh-CN"/>
              </w:rPr>
              <w:t>（</w:t>
            </w:r>
            <w:r>
              <w:rPr>
                <w:b w:val="0"/>
                <w:bCs w:val="0"/>
                <w:color w:val="auto"/>
                <w:sz w:val="21"/>
                <w:szCs w:val="21"/>
              </w:rPr>
              <w:t>DA028</w:t>
            </w:r>
            <w:r>
              <w:rPr>
                <w:rFonts w:hint="eastAsia"/>
                <w:b w:val="0"/>
                <w:bCs w:val="0"/>
                <w:color w:val="auto"/>
                <w:sz w:val="21"/>
                <w:szCs w:val="21"/>
                <w:lang w:eastAsia="zh-CN"/>
              </w:rPr>
              <w:t>）</w:t>
            </w:r>
          </w:p>
        </w:tc>
        <w:tc>
          <w:tcPr>
            <w:tcW w:w="574" w:type="pct"/>
            <w:tcBorders>
              <w:tl2br w:val="nil"/>
              <w:tr2bl w:val="nil"/>
            </w:tcBorders>
            <w:vAlign w:val="center"/>
          </w:tcPr>
          <w:p w14:paraId="3CAC3BD9">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°36′27.25</w:t>
            </w:r>
            <w:r>
              <w:rPr>
                <w:rFonts w:hint="eastAsia"/>
                <w:b w:val="0"/>
                <w:bCs w:val="0"/>
                <w:color w:val="auto"/>
                <w:sz w:val="21"/>
                <w:szCs w:val="21"/>
                <w:lang w:eastAsia="zh-CN"/>
              </w:rPr>
              <w:t>″</w:t>
            </w:r>
          </w:p>
        </w:tc>
        <w:tc>
          <w:tcPr>
            <w:tcW w:w="535" w:type="pct"/>
            <w:tcBorders>
              <w:tl2br w:val="nil"/>
              <w:tr2bl w:val="nil"/>
            </w:tcBorders>
            <w:vAlign w:val="center"/>
          </w:tcPr>
          <w:p w14:paraId="431019FE">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′56.8l</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40A898EA">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4370DAA8">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4B5B4D2E">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28C01AC4">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00FA260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224088B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5BAB2E7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C6F6B0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1FB4776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7AD73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7" w:type="pct"/>
            <w:tcBorders>
              <w:tl2br w:val="nil"/>
              <w:tr2bl w:val="nil"/>
            </w:tcBorders>
            <w:shd w:val="clear" w:color="auto" w:fill="auto"/>
            <w:vAlign w:val="center"/>
          </w:tcPr>
          <w:p w14:paraId="107312B3">
            <w:pPr>
              <w:jc w:val="center"/>
              <w:rPr>
                <w:rFonts w:hint="eastAsia"/>
                <w:b w:val="0"/>
                <w:bCs w:val="0"/>
                <w:color w:val="auto"/>
                <w:sz w:val="21"/>
                <w:szCs w:val="21"/>
                <w:lang w:val="en-US" w:eastAsia="zh-CN"/>
              </w:rPr>
            </w:pPr>
            <w:r>
              <w:rPr>
                <w:b w:val="0"/>
                <w:bCs w:val="0"/>
                <w:color w:val="auto"/>
                <w:sz w:val="21"/>
                <w:szCs w:val="21"/>
              </w:rPr>
              <w:t>粉碎风机排气筒19</w:t>
            </w:r>
            <w:r>
              <w:rPr>
                <w:rFonts w:hint="eastAsia"/>
                <w:b w:val="0"/>
                <w:bCs w:val="0"/>
                <w:color w:val="auto"/>
                <w:sz w:val="21"/>
                <w:szCs w:val="21"/>
                <w:lang w:eastAsia="zh-CN"/>
              </w:rPr>
              <w:t>（</w:t>
            </w:r>
            <w:r>
              <w:rPr>
                <w:b w:val="0"/>
                <w:bCs w:val="0"/>
                <w:color w:val="auto"/>
                <w:sz w:val="21"/>
                <w:szCs w:val="21"/>
              </w:rPr>
              <w:t>DA029</w:t>
            </w:r>
            <w:r>
              <w:rPr>
                <w:rFonts w:hint="eastAsia"/>
                <w:b w:val="0"/>
                <w:bCs w:val="0"/>
                <w:color w:val="auto"/>
                <w:sz w:val="21"/>
                <w:szCs w:val="21"/>
                <w:lang w:eastAsia="zh-CN"/>
              </w:rPr>
              <w:t>）</w:t>
            </w:r>
          </w:p>
        </w:tc>
        <w:tc>
          <w:tcPr>
            <w:tcW w:w="574" w:type="pct"/>
            <w:tcBorders>
              <w:tl2br w:val="nil"/>
              <w:tr2bl w:val="nil"/>
            </w:tcBorders>
            <w:vAlign w:val="center"/>
          </w:tcPr>
          <w:p w14:paraId="625D6AF5">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°36′27.54</w:t>
            </w:r>
            <w:r>
              <w:rPr>
                <w:rFonts w:hint="eastAsia"/>
                <w:b w:val="0"/>
                <w:bCs w:val="0"/>
                <w:color w:val="auto"/>
                <w:sz w:val="21"/>
                <w:szCs w:val="21"/>
                <w:lang w:eastAsia="zh-CN"/>
              </w:rPr>
              <w:t>″</w:t>
            </w:r>
          </w:p>
        </w:tc>
        <w:tc>
          <w:tcPr>
            <w:tcW w:w="535" w:type="pct"/>
            <w:tcBorders>
              <w:tl2br w:val="nil"/>
              <w:tr2bl w:val="nil"/>
            </w:tcBorders>
            <w:vAlign w:val="center"/>
          </w:tcPr>
          <w:p w14:paraId="70985B16">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′56.77</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2D567D13">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2677B7FC">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72432667">
            <w:pPr>
              <w:jc w:val="center"/>
              <w:rPr>
                <w:rFonts w:eastAsia="宋体"/>
                <w:b w:val="0"/>
                <w:bCs w:val="0"/>
                <w:color w:val="auto"/>
                <w:sz w:val="21"/>
                <w:szCs w:val="21"/>
              </w:rPr>
            </w:pPr>
            <w:r>
              <w:rPr>
                <w:rFonts w:eastAsia="宋体"/>
                <w:b w:val="0"/>
                <w:bCs w:val="0"/>
                <w:color w:val="auto"/>
                <w:sz w:val="21"/>
                <w:szCs w:val="21"/>
              </w:rPr>
              <w:t>0.5</w:t>
            </w:r>
          </w:p>
        </w:tc>
        <w:tc>
          <w:tcPr>
            <w:tcW w:w="350" w:type="pct"/>
            <w:tcBorders>
              <w:tl2br w:val="nil"/>
              <w:tr2bl w:val="nil"/>
            </w:tcBorders>
            <w:shd w:val="clear" w:color="auto" w:fill="auto"/>
            <w:vAlign w:val="center"/>
          </w:tcPr>
          <w:p w14:paraId="5F728B99">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EF3EA3B">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16.1</w:t>
            </w:r>
          </w:p>
        </w:tc>
        <w:tc>
          <w:tcPr>
            <w:tcW w:w="305" w:type="pct"/>
            <w:tcBorders>
              <w:tl2br w:val="nil"/>
              <w:tr2bl w:val="nil"/>
            </w:tcBorders>
            <w:shd w:val="clear" w:color="auto" w:fill="auto"/>
            <w:vAlign w:val="center"/>
          </w:tcPr>
          <w:p w14:paraId="3D4D8A14">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B3F277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EFD037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5B5036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4C7EC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4B54C33">
            <w:pPr>
              <w:jc w:val="center"/>
              <w:rPr>
                <w:b w:val="0"/>
                <w:bCs w:val="0"/>
                <w:color w:val="auto"/>
                <w:sz w:val="21"/>
                <w:szCs w:val="21"/>
              </w:rPr>
            </w:pPr>
            <w:r>
              <w:rPr>
                <w:b w:val="0"/>
                <w:bCs w:val="0"/>
                <w:color w:val="auto"/>
                <w:sz w:val="21"/>
                <w:szCs w:val="21"/>
              </w:rPr>
              <w:t>粉碎风机排气筒22</w:t>
            </w:r>
            <w:r>
              <w:rPr>
                <w:rFonts w:hint="eastAsia"/>
                <w:b w:val="0"/>
                <w:bCs w:val="0"/>
                <w:color w:val="auto"/>
                <w:sz w:val="21"/>
                <w:szCs w:val="21"/>
                <w:lang w:eastAsia="zh-CN"/>
              </w:rPr>
              <w:t>（</w:t>
            </w:r>
            <w:r>
              <w:rPr>
                <w:b w:val="0"/>
                <w:bCs w:val="0"/>
                <w:color w:val="auto"/>
                <w:sz w:val="21"/>
                <w:szCs w:val="21"/>
              </w:rPr>
              <w:t>DA035</w:t>
            </w:r>
            <w:r>
              <w:rPr>
                <w:rFonts w:hint="eastAsia"/>
                <w:b w:val="0"/>
                <w:bCs w:val="0"/>
                <w:color w:val="auto"/>
                <w:sz w:val="21"/>
                <w:szCs w:val="21"/>
                <w:lang w:eastAsia="zh-CN"/>
              </w:rPr>
              <w:t>）</w:t>
            </w:r>
          </w:p>
        </w:tc>
        <w:tc>
          <w:tcPr>
            <w:tcW w:w="574" w:type="pct"/>
            <w:tcBorders>
              <w:tl2br w:val="nil"/>
              <w:tr2bl w:val="nil"/>
            </w:tcBorders>
            <w:vAlign w:val="center"/>
          </w:tcPr>
          <w:p w14:paraId="69BB624C">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°36′26.7l</w:t>
            </w:r>
            <w:r>
              <w:rPr>
                <w:rFonts w:hint="eastAsia"/>
                <w:b w:val="0"/>
                <w:bCs w:val="0"/>
                <w:color w:val="auto"/>
                <w:sz w:val="21"/>
                <w:szCs w:val="21"/>
                <w:lang w:eastAsia="zh-CN"/>
              </w:rPr>
              <w:t>″</w:t>
            </w:r>
          </w:p>
        </w:tc>
        <w:tc>
          <w:tcPr>
            <w:tcW w:w="535" w:type="pct"/>
            <w:tcBorders>
              <w:tl2br w:val="nil"/>
              <w:tr2bl w:val="nil"/>
            </w:tcBorders>
            <w:vAlign w:val="center"/>
          </w:tcPr>
          <w:p w14:paraId="20747FFD">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′54.40</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60747654">
            <w:pPr>
              <w:jc w:val="center"/>
              <w:rPr>
                <w:rFonts w:hint="eastAsia" w:eastAsia="宋体"/>
                <w:b w:val="0"/>
                <w:bCs w:val="0"/>
                <w:color w:val="auto"/>
                <w:sz w:val="21"/>
                <w:szCs w:val="21"/>
                <w:lang w:val="en-US" w:eastAsia="zh-CN"/>
              </w:rPr>
            </w:pPr>
            <w:r>
              <w:rPr>
                <w:rFonts w:eastAsia="宋体"/>
                <w:b w:val="0"/>
                <w:bCs w:val="0"/>
                <w:color w:val="auto"/>
                <w:sz w:val="21"/>
                <w:szCs w:val="21"/>
              </w:rPr>
              <w:t>182</w:t>
            </w:r>
          </w:p>
        </w:tc>
        <w:tc>
          <w:tcPr>
            <w:tcW w:w="339" w:type="pct"/>
            <w:tcBorders>
              <w:tl2br w:val="nil"/>
              <w:tr2bl w:val="nil"/>
            </w:tcBorders>
            <w:shd w:val="clear" w:color="auto" w:fill="auto"/>
            <w:vAlign w:val="center"/>
          </w:tcPr>
          <w:p w14:paraId="1564D7B7">
            <w:pPr>
              <w:jc w:val="center"/>
              <w:rPr>
                <w:rFonts w:eastAsia="宋体"/>
                <w:b w:val="0"/>
                <w:bCs w:val="0"/>
                <w:color w:val="auto"/>
                <w:sz w:val="21"/>
                <w:szCs w:val="21"/>
              </w:rPr>
            </w:pPr>
            <w:r>
              <w:rPr>
                <w:rFonts w:eastAsia="宋体"/>
                <w:b w:val="0"/>
                <w:bCs w:val="0"/>
                <w:color w:val="auto"/>
                <w:sz w:val="21"/>
                <w:szCs w:val="21"/>
              </w:rPr>
              <w:t>25</w:t>
            </w:r>
          </w:p>
        </w:tc>
        <w:tc>
          <w:tcPr>
            <w:tcW w:w="305" w:type="pct"/>
            <w:tcBorders>
              <w:tl2br w:val="nil"/>
              <w:tr2bl w:val="nil"/>
            </w:tcBorders>
            <w:shd w:val="clear" w:color="auto" w:fill="auto"/>
            <w:vAlign w:val="center"/>
          </w:tcPr>
          <w:p w14:paraId="74D2FE43">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0AF124EF">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4379AC48">
            <w:pPr>
              <w:jc w:val="center"/>
              <w:rPr>
                <w:rFonts w:eastAsia="宋体"/>
                <w:b w:val="0"/>
                <w:bCs w:val="0"/>
                <w:color w:val="auto"/>
                <w:sz w:val="21"/>
                <w:szCs w:val="21"/>
                <w:lang w:val="en-US" w:eastAsia="zh-CN"/>
              </w:rPr>
            </w:pPr>
            <w:r>
              <w:rPr>
                <w:rFonts w:eastAsia="宋体"/>
                <w:b w:val="0"/>
                <w:bCs w:val="0"/>
                <w:color w:val="auto"/>
                <w:sz w:val="21"/>
                <w:szCs w:val="21"/>
              </w:rPr>
              <w:t>28.2</w:t>
            </w:r>
          </w:p>
        </w:tc>
        <w:tc>
          <w:tcPr>
            <w:tcW w:w="305" w:type="pct"/>
            <w:tcBorders>
              <w:tl2br w:val="nil"/>
              <w:tr2bl w:val="nil"/>
            </w:tcBorders>
            <w:shd w:val="clear" w:color="auto" w:fill="auto"/>
            <w:vAlign w:val="center"/>
          </w:tcPr>
          <w:p w14:paraId="425B4171">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4FEC783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2032723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EA465A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1E6E5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70C880C9">
            <w:pPr>
              <w:jc w:val="center"/>
              <w:rPr>
                <w:b w:val="0"/>
                <w:bCs w:val="0"/>
                <w:color w:val="auto"/>
                <w:sz w:val="21"/>
                <w:szCs w:val="21"/>
              </w:rPr>
            </w:pPr>
            <w:r>
              <w:rPr>
                <w:b w:val="0"/>
                <w:bCs w:val="0"/>
                <w:color w:val="auto"/>
                <w:sz w:val="21"/>
                <w:szCs w:val="21"/>
              </w:rPr>
              <w:t>粉碎风机排气筒21</w:t>
            </w:r>
            <w:r>
              <w:rPr>
                <w:rFonts w:hint="eastAsia"/>
                <w:b w:val="0"/>
                <w:bCs w:val="0"/>
                <w:color w:val="auto"/>
                <w:sz w:val="21"/>
                <w:szCs w:val="21"/>
                <w:lang w:eastAsia="zh-CN"/>
              </w:rPr>
              <w:t>（</w:t>
            </w:r>
            <w:r>
              <w:rPr>
                <w:b w:val="0"/>
                <w:bCs w:val="0"/>
                <w:color w:val="auto"/>
                <w:sz w:val="21"/>
                <w:szCs w:val="21"/>
              </w:rPr>
              <w:t>DA040</w:t>
            </w:r>
            <w:r>
              <w:rPr>
                <w:rFonts w:hint="eastAsia"/>
                <w:b w:val="0"/>
                <w:bCs w:val="0"/>
                <w:color w:val="auto"/>
                <w:sz w:val="21"/>
                <w:szCs w:val="21"/>
                <w:lang w:eastAsia="zh-CN"/>
              </w:rPr>
              <w:t>）</w:t>
            </w:r>
          </w:p>
        </w:tc>
        <w:tc>
          <w:tcPr>
            <w:tcW w:w="574" w:type="pct"/>
            <w:tcBorders>
              <w:tl2br w:val="nil"/>
              <w:tr2bl w:val="nil"/>
            </w:tcBorders>
            <w:vAlign w:val="center"/>
          </w:tcPr>
          <w:p w14:paraId="09455F08">
            <w:pPr>
              <w:jc w:val="center"/>
              <w:rPr>
                <w:b w:val="0"/>
                <w:bCs w:val="0"/>
                <w:color w:val="auto"/>
                <w:sz w:val="21"/>
                <w:szCs w:val="21"/>
              </w:rPr>
            </w:pPr>
            <w:r>
              <w:rPr>
                <w:b w:val="0"/>
                <w:bCs w:val="0"/>
                <w:color w:val="auto"/>
                <w:sz w:val="21"/>
                <w:szCs w:val="21"/>
              </w:rPr>
              <w:t>124°36′26.89″</w:t>
            </w:r>
          </w:p>
        </w:tc>
        <w:tc>
          <w:tcPr>
            <w:tcW w:w="535" w:type="pct"/>
            <w:tcBorders>
              <w:tl2br w:val="nil"/>
              <w:tr2bl w:val="nil"/>
            </w:tcBorders>
            <w:vAlign w:val="center"/>
          </w:tcPr>
          <w:p w14:paraId="0114BD4C">
            <w:pPr>
              <w:jc w:val="center"/>
              <w:rPr>
                <w:b w:val="0"/>
                <w:bCs w:val="0"/>
                <w:color w:val="auto"/>
                <w:sz w:val="21"/>
                <w:szCs w:val="21"/>
              </w:rPr>
            </w:pPr>
            <w:r>
              <w:rPr>
                <w:b w:val="0"/>
                <w:bCs w:val="0"/>
                <w:color w:val="auto"/>
                <w:sz w:val="21"/>
                <w:szCs w:val="21"/>
              </w:rPr>
              <w:t>48°12′53.42″</w:t>
            </w:r>
          </w:p>
        </w:tc>
        <w:tc>
          <w:tcPr>
            <w:tcW w:w="383" w:type="pct"/>
            <w:tcBorders>
              <w:tl2br w:val="nil"/>
              <w:tr2bl w:val="nil"/>
            </w:tcBorders>
            <w:shd w:val="clear" w:color="auto" w:fill="auto"/>
            <w:vAlign w:val="center"/>
          </w:tcPr>
          <w:p w14:paraId="597C3893">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shd w:val="clear" w:color="auto" w:fill="auto"/>
            <w:vAlign w:val="center"/>
          </w:tcPr>
          <w:p w14:paraId="29E9D28E">
            <w:pPr>
              <w:jc w:val="center"/>
              <w:rPr>
                <w:rFonts w:eastAsia="宋体"/>
                <w:b w:val="0"/>
                <w:bCs w:val="0"/>
                <w:color w:val="auto"/>
                <w:sz w:val="21"/>
                <w:szCs w:val="21"/>
              </w:rPr>
            </w:pPr>
            <w:r>
              <w:rPr>
                <w:rFonts w:eastAsia="宋体"/>
                <w:b w:val="0"/>
                <w:bCs w:val="0"/>
                <w:color w:val="auto"/>
                <w:sz w:val="21"/>
                <w:szCs w:val="21"/>
              </w:rPr>
              <w:t>22.5</w:t>
            </w:r>
          </w:p>
        </w:tc>
        <w:tc>
          <w:tcPr>
            <w:tcW w:w="305" w:type="pct"/>
            <w:tcBorders>
              <w:tl2br w:val="nil"/>
              <w:tr2bl w:val="nil"/>
            </w:tcBorders>
            <w:shd w:val="clear" w:color="auto" w:fill="auto"/>
            <w:vAlign w:val="center"/>
          </w:tcPr>
          <w:p w14:paraId="65E99201">
            <w:pPr>
              <w:jc w:val="center"/>
              <w:rPr>
                <w:rFonts w:eastAsia="宋体"/>
                <w:b w:val="0"/>
                <w:bCs w:val="0"/>
                <w:color w:val="auto"/>
                <w:sz w:val="21"/>
                <w:szCs w:val="21"/>
              </w:rPr>
            </w:pPr>
            <w:r>
              <w:rPr>
                <w:rFonts w:eastAsia="宋体"/>
                <w:b w:val="0"/>
                <w:bCs w:val="0"/>
                <w:color w:val="auto"/>
                <w:sz w:val="21"/>
                <w:szCs w:val="21"/>
              </w:rPr>
              <w:t>0.377</w:t>
            </w:r>
          </w:p>
        </w:tc>
        <w:tc>
          <w:tcPr>
            <w:tcW w:w="350" w:type="pct"/>
            <w:tcBorders>
              <w:tl2br w:val="nil"/>
              <w:tr2bl w:val="nil"/>
            </w:tcBorders>
            <w:shd w:val="clear" w:color="auto" w:fill="auto"/>
            <w:vAlign w:val="center"/>
          </w:tcPr>
          <w:p w14:paraId="3F586451">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3A815453">
            <w:pPr>
              <w:jc w:val="center"/>
              <w:rPr>
                <w:rFonts w:eastAsia="宋体"/>
                <w:b w:val="0"/>
                <w:bCs w:val="0"/>
                <w:color w:val="auto"/>
                <w:sz w:val="21"/>
                <w:szCs w:val="21"/>
                <w:lang w:val="en-US" w:eastAsia="zh-CN"/>
              </w:rPr>
            </w:pPr>
            <w:r>
              <w:rPr>
                <w:rFonts w:eastAsia="宋体"/>
                <w:b w:val="0"/>
                <w:bCs w:val="0"/>
                <w:color w:val="auto"/>
                <w:sz w:val="21"/>
                <w:szCs w:val="21"/>
              </w:rPr>
              <w:t>28.2</w:t>
            </w:r>
          </w:p>
        </w:tc>
        <w:tc>
          <w:tcPr>
            <w:tcW w:w="305" w:type="pct"/>
            <w:tcBorders>
              <w:tl2br w:val="nil"/>
              <w:tr2bl w:val="nil"/>
            </w:tcBorders>
            <w:shd w:val="clear" w:color="auto" w:fill="auto"/>
            <w:vAlign w:val="center"/>
          </w:tcPr>
          <w:p w14:paraId="2783A45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1E17650A">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537B2C50">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78891B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0.273</w:t>
            </w:r>
          </w:p>
        </w:tc>
      </w:tr>
      <w:tr w14:paraId="0C723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14C9B60A">
            <w:pPr>
              <w:jc w:val="center"/>
              <w:rPr>
                <w:rFonts w:hint="eastAsia"/>
                <w:b w:val="0"/>
                <w:bCs w:val="0"/>
                <w:color w:val="auto"/>
                <w:sz w:val="21"/>
                <w:szCs w:val="21"/>
                <w:lang w:val="en-US" w:eastAsia="zh-CN"/>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w:t>
            </w:r>
            <w:r>
              <w:rPr>
                <w:rFonts w:hint="eastAsia"/>
                <w:b w:val="0"/>
                <w:bCs w:val="0"/>
                <w:color w:val="auto"/>
                <w:sz w:val="21"/>
                <w:szCs w:val="21"/>
                <w:lang w:val="en-US" w:eastAsia="zh-CN"/>
              </w:rPr>
              <w:t>1</w:t>
            </w:r>
            <w:r>
              <w:rPr>
                <w:rFonts w:hint="eastAsia"/>
                <w:b w:val="0"/>
                <w:bCs w:val="0"/>
                <w:color w:val="auto"/>
                <w:sz w:val="21"/>
                <w:szCs w:val="21"/>
                <w:lang w:eastAsia="zh-CN"/>
              </w:rPr>
              <w:t>（</w:t>
            </w:r>
            <w:r>
              <w:rPr>
                <w:rFonts w:hint="eastAsia"/>
                <w:b w:val="0"/>
                <w:bCs w:val="0"/>
                <w:color w:val="auto"/>
                <w:sz w:val="21"/>
                <w:szCs w:val="21"/>
                <w:lang w:val="en-US" w:eastAsia="zh-CN"/>
              </w:rPr>
              <w:t>DA002</w:t>
            </w:r>
            <w:r>
              <w:rPr>
                <w:rFonts w:hint="eastAsia"/>
                <w:b w:val="0"/>
                <w:bCs w:val="0"/>
                <w:color w:val="auto"/>
                <w:sz w:val="21"/>
                <w:szCs w:val="21"/>
                <w:lang w:eastAsia="zh-CN"/>
              </w:rPr>
              <w:t>）</w:t>
            </w:r>
          </w:p>
        </w:tc>
        <w:tc>
          <w:tcPr>
            <w:tcW w:w="574" w:type="pct"/>
            <w:tcBorders>
              <w:tl2br w:val="nil"/>
              <w:tr2bl w:val="nil"/>
            </w:tcBorders>
            <w:vAlign w:val="center"/>
          </w:tcPr>
          <w:p w14:paraId="776944B3">
            <w:pPr>
              <w:jc w:val="center"/>
              <w:rPr>
                <w:b w:val="0"/>
                <w:bCs w:val="0"/>
                <w:color w:val="auto"/>
                <w:sz w:val="21"/>
                <w:szCs w:val="21"/>
              </w:rPr>
            </w:pPr>
            <w:r>
              <w:rPr>
                <w:b w:val="0"/>
                <w:bCs w:val="0"/>
                <w:color w:val="auto"/>
                <w:sz w:val="21"/>
                <w:szCs w:val="21"/>
              </w:rPr>
              <w:t>124°36′</w:t>
            </w:r>
            <w:r>
              <w:rPr>
                <w:rFonts w:hint="eastAsia"/>
                <w:b w:val="0"/>
                <w:bCs w:val="0"/>
                <w:color w:val="auto"/>
                <w:sz w:val="21"/>
                <w:szCs w:val="21"/>
                <w:lang w:val="en-US" w:eastAsia="zh-CN"/>
              </w:rPr>
              <w:t>24.98</w:t>
            </w:r>
            <w:r>
              <w:rPr>
                <w:b w:val="0"/>
                <w:bCs w:val="0"/>
                <w:color w:val="auto"/>
                <w:sz w:val="21"/>
                <w:szCs w:val="21"/>
              </w:rPr>
              <w:t>″</w:t>
            </w:r>
          </w:p>
        </w:tc>
        <w:tc>
          <w:tcPr>
            <w:tcW w:w="535" w:type="pct"/>
            <w:tcBorders>
              <w:tl2br w:val="nil"/>
              <w:tr2bl w:val="nil"/>
            </w:tcBorders>
            <w:vAlign w:val="center"/>
          </w:tcPr>
          <w:p w14:paraId="73EF1F42">
            <w:pPr>
              <w:jc w:val="center"/>
              <w:rPr>
                <w:b w:val="0"/>
                <w:bCs w:val="0"/>
                <w:color w:val="auto"/>
                <w:sz w:val="21"/>
                <w:szCs w:val="21"/>
              </w:rPr>
            </w:pPr>
            <w:r>
              <w:rPr>
                <w:b w:val="0"/>
                <w:bCs w:val="0"/>
                <w:color w:val="auto"/>
                <w:sz w:val="21"/>
                <w:szCs w:val="21"/>
              </w:rPr>
              <w:t>48°12′5</w:t>
            </w:r>
            <w:r>
              <w:rPr>
                <w:rFonts w:hint="eastAsia"/>
                <w:b w:val="0"/>
                <w:bCs w:val="0"/>
                <w:color w:val="auto"/>
                <w:sz w:val="21"/>
                <w:szCs w:val="21"/>
                <w:lang w:val="en-US" w:eastAsia="zh-CN"/>
              </w:rPr>
              <w:t>2.31</w:t>
            </w:r>
            <w:r>
              <w:rPr>
                <w:b w:val="0"/>
                <w:bCs w:val="0"/>
                <w:color w:val="auto"/>
                <w:sz w:val="21"/>
                <w:szCs w:val="21"/>
              </w:rPr>
              <w:t>″</w:t>
            </w:r>
          </w:p>
        </w:tc>
        <w:tc>
          <w:tcPr>
            <w:tcW w:w="383" w:type="pct"/>
            <w:tcBorders>
              <w:tl2br w:val="nil"/>
              <w:tr2bl w:val="nil"/>
            </w:tcBorders>
            <w:shd w:val="clear" w:color="auto" w:fill="auto"/>
            <w:vAlign w:val="center"/>
          </w:tcPr>
          <w:p w14:paraId="4D13E86C">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shd w:val="clear" w:color="auto" w:fill="auto"/>
            <w:vAlign w:val="center"/>
          </w:tcPr>
          <w:p w14:paraId="3DB45F50">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43CED126">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433727E0">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1556788C">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6B3EC94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6E9433E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0385BE13">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1ABCEF2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5077E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5CDC9E5C">
            <w:pPr>
              <w:jc w:val="center"/>
              <w:rPr>
                <w:rFonts w:hint="eastAsia"/>
                <w:b w:val="0"/>
                <w:bCs w:val="0"/>
                <w:color w:val="auto"/>
                <w:sz w:val="21"/>
                <w:szCs w:val="21"/>
                <w:lang w:val="en-US" w:eastAsia="zh-CN"/>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w:t>
            </w:r>
            <w:r>
              <w:rPr>
                <w:rFonts w:hint="eastAsia"/>
                <w:b w:val="0"/>
                <w:bCs w:val="0"/>
                <w:color w:val="auto"/>
                <w:sz w:val="21"/>
                <w:szCs w:val="21"/>
                <w:lang w:val="en-US" w:eastAsia="zh-CN"/>
              </w:rPr>
              <w:t>2</w:t>
            </w:r>
            <w:r>
              <w:rPr>
                <w:rFonts w:hint="eastAsia"/>
                <w:b w:val="0"/>
                <w:bCs w:val="0"/>
                <w:color w:val="auto"/>
                <w:sz w:val="21"/>
                <w:szCs w:val="21"/>
                <w:lang w:eastAsia="zh-CN"/>
              </w:rPr>
              <w:t>（</w:t>
            </w:r>
            <w:r>
              <w:rPr>
                <w:b w:val="0"/>
                <w:bCs w:val="0"/>
                <w:color w:val="auto"/>
                <w:sz w:val="21"/>
                <w:szCs w:val="21"/>
              </w:rPr>
              <w:t>DA032</w:t>
            </w:r>
            <w:r>
              <w:rPr>
                <w:rFonts w:hint="eastAsia"/>
                <w:b w:val="0"/>
                <w:bCs w:val="0"/>
                <w:color w:val="auto"/>
                <w:sz w:val="21"/>
                <w:szCs w:val="21"/>
                <w:lang w:eastAsia="zh-CN"/>
              </w:rPr>
              <w:t>）</w:t>
            </w:r>
          </w:p>
        </w:tc>
        <w:tc>
          <w:tcPr>
            <w:tcW w:w="574" w:type="pct"/>
            <w:tcBorders>
              <w:tl2br w:val="nil"/>
              <w:tr2bl w:val="nil"/>
            </w:tcBorders>
            <w:vAlign w:val="center"/>
          </w:tcPr>
          <w:p w14:paraId="375E7C21">
            <w:pPr>
              <w:jc w:val="center"/>
              <w:rPr>
                <w:rFonts w:hint="eastAsia"/>
                <w:b w:val="0"/>
                <w:bCs w:val="0"/>
                <w:color w:val="auto"/>
                <w:sz w:val="21"/>
                <w:szCs w:val="21"/>
                <w:lang w:eastAsia="zh-CN"/>
              </w:rPr>
            </w:pPr>
            <w:r>
              <w:rPr>
                <w:rFonts w:hint="eastAsia"/>
                <w:b w:val="0"/>
                <w:bCs w:val="0"/>
                <w:color w:val="auto"/>
                <w:sz w:val="21"/>
                <w:szCs w:val="21"/>
                <w:lang w:eastAsia="zh-CN"/>
              </w:rPr>
              <w:t>124</w:t>
            </w:r>
            <w:r>
              <w:rPr>
                <w:b w:val="0"/>
                <w:bCs w:val="0"/>
                <w:color w:val="auto"/>
                <w:sz w:val="21"/>
                <w:szCs w:val="21"/>
              </w:rPr>
              <w:t>°36′24.55</w:t>
            </w:r>
            <w:r>
              <w:rPr>
                <w:rFonts w:hint="eastAsia"/>
                <w:b w:val="0"/>
                <w:bCs w:val="0"/>
                <w:color w:val="auto"/>
                <w:sz w:val="21"/>
                <w:szCs w:val="21"/>
                <w:lang w:eastAsia="zh-CN"/>
              </w:rPr>
              <w:t>″</w:t>
            </w:r>
          </w:p>
        </w:tc>
        <w:tc>
          <w:tcPr>
            <w:tcW w:w="535" w:type="pct"/>
            <w:tcBorders>
              <w:tl2br w:val="nil"/>
              <w:tr2bl w:val="nil"/>
            </w:tcBorders>
            <w:vAlign w:val="center"/>
          </w:tcPr>
          <w:p w14:paraId="5EC2C4CD">
            <w:pPr>
              <w:jc w:val="center"/>
              <w:rPr>
                <w:rFonts w:hint="eastAsia"/>
                <w:b w:val="0"/>
                <w:bCs w:val="0"/>
                <w:color w:val="auto"/>
                <w:sz w:val="21"/>
                <w:szCs w:val="21"/>
                <w:lang w:eastAsia="zh-CN"/>
              </w:rPr>
            </w:pPr>
            <w:r>
              <w:rPr>
                <w:b w:val="0"/>
                <w:bCs w:val="0"/>
                <w:color w:val="auto"/>
                <w:sz w:val="21"/>
                <w:szCs w:val="21"/>
              </w:rPr>
              <w:t>48°</w:t>
            </w:r>
            <w:r>
              <w:rPr>
                <w:rFonts w:hint="eastAsia"/>
                <w:b w:val="0"/>
                <w:bCs w:val="0"/>
                <w:color w:val="auto"/>
                <w:sz w:val="21"/>
                <w:szCs w:val="21"/>
                <w:lang w:eastAsia="zh-CN"/>
              </w:rPr>
              <w:t>12</w:t>
            </w:r>
            <w:r>
              <w:rPr>
                <w:b w:val="0"/>
                <w:bCs w:val="0"/>
                <w:color w:val="auto"/>
                <w:sz w:val="21"/>
                <w:szCs w:val="21"/>
              </w:rPr>
              <w:t>′58.64</w:t>
            </w:r>
            <w:r>
              <w:rPr>
                <w:rFonts w:hint="eastAsia"/>
                <w:b w:val="0"/>
                <w:bCs w:val="0"/>
                <w:color w:val="auto"/>
                <w:sz w:val="21"/>
                <w:szCs w:val="21"/>
                <w:lang w:eastAsia="zh-CN"/>
              </w:rPr>
              <w:t>″</w:t>
            </w:r>
          </w:p>
        </w:tc>
        <w:tc>
          <w:tcPr>
            <w:tcW w:w="383" w:type="pct"/>
            <w:tcBorders>
              <w:tl2br w:val="nil"/>
              <w:tr2bl w:val="nil"/>
            </w:tcBorders>
            <w:shd w:val="clear" w:color="auto" w:fill="auto"/>
            <w:vAlign w:val="center"/>
          </w:tcPr>
          <w:p w14:paraId="1A6B045D">
            <w:pPr>
              <w:jc w:val="center"/>
              <w:rPr>
                <w:rFonts w:hint="eastAsia" w:eastAsia="宋体"/>
                <w:b w:val="0"/>
                <w:bCs w:val="0"/>
                <w:color w:val="auto"/>
                <w:sz w:val="21"/>
                <w:szCs w:val="21"/>
                <w:lang w:val="en-US" w:eastAsia="zh-CN"/>
              </w:rPr>
            </w:pPr>
            <w:r>
              <w:rPr>
                <w:rFonts w:eastAsia="宋体"/>
                <w:b w:val="0"/>
                <w:bCs w:val="0"/>
                <w:color w:val="auto"/>
                <w:sz w:val="21"/>
                <w:szCs w:val="21"/>
              </w:rPr>
              <w:t>179</w:t>
            </w:r>
          </w:p>
        </w:tc>
        <w:tc>
          <w:tcPr>
            <w:tcW w:w="339" w:type="pct"/>
            <w:tcBorders>
              <w:tl2br w:val="nil"/>
              <w:tr2bl w:val="nil"/>
            </w:tcBorders>
            <w:shd w:val="clear" w:color="auto" w:fill="auto"/>
            <w:vAlign w:val="center"/>
          </w:tcPr>
          <w:p w14:paraId="7ED687A3">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42BA036B">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3EC7851B">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69E31595">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4D8E2FED">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3D2D211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7154B62B">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2FDE5CC8">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7E523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767" w:type="pct"/>
            <w:tcBorders>
              <w:tl2br w:val="nil"/>
              <w:tr2bl w:val="nil"/>
            </w:tcBorders>
            <w:shd w:val="clear" w:color="auto" w:fill="auto"/>
            <w:vAlign w:val="center"/>
          </w:tcPr>
          <w:p w14:paraId="0E9CB65B">
            <w:pPr>
              <w:jc w:val="center"/>
              <w:rPr>
                <w:b w:val="0"/>
                <w:bCs w:val="0"/>
                <w:color w:val="auto"/>
                <w:sz w:val="21"/>
                <w:szCs w:val="21"/>
                <w:lang w:val="en-US" w:eastAsia="en-US"/>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洗涤塔排气筒3</w:t>
            </w:r>
            <w:r>
              <w:rPr>
                <w:rFonts w:hint="eastAsia"/>
                <w:b w:val="0"/>
                <w:bCs w:val="0"/>
                <w:color w:val="auto"/>
                <w:sz w:val="21"/>
                <w:szCs w:val="21"/>
                <w:lang w:eastAsia="zh-CN"/>
              </w:rPr>
              <w:t>（</w:t>
            </w:r>
            <w:r>
              <w:rPr>
                <w:b w:val="0"/>
                <w:bCs w:val="0"/>
                <w:color w:val="auto"/>
                <w:sz w:val="21"/>
                <w:szCs w:val="21"/>
              </w:rPr>
              <w:t>DA041</w:t>
            </w:r>
            <w:r>
              <w:rPr>
                <w:rFonts w:hint="eastAsia"/>
                <w:b w:val="0"/>
                <w:bCs w:val="0"/>
                <w:color w:val="auto"/>
                <w:sz w:val="21"/>
                <w:szCs w:val="21"/>
                <w:lang w:eastAsia="zh-CN"/>
              </w:rPr>
              <w:t>）</w:t>
            </w:r>
          </w:p>
        </w:tc>
        <w:tc>
          <w:tcPr>
            <w:tcW w:w="574" w:type="pct"/>
            <w:tcBorders>
              <w:tl2br w:val="nil"/>
              <w:tr2bl w:val="nil"/>
            </w:tcBorders>
            <w:vAlign w:val="center"/>
          </w:tcPr>
          <w:p w14:paraId="33E5FE50">
            <w:pPr>
              <w:jc w:val="center"/>
              <w:rPr>
                <w:b w:val="0"/>
                <w:bCs w:val="0"/>
                <w:color w:val="auto"/>
                <w:sz w:val="21"/>
                <w:szCs w:val="21"/>
              </w:rPr>
            </w:pPr>
            <w:r>
              <w:rPr>
                <w:b w:val="0"/>
                <w:bCs w:val="0"/>
                <w:color w:val="auto"/>
                <w:sz w:val="21"/>
                <w:szCs w:val="21"/>
              </w:rPr>
              <w:t>124°36′25.38″</w:t>
            </w:r>
          </w:p>
        </w:tc>
        <w:tc>
          <w:tcPr>
            <w:tcW w:w="535" w:type="pct"/>
            <w:tcBorders>
              <w:tl2br w:val="nil"/>
              <w:tr2bl w:val="nil"/>
            </w:tcBorders>
            <w:vAlign w:val="center"/>
          </w:tcPr>
          <w:p w14:paraId="247AD424">
            <w:pPr>
              <w:jc w:val="center"/>
              <w:rPr>
                <w:b w:val="0"/>
                <w:bCs w:val="0"/>
                <w:color w:val="auto"/>
                <w:sz w:val="21"/>
                <w:szCs w:val="21"/>
              </w:rPr>
            </w:pPr>
            <w:r>
              <w:rPr>
                <w:b w:val="0"/>
                <w:bCs w:val="0"/>
                <w:color w:val="auto"/>
                <w:sz w:val="21"/>
                <w:szCs w:val="21"/>
              </w:rPr>
              <w:t>48°12′51.95″</w:t>
            </w:r>
          </w:p>
        </w:tc>
        <w:tc>
          <w:tcPr>
            <w:tcW w:w="383" w:type="pct"/>
            <w:tcBorders>
              <w:tl2br w:val="nil"/>
              <w:tr2bl w:val="nil"/>
            </w:tcBorders>
            <w:shd w:val="clear" w:color="auto" w:fill="auto"/>
            <w:vAlign w:val="center"/>
          </w:tcPr>
          <w:p w14:paraId="5A874663">
            <w:pPr>
              <w:jc w:val="center"/>
              <w:rPr>
                <w:rFonts w:hint="eastAsia" w:eastAsia="宋体"/>
                <w:b w:val="0"/>
                <w:bCs w:val="0"/>
                <w:color w:val="auto"/>
                <w:sz w:val="21"/>
                <w:szCs w:val="21"/>
                <w:lang w:val="en-US" w:eastAsia="zh-CN"/>
              </w:rPr>
            </w:pPr>
            <w:r>
              <w:rPr>
                <w:rFonts w:eastAsia="宋体"/>
                <w:b w:val="0"/>
                <w:bCs w:val="0"/>
                <w:color w:val="auto"/>
                <w:sz w:val="21"/>
                <w:szCs w:val="21"/>
              </w:rPr>
              <w:t>183</w:t>
            </w:r>
          </w:p>
        </w:tc>
        <w:tc>
          <w:tcPr>
            <w:tcW w:w="339" w:type="pct"/>
            <w:tcBorders>
              <w:tl2br w:val="nil"/>
              <w:tr2bl w:val="nil"/>
            </w:tcBorders>
            <w:shd w:val="clear" w:color="auto" w:fill="auto"/>
            <w:vAlign w:val="center"/>
          </w:tcPr>
          <w:p w14:paraId="0CC22F7F">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66C5D273">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2EC6446D">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05AC8B48">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775CE567">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019BADE3">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692E5114">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005C3F49">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r w14:paraId="68236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767" w:type="pct"/>
            <w:tcBorders>
              <w:tl2br w:val="nil"/>
              <w:tr2bl w:val="nil"/>
            </w:tcBorders>
            <w:shd w:val="clear" w:color="auto" w:fill="auto"/>
            <w:vAlign w:val="center"/>
          </w:tcPr>
          <w:p w14:paraId="7953CAF9">
            <w:pPr>
              <w:jc w:val="center"/>
              <w:rPr>
                <w:b w:val="0"/>
                <w:bCs w:val="0"/>
                <w:color w:val="auto"/>
                <w:sz w:val="21"/>
                <w:szCs w:val="21"/>
                <w:lang w:val="en-US" w:eastAsia="en-US"/>
              </w:rPr>
            </w:pPr>
            <w:r>
              <w:rPr>
                <w:b w:val="0"/>
                <w:bCs w:val="0"/>
                <w:color w:val="auto"/>
                <w:sz w:val="21"/>
                <w:szCs w:val="21"/>
              </w:rPr>
              <w:t>CO</w:t>
            </w:r>
            <w:r>
              <w:rPr>
                <w:b w:val="0"/>
                <w:bCs w:val="0"/>
                <w:color w:val="auto"/>
                <w:sz w:val="21"/>
                <w:szCs w:val="21"/>
                <w:vertAlign w:val="subscript"/>
              </w:rPr>
              <w:t>2</w:t>
            </w:r>
            <w:r>
              <w:rPr>
                <w:b w:val="0"/>
                <w:bCs w:val="0"/>
                <w:color w:val="auto"/>
                <w:sz w:val="21"/>
                <w:szCs w:val="21"/>
              </w:rPr>
              <w:t>洗涤塔排气筒4</w:t>
            </w:r>
            <w:r>
              <w:rPr>
                <w:rFonts w:hint="eastAsia"/>
                <w:b w:val="0"/>
                <w:bCs w:val="0"/>
                <w:color w:val="auto"/>
                <w:sz w:val="21"/>
                <w:szCs w:val="21"/>
                <w:lang w:eastAsia="zh-CN"/>
              </w:rPr>
              <w:t>（</w:t>
            </w:r>
            <w:r>
              <w:rPr>
                <w:b w:val="0"/>
                <w:bCs w:val="0"/>
                <w:color w:val="auto"/>
                <w:sz w:val="21"/>
                <w:szCs w:val="21"/>
              </w:rPr>
              <w:t>DA042</w:t>
            </w:r>
            <w:r>
              <w:rPr>
                <w:rFonts w:hint="eastAsia"/>
                <w:b w:val="0"/>
                <w:bCs w:val="0"/>
                <w:color w:val="auto"/>
                <w:sz w:val="21"/>
                <w:szCs w:val="21"/>
                <w:lang w:eastAsia="zh-CN"/>
              </w:rPr>
              <w:t>）</w:t>
            </w:r>
          </w:p>
        </w:tc>
        <w:tc>
          <w:tcPr>
            <w:tcW w:w="574" w:type="pct"/>
            <w:tcBorders>
              <w:tl2br w:val="nil"/>
              <w:tr2bl w:val="nil"/>
            </w:tcBorders>
            <w:vAlign w:val="center"/>
          </w:tcPr>
          <w:p w14:paraId="44A5B9FC">
            <w:pPr>
              <w:jc w:val="center"/>
              <w:rPr>
                <w:b w:val="0"/>
                <w:bCs w:val="0"/>
                <w:color w:val="auto"/>
                <w:sz w:val="21"/>
                <w:szCs w:val="21"/>
              </w:rPr>
            </w:pPr>
            <w:r>
              <w:rPr>
                <w:b w:val="0"/>
                <w:bCs w:val="0"/>
                <w:color w:val="auto"/>
                <w:sz w:val="21"/>
                <w:szCs w:val="21"/>
              </w:rPr>
              <w:t>124°36′25.02″</w:t>
            </w:r>
          </w:p>
        </w:tc>
        <w:tc>
          <w:tcPr>
            <w:tcW w:w="535" w:type="pct"/>
            <w:tcBorders>
              <w:tl2br w:val="nil"/>
              <w:tr2bl w:val="nil"/>
            </w:tcBorders>
            <w:vAlign w:val="center"/>
          </w:tcPr>
          <w:p w14:paraId="70695215">
            <w:pPr>
              <w:jc w:val="center"/>
              <w:rPr>
                <w:b w:val="0"/>
                <w:bCs w:val="0"/>
                <w:color w:val="auto"/>
                <w:sz w:val="21"/>
                <w:szCs w:val="21"/>
              </w:rPr>
            </w:pPr>
            <w:r>
              <w:rPr>
                <w:b w:val="0"/>
                <w:bCs w:val="0"/>
                <w:color w:val="auto"/>
                <w:sz w:val="21"/>
                <w:szCs w:val="21"/>
              </w:rPr>
              <w:t>48°12′59.44″</w:t>
            </w:r>
          </w:p>
        </w:tc>
        <w:tc>
          <w:tcPr>
            <w:tcW w:w="383" w:type="pct"/>
            <w:tcBorders>
              <w:tl2br w:val="nil"/>
              <w:tr2bl w:val="nil"/>
            </w:tcBorders>
            <w:shd w:val="clear" w:color="auto" w:fill="auto"/>
            <w:vAlign w:val="center"/>
          </w:tcPr>
          <w:p w14:paraId="0A2BC305">
            <w:pPr>
              <w:jc w:val="center"/>
              <w:rPr>
                <w:rFonts w:hint="eastAsia" w:eastAsia="宋体"/>
                <w:b w:val="0"/>
                <w:bCs w:val="0"/>
                <w:color w:val="auto"/>
                <w:sz w:val="21"/>
                <w:szCs w:val="21"/>
                <w:lang w:val="en-US" w:eastAsia="zh-CN"/>
              </w:rPr>
            </w:pPr>
            <w:r>
              <w:rPr>
                <w:rFonts w:eastAsia="宋体"/>
                <w:b w:val="0"/>
                <w:bCs w:val="0"/>
                <w:color w:val="auto"/>
                <w:sz w:val="21"/>
                <w:szCs w:val="21"/>
              </w:rPr>
              <w:t>177</w:t>
            </w:r>
          </w:p>
        </w:tc>
        <w:tc>
          <w:tcPr>
            <w:tcW w:w="339" w:type="pct"/>
            <w:tcBorders>
              <w:tl2br w:val="nil"/>
              <w:tr2bl w:val="nil"/>
            </w:tcBorders>
            <w:shd w:val="clear" w:color="auto" w:fill="auto"/>
            <w:vAlign w:val="center"/>
          </w:tcPr>
          <w:p w14:paraId="41A4080F">
            <w:pPr>
              <w:jc w:val="center"/>
              <w:rPr>
                <w:rFonts w:eastAsia="宋体"/>
                <w:b w:val="0"/>
                <w:bCs w:val="0"/>
                <w:color w:val="auto"/>
                <w:sz w:val="21"/>
                <w:szCs w:val="21"/>
              </w:rPr>
            </w:pPr>
            <w:r>
              <w:rPr>
                <w:rFonts w:eastAsia="宋体"/>
                <w:b w:val="0"/>
                <w:bCs w:val="0"/>
                <w:color w:val="auto"/>
                <w:sz w:val="21"/>
                <w:szCs w:val="21"/>
              </w:rPr>
              <w:t>15</w:t>
            </w:r>
          </w:p>
        </w:tc>
        <w:tc>
          <w:tcPr>
            <w:tcW w:w="305" w:type="pct"/>
            <w:tcBorders>
              <w:tl2br w:val="nil"/>
              <w:tr2bl w:val="nil"/>
            </w:tcBorders>
            <w:shd w:val="clear" w:color="auto" w:fill="auto"/>
            <w:vAlign w:val="center"/>
          </w:tcPr>
          <w:p w14:paraId="2B6919F0">
            <w:pPr>
              <w:jc w:val="center"/>
              <w:rPr>
                <w:rFonts w:eastAsia="宋体"/>
                <w:b w:val="0"/>
                <w:bCs w:val="0"/>
                <w:color w:val="auto"/>
                <w:sz w:val="21"/>
                <w:szCs w:val="21"/>
              </w:rPr>
            </w:pPr>
            <w:r>
              <w:rPr>
                <w:rFonts w:eastAsia="宋体"/>
                <w:b w:val="0"/>
                <w:bCs w:val="0"/>
                <w:color w:val="auto"/>
                <w:sz w:val="21"/>
                <w:szCs w:val="21"/>
              </w:rPr>
              <w:t>1.4</w:t>
            </w:r>
          </w:p>
        </w:tc>
        <w:tc>
          <w:tcPr>
            <w:tcW w:w="350" w:type="pct"/>
            <w:tcBorders>
              <w:tl2br w:val="nil"/>
              <w:tr2bl w:val="nil"/>
            </w:tcBorders>
            <w:shd w:val="clear" w:color="auto" w:fill="auto"/>
            <w:vAlign w:val="center"/>
          </w:tcPr>
          <w:p w14:paraId="7A4C8E3D">
            <w:pPr>
              <w:jc w:val="center"/>
              <w:rPr>
                <w:rFonts w:hint="eastAsia" w:eastAsia="宋体"/>
                <w:b w:val="0"/>
                <w:bCs w:val="0"/>
                <w:color w:val="auto"/>
                <w:sz w:val="21"/>
                <w:szCs w:val="21"/>
                <w:lang w:val="en-US" w:eastAsia="zh-CN"/>
              </w:rPr>
            </w:pPr>
            <w:r>
              <w:rPr>
                <w:rFonts w:eastAsia="宋体"/>
                <w:b w:val="0"/>
                <w:bCs w:val="0"/>
                <w:color w:val="auto"/>
                <w:sz w:val="21"/>
                <w:szCs w:val="21"/>
              </w:rPr>
              <w:t>3.00</w:t>
            </w:r>
          </w:p>
        </w:tc>
        <w:tc>
          <w:tcPr>
            <w:tcW w:w="366" w:type="pct"/>
            <w:tcBorders>
              <w:tl2br w:val="nil"/>
              <w:tr2bl w:val="nil"/>
            </w:tcBorders>
            <w:shd w:val="clear" w:color="auto" w:fill="auto"/>
            <w:vAlign w:val="center"/>
          </w:tcPr>
          <w:p w14:paraId="73964146">
            <w:pPr>
              <w:jc w:val="center"/>
              <w:rPr>
                <w:rFonts w:eastAsia="宋体"/>
                <w:b w:val="0"/>
                <w:bCs w:val="0"/>
                <w:color w:val="auto"/>
                <w:sz w:val="21"/>
                <w:szCs w:val="21"/>
                <w:lang w:val="en-US" w:eastAsia="zh-CN"/>
              </w:rPr>
            </w:pPr>
            <w:r>
              <w:rPr>
                <w:rFonts w:eastAsia="宋体"/>
                <w:b w:val="0"/>
                <w:bCs w:val="0"/>
                <w:color w:val="auto"/>
                <w:sz w:val="21"/>
                <w:szCs w:val="21"/>
              </w:rPr>
              <w:t>21.0</w:t>
            </w:r>
          </w:p>
        </w:tc>
        <w:tc>
          <w:tcPr>
            <w:tcW w:w="305" w:type="pct"/>
            <w:tcBorders>
              <w:tl2br w:val="nil"/>
              <w:tr2bl w:val="nil"/>
            </w:tcBorders>
            <w:shd w:val="clear" w:color="auto" w:fill="auto"/>
            <w:vAlign w:val="center"/>
          </w:tcPr>
          <w:p w14:paraId="3BE8410E">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12" w:type="pct"/>
            <w:tcBorders>
              <w:tl2br w:val="nil"/>
              <w:tr2bl w:val="nil"/>
            </w:tcBorders>
            <w:shd w:val="clear" w:color="auto" w:fill="auto"/>
            <w:vAlign w:val="center"/>
          </w:tcPr>
          <w:p w14:paraId="5406FAE6">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c>
          <w:tcPr>
            <w:tcW w:w="379" w:type="pct"/>
            <w:tcBorders>
              <w:tl2br w:val="nil"/>
              <w:tr2bl w:val="nil"/>
            </w:tcBorders>
            <w:shd w:val="clear" w:color="auto" w:fill="auto"/>
            <w:vAlign w:val="center"/>
          </w:tcPr>
          <w:p w14:paraId="300B9455">
            <w:pPr>
              <w:jc w:val="center"/>
              <w:rPr>
                <w:rFonts w:hint="eastAsia" w:eastAsia="宋体"/>
                <w:b w:val="0"/>
                <w:bCs w:val="0"/>
                <w:color w:val="auto"/>
                <w:sz w:val="21"/>
                <w:szCs w:val="21"/>
                <w:lang w:val="en-US" w:eastAsia="zh-CN"/>
              </w:rPr>
            </w:pPr>
            <w:r>
              <w:rPr>
                <w:rFonts w:eastAsia="宋体"/>
                <w:b w:val="0"/>
                <w:bCs w:val="0"/>
                <w:color w:val="auto"/>
                <w:sz w:val="21"/>
                <w:szCs w:val="21"/>
              </w:rPr>
              <w:t>0.741</w:t>
            </w:r>
          </w:p>
        </w:tc>
        <w:tc>
          <w:tcPr>
            <w:tcW w:w="379" w:type="pct"/>
            <w:tcBorders>
              <w:tl2br w:val="nil"/>
              <w:tr2bl w:val="nil"/>
            </w:tcBorders>
            <w:shd w:val="clear" w:color="auto" w:fill="auto"/>
            <w:vAlign w:val="center"/>
          </w:tcPr>
          <w:p w14:paraId="29B23C95">
            <w:pPr>
              <w:jc w:val="center"/>
              <w:rPr>
                <w:rFonts w:hint="eastAsia" w:eastAsia="宋体"/>
                <w:b w:val="0"/>
                <w:bCs w:val="0"/>
                <w:color w:val="auto"/>
                <w:sz w:val="21"/>
                <w:szCs w:val="21"/>
                <w:lang w:val="en-US" w:eastAsia="zh-CN"/>
              </w:rPr>
            </w:pPr>
            <w:r>
              <w:rPr>
                <w:rFonts w:hint="eastAsia" w:eastAsia="宋体"/>
                <w:b w:val="0"/>
                <w:bCs w:val="0"/>
                <w:color w:val="auto"/>
                <w:sz w:val="21"/>
                <w:szCs w:val="21"/>
                <w:lang w:eastAsia="zh-CN"/>
              </w:rPr>
              <w:t>/</w:t>
            </w:r>
          </w:p>
        </w:tc>
      </w:tr>
    </w:tbl>
    <w:p w14:paraId="17AE3F0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lang w:val="en-US" w:eastAsia="zh-CN"/>
        </w:rPr>
      </w:pPr>
    </w:p>
    <w:p w14:paraId="678188B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表5.2-</w:t>
      </w:r>
      <w:r>
        <w:rPr>
          <w:rFonts w:hint="eastAsia" w:cs="Times New Roman"/>
          <w:b/>
          <w:bCs/>
          <w:color w:val="auto"/>
          <w:lang w:val="en-US" w:eastAsia="zh-CN"/>
        </w:rPr>
        <w:t>10</w:t>
      </w:r>
      <w:r>
        <w:rPr>
          <w:rFonts w:hint="default" w:ascii="Times New Roman" w:hAnsi="Times New Roman" w:cs="Times New Roman"/>
          <w:b/>
          <w:bCs/>
          <w:color w:val="auto"/>
          <w:lang w:val="en-US" w:eastAsia="zh-CN"/>
        </w:rPr>
        <w:t xml:space="preserve">  主要废气污染源参数一览表（</w:t>
      </w:r>
      <w:r>
        <w:rPr>
          <w:rFonts w:hint="eastAsia" w:ascii="Times New Roman" w:hAnsi="Times New Roman" w:cs="Times New Roman"/>
          <w:b/>
          <w:bCs/>
          <w:color w:val="auto"/>
          <w:lang w:val="en-US" w:eastAsia="zh-CN"/>
        </w:rPr>
        <w:t>面</w:t>
      </w:r>
      <w:r>
        <w:rPr>
          <w:rFonts w:hint="default" w:ascii="Times New Roman" w:hAnsi="Times New Roman" w:cs="Times New Roman"/>
          <w:b/>
          <w:bCs/>
          <w:color w:val="auto"/>
          <w:lang w:val="en-US" w:eastAsia="zh-CN"/>
        </w:rPr>
        <w:t>源）</w:t>
      </w:r>
    </w:p>
    <w:tbl>
      <w:tblPr>
        <w:tblStyle w:val="53"/>
        <w:tblW w:w="13940" w:type="dxa"/>
        <w:jc w:val="center"/>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Layout w:type="fixed"/>
        <w:tblCellMar>
          <w:top w:w="0" w:type="dxa"/>
          <w:left w:w="108" w:type="dxa"/>
          <w:bottom w:w="0" w:type="dxa"/>
          <w:right w:w="108" w:type="dxa"/>
        </w:tblCellMar>
      </w:tblPr>
      <w:tblGrid>
        <w:gridCol w:w="2486"/>
        <w:gridCol w:w="1887"/>
        <w:gridCol w:w="1770"/>
        <w:gridCol w:w="1301"/>
        <w:gridCol w:w="1317"/>
        <w:gridCol w:w="1114"/>
        <w:gridCol w:w="1380"/>
        <w:gridCol w:w="1374"/>
        <w:gridCol w:w="1311"/>
      </w:tblGrid>
      <w:tr w14:paraId="2CDD119B">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455" w:hRule="atLeast"/>
          <w:jc w:val="center"/>
        </w:trPr>
        <w:tc>
          <w:tcPr>
            <w:tcW w:w="2486" w:type="dxa"/>
            <w:vMerge w:val="restart"/>
            <w:vAlign w:val="center"/>
          </w:tcPr>
          <w:p w14:paraId="345DC2F4">
            <w:pPr>
              <w:jc w:val="center"/>
              <w:rPr>
                <w:rFonts w:hint="eastAsia"/>
                <w:b w:val="0"/>
                <w:bCs w:val="0"/>
                <w:color w:val="auto"/>
                <w:sz w:val="21"/>
                <w:szCs w:val="21"/>
              </w:rPr>
            </w:pPr>
            <w:r>
              <w:rPr>
                <w:rFonts w:hint="eastAsia"/>
                <w:b w:val="0"/>
                <w:bCs w:val="0"/>
                <w:color w:val="auto"/>
                <w:sz w:val="21"/>
                <w:szCs w:val="21"/>
              </w:rPr>
              <w:t>污染源名称</w:t>
            </w:r>
          </w:p>
        </w:tc>
        <w:tc>
          <w:tcPr>
            <w:tcW w:w="3657" w:type="dxa"/>
            <w:gridSpan w:val="2"/>
            <w:vAlign w:val="center"/>
          </w:tcPr>
          <w:p w14:paraId="35009C41">
            <w:pPr>
              <w:jc w:val="center"/>
              <w:rPr>
                <w:rFonts w:hint="eastAsia"/>
                <w:b w:val="0"/>
                <w:bCs w:val="0"/>
                <w:color w:val="auto"/>
                <w:sz w:val="21"/>
                <w:szCs w:val="21"/>
              </w:rPr>
            </w:pPr>
            <w:r>
              <w:rPr>
                <w:rFonts w:hint="eastAsia"/>
                <w:b w:val="0"/>
                <w:bCs w:val="0"/>
                <w:color w:val="auto"/>
                <w:sz w:val="21"/>
                <w:szCs w:val="21"/>
              </w:rPr>
              <w:t>坐标(°)</w:t>
            </w:r>
          </w:p>
        </w:tc>
        <w:tc>
          <w:tcPr>
            <w:tcW w:w="1301" w:type="dxa"/>
            <w:vMerge w:val="restart"/>
            <w:vAlign w:val="center"/>
          </w:tcPr>
          <w:p w14:paraId="3C1EC9CD">
            <w:pPr>
              <w:jc w:val="center"/>
              <w:rPr>
                <w:rFonts w:hint="eastAsia"/>
                <w:b w:val="0"/>
                <w:bCs w:val="0"/>
                <w:color w:val="auto"/>
                <w:sz w:val="21"/>
                <w:szCs w:val="21"/>
              </w:rPr>
            </w:pPr>
            <w:r>
              <w:rPr>
                <w:rFonts w:hint="eastAsia"/>
                <w:b w:val="0"/>
                <w:bCs w:val="0"/>
                <w:color w:val="auto"/>
                <w:sz w:val="21"/>
                <w:szCs w:val="21"/>
              </w:rPr>
              <w:t>海拔高度(m)</w:t>
            </w:r>
          </w:p>
        </w:tc>
        <w:tc>
          <w:tcPr>
            <w:tcW w:w="3811" w:type="dxa"/>
            <w:gridSpan w:val="3"/>
            <w:vAlign w:val="center"/>
          </w:tcPr>
          <w:p w14:paraId="6CF73180">
            <w:pPr>
              <w:jc w:val="center"/>
              <w:rPr>
                <w:rFonts w:hint="eastAsia"/>
                <w:b w:val="0"/>
                <w:bCs w:val="0"/>
                <w:color w:val="auto"/>
                <w:sz w:val="21"/>
                <w:szCs w:val="21"/>
              </w:rPr>
            </w:pPr>
            <w:r>
              <w:rPr>
                <w:rFonts w:hint="eastAsia"/>
                <w:b w:val="0"/>
                <w:bCs w:val="0"/>
                <w:color w:val="auto"/>
                <w:sz w:val="21"/>
                <w:szCs w:val="21"/>
              </w:rPr>
              <w:t>矩形面源</w:t>
            </w:r>
          </w:p>
        </w:tc>
        <w:tc>
          <w:tcPr>
            <w:tcW w:w="2685" w:type="dxa"/>
            <w:gridSpan w:val="2"/>
            <w:vAlign w:val="center"/>
          </w:tcPr>
          <w:p w14:paraId="6E2732F8">
            <w:pPr>
              <w:jc w:val="center"/>
              <w:rPr>
                <w:rFonts w:hint="eastAsia"/>
                <w:b w:val="0"/>
                <w:bCs w:val="0"/>
                <w:color w:val="auto"/>
                <w:sz w:val="21"/>
                <w:szCs w:val="21"/>
              </w:rPr>
            </w:pPr>
            <w:r>
              <w:rPr>
                <w:rFonts w:hint="eastAsia"/>
                <w:b w:val="0"/>
                <w:bCs w:val="0"/>
                <w:color w:val="auto"/>
                <w:sz w:val="21"/>
                <w:szCs w:val="21"/>
              </w:rPr>
              <w:t>污染物排放速率(kg/h)</w:t>
            </w:r>
          </w:p>
        </w:tc>
      </w:tr>
      <w:tr w14:paraId="4C658D6D">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35" w:hRule="atLeast"/>
          <w:jc w:val="center"/>
        </w:trPr>
        <w:tc>
          <w:tcPr>
            <w:tcW w:w="2486" w:type="dxa"/>
            <w:vMerge w:val="continue"/>
            <w:vAlign w:val="center"/>
          </w:tcPr>
          <w:p w14:paraId="3EFEDCCF">
            <w:pPr>
              <w:jc w:val="center"/>
              <w:rPr>
                <w:rFonts w:hint="eastAsia"/>
                <w:b w:val="0"/>
                <w:bCs w:val="0"/>
                <w:color w:val="auto"/>
                <w:sz w:val="21"/>
                <w:szCs w:val="21"/>
              </w:rPr>
            </w:pPr>
          </w:p>
        </w:tc>
        <w:tc>
          <w:tcPr>
            <w:tcW w:w="1887" w:type="dxa"/>
            <w:vAlign w:val="center"/>
          </w:tcPr>
          <w:p w14:paraId="7B8E745D">
            <w:pPr>
              <w:jc w:val="center"/>
              <w:rPr>
                <w:rFonts w:hint="eastAsia"/>
                <w:b w:val="0"/>
                <w:bCs w:val="0"/>
                <w:color w:val="auto"/>
                <w:sz w:val="21"/>
                <w:szCs w:val="21"/>
              </w:rPr>
            </w:pPr>
            <w:r>
              <w:rPr>
                <w:rFonts w:hint="eastAsia"/>
                <w:b w:val="0"/>
                <w:bCs w:val="0"/>
                <w:color w:val="auto"/>
                <w:sz w:val="21"/>
                <w:szCs w:val="21"/>
              </w:rPr>
              <w:t>经度</w:t>
            </w:r>
          </w:p>
        </w:tc>
        <w:tc>
          <w:tcPr>
            <w:tcW w:w="1770" w:type="dxa"/>
            <w:vAlign w:val="center"/>
          </w:tcPr>
          <w:p w14:paraId="134B1E6B">
            <w:pPr>
              <w:jc w:val="center"/>
              <w:rPr>
                <w:rFonts w:hint="eastAsia"/>
                <w:b w:val="0"/>
                <w:bCs w:val="0"/>
                <w:color w:val="auto"/>
                <w:sz w:val="21"/>
                <w:szCs w:val="21"/>
              </w:rPr>
            </w:pPr>
            <w:r>
              <w:rPr>
                <w:rFonts w:hint="eastAsia"/>
                <w:b w:val="0"/>
                <w:bCs w:val="0"/>
                <w:color w:val="auto"/>
                <w:sz w:val="21"/>
                <w:szCs w:val="21"/>
              </w:rPr>
              <w:t>纬度</w:t>
            </w:r>
          </w:p>
        </w:tc>
        <w:tc>
          <w:tcPr>
            <w:tcW w:w="1301" w:type="dxa"/>
            <w:vMerge w:val="continue"/>
            <w:vAlign w:val="center"/>
          </w:tcPr>
          <w:p w14:paraId="24AD2AEE">
            <w:pPr>
              <w:jc w:val="center"/>
              <w:rPr>
                <w:rFonts w:hint="eastAsia"/>
                <w:b w:val="0"/>
                <w:bCs w:val="0"/>
                <w:color w:val="auto"/>
                <w:sz w:val="21"/>
                <w:szCs w:val="21"/>
              </w:rPr>
            </w:pPr>
          </w:p>
        </w:tc>
        <w:tc>
          <w:tcPr>
            <w:tcW w:w="1317" w:type="dxa"/>
            <w:vAlign w:val="center"/>
          </w:tcPr>
          <w:p w14:paraId="2D96C116">
            <w:pPr>
              <w:jc w:val="center"/>
              <w:rPr>
                <w:rFonts w:hint="eastAsia"/>
                <w:b w:val="0"/>
                <w:bCs w:val="0"/>
                <w:color w:val="auto"/>
                <w:sz w:val="21"/>
                <w:szCs w:val="21"/>
              </w:rPr>
            </w:pPr>
            <w:r>
              <w:rPr>
                <w:rFonts w:hint="eastAsia"/>
                <w:b w:val="0"/>
                <w:bCs w:val="0"/>
                <w:color w:val="auto"/>
                <w:sz w:val="21"/>
                <w:szCs w:val="21"/>
              </w:rPr>
              <w:t>长度(m)</w:t>
            </w:r>
          </w:p>
        </w:tc>
        <w:tc>
          <w:tcPr>
            <w:tcW w:w="1114" w:type="dxa"/>
            <w:vAlign w:val="center"/>
          </w:tcPr>
          <w:p w14:paraId="6A6AB310">
            <w:pPr>
              <w:jc w:val="center"/>
              <w:rPr>
                <w:rFonts w:hint="eastAsia"/>
                <w:b w:val="0"/>
                <w:bCs w:val="0"/>
                <w:color w:val="auto"/>
                <w:sz w:val="21"/>
                <w:szCs w:val="21"/>
              </w:rPr>
            </w:pPr>
            <w:r>
              <w:rPr>
                <w:rFonts w:hint="eastAsia"/>
                <w:b w:val="0"/>
                <w:bCs w:val="0"/>
                <w:color w:val="auto"/>
                <w:sz w:val="21"/>
                <w:szCs w:val="21"/>
              </w:rPr>
              <w:t>宽度(m)</w:t>
            </w:r>
          </w:p>
        </w:tc>
        <w:tc>
          <w:tcPr>
            <w:tcW w:w="1380" w:type="dxa"/>
            <w:vAlign w:val="center"/>
          </w:tcPr>
          <w:p w14:paraId="48EDCEA0">
            <w:pPr>
              <w:jc w:val="center"/>
              <w:rPr>
                <w:rFonts w:hint="eastAsia"/>
                <w:b w:val="0"/>
                <w:bCs w:val="0"/>
                <w:color w:val="auto"/>
                <w:sz w:val="21"/>
                <w:szCs w:val="21"/>
              </w:rPr>
            </w:pPr>
            <w:r>
              <w:rPr>
                <w:rFonts w:hint="eastAsia"/>
                <w:b w:val="0"/>
                <w:bCs w:val="0"/>
                <w:color w:val="auto"/>
                <w:sz w:val="21"/>
                <w:szCs w:val="21"/>
              </w:rPr>
              <w:t>有效高度(m)</w:t>
            </w:r>
          </w:p>
        </w:tc>
        <w:tc>
          <w:tcPr>
            <w:tcW w:w="1374" w:type="dxa"/>
            <w:vAlign w:val="center"/>
          </w:tcPr>
          <w:p w14:paraId="49E91B0E">
            <w:pPr>
              <w:jc w:val="center"/>
              <w:rPr>
                <w:rFonts w:hint="eastAsia"/>
                <w:b w:val="0"/>
                <w:bCs w:val="0"/>
                <w:color w:val="auto"/>
                <w:sz w:val="21"/>
                <w:szCs w:val="21"/>
              </w:rPr>
            </w:pPr>
            <w:r>
              <w:rPr>
                <w:rFonts w:hint="eastAsia"/>
                <w:b w:val="0"/>
                <w:bCs w:val="0"/>
                <w:color w:val="auto"/>
                <w:sz w:val="21"/>
                <w:szCs w:val="21"/>
              </w:rPr>
              <w:t>H</w:t>
            </w:r>
            <w:r>
              <w:rPr>
                <w:rFonts w:hint="eastAsia"/>
                <w:b w:val="0"/>
                <w:bCs w:val="0"/>
                <w:color w:val="auto"/>
                <w:sz w:val="21"/>
                <w:szCs w:val="21"/>
                <w:vertAlign w:val="subscript"/>
              </w:rPr>
              <w:t>2</w:t>
            </w:r>
            <w:r>
              <w:rPr>
                <w:rFonts w:hint="eastAsia"/>
                <w:b w:val="0"/>
                <w:bCs w:val="0"/>
                <w:color w:val="auto"/>
                <w:sz w:val="21"/>
                <w:szCs w:val="21"/>
              </w:rPr>
              <w:t>S</w:t>
            </w:r>
          </w:p>
        </w:tc>
        <w:tc>
          <w:tcPr>
            <w:tcW w:w="1311" w:type="dxa"/>
            <w:vAlign w:val="center"/>
          </w:tcPr>
          <w:p w14:paraId="619EAA81">
            <w:pPr>
              <w:jc w:val="center"/>
              <w:rPr>
                <w:rFonts w:hint="eastAsia"/>
                <w:b w:val="0"/>
                <w:bCs w:val="0"/>
                <w:color w:val="auto"/>
                <w:sz w:val="21"/>
                <w:szCs w:val="21"/>
              </w:rPr>
            </w:pPr>
            <w:r>
              <w:rPr>
                <w:rFonts w:hint="eastAsia"/>
                <w:b w:val="0"/>
                <w:bCs w:val="0"/>
                <w:color w:val="auto"/>
                <w:sz w:val="21"/>
                <w:szCs w:val="21"/>
              </w:rPr>
              <w:t>NH</w:t>
            </w:r>
            <w:r>
              <w:rPr>
                <w:rFonts w:hint="eastAsia"/>
                <w:b w:val="0"/>
                <w:bCs w:val="0"/>
                <w:color w:val="auto"/>
                <w:sz w:val="21"/>
                <w:szCs w:val="21"/>
                <w:vertAlign w:val="subscript"/>
              </w:rPr>
              <w:t>3</w:t>
            </w:r>
          </w:p>
        </w:tc>
      </w:tr>
      <w:tr w14:paraId="2CA09565">
        <w:tblPrEx>
          <w:tblBorders>
            <w:top w:val="single" w:color="auto" w:sz="0" w:space="0"/>
            <w:left w:val="single" w:color="auto" w:sz="0" w:space="0"/>
            <w:bottom w:val="single" w:color="auto" w:sz="0" w:space="0"/>
            <w:right w:val="single" w:color="auto" w:sz="0" w:space="0"/>
            <w:insideH w:val="single" w:color="auto" w:sz="0" w:space="0"/>
            <w:insideV w:val="single" w:color="auto" w:sz="0" w:space="0"/>
          </w:tblBorders>
          <w:tblCellMar>
            <w:top w:w="0" w:type="dxa"/>
            <w:left w:w="108" w:type="dxa"/>
            <w:bottom w:w="0" w:type="dxa"/>
            <w:right w:w="108" w:type="dxa"/>
          </w:tblCellMar>
        </w:tblPrEx>
        <w:trPr>
          <w:trHeight w:val="391" w:hRule="atLeast"/>
          <w:jc w:val="center"/>
        </w:trPr>
        <w:tc>
          <w:tcPr>
            <w:tcW w:w="2486" w:type="dxa"/>
            <w:vAlign w:val="center"/>
          </w:tcPr>
          <w:p w14:paraId="071C6836">
            <w:pPr>
              <w:adjustRightInd w:val="0"/>
              <w:snapToGrid w:val="0"/>
              <w:spacing w:line="360" w:lineRule="auto"/>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污水处理（污泥脱水间）</w:t>
            </w:r>
          </w:p>
        </w:tc>
        <w:tc>
          <w:tcPr>
            <w:tcW w:w="1887" w:type="dxa"/>
            <w:vAlign w:val="center"/>
          </w:tcPr>
          <w:p w14:paraId="1CCEF1F8">
            <w:pPr>
              <w:jc w:val="center"/>
              <w:rPr>
                <w:rFonts w:hint="eastAsia"/>
                <w:b w:val="0"/>
                <w:bCs w:val="0"/>
                <w:color w:val="auto"/>
                <w:sz w:val="21"/>
                <w:szCs w:val="21"/>
              </w:rPr>
            </w:pPr>
            <w:r>
              <w:rPr>
                <w:rFonts w:hint="eastAsia"/>
                <w:b w:val="0"/>
                <w:bCs w:val="0"/>
                <w:color w:val="auto"/>
                <w:sz w:val="21"/>
                <w:szCs w:val="21"/>
              </w:rPr>
              <w:t>124.604662</w:t>
            </w:r>
          </w:p>
        </w:tc>
        <w:tc>
          <w:tcPr>
            <w:tcW w:w="1770" w:type="dxa"/>
            <w:vAlign w:val="center"/>
          </w:tcPr>
          <w:p w14:paraId="52500103">
            <w:pPr>
              <w:jc w:val="center"/>
              <w:rPr>
                <w:rFonts w:hint="eastAsia"/>
                <w:b w:val="0"/>
                <w:bCs w:val="0"/>
                <w:color w:val="auto"/>
                <w:sz w:val="21"/>
                <w:szCs w:val="21"/>
              </w:rPr>
            </w:pPr>
            <w:r>
              <w:rPr>
                <w:rFonts w:hint="eastAsia"/>
                <w:b w:val="0"/>
                <w:bCs w:val="0"/>
                <w:color w:val="auto"/>
                <w:sz w:val="21"/>
                <w:szCs w:val="21"/>
              </w:rPr>
              <w:t>48.212638</w:t>
            </w:r>
          </w:p>
        </w:tc>
        <w:tc>
          <w:tcPr>
            <w:tcW w:w="1301" w:type="dxa"/>
            <w:vAlign w:val="center"/>
          </w:tcPr>
          <w:p w14:paraId="3CEE171B">
            <w:pPr>
              <w:jc w:val="center"/>
              <w:rPr>
                <w:rFonts w:hint="eastAsia"/>
                <w:b w:val="0"/>
                <w:bCs w:val="0"/>
                <w:color w:val="auto"/>
                <w:sz w:val="21"/>
                <w:szCs w:val="21"/>
              </w:rPr>
            </w:pPr>
            <w:r>
              <w:rPr>
                <w:rFonts w:hint="eastAsia"/>
                <w:b w:val="0"/>
                <w:bCs w:val="0"/>
                <w:color w:val="auto"/>
                <w:sz w:val="21"/>
                <w:szCs w:val="21"/>
              </w:rPr>
              <w:t>181.00</w:t>
            </w:r>
          </w:p>
        </w:tc>
        <w:tc>
          <w:tcPr>
            <w:tcW w:w="1317" w:type="dxa"/>
            <w:vAlign w:val="center"/>
          </w:tcPr>
          <w:p w14:paraId="5FCD8A26">
            <w:pPr>
              <w:jc w:val="center"/>
              <w:rPr>
                <w:rFonts w:hint="eastAsia"/>
                <w:b w:val="0"/>
                <w:bCs w:val="0"/>
                <w:color w:val="auto"/>
                <w:sz w:val="21"/>
                <w:szCs w:val="21"/>
              </w:rPr>
            </w:pPr>
            <w:r>
              <w:rPr>
                <w:rFonts w:hint="eastAsia"/>
                <w:b w:val="0"/>
                <w:bCs w:val="0"/>
                <w:color w:val="auto"/>
                <w:sz w:val="21"/>
                <w:szCs w:val="21"/>
              </w:rPr>
              <w:t>8.5</w:t>
            </w:r>
          </w:p>
        </w:tc>
        <w:tc>
          <w:tcPr>
            <w:tcW w:w="1114" w:type="dxa"/>
            <w:vAlign w:val="center"/>
          </w:tcPr>
          <w:p w14:paraId="031A841B">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20.00</w:t>
            </w:r>
          </w:p>
        </w:tc>
        <w:tc>
          <w:tcPr>
            <w:tcW w:w="1380" w:type="dxa"/>
            <w:vAlign w:val="center"/>
          </w:tcPr>
          <w:p w14:paraId="41C320F5">
            <w:pPr>
              <w:jc w:val="center"/>
              <w:rPr>
                <w:rFonts w:hint="eastAsia"/>
                <w:b w:val="0"/>
                <w:bCs w:val="0"/>
                <w:color w:val="auto"/>
                <w:sz w:val="21"/>
                <w:szCs w:val="21"/>
              </w:rPr>
            </w:pPr>
            <w:r>
              <w:rPr>
                <w:rFonts w:hint="eastAsia"/>
                <w:b w:val="0"/>
                <w:bCs w:val="0"/>
                <w:color w:val="auto"/>
                <w:sz w:val="21"/>
                <w:szCs w:val="21"/>
                <w:lang w:val="en-US" w:eastAsia="zh-CN"/>
              </w:rPr>
              <w:t>3</w:t>
            </w:r>
            <w:r>
              <w:rPr>
                <w:rFonts w:hint="eastAsia"/>
                <w:b w:val="0"/>
                <w:bCs w:val="0"/>
                <w:color w:val="auto"/>
                <w:sz w:val="21"/>
                <w:szCs w:val="21"/>
              </w:rPr>
              <w:t>.00</w:t>
            </w:r>
          </w:p>
        </w:tc>
        <w:tc>
          <w:tcPr>
            <w:tcW w:w="1374" w:type="dxa"/>
            <w:vAlign w:val="center"/>
          </w:tcPr>
          <w:p w14:paraId="3A22C266">
            <w:pPr>
              <w:jc w:val="center"/>
              <w:rPr>
                <w:rFonts w:hint="default" w:eastAsia="宋体"/>
                <w:b w:val="0"/>
                <w:bCs w:val="0"/>
                <w:color w:val="auto"/>
                <w:sz w:val="21"/>
                <w:szCs w:val="21"/>
                <w:lang w:val="en-US" w:eastAsia="zh-CN"/>
              </w:rPr>
            </w:pPr>
            <w:r>
              <w:rPr>
                <w:rFonts w:hint="eastAsia"/>
                <w:b w:val="0"/>
                <w:bCs w:val="0"/>
                <w:color w:val="auto"/>
                <w:sz w:val="21"/>
                <w:szCs w:val="21"/>
              </w:rPr>
              <w:t>0.00</w:t>
            </w:r>
            <w:r>
              <w:rPr>
                <w:rFonts w:hint="eastAsia"/>
                <w:b w:val="0"/>
                <w:bCs w:val="0"/>
                <w:color w:val="auto"/>
                <w:sz w:val="21"/>
                <w:szCs w:val="21"/>
                <w:lang w:val="en-US" w:eastAsia="zh-CN"/>
              </w:rPr>
              <w:t>26</w:t>
            </w:r>
          </w:p>
        </w:tc>
        <w:tc>
          <w:tcPr>
            <w:tcW w:w="1311" w:type="dxa"/>
            <w:vAlign w:val="center"/>
          </w:tcPr>
          <w:p w14:paraId="5B374B23">
            <w:pPr>
              <w:jc w:val="center"/>
              <w:rPr>
                <w:rFonts w:hint="default" w:eastAsia="宋体"/>
                <w:b w:val="0"/>
                <w:bCs w:val="0"/>
                <w:color w:val="auto"/>
                <w:sz w:val="21"/>
                <w:szCs w:val="21"/>
                <w:lang w:val="en-US" w:eastAsia="zh-CN"/>
              </w:rPr>
            </w:pPr>
            <w:r>
              <w:rPr>
                <w:rFonts w:hint="eastAsia"/>
                <w:b w:val="0"/>
                <w:bCs w:val="0"/>
                <w:color w:val="auto"/>
                <w:sz w:val="21"/>
                <w:szCs w:val="21"/>
              </w:rPr>
              <w:t>0.0</w:t>
            </w:r>
            <w:r>
              <w:rPr>
                <w:rFonts w:hint="eastAsia"/>
                <w:b w:val="0"/>
                <w:bCs w:val="0"/>
                <w:color w:val="auto"/>
                <w:sz w:val="21"/>
                <w:szCs w:val="21"/>
                <w:lang w:val="en-US" w:eastAsia="zh-CN"/>
              </w:rPr>
              <w:t>33</w:t>
            </w:r>
          </w:p>
        </w:tc>
      </w:tr>
    </w:tbl>
    <w:p w14:paraId="0E622D9A">
      <w:pPr>
        <w:pStyle w:val="42"/>
        <w:ind w:left="0" w:firstLine="480" w:firstLineChars="200"/>
        <w:rPr>
          <w:rFonts w:hint="default" w:ascii="Times New Roman" w:hAnsi="Times New Roman" w:cs="Times New Roman"/>
          <w:b/>
          <w:bCs/>
          <w:color w:val="auto"/>
          <w:sz w:val="24"/>
          <w:szCs w:val="24"/>
        </w:rPr>
      </w:pPr>
      <w:r>
        <w:rPr>
          <w:rFonts w:hint="default" w:ascii="Times New Roman" w:hAnsi="Times New Roman" w:cs="Times New Roman"/>
          <w:color w:val="auto"/>
          <w:sz w:val="24"/>
          <w:szCs w:val="24"/>
        </w:rPr>
        <w:t>六、预测结果</w:t>
      </w:r>
    </w:p>
    <w:p w14:paraId="3C1974C7">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6"/>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表5.2-</w:t>
      </w:r>
      <w:r>
        <w:rPr>
          <w:rFonts w:hint="default" w:ascii="Times New Roman" w:hAnsi="Times New Roman" w:eastAsia="宋体" w:cs="Times New Roman"/>
          <w:b/>
          <w:bCs/>
          <w:color w:val="auto"/>
          <w:sz w:val="24"/>
          <w:szCs w:val="24"/>
          <w:lang w:val="en-US" w:eastAsia="zh-CN"/>
        </w:rPr>
        <w:t>1</w:t>
      </w:r>
      <w:r>
        <w:rPr>
          <w:rFonts w:hint="eastAsia" w:eastAsia="宋体" w:cs="Times New Roman"/>
          <w:b/>
          <w:bCs/>
          <w:color w:val="auto"/>
          <w:sz w:val="24"/>
          <w:szCs w:val="24"/>
          <w:lang w:val="en-US" w:eastAsia="zh-CN"/>
        </w:rPr>
        <w:t>1</w:t>
      </w:r>
      <w:r>
        <w:rPr>
          <w:rFonts w:hint="default" w:ascii="Times New Roman" w:hAnsi="Times New Roman" w:eastAsia="宋体" w:cs="Times New Roman"/>
          <w:b/>
          <w:bCs/>
          <w:color w:val="auto"/>
          <w:sz w:val="24"/>
          <w:szCs w:val="24"/>
        </w:rPr>
        <w:t xml:space="preserve">  氨贡献质量浓度预测结果表（浓度单位：μg/m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44"/>
        <w:gridCol w:w="1401"/>
        <w:gridCol w:w="1395"/>
        <w:gridCol w:w="1505"/>
        <w:gridCol w:w="1591"/>
        <w:gridCol w:w="2775"/>
        <w:gridCol w:w="1523"/>
        <w:gridCol w:w="1358"/>
      </w:tblGrid>
      <w:tr w14:paraId="4B49B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84" w:type="dxa"/>
            <w:tcBorders>
              <w:tl2br w:val="nil"/>
              <w:tr2bl w:val="nil"/>
            </w:tcBorders>
            <w:noWrap w:val="0"/>
            <w:vAlign w:val="center"/>
          </w:tcPr>
          <w:p w14:paraId="4133BA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1544" w:type="dxa"/>
            <w:tcBorders>
              <w:tl2br w:val="nil"/>
              <w:tr2bl w:val="nil"/>
            </w:tcBorders>
            <w:noWrap w:val="0"/>
            <w:vAlign w:val="center"/>
          </w:tcPr>
          <w:p w14:paraId="7D69A5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预测点</w:t>
            </w:r>
          </w:p>
        </w:tc>
        <w:tc>
          <w:tcPr>
            <w:tcW w:w="1401" w:type="dxa"/>
            <w:tcBorders>
              <w:tl2br w:val="nil"/>
              <w:tr2bl w:val="nil"/>
            </w:tcBorders>
            <w:noWrap w:val="0"/>
            <w:vAlign w:val="center"/>
          </w:tcPr>
          <w:p w14:paraId="2448F6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X坐标（m）</w:t>
            </w:r>
          </w:p>
        </w:tc>
        <w:tc>
          <w:tcPr>
            <w:tcW w:w="1395" w:type="dxa"/>
            <w:tcBorders>
              <w:tl2br w:val="nil"/>
              <w:tr2bl w:val="nil"/>
            </w:tcBorders>
            <w:noWrap w:val="0"/>
            <w:vAlign w:val="center"/>
          </w:tcPr>
          <w:p w14:paraId="45FB31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Y坐标（m）</w:t>
            </w:r>
          </w:p>
        </w:tc>
        <w:tc>
          <w:tcPr>
            <w:tcW w:w="1505" w:type="dxa"/>
            <w:tcBorders>
              <w:tl2br w:val="nil"/>
              <w:tr2bl w:val="nil"/>
            </w:tcBorders>
            <w:noWrap w:val="0"/>
            <w:vAlign w:val="center"/>
          </w:tcPr>
          <w:p w14:paraId="2B810A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平均时段</w:t>
            </w:r>
          </w:p>
        </w:tc>
        <w:tc>
          <w:tcPr>
            <w:tcW w:w="1591" w:type="dxa"/>
            <w:tcBorders>
              <w:tl2br w:val="nil"/>
              <w:tr2bl w:val="nil"/>
            </w:tcBorders>
            <w:noWrap w:val="0"/>
            <w:vAlign w:val="center"/>
          </w:tcPr>
          <w:p w14:paraId="742A80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最大贡献值</w:t>
            </w:r>
          </w:p>
        </w:tc>
        <w:tc>
          <w:tcPr>
            <w:tcW w:w="2775" w:type="dxa"/>
            <w:tcBorders>
              <w:tl2br w:val="nil"/>
              <w:tr2bl w:val="nil"/>
            </w:tcBorders>
            <w:noWrap w:val="0"/>
            <w:vAlign w:val="center"/>
          </w:tcPr>
          <w:p w14:paraId="5CDC7A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出现时间</w:t>
            </w:r>
          </w:p>
        </w:tc>
        <w:tc>
          <w:tcPr>
            <w:tcW w:w="1523" w:type="dxa"/>
            <w:tcBorders>
              <w:tl2br w:val="nil"/>
              <w:tr2bl w:val="nil"/>
            </w:tcBorders>
            <w:noWrap w:val="0"/>
            <w:vAlign w:val="center"/>
          </w:tcPr>
          <w:p w14:paraId="339609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358" w:type="dxa"/>
            <w:tcBorders>
              <w:tl2br w:val="nil"/>
              <w:tr2bl w:val="nil"/>
            </w:tcBorders>
            <w:noWrap w:val="0"/>
            <w:vAlign w:val="center"/>
          </w:tcPr>
          <w:p w14:paraId="3C2079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25F56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dxa"/>
            <w:vMerge w:val="restart"/>
            <w:tcBorders>
              <w:tl2br w:val="nil"/>
              <w:tr2bl w:val="nil"/>
            </w:tcBorders>
            <w:noWrap w:val="0"/>
            <w:vAlign w:val="center"/>
          </w:tcPr>
          <w:p w14:paraId="30E7E756">
            <w:pPr>
              <w:jc w:val="center"/>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氨</w:t>
            </w:r>
          </w:p>
        </w:tc>
        <w:tc>
          <w:tcPr>
            <w:tcW w:w="1544" w:type="dxa"/>
            <w:tcBorders>
              <w:tl2br w:val="nil"/>
              <w:tr2bl w:val="nil"/>
            </w:tcBorders>
            <w:noWrap w:val="0"/>
            <w:vAlign w:val="center"/>
          </w:tcPr>
          <w:p w14:paraId="63C90E2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大桥口</w:t>
            </w:r>
          </w:p>
        </w:tc>
        <w:tc>
          <w:tcPr>
            <w:tcW w:w="1401" w:type="dxa"/>
            <w:tcBorders>
              <w:tl2br w:val="nil"/>
              <w:tr2bl w:val="nil"/>
            </w:tcBorders>
            <w:noWrap w:val="0"/>
            <w:vAlign w:val="center"/>
          </w:tcPr>
          <w:p w14:paraId="32A413F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2441.11</w:t>
            </w:r>
          </w:p>
        </w:tc>
        <w:tc>
          <w:tcPr>
            <w:tcW w:w="1395" w:type="dxa"/>
            <w:tcBorders>
              <w:tl2br w:val="nil"/>
              <w:tr2bl w:val="nil"/>
            </w:tcBorders>
            <w:noWrap w:val="0"/>
            <w:vAlign w:val="center"/>
          </w:tcPr>
          <w:p w14:paraId="4785C80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2412.13</w:t>
            </w:r>
          </w:p>
        </w:tc>
        <w:tc>
          <w:tcPr>
            <w:tcW w:w="1505" w:type="dxa"/>
            <w:tcBorders>
              <w:tl2br w:val="nil"/>
              <w:tr2bl w:val="nil"/>
            </w:tcBorders>
            <w:noWrap w:val="0"/>
            <w:vAlign w:val="center"/>
          </w:tcPr>
          <w:p w14:paraId="2A6EBD67">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6F4A964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0.26</w:t>
            </w:r>
          </w:p>
        </w:tc>
        <w:tc>
          <w:tcPr>
            <w:tcW w:w="2775" w:type="dxa"/>
            <w:tcBorders>
              <w:tl2br w:val="nil"/>
              <w:tr2bl w:val="nil"/>
            </w:tcBorders>
            <w:noWrap w:val="0"/>
            <w:vAlign w:val="center"/>
          </w:tcPr>
          <w:p w14:paraId="6F8A19E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/1/17 18:00:00</w:t>
            </w:r>
          </w:p>
        </w:tc>
        <w:tc>
          <w:tcPr>
            <w:tcW w:w="1523" w:type="dxa"/>
            <w:tcBorders>
              <w:tl2br w:val="nil"/>
              <w:tr2bl w:val="nil"/>
            </w:tcBorders>
            <w:noWrap w:val="0"/>
            <w:vAlign w:val="center"/>
          </w:tcPr>
          <w:p w14:paraId="3F5D9FC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0.13</w:t>
            </w:r>
          </w:p>
        </w:tc>
        <w:tc>
          <w:tcPr>
            <w:tcW w:w="1358" w:type="dxa"/>
            <w:tcBorders>
              <w:tl2br w:val="nil"/>
              <w:tr2bl w:val="nil"/>
            </w:tcBorders>
            <w:noWrap w:val="0"/>
            <w:vAlign w:val="center"/>
          </w:tcPr>
          <w:p w14:paraId="2B303193">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0BC4C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dxa"/>
            <w:vMerge w:val="continue"/>
            <w:tcBorders>
              <w:tl2br w:val="nil"/>
              <w:tr2bl w:val="nil"/>
            </w:tcBorders>
            <w:noWrap w:val="0"/>
            <w:vAlign w:val="center"/>
          </w:tcPr>
          <w:p w14:paraId="5750CF15">
            <w:pPr>
              <w:jc w:val="center"/>
              <w:rPr>
                <w:rFonts w:hint="default" w:ascii="Times New Roman" w:hAnsi="Times New Roman" w:eastAsia="宋体" w:cs="Times New Roman"/>
                <w:b w:val="0"/>
                <w:bCs w:val="0"/>
                <w:color w:val="auto"/>
                <w:sz w:val="21"/>
                <w:szCs w:val="21"/>
              </w:rPr>
            </w:pPr>
          </w:p>
        </w:tc>
        <w:tc>
          <w:tcPr>
            <w:tcW w:w="1544" w:type="dxa"/>
            <w:tcBorders>
              <w:tl2br w:val="nil"/>
              <w:tr2bl w:val="nil"/>
            </w:tcBorders>
            <w:noWrap w:val="0"/>
            <w:vAlign w:val="center"/>
          </w:tcPr>
          <w:p w14:paraId="748F8A1D">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四季青村</w:t>
            </w:r>
          </w:p>
        </w:tc>
        <w:tc>
          <w:tcPr>
            <w:tcW w:w="1401" w:type="dxa"/>
            <w:tcBorders>
              <w:tl2br w:val="nil"/>
              <w:tr2bl w:val="nil"/>
            </w:tcBorders>
            <w:noWrap w:val="0"/>
            <w:vAlign w:val="center"/>
          </w:tcPr>
          <w:p w14:paraId="3DC737B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621.92</w:t>
            </w:r>
          </w:p>
        </w:tc>
        <w:tc>
          <w:tcPr>
            <w:tcW w:w="1395" w:type="dxa"/>
            <w:tcBorders>
              <w:tl2br w:val="nil"/>
              <w:tr2bl w:val="nil"/>
            </w:tcBorders>
            <w:noWrap w:val="0"/>
            <w:vAlign w:val="center"/>
          </w:tcPr>
          <w:p w14:paraId="050467B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605.14</w:t>
            </w:r>
          </w:p>
        </w:tc>
        <w:tc>
          <w:tcPr>
            <w:tcW w:w="1505" w:type="dxa"/>
            <w:tcBorders>
              <w:tl2br w:val="nil"/>
              <w:tr2bl w:val="nil"/>
            </w:tcBorders>
            <w:noWrap w:val="0"/>
            <w:vAlign w:val="center"/>
          </w:tcPr>
          <w:p w14:paraId="35915F02">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68EDB38D">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1.22</w:t>
            </w:r>
          </w:p>
        </w:tc>
        <w:tc>
          <w:tcPr>
            <w:tcW w:w="2775" w:type="dxa"/>
            <w:tcBorders>
              <w:tl2br w:val="nil"/>
              <w:tr2bl w:val="nil"/>
            </w:tcBorders>
            <w:noWrap w:val="0"/>
            <w:vAlign w:val="center"/>
          </w:tcPr>
          <w:p w14:paraId="7BA95C4E">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/5/13 0:00:00</w:t>
            </w:r>
          </w:p>
        </w:tc>
        <w:tc>
          <w:tcPr>
            <w:tcW w:w="1523" w:type="dxa"/>
            <w:tcBorders>
              <w:tl2br w:val="nil"/>
              <w:tr2bl w:val="nil"/>
            </w:tcBorders>
            <w:noWrap w:val="0"/>
            <w:vAlign w:val="center"/>
          </w:tcPr>
          <w:p w14:paraId="057B6C37">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0.61</w:t>
            </w:r>
          </w:p>
        </w:tc>
        <w:tc>
          <w:tcPr>
            <w:tcW w:w="1358" w:type="dxa"/>
            <w:tcBorders>
              <w:tl2br w:val="nil"/>
              <w:tr2bl w:val="nil"/>
            </w:tcBorders>
            <w:noWrap w:val="0"/>
            <w:vAlign w:val="center"/>
          </w:tcPr>
          <w:p w14:paraId="1E4402E7">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05F3D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84" w:type="dxa"/>
            <w:vMerge w:val="continue"/>
            <w:tcBorders>
              <w:tl2br w:val="nil"/>
              <w:tr2bl w:val="nil"/>
            </w:tcBorders>
            <w:noWrap w:val="0"/>
            <w:vAlign w:val="center"/>
          </w:tcPr>
          <w:p w14:paraId="4B9AB867">
            <w:pPr>
              <w:jc w:val="center"/>
              <w:rPr>
                <w:rFonts w:hint="default" w:ascii="Times New Roman" w:hAnsi="Times New Roman" w:eastAsia="宋体" w:cs="Times New Roman"/>
                <w:b w:val="0"/>
                <w:bCs w:val="0"/>
                <w:color w:val="auto"/>
                <w:sz w:val="21"/>
                <w:szCs w:val="21"/>
              </w:rPr>
            </w:pPr>
          </w:p>
        </w:tc>
        <w:tc>
          <w:tcPr>
            <w:tcW w:w="1544" w:type="dxa"/>
            <w:tcBorders>
              <w:tl2br w:val="nil"/>
              <w:tr2bl w:val="nil"/>
            </w:tcBorders>
            <w:noWrap w:val="0"/>
            <w:vAlign w:val="center"/>
          </w:tcPr>
          <w:p w14:paraId="49F160FE">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后屯</w:t>
            </w:r>
          </w:p>
        </w:tc>
        <w:tc>
          <w:tcPr>
            <w:tcW w:w="1401" w:type="dxa"/>
            <w:tcBorders>
              <w:tl2br w:val="nil"/>
              <w:tr2bl w:val="nil"/>
            </w:tcBorders>
            <w:noWrap w:val="0"/>
            <w:vAlign w:val="center"/>
          </w:tcPr>
          <w:p w14:paraId="0AAE4A71">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226.96</w:t>
            </w:r>
          </w:p>
        </w:tc>
        <w:tc>
          <w:tcPr>
            <w:tcW w:w="1395" w:type="dxa"/>
            <w:tcBorders>
              <w:tl2br w:val="nil"/>
              <w:tr2bl w:val="nil"/>
            </w:tcBorders>
            <w:noWrap w:val="0"/>
            <w:vAlign w:val="center"/>
          </w:tcPr>
          <w:p w14:paraId="431B056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1731.08</w:t>
            </w:r>
          </w:p>
        </w:tc>
        <w:tc>
          <w:tcPr>
            <w:tcW w:w="1505" w:type="dxa"/>
            <w:tcBorders>
              <w:tl2br w:val="nil"/>
              <w:tr2bl w:val="nil"/>
            </w:tcBorders>
            <w:noWrap w:val="0"/>
            <w:vAlign w:val="center"/>
          </w:tcPr>
          <w:p w14:paraId="647BB50B">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4EFF839B">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0.65</w:t>
            </w:r>
          </w:p>
        </w:tc>
        <w:tc>
          <w:tcPr>
            <w:tcW w:w="2775" w:type="dxa"/>
            <w:tcBorders>
              <w:tl2br w:val="nil"/>
              <w:tr2bl w:val="nil"/>
            </w:tcBorders>
            <w:noWrap w:val="0"/>
            <w:vAlign w:val="center"/>
          </w:tcPr>
          <w:p w14:paraId="4944C764">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/12/31 15:00:00</w:t>
            </w:r>
          </w:p>
        </w:tc>
        <w:tc>
          <w:tcPr>
            <w:tcW w:w="1523" w:type="dxa"/>
            <w:tcBorders>
              <w:tl2br w:val="nil"/>
              <w:tr2bl w:val="nil"/>
            </w:tcBorders>
            <w:noWrap w:val="0"/>
            <w:vAlign w:val="center"/>
          </w:tcPr>
          <w:p w14:paraId="5DD683A9">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0.33</w:t>
            </w:r>
          </w:p>
        </w:tc>
        <w:tc>
          <w:tcPr>
            <w:tcW w:w="1358" w:type="dxa"/>
            <w:tcBorders>
              <w:tl2br w:val="nil"/>
              <w:tr2bl w:val="nil"/>
            </w:tcBorders>
            <w:noWrap w:val="0"/>
            <w:vAlign w:val="center"/>
          </w:tcPr>
          <w:p w14:paraId="1D6018E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6171A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84" w:type="dxa"/>
            <w:vMerge w:val="continue"/>
            <w:tcBorders>
              <w:tl2br w:val="nil"/>
              <w:tr2bl w:val="nil"/>
            </w:tcBorders>
            <w:noWrap w:val="0"/>
            <w:vAlign w:val="center"/>
          </w:tcPr>
          <w:p w14:paraId="4F7FD828">
            <w:pPr>
              <w:jc w:val="center"/>
              <w:rPr>
                <w:rFonts w:hint="default" w:ascii="Times New Roman" w:hAnsi="Times New Roman" w:eastAsia="宋体" w:cs="Times New Roman"/>
                <w:b w:val="0"/>
                <w:bCs w:val="0"/>
                <w:color w:val="auto"/>
                <w:sz w:val="21"/>
                <w:szCs w:val="21"/>
              </w:rPr>
            </w:pPr>
          </w:p>
        </w:tc>
        <w:tc>
          <w:tcPr>
            <w:tcW w:w="1544" w:type="dxa"/>
            <w:tcBorders>
              <w:tl2br w:val="nil"/>
              <w:tr2bl w:val="nil"/>
            </w:tcBorders>
            <w:noWrap w:val="0"/>
            <w:vAlign w:val="center"/>
          </w:tcPr>
          <w:p w14:paraId="39B75F4E">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示范场村</w:t>
            </w:r>
          </w:p>
        </w:tc>
        <w:tc>
          <w:tcPr>
            <w:tcW w:w="1401" w:type="dxa"/>
            <w:tcBorders>
              <w:tl2br w:val="nil"/>
              <w:tr2bl w:val="nil"/>
            </w:tcBorders>
            <w:noWrap w:val="0"/>
            <w:vAlign w:val="center"/>
          </w:tcPr>
          <w:p w14:paraId="430BD18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-104.84</w:t>
            </w:r>
          </w:p>
        </w:tc>
        <w:tc>
          <w:tcPr>
            <w:tcW w:w="1395" w:type="dxa"/>
            <w:tcBorders>
              <w:tl2br w:val="nil"/>
              <w:tr2bl w:val="nil"/>
            </w:tcBorders>
            <w:noWrap w:val="0"/>
            <w:vAlign w:val="center"/>
          </w:tcPr>
          <w:p w14:paraId="5530C93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-154.95</w:t>
            </w:r>
          </w:p>
        </w:tc>
        <w:tc>
          <w:tcPr>
            <w:tcW w:w="1505" w:type="dxa"/>
            <w:tcBorders>
              <w:tl2br w:val="nil"/>
              <w:tr2bl w:val="nil"/>
            </w:tcBorders>
            <w:noWrap w:val="0"/>
            <w:vAlign w:val="center"/>
          </w:tcPr>
          <w:p w14:paraId="4D265958">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6439750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2.72</w:t>
            </w:r>
          </w:p>
        </w:tc>
        <w:tc>
          <w:tcPr>
            <w:tcW w:w="2775" w:type="dxa"/>
            <w:tcBorders>
              <w:tl2br w:val="nil"/>
              <w:tr2bl w:val="nil"/>
            </w:tcBorders>
            <w:noWrap w:val="0"/>
            <w:vAlign w:val="center"/>
          </w:tcPr>
          <w:p w14:paraId="2687FA6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/10/14 6:00:00</w:t>
            </w:r>
          </w:p>
        </w:tc>
        <w:tc>
          <w:tcPr>
            <w:tcW w:w="1523" w:type="dxa"/>
            <w:tcBorders>
              <w:tl2br w:val="nil"/>
              <w:tr2bl w:val="nil"/>
            </w:tcBorders>
            <w:noWrap w:val="0"/>
            <w:vAlign w:val="center"/>
          </w:tcPr>
          <w:p w14:paraId="293975E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1.36</w:t>
            </w:r>
          </w:p>
        </w:tc>
        <w:tc>
          <w:tcPr>
            <w:tcW w:w="1358" w:type="dxa"/>
            <w:tcBorders>
              <w:tl2br w:val="nil"/>
              <w:tr2bl w:val="nil"/>
            </w:tcBorders>
            <w:noWrap w:val="0"/>
            <w:vAlign w:val="center"/>
          </w:tcPr>
          <w:p w14:paraId="11C007B0">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4B194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84" w:type="dxa"/>
            <w:vMerge w:val="continue"/>
            <w:tcBorders>
              <w:tl2br w:val="nil"/>
              <w:tr2bl w:val="nil"/>
            </w:tcBorders>
            <w:noWrap w:val="0"/>
            <w:vAlign w:val="center"/>
          </w:tcPr>
          <w:p w14:paraId="1353DB4F">
            <w:pPr>
              <w:jc w:val="center"/>
              <w:rPr>
                <w:rFonts w:hint="default" w:ascii="Times New Roman" w:hAnsi="Times New Roman" w:eastAsia="宋体" w:cs="Times New Roman"/>
                <w:b w:val="0"/>
                <w:bCs w:val="0"/>
                <w:color w:val="auto"/>
                <w:sz w:val="21"/>
                <w:szCs w:val="21"/>
              </w:rPr>
            </w:pPr>
          </w:p>
        </w:tc>
        <w:tc>
          <w:tcPr>
            <w:tcW w:w="1544" w:type="dxa"/>
            <w:tcBorders>
              <w:tl2br w:val="nil"/>
              <w:tr2bl w:val="nil"/>
            </w:tcBorders>
            <w:noWrap w:val="0"/>
            <w:vAlign w:val="center"/>
          </w:tcPr>
          <w:p w14:paraId="2E86E05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永富村</w:t>
            </w:r>
          </w:p>
        </w:tc>
        <w:tc>
          <w:tcPr>
            <w:tcW w:w="1401" w:type="dxa"/>
            <w:tcBorders>
              <w:tl2br w:val="nil"/>
              <w:tr2bl w:val="nil"/>
            </w:tcBorders>
            <w:noWrap w:val="0"/>
            <w:vAlign w:val="center"/>
          </w:tcPr>
          <w:p w14:paraId="6A77C26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-875.91</w:t>
            </w:r>
          </w:p>
        </w:tc>
        <w:tc>
          <w:tcPr>
            <w:tcW w:w="1395" w:type="dxa"/>
            <w:tcBorders>
              <w:tl2br w:val="nil"/>
              <w:tr2bl w:val="nil"/>
            </w:tcBorders>
            <w:noWrap w:val="0"/>
            <w:vAlign w:val="center"/>
          </w:tcPr>
          <w:p w14:paraId="6123B4F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-2394.93</w:t>
            </w:r>
          </w:p>
        </w:tc>
        <w:tc>
          <w:tcPr>
            <w:tcW w:w="1505" w:type="dxa"/>
            <w:tcBorders>
              <w:tl2br w:val="nil"/>
              <w:tr2bl w:val="nil"/>
            </w:tcBorders>
            <w:noWrap w:val="0"/>
            <w:vAlign w:val="center"/>
          </w:tcPr>
          <w:p w14:paraId="163B745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663D539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0.47</w:t>
            </w:r>
          </w:p>
        </w:tc>
        <w:tc>
          <w:tcPr>
            <w:tcW w:w="2775" w:type="dxa"/>
            <w:tcBorders>
              <w:tl2br w:val="nil"/>
              <w:tr2bl w:val="nil"/>
            </w:tcBorders>
            <w:noWrap w:val="0"/>
            <w:vAlign w:val="center"/>
          </w:tcPr>
          <w:p w14:paraId="46C88D2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/1/17 8:00:00</w:t>
            </w:r>
          </w:p>
        </w:tc>
        <w:tc>
          <w:tcPr>
            <w:tcW w:w="1523" w:type="dxa"/>
            <w:tcBorders>
              <w:tl2br w:val="nil"/>
              <w:tr2bl w:val="nil"/>
            </w:tcBorders>
            <w:noWrap w:val="0"/>
            <w:vAlign w:val="center"/>
          </w:tcPr>
          <w:p w14:paraId="77C75EB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0.24</w:t>
            </w:r>
          </w:p>
        </w:tc>
        <w:tc>
          <w:tcPr>
            <w:tcW w:w="1358" w:type="dxa"/>
            <w:tcBorders>
              <w:tl2br w:val="nil"/>
              <w:tr2bl w:val="nil"/>
            </w:tcBorders>
            <w:noWrap w:val="0"/>
            <w:vAlign w:val="center"/>
          </w:tcPr>
          <w:p w14:paraId="7C094892">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67984E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84" w:type="dxa"/>
            <w:vMerge w:val="continue"/>
            <w:tcBorders>
              <w:tl2br w:val="nil"/>
              <w:tr2bl w:val="nil"/>
            </w:tcBorders>
            <w:noWrap w:val="0"/>
            <w:vAlign w:val="center"/>
          </w:tcPr>
          <w:p w14:paraId="0A0531E8">
            <w:pPr>
              <w:jc w:val="center"/>
              <w:rPr>
                <w:rFonts w:hint="default" w:ascii="Times New Roman" w:hAnsi="Times New Roman" w:eastAsia="宋体" w:cs="Times New Roman"/>
                <w:b w:val="0"/>
                <w:bCs w:val="0"/>
                <w:color w:val="auto"/>
                <w:sz w:val="21"/>
                <w:szCs w:val="21"/>
              </w:rPr>
            </w:pPr>
          </w:p>
        </w:tc>
        <w:tc>
          <w:tcPr>
            <w:tcW w:w="1544" w:type="dxa"/>
            <w:tcBorders>
              <w:tl2br w:val="nil"/>
              <w:tr2bl w:val="nil"/>
            </w:tcBorders>
            <w:noWrap w:val="0"/>
            <w:vAlign w:val="center"/>
          </w:tcPr>
          <w:p w14:paraId="29FCD1B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区域最大值</w:t>
            </w:r>
          </w:p>
        </w:tc>
        <w:tc>
          <w:tcPr>
            <w:tcW w:w="1401" w:type="dxa"/>
            <w:tcBorders>
              <w:tl2br w:val="nil"/>
              <w:tr2bl w:val="nil"/>
            </w:tcBorders>
            <w:noWrap w:val="0"/>
            <w:vAlign w:val="center"/>
          </w:tcPr>
          <w:p w14:paraId="6F73A88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-300</w:t>
            </w:r>
          </w:p>
        </w:tc>
        <w:tc>
          <w:tcPr>
            <w:tcW w:w="1395" w:type="dxa"/>
            <w:tcBorders>
              <w:tl2br w:val="nil"/>
              <w:tr2bl w:val="nil"/>
            </w:tcBorders>
            <w:noWrap w:val="0"/>
            <w:vAlign w:val="center"/>
          </w:tcPr>
          <w:p w14:paraId="63E8552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p>
        </w:tc>
        <w:tc>
          <w:tcPr>
            <w:tcW w:w="1505" w:type="dxa"/>
            <w:tcBorders>
              <w:tl2br w:val="nil"/>
              <w:tr2bl w:val="nil"/>
            </w:tcBorders>
            <w:noWrap w:val="0"/>
            <w:vAlign w:val="center"/>
          </w:tcPr>
          <w:p w14:paraId="5D445BE5">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61A7A72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7.40</w:t>
            </w:r>
          </w:p>
        </w:tc>
        <w:tc>
          <w:tcPr>
            <w:tcW w:w="2775" w:type="dxa"/>
            <w:tcBorders>
              <w:tl2br w:val="nil"/>
              <w:tr2bl w:val="nil"/>
            </w:tcBorders>
            <w:noWrap w:val="0"/>
            <w:vAlign w:val="center"/>
          </w:tcPr>
          <w:p w14:paraId="414BBFB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/9/6 6:00:00</w:t>
            </w:r>
          </w:p>
        </w:tc>
        <w:tc>
          <w:tcPr>
            <w:tcW w:w="1523" w:type="dxa"/>
            <w:tcBorders>
              <w:tl2br w:val="nil"/>
              <w:tr2bl w:val="nil"/>
            </w:tcBorders>
            <w:noWrap w:val="0"/>
            <w:vAlign w:val="center"/>
          </w:tcPr>
          <w:p w14:paraId="389B39C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3.70</w:t>
            </w:r>
          </w:p>
        </w:tc>
        <w:tc>
          <w:tcPr>
            <w:tcW w:w="1358" w:type="dxa"/>
            <w:tcBorders>
              <w:tl2br w:val="nil"/>
              <w:tr2bl w:val="nil"/>
            </w:tcBorders>
            <w:noWrap w:val="0"/>
            <w:vAlign w:val="center"/>
          </w:tcPr>
          <w:p w14:paraId="1B96BF01">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bl>
    <w:p w14:paraId="08F290BB">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6"/>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表5.2-</w:t>
      </w:r>
      <w:r>
        <w:rPr>
          <w:rFonts w:hint="default" w:ascii="Times New Roman" w:hAnsi="Times New Roman" w:eastAsia="宋体" w:cs="Times New Roman"/>
          <w:b/>
          <w:bCs/>
          <w:color w:val="auto"/>
          <w:sz w:val="24"/>
          <w:szCs w:val="24"/>
          <w:lang w:val="en-US" w:eastAsia="zh-CN"/>
        </w:rPr>
        <w:t>1</w:t>
      </w:r>
      <w:r>
        <w:rPr>
          <w:rFonts w:hint="eastAsia"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rPr>
        <w:t xml:space="preserve">  氨叠加后质量浓度预测结果表（浓度单位：μg/m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9"/>
        <w:gridCol w:w="1424"/>
        <w:gridCol w:w="1424"/>
        <w:gridCol w:w="1218"/>
        <w:gridCol w:w="1996"/>
        <w:gridCol w:w="1135"/>
        <w:gridCol w:w="1133"/>
        <w:gridCol w:w="1057"/>
        <w:gridCol w:w="1294"/>
        <w:gridCol w:w="1050"/>
        <w:gridCol w:w="1145"/>
      </w:tblGrid>
      <w:tr w14:paraId="0C11E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tcBorders>
              <w:tl2br w:val="nil"/>
              <w:tr2bl w:val="nil"/>
            </w:tcBorders>
            <w:noWrap w:val="0"/>
            <w:vAlign w:val="center"/>
          </w:tcPr>
          <w:p w14:paraId="5A89EA9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预测点</w:t>
            </w:r>
          </w:p>
        </w:tc>
        <w:tc>
          <w:tcPr>
            <w:tcW w:w="1424" w:type="dxa"/>
            <w:tcBorders>
              <w:tl2br w:val="nil"/>
              <w:tr2bl w:val="nil"/>
            </w:tcBorders>
            <w:noWrap w:val="0"/>
            <w:vAlign w:val="center"/>
          </w:tcPr>
          <w:p w14:paraId="2077E99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X坐标（m）</w:t>
            </w:r>
          </w:p>
        </w:tc>
        <w:tc>
          <w:tcPr>
            <w:tcW w:w="1424" w:type="dxa"/>
            <w:tcBorders>
              <w:tl2br w:val="nil"/>
              <w:tr2bl w:val="nil"/>
            </w:tcBorders>
            <w:noWrap w:val="0"/>
            <w:vAlign w:val="center"/>
          </w:tcPr>
          <w:p w14:paraId="0F7C538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Y坐标（m）</w:t>
            </w:r>
          </w:p>
        </w:tc>
        <w:tc>
          <w:tcPr>
            <w:tcW w:w="1218" w:type="dxa"/>
            <w:tcBorders>
              <w:tl2br w:val="nil"/>
              <w:tr2bl w:val="nil"/>
            </w:tcBorders>
            <w:noWrap w:val="0"/>
            <w:vAlign w:val="center"/>
          </w:tcPr>
          <w:p w14:paraId="70D1243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平均时段</w:t>
            </w:r>
          </w:p>
        </w:tc>
        <w:tc>
          <w:tcPr>
            <w:tcW w:w="1996" w:type="dxa"/>
            <w:tcBorders>
              <w:tl2br w:val="nil"/>
              <w:tr2bl w:val="nil"/>
            </w:tcBorders>
            <w:noWrap w:val="0"/>
            <w:vAlign w:val="center"/>
          </w:tcPr>
          <w:p w14:paraId="43242B0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出现时间</w:t>
            </w:r>
          </w:p>
        </w:tc>
        <w:tc>
          <w:tcPr>
            <w:tcW w:w="1135" w:type="dxa"/>
            <w:tcBorders>
              <w:tl2br w:val="nil"/>
              <w:tr2bl w:val="nil"/>
            </w:tcBorders>
            <w:noWrap w:val="0"/>
            <w:vAlign w:val="center"/>
          </w:tcPr>
          <w:p w14:paraId="2C4E775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贡献值</w:t>
            </w:r>
          </w:p>
        </w:tc>
        <w:tc>
          <w:tcPr>
            <w:tcW w:w="1133" w:type="dxa"/>
            <w:tcBorders>
              <w:tl2br w:val="nil"/>
              <w:tr2bl w:val="nil"/>
            </w:tcBorders>
            <w:noWrap w:val="0"/>
            <w:vAlign w:val="center"/>
          </w:tcPr>
          <w:p w14:paraId="30CAF6E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057" w:type="dxa"/>
            <w:tcBorders>
              <w:tl2br w:val="nil"/>
              <w:tr2bl w:val="nil"/>
            </w:tcBorders>
            <w:noWrap w:val="0"/>
            <w:vAlign w:val="center"/>
          </w:tcPr>
          <w:p w14:paraId="303BE95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现状浓度</w:t>
            </w:r>
          </w:p>
        </w:tc>
        <w:tc>
          <w:tcPr>
            <w:tcW w:w="1294" w:type="dxa"/>
            <w:tcBorders>
              <w:tl2br w:val="nil"/>
              <w:tr2bl w:val="nil"/>
            </w:tcBorders>
            <w:noWrap w:val="0"/>
            <w:vAlign w:val="center"/>
          </w:tcPr>
          <w:p w14:paraId="286932F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叠加后浓度</w:t>
            </w:r>
          </w:p>
        </w:tc>
        <w:tc>
          <w:tcPr>
            <w:tcW w:w="1050" w:type="dxa"/>
            <w:tcBorders>
              <w:tl2br w:val="nil"/>
              <w:tr2bl w:val="nil"/>
            </w:tcBorders>
            <w:noWrap w:val="0"/>
            <w:vAlign w:val="center"/>
          </w:tcPr>
          <w:p w14:paraId="6D35BE7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145" w:type="dxa"/>
            <w:tcBorders>
              <w:tl2br w:val="nil"/>
              <w:tr2bl w:val="nil"/>
            </w:tcBorders>
            <w:noWrap w:val="0"/>
            <w:vAlign w:val="center"/>
          </w:tcPr>
          <w:p w14:paraId="0552498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74BB2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tcBorders>
              <w:tl2br w:val="nil"/>
              <w:tr2bl w:val="nil"/>
            </w:tcBorders>
            <w:noWrap w:val="0"/>
            <w:vAlign w:val="center"/>
          </w:tcPr>
          <w:p w14:paraId="619784A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大桥口</w:t>
            </w:r>
          </w:p>
        </w:tc>
        <w:tc>
          <w:tcPr>
            <w:tcW w:w="1424" w:type="dxa"/>
            <w:tcBorders>
              <w:tl2br w:val="nil"/>
              <w:tr2bl w:val="nil"/>
            </w:tcBorders>
            <w:noWrap w:val="0"/>
            <w:vAlign w:val="center"/>
          </w:tcPr>
          <w:p w14:paraId="5589F2E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2441.11</w:t>
            </w:r>
          </w:p>
        </w:tc>
        <w:tc>
          <w:tcPr>
            <w:tcW w:w="1424" w:type="dxa"/>
            <w:tcBorders>
              <w:tl2br w:val="nil"/>
              <w:tr2bl w:val="nil"/>
            </w:tcBorders>
            <w:noWrap w:val="0"/>
            <w:vAlign w:val="center"/>
          </w:tcPr>
          <w:p w14:paraId="7CBD23E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2412.13</w:t>
            </w:r>
          </w:p>
        </w:tc>
        <w:tc>
          <w:tcPr>
            <w:tcW w:w="1218" w:type="dxa"/>
            <w:tcBorders>
              <w:tl2br w:val="nil"/>
              <w:tr2bl w:val="nil"/>
            </w:tcBorders>
            <w:noWrap w:val="0"/>
            <w:vAlign w:val="center"/>
          </w:tcPr>
          <w:p w14:paraId="3E44757A">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996" w:type="dxa"/>
            <w:tcBorders>
              <w:tl2br w:val="nil"/>
              <w:tr2bl w:val="nil"/>
            </w:tcBorders>
            <w:noWrap w:val="0"/>
            <w:vAlign w:val="center"/>
          </w:tcPr>
          <w:p w14:paraId="4481306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/1/17 18:00:00</w:t>
            </w:r>
          </w:p>
        </w:tc>
        <w:tc>
          <w:tcPr>
            <w:tcW w:w="1135" w:type="dxa"/>
            <w:tcBorders>
              <w:tl2br w:val="nil"/>
              <w:tr2bl w:val="nil"/>
            </w:tcBorders>
            <w:noWrap w:val="0"/>
            <w:vAlign w:val="center"/>
          </w:tcPr>
          <w:p w14:paraId="3558788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0.26</w:t>
            </w:r>
          </w:p>
        </w:tc>
        <w:tc>
          <w:tcPr>
            <w:tcW w:w="1133" w:type="dxa"/>
            <w:tcBorders>
              <w:tl2br w:val="nil"/>
              <w:tr2bl w:val="nil"/>
            </w:tcBorders>
            <w:noWrap w:val="0"/>
            <w:vAlign w:val="center"/>
          </w:tcPr>
          <w:p w14:paraId="6F22377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0.13</w:t>
            </w:r>
          </w:p>
        </w:tc>
        <w:tc>
          <w:tcPr>
            <w:tcW w:w="1057" w:type="dxa"/>
            <w:tcBorders>
              <w:tl2br w:val="nil"/>
              <w:tr2bl w:val="nil"/>
            </w:tcBorders>
            <w:noWrap w:val="0"/>
            <w:vAlign w:val="center"/>
          </w:tcPr>
          <w:p w14:paraId="5A10BA8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29.8</w:t>
            </w:r>
          </w:p>
        </w:tc>
        <w:tc>
          <w:tcPr>
            <w:tcW w:w="1294" w:type="dxa"/>
            <w:tcBorders>
              <w:tl2br w:val="nil"/>
              <w:tr2bl w:val="nil"/>
            </w:tcBorders>
            <w:noWrap w:val="0"/>
            <w:vAlign w:val="center"/>
          </w:tcPr>
          <w:p w14:paraId="57A4571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30.06</w:t>
            </w:r>
          </w:p>
        </w:tc>
        <w:tc>
          <w:tcPr>
            <w:tcW w:w="1050" w:type="dxa"/>
            <w:tcBorders>
              <w:tl2br w:val="nil"/>
              <w:tr2bl w:val="nil"/>
            </w:tcBorders>
            <w:noWrap w:val="0"/>
            <w:vAlign w:val="center"/>
          </w:tcPr>
          <w:p w14:paraId="530DFB2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15.03</w:t>
            </w:r>
          </w:p>
        </w:tc>
        <w:tc>
          <w:tcPr>
            <w:tcW w:w="1145" w:type="dxa"/>
            <w:tcBorders>
              <w:tl2br w:val="nil"/>
              <w:tr2bl w:val="nil"/>
            </w:tcBorders>
            <w:noWrap w:val="0"/>
            <w:vAlign w:val="center"/>
          </w:tcPr>
          <w:p w14:paraId="790DD7FA">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7E9D4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tcBorders>
              <w:tl2br w:val="nil"/>
              <w:tr2bl w:val="nil"/>
            </w:tcBorders>
            <w:noWrap w:val="0"/>
            <w:vAlign w:val="center"/>
          </w:tcPr>
          <w:p w14:paraId="6B751B6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四季青村</w:t>
            </w:r>
          </w:p>
        </w:tc>
        <w:tc>
          <w:tcPr>
            <w:tcW w:w="1424" w:type="dxa"/>
            <w:tcBorders>
              <w:tl2br w:val="nil"/>
              <w:tr2bl w:val="nil"/>
            </w:tcBorders>
            <w:noWrap w:val="0"/>
            <w:vAlign w:val="center"/>
          </w:tcPr>
          <w:p w14:paraId="750A3A07">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621.92</w:t>
            </w:r>
          </w:p>
        </w:tc>
        <w:tc>
          <w:tcPr>
            <w:tcW w:w="1424" w:type="dxa"/>
            <w:tcBorders>
              <w:tl2br w:val="nil"/>
              <w:tr2bl w:val="nil"/>
            </w:tcBorders>
            <w:noWrap w:val="0"/>
            <w:vAlign w:val="center"/>
          </w:tcPr>
          <w:p w14:paraId="558DE4F3">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605.14</w:t>
            </w:r>
          </w:p>
        </w:tc>
        <w:tc>
          <w:tcPr>
            <w:tcW w:w="1218" w:type="dxa"/>
            <w:tcBorders>
              <w:tl2br w:val="nil"/>
              <w:tr2bl w:val="nil"/>
            </w:tcBorders>
            <w:noWrap w:val="0"/>
            <w:vAlign w:val="center"/>
          </w:tcPr>
          <w:p w14:paraId="67DE1B67">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996" w:type="dxa"/>
            <w:tcBorders>
              <w:tl2br w:val="nil"/>
              <w:tr2bl w:val="nil"/>
            </w:tcBorders>
            <w:noWrap w:val="0"/>
            <w:vAlign w:val="center"/>
          </w:tcPr>
          <w:p w14:paraId="6C8AD99B">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/5/13 0:00:00</w:t>
            </w:r>
          </w:p>
        </w:tc>
        <w:tc>
          <w:tcPr>
            <w:tcW w:w="1135" w:type="dxa"/>
            <w:tcBorders>
              <w:tl2br w:val="nil"/>
              <w:tr2bl w:val="nil"/>
            </w:tcBorders>
            <w:noWrap w:val="0"/>
            <w:vAlign w:val="center"/>
          </w:tcPr>
          <w:p w14:paraId="0FBD349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1.22</w:t>
            </w:r>
          </w:p>
        </w:tc>
        <w:tc>
          <w:tcPr>
            <w:tcW w:w="1133" w:type="dxa"/>
            <w:tcBorders>
              <w:tl2br w:val="nil"/>
              <w:tr2bl w:val="nil"/>
            </w:tcBorders>
            <w:noWrap w:val="0"/>
            <w:vAlign w:val="center"/>
          </w:tcPr>
          <w:p w14:paraId="6F799C39">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0.61</w:t>
            </w:r>
          </w:p>
        </w:tc>
        <w:tc>
          <w:tcPr>
            <w:tcW w:w="1057" w:type="dxa"/>
            <w:tcBorders>
              <w:tl2br w:val="nil"/>
              <w:tr2bl w:val="nil"/>
            </w:tcBorders>
            <w:noWrap w:val="0"/>
            <w:vAlign w:val="center"/>
          </w:tcPr>
          <w:p w14:paraId="10B80C15">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29.8</w:t>
            </w:r>
          </w:p>
        </w:tc>
        <w:tc>
          <w:tcPr>
            <w:tcW w:w="1294" w:type="dxa"/>
            <w:tcBorders>
              <w:tl2br w:val="nil"/>
              <w:tr2bl w:val="nil"/>
            </w:tcBorders>
            <w:noWrap w:val="0"/>
            <w:vAlign w:val="center"/>
          </w:tcPr>
          <w:p w14:paraId="0309A439">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31.02</w:t>
            </w:r>
          </w:p>
        </w:tc>
        <w:tc>
          <w:tcPr>
            <w:tcW w:w="1050" w:type="dxa"/>
            <w:tcBorders>
              <w:tl2br w:val="nil"/>
              <w:tr2bl w:val="nil"/>
            </w:tcBorders>
            <w:noWrap w:val="0"/>
            <w:vAlign w:val="center"/>
          </w:tcPr>
          <w:p w14:paraId="68CA7197">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15.51</w:t>
            </w:r>
          </w:p>
        </w:tc>
        <w:tc>
          <w:tcPr>
            <w:tcW w:w="1145" w:type="dxa"/>
            <w:tcBorders>
              <w:tl2br w:val="nil"/>
              <w:tr2bl w:val="nil"/>
            </w:tcBorders>
            <w:noWrap w:val="0"/>
            <w:vAlign w:val="center"/>
          </w:tcPr>
          <w:p w14:paraId="5382EF85">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789F0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tcBorders>
              <w:tl2br w:val="nil"/>
              <w:tr2bl w:val="nil"/>
            </w:tcBorders>
            <w:noWrap w:val="0"/>
            <w:vAlign w:val="center"/>
          </w:tcPr>
          <w:p w14:paraId="6ACF4678">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后屯</w:t>
            </w:r>
          </w:p>
        </w:tc>
        <w:tc>
          <w:tcPr>
            <w:tcW w:w="1424" w:type="dxa"/>
            <w:tcBorders>
              <w:tl2br w:val="nil"/>
              <w:tr2bl w:val="nil"/>
            </w:tcBorders>
            <w:noWrap w:val="0"/>
            <w:vAlign w:val="center"/>
          </w:tcPr>
          <w:p w14:paraId="6582E2C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226.96</w:t>
            </w:r>
          </w:p>
        </w:tc>
        <w:tc>
          <w:tcPr>
            <w:tcW w:w="1424" w:type="dxa"/>
            <w:tcBorders>
              <w:tl2br w:val="nil"/>
              <w:tr2bl w:val="nil"/>
            </w:tcBorders>
            <w:noWrap w:val="0"/>
            <w:vAlign w:val="center"/>
          </w:tcPr>
          <w:p w14:paraId="5C843EF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1731.08</w:t>
            </w:r>
          </w:p>
        </w:tc>
        <w:tc>
          <w:tcPr>
            <w:tcW w:w="1218" w:type="dxa"/>
            <w:tcBorders>
              <w:tl2br w:val="nil"/>
              <w:tr2bl w:val="nil"/>
            </w:tcBorders>
            <w:noWrap w:val="0"/>
            <w:vAlign w:val="center"/>
          </w:tcPr>
          <w:p w14:paraId="68D0B03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996" w:type="dxa"/>
            <w:tcBorders>
              <w:tl2br w:val="nil"/>
              <w:tr2bl w:val="nil"/>
            </w:tcBorders>
            <w:noWrap w:val="0"/>
            <w:vAlign w:val="center"/>
          </w:tcPr>
          <w:p w14:paraId="3C77EDA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/12/31 15:00:00</w:t>
            </w:r>
          </w:p>
        </w:tc>
        <w:tc>
          <w:tcPr>
            <w:tcW w:w="1135" w:type="dxa"/>
            <w:tcBorders>
              <w:tl2br w:val="nil"/>
              <w:tr2bl w:val="nil"/>
            </w:tcBorders>
            <w:noWrap w:val="0"/>
            <w:vAlign w:val="center"/>
          </w:tcPr>
          <w:p w14:paraId="62A8BB3E">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0.65</w:t>
            </w:r>
          </w:p>
        </w:tc>
        <w:tc>
          <w:tcPr>
            <w:tcW w:w="1133" w:type="dxa"/>
            <w:tcBorders>
              <w:tl2br w:val="nil"/>
              <w:tr2bl w:val="nil"/>
            </w:tcBorders>
            <w:noWrap w:val="0"/>
            <w:vAlign w:val="center"/>
          </w:tcPr>
          <w:p w14:paraId="37FC398E">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0.33</w:t>
            </w:r>
          </w:p>
        </w:tc>
        <w:tc>
          <w:tcPr>
            <w:tcW w:w="1057" w:type="dxa"/>
            <w:tcBorders>
              <w:tl2br w:val="nil"/>
              <w:tr2bl w:val="nil"/>
            </w:tcBorders>
            <w:noWrap w:val="0"/>
            <w:vAlign w:val="center"/>
          </w:tcPr>
          <w:p w14:paraId="0458C5A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29.8</w:t>
            </w:r>
          </w:p>
        </w:tc>
        <w:tc>
          <w:tcPr>
            <w:tcW w:w="1294" w:type="dxa"/>
            <w:tcBorders>
              <w:tl2br w:val="nil"/>
              <w:tr2bl w:val="nil"/>
            </w:tcBorders>
            <w:noWrap w:val="0"/>
            <w:vAlign w:val="center"/>
          </w:tcPr>
          <w:p w14:paraId="5FE09996">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30.45</w:t>
            </w:r>
          </w:p>
        </w:tc>
        <w:tc>
          <w:tcPr>
            <w:tcW w:w="1050" w:type="dxa"/>
            <w:tcBorders>
              <w:tl2br w:val="nil"/>
              <w:tr2bl w:val="nil"/>
            </w:tcBorders>
            <w:noWrap w:val="0"/>
            <w:vAlign w:val="center"/>
          </w:tcPr>
          <w:p w14:paraId="3C6F897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15.23</w:t>
            </w:r>
          </w:p>
        </w:tc>
        <w:tc>
          <w:tcPr>
            <w:tcW w:w="1145" w:type="dxa"/>
            <w:tcBorders>
              <w:tl2br w:val="nil"/>
              <w:tr2bl w:val="nil"/>
            </w:tcBorders>
            <w:noWrap w:val="0"/>
            <w:vAlign w:val="center"/>
          </w:tcPr>
          <w:p w14:paraId="53F801E1">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1EEB3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tcBorders>
              <w:tl2br w:val="nil"/>
              <w:tr2bl w:val="nil"/>
            </w:tcBorders>
            <w:noWrap w:val="0"/>
            <w:vAlign w:val="center"/>
          </w:tcPr>
          <w:p w14:paraId="5B611999">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示范场村</w:t>
            </w:r>
          </w:p>
        </w:tc>
        <w:tc>
          <w:tcPr>
            <w:tcW w:w="1424" w:type="dxa"/>
            <w:tcBorders>
              <w:tl2br w:val="nil"/>
              <w:tr2bl w:val="nil"/>
            </w:tcBorders>
            <w:noWrap w:val="0"/>
            <w:vAlign w:val="center"/>
          </w:tcPr>
          <w:p w14:paraId="60EE779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-104.84</w:t>
            </w:r>
          </w:p>
        </w:tc>
        <w:tc>
          <w:tcPr>
            <w:tcW w:w="1424" w:type="dxa"/>
            <w:tcBorders>
              <w:tl2br w:val="nil"/>
              <w:tr2bl w:val="nil"/>
            </w:tcBorders>
            <w:noWrap w:val="0"/>
            <w:vAlign w:val="center"/>
          </w:tcPr>
          <w:p w14:paraId="4345C7C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-154.95</w:t>
            </w:r>
          </w:p>
        </w:tc>
        <w:tc>
          <w:tcPr>
            <w:tcW w:w="1218" w:type="dxa"/>
            <w:tcBorders>
              <w:tl2br w:val="nil"/>
              <w:tr2bl w:val="nil"/>
            </w:tcBorders>
            <w:noWrap w:val="0"/>
            <w:vAlign w:val="center"/>
          </w:tcPr>
          <w:p w14:paraId="7391E3D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996" w:type="dxa"/>
            <w:tcBorders>
              <w:tl2br w:val="nil"/>
              <w:tr2bl w:val="nil"/>
            </w:tcBorders>
            <w:noWrap w:val="0"/>
            <w:vAlign w:val="center"/>
          </w:tcPr>
          <w:p w14:paraId="06AF812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/10/14 6:00:00</w:t>
            </w:r>
          </w:p>
        </w:tc>
        <w:tc>
          <w:tcPr>
            <w:tcW w:w="1135" w:type="dxa"/>
            <w:tcBorders>
              <w:tl2br w:val="nil"/>
              <w:tr2bl w:val="nil"/>
            </w:tcBorders>
            <w:noWrap w:val="0"/>
            <w:vAlign w:val="center"/>
          </w:tcPr>
          <w:p w14:paraId="0F06FDA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2.72</w:t>
            </w:r>
          </w:p>
        </w:tc>
        <w:tc>
          <w:tcPr>
            <w:tcW w:w="1133" w:type="dxa"/>
            <w:tcBorders>
              <w:tl2br w:val="nil"/>
              <w:tr2bl w:val="nil"/>
            </w:tcBorders>
            <w:noWrap w:val="0"/>
            <w:vAlign w:val="center"/>
          </w:tcPr>
          <w:p w14:paraId="6ED97CA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1.36</w:t>
            </w:r>
          </w:p>
        </w:tc>
        <w:tc>
          <w:tcPr>
            <w:tcW w:w="1057" w:type="dxa"/>
            <w:tcBorders>
              <w:tl2br w:val="nil"/>
              <w:tr2bl w:val="nil"/>
            </w:tcBorders>
            <w:noWrap w:val="0"/>
            <w:vAlign w:val="center"/>
          </w:tcPr>
          <w:p w14:paraId="55093B9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29.8</w:t>
            </w:r>
          </w:p>
        </w:tc>
        <w:tc>
          <w:tcPr>
            <w:tcW w:w="1294" w:type="dxa"/>
            <w:tcBorders>
              <w:tl2br w:val="nil"/>
              <w:tr2bl w:val="nil"/>
            </w:tcBorders>
            <w:noWrap w:val="0"/>
            <w:vAlign w:val="center"/>
          </w:tcPr>
          <w:p w14:paraId="62BA27F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32.52</w:t>
            </w:r>
          </w:p>
        </w:tc>
        <w:tc>
          <w:tcPr>
            <w:tcW w:w="1050" w:type="dxa"/>
            <w:tcBorders>
              <w:tl2br w:val="nil"/>
              <w:tr2bl w:val="nil"/>
            </w:tcBorders>
            <w:noWrap w:val="0"/>
            <w:vAlign w:val="center"/>
          </w:tcPr>
          <w:p w14:paraId="50BDC58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16.26</w:t>
            </w:r>
          </w:p>
        </w:tc>
        <w:tc>
          <w:tcPr>
            <w:tcW w:w="1145" w:type="dxa"/>
            <w:tcBorders>
              <w:tl2br w:val="nil"/>
              <w:tr2bl w:val="nil"/>
            </w:tcBorders>
            <w:noWrap w:val="0"/>
            <w:vAlign w:val="center"/>
          </w:tcPr>
          <w:p w14:paraId="733D5FE7">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18F26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tcBorders>
              <w:tl2br w:val="nil"/>
              <w:tr2bl w:val="nil"/>
            </w:tcBorders>
            <w:noWrap w:val="0"/>
            <w:vAlign w:val="center"/>
          </w:tcPr>
          <w:p w14:paraId="2DFCF24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永富村</w:t>
            </w:r>
          </w:p>
        </w:tc>
        <w:tc>
          <w:tcPr>
            <w:tcW w:w="1424" w:type="dxa"/>
            <w:tcBorders>
              <w:tl2br w:val="nil"/>
              <w:tr2bl w:val="nil"/>
            </w:tcBorders>
            <w:noWrap w:val="0"/>
            <w:vAlign w:val="center"/>
          </w:tcPr>
          <w:p w14:paraId="075FCCD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-875.91</w:t>
            </w:r>
          </w:p>
        </w:tc>
        <w:tc>
          <w:tcPr>
            <w:tcW w:w="1424" w:type="dxa"/>
            <w:tcBorders>
              <w:tl2br w:val="nil"/>
              <w:tr2bl w:val="nil"/>
            </w:tcBorders>
            <w:noWrap w:val="0"/>
            <w:vAlign w:val="center"/>
          </w:tcPr>
          <w:p w14:paraId="38A85EB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-2394.93</w:t>
            </w:r>
          </w:p>
        </w:tc>
        <w:tc>
          <w:tcPr>
            <w:tcW w:w="1218" w:type="dxa"/>
            <w:tcBorders>
              <w:tl2br w:val="nil"/>
              <w:tr2bl w:val="nil"/>
            </w:tcBorders>
            <w:noWrap w:val="0"/>
            <w:vAlign w:val="center"/>
          </w:tcPr>
          <w:p w14:paraId="3119B149">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996" w:type="dxa"/>
            <w:tcBorders>
              <w:tl2br w:val="nil"/>
              <w:tr2bl w:val="nil"/>
            </w:tcBorders>
            <w:noWrap w:val="0"/>
            <w:vAlign w:val="center"/>
          </w:tcPr>
          <w:p w14:paraId="279A5E8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/1/17 8:00:00</w:t>
            </w:r>
          </w:p>
        </w:tc>
        <w:tc>
          <w:tcPr>
            <w:tcW w:w="1135" w:type="dxa"/>
            <w:tcBorders>
              <w:tl2br w:val="nil"/>
              <w:tr2bl w:val="nil"/>
            </w:tcBorders>
            <w:noWrap w:val="0"/>
            <w:vAlign w:val="center"/>
          </w:tcPr>
          <w:p w14:paraId="69BB5EF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0.47</w:t>
            </w:r>
          </w:p>
        </w:tc>
        <w:tc>
          <w:tcPr>
            <w:tcW w:w="1133" w:type="dxa"/>
            <w:tcBorders>
              <w:tl2br w:val="nil"/>
              <w:tr2bl w:val="nil"/>
            </w:tcBorders>
            <w:noWrap w:val="0"/>
            <w:vAlign w:val="center"/>
          </w:tcPr>
          <w:p w14:paraId="774C5E9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0.24</w:t>
            </w:r>
          </w:p>
        </w:tc>
        <w:tc>
          <w:tcPr>
            <w:tcW w:w="1057" w:type="dxa"/>
            <w:tcBorders>
              <w:tl2br w:val="nil"/>
              <w:tr2bl w:val="nil"/>
            </w:tcBorders>
            <w:noWrap w:val="0"/>
            <w:vAlign w:val="center"/>
          </w:tcPr>
          <w:p w14:paraId="240F6F2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29.8</w:t>
            </w:r>
          </w:p>
        </w:tc>
        <w:tc>
          <w:tcPr>
            <w:tcW w:w="1294" w:type="dxa"/>
            <w:tcBorders>
              <w:tl2br w:val="nil"/>
              <w:tr2bl w:val="nil"/>
            </w:tcBorders>
            <w:noWrap w:val="0"/>
            <w:vAlign w:val="center"/>
          </w:tcPr>
          <w:p w14:paraId="21227C4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30.27</w:t>
            </w:r>
          </w:p>
        </w:tc>
        <w:tc>
          <w:tcPr>
            <w:tcW w:w="1050" w:type="dxa"/>
            <w:tcBorders>
              <w:tl2br w:val="nil"/>
              <w:tr2bl w:val="nil"/>
            </w:tcBorders>
            <w:noWrap w:val="0"/>
            <w:vAlign w:val="center"/>
          </w:tcPr>
          <w:p w14:paraId="1BB4085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15.14</w:t>
            </w:r>
          </w:p>
        </w:tc>
        <w:tc>
          <w:tcPr>
            <w:tcW w:w="1145" w:type="dxa"/>
            <w:tcBorders>
              <w:tl2br w:val="nil"/>
              <w:tr2bl w:val="nil"/>
            </w:tcBorders>
            <w:noWrap w:val="0"/>
            <w:vAlign w:val="center"/>
          </w:tcPr>
          <w:p w14:paraId="34C6A3B2">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43EA9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89" w:type="dxa"/>
            <w:tcBorders>
              <w:tl2br w:val="nil"/>
              <w:tr2bl w:val="nil"/>
            </w:tcBorders>
            <w:noWrap w:val="0"/>
            <w:vAlign w:val="center"/>
          </w:tcPr>
          <w:p w14:paraId="3A4B84E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区域最大值</w:t>
            </w:r>
          </w:p>
        </w:tc>
        <w:tc>
          <w:tcPr>
            <w:tcW w:w="1424" w:type="dxa"/>
            <w:tcBorders>
              <w:tl2br w:val="nil"/>
              <w:tr2bl w:val="nil"/>
            </w:tcBorders>
            <w:noWrap w:val="0"/>
            <w:vAlign w:val="center"/>
          </w:tcPr>
          <w:p w14:paraId="2E3648D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-300</w:t>
            </w:r>
          </w:p>
        </w:tc>
        <w:tc>
          <w:tcPr>
            <w:tcW w:w="1424" w:type="dxa"/>
            <w:tcBorders>
              <w:tl2br w:val="nil"/>
              <w:tr2bl w:val="nil"/>
            </w:tcBorders>
            <w:noWrap w:val="0"/>
            <w:vAlign w:val="center"/>
          </w:tcPr>
          <w:p w14:paraId="3A06165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p>
        </w:tc>
        <w:tc>
          <w:tcPr>
            <w:tcW w:w="1218" w:type="dxa"/>
            <w:tcBorders>
              <w:tl2br w:val="nil"/>
              <w:tr2bl w:val="nil"/>
            </w:tcBorders>
            <w:noWrap w:val="0"/>
            <w:vAlign w:val="center"/>
          </w:tcPr>
          <w:p w14:paraId="49B04B77">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996" w:type="dxa"/>
            <w:tcBorders>
              <w:tl2br w:val="nil"/>
              <w:tr2bl w:val="nil"/>
            </w:tcBorders>
            <w:noWrap w:val="0"/>
            <w:vAlign w:val="center"/>
          </w:tcPr>
          <w:p w14:paraId="7B8EC3B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eastAsia="zh-CN"/>
              </w:rPr>
              <w:t>2024</w:t>
            </w:r>
            <w:r>
              <w:rPr>
                <w:rFonts w:hint="eastAsia" w:ascii="Times New Roman" w:hAnsi="Times New Roman" w:eastAsia="宋体" w:cs="Times New Roman"/>
                <w:b w:val="0"/>
                <w:bCs w:val="0"/>
                <w:color w:val="auto"/>
                <w:sz w:val="21"/>
                <w:szCs w:val="21"/>
              </w:rPr>
              <w:t>/9/6 6:00:00</w:t>
            </w:r>
          </w:p>
        </w:tc>
        <w:tc>
          <w:tcPr>
            <w:tcW w:w="1135" w:type="dxa"/>
            <w:tcBorders>
              <w:tl2br w:val="nil"/>
              <w:tr2bl w:val="nil"/>
            </w:tcBorders>
            <w:noWrap w:val="0"/>
            <w:vAlign w:val="center"/>
          </w:tcPr>
          <w:p w14:paraId="572898C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7.40</w:t>
            </w:r>
          </w:p>
        </w:tc>
        <w:tc>
          <w:tcPr>
            <w:tcW w:w="1133" w:type="dxa"/>
            <w:tcBorders>
              <w:tl2br w:val="nil"/>
              <w:tr2bl w:val="nil"/>
            </w:tcBorders>
            <w:noWrap w:val="0"/>
            <w:vAlign w:val="center"/>
          </w:tcPr>
          <w:p w14:paraId="538E8B6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3.70</w:t>
            </w:r>
          </w:p>
        </w:tc>
        <w:tc>
          <w:tcPr>
            <w:tcW w:w="0" w:type="auto"/>
            <w:tcBorders>
              <w:tl2br w:val="nil"/>
              <w:tr2bl w:val="nil"/>
            </w:tcBorders>
            <w:noWrap w:val="0"/>
            <w:vAlign w:val="center"/>
          </w:tcPr>
          <w:p w14:paraId="645B606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29.8</w:t>
            </w:r>
          </w:p>
        </w:tc>
        <w:tc>
          <w:tcPr>
            <w:tcW w:w="1294" w:type="dxa"/>
            <w:tcBorders>
              <w:tl2br w:val="nil"/>
              <w:tr2bl w:val="nil"/>
            </w:tcBorders>
            <w:noWrap w:val="0"/>
            <w:vAlign w:val="center"/>
          </w:tcPr>
          <w:p w14:paraId="62BEACB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32.82</w:t>
            </w:r>
          </w:p>
        </w:tc>
        <w:tc>
          <w:tcPr>
            <w:tcW w:w="1050" w:type="dxa"/>
            <w:tcBorders>
              <w:tl2br w:val="nil"/>
              <w:tr2bl w:val="nil"/>
            </w:tcBorders>
            <w:noWrap w:val="0"/>
            <w:vAlign w:val="center"/>
          </w:tcPr>
          <w:p w14:paraId="5EC75A8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16.41</w:t>
            </w:r>
          </w:p>
        </w:tc>
        <w:tc>
          <w:tcPr>
            <w:tcW w:w="1145" w:type="dxa"/>
            <w:tcBorders>
              <w:tl2br w:val="nil"/>
              <w:tr2bl w:val="nil"/>
            </w:tcBorders>
            <w:noWrap w:val="0"/>
            <w:vAlign w:val="center"/>
          </w:tcPr>
          <w:p w14:paraId="576D8E79">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bl>
    <w:p w14:paraId="17A0973F">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0"/>
        <w:textAlignment w:val="auto"/>
        <w:rPr>
          <w:rFonts w:hint="default" w:ascii="Times New Roman" w:hAnsi="Times New Roman" w:eastAsia="宋体" w:cs="Times New Roman"/>
          <w:b/>
          <w:bCs/>
          <w:color w:val="auto"/>
          <w:sz w:val="24"/>
          <w:szCs w:val="24"/>
        </w:rPr>
      </w:pPr>
    </w:p>
    <w:p w14:paraId="2BEF87B4">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0"/>
        <w:textAlignment w:val="auto"/>
        <w:rPr>
          <w:rFonts w:hint="default" w:ascii="Times New Roman" w:hAnsi="Times New Roman" w:eastAsia="宋体" w:cs="Times New Roman"/>
          <w:b/>
          <w:bCs/>
          <w:color w:val="auto"/>
          <w:sz w:val="24"/>
          <w:szCs w:val="24"/>
        </w:rPr>
      </w:pPr>
    </w:p>
    <w:p w14:paraId="76BBA971">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表5.2-</w:t>
      </w:r>
      <w:r>
        <w:rPr>
          <w:rFonts w:hint="default" w:ascii="Times New Roman" w:hAnsi="Times New Roman" w:eastAsia="宋体" w:cs="Times New Roman"/>
          <w:b/>
          <w:bCs/>
          <w:color w:val="auto"/>
          <w:sz w:val="24"/>
          <w:szCs w:val="24"/>
          <w:lang w:val="en-US" w:eastAsia="zh-CN"/>
        </w:rPr>
        <w:t>1</w:t>
      </w:r>
      <w:r>
        <w:rPr>
          <w:rFonts w:hint="eastAsia"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 xml:space="preserve">  硫化氢贡献质量浓度预测结果表（浓度单位：μg/m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44"/>
        <w:gridCol w:w="1401"/>
        <w:gridCol w:w="1395"/>
        <w:gridCol w:w="1505"/>
        <w:gridCol w:w="1591"/>
        <w:gridCol w:w="2775"/>
        <w:gridCol w:w="1523"/>
        <w:gridCol w:w="1358"/>
      </w:tblGrid>
      <w:tr w14:paraId="77759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tcBorders>
              <w:tl2br w:val="nil"/>
              <w:tr2bl w:val="nil"/>
            </w:tcBorders>
            <w:noWrap w:val="0"/>
            <w:vAlign w:val="center"/>
          </w:tcPr>
          <w:p w14:paraId="49C346E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1544" w:type="dxa"/>
            <w:tcBorders>
              <w:tl2br w:val="nil"/>
              <w:tr2bl w:val="nil"/>
            </w:tcBorders>
            <w:noWrap w:val="0"/>
            <w:vAlign w:val="center"/>
          </w:tcPr>
          <w:p w14:paraId="65C401A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预测点</w:t>
            </w:r>
          </w:p>
        </w:tc>
        <w:tc>
          <w:tcPr>
            <w:tcW w:w="1401" w:type="dxa"/>
            <w:tcBorders>
              <w:tl2br w:val="nil"/>
              <w:tr2bl w:val="nil"/>
            </w:tcBorders>
            <w:noWrap w:val="0"/>
            <w:vAlign w:val="center"/>
          </w:tcPr>
          <w:p w14:paraId="2BCDCDF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X坐标（m）</w:t>
            </w:r>
          </w:p>
        </w:tc>
        <w:tc>
          <w:tcPr>
            <w:tcW w:w="1395" w:type="dxa"/>
            <w:tcBorders>
              <w:tl2br w:val="nil"/>
              <w:tr2bl w:val="nil"/>
            </w:tcBorders>
            <w:noWrap w:val="0"/>
            <w:vAlign w:val="center"/>
          </w:tcPr>
          <w:p w14:paraId="1D1D819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Y坐标（m）</w:t>
            </w:r>
          </w:p>
        </w:tc>
        <w:tc>
          <w:tcPr>
            <w:tcW w:w="1505" w:type="dxa"/>
            <w:tcBorders>
              <w:tl2br w:val="nil"/>
              <w:tr2bl w:val="nil"/>
            </w:tcBorders>
            <w:noWrap w:val="0"/>
            <w:vAlign w:val="center"/>
          </w:tcPr>
          <w:p w14:paraId="3316FEA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平均时段</w:t>
            </w:r>
          </w:p>
        </w:tc>
        <w:tc>
          <w:tcPr>
            <w:tcW w:w="1591" w:type="dxa"/>
            <w:tcBorders>
              <w:tl2br w:val="nil"/>
              <w:tr2bl w:val="nil"/>
            </w:tcBorders>
            <w:noWrap w:val="0"/>
            <w:vAlign w:val="center"/>
          </w:tcPr>
          <w:p w14:paraId="30C1A47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最大贡献值</w:t>
            </w:r>
          </w:p>
        </w:tc>
        <w:tc>
          <w:tcPr>
            <w:tcW w:w="2775" w:type="dxa"/>
            <w:tcBorders>
              <w:tl2br w:val="nil"/>
              <w:tr2bl w:val="nil"/>
            </w:tcBorders>
            <w:noWrap w:val="0"/>
            <w:vAlign w:val="center"/>
          </w:tcPr>
          <w:p w14:paraId="058FF87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出现时间</w:t>
            </w:r>
          </w:p>
        </w:tc>
        <w:tc>
          <w:tcPr>
            <w:tcW w:w="1523" w:type="dxa"/>
            <w:tcBorders>
              <w:tl2br w:val="nil"/>
              <w:tr2bl w:val="nil"/>
            </w:tcBorders>
            <w:noWrap w:val="0"/>
            <w:vAlign w:val="center"/>
          </w:tcPr>
          <w:p w14:paraId="694DF99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358" w:type="dxa"/>
            <w:tcBorders>
              <w:tl2br w:val="nil"/>
              <w:tr2bl w:val="nil"/>
            </w:tcBorders>
            <w:noWrap w:val="0"/>
            <w:vAlign w:val="center"/>
          </w:tcPr>
          <w:p w14:paraId="39F933A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03169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restart"/>
            <w:tcBorders>
              <w:tl2br w:val="nil"/>
              <w:tr2bl w:val="nil"/>
            </w:tcBorders>
            <w:noWrap w:val="0"/>
            <w:vAlign w:val="center"/>
          </w:tcPr>
          <w:p w14:paraId="1BC27EC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硫化氢</w:t>
            </w:r>
          </w:p>
        </w:tc>
        <w:tc>
          <w:tcPr>
            <w:tcW w:w="1544" w:type="dxa"/>
            <w:tcBorders>
              <w:tl2br w:val="nil"/>
              <w:tr2bl w:val="nil"/>
            </w:tcBorders>
            <w:noWrap w:val="0"/>
            <w:vAlign w:val="center"/>
          </w:tcPr>
          <w:p w14:paraId="53ADD3F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大桥口</w:t>
            </w:r>
          </w:p>
        </w:tc>
        <w:tc>
          <w:tcPr>
            <w:tcW w:w="1401" w:type="dxa"/>
            <w:tcBorders>
              <w:tl2br w:val="nil"/>
              <w:tr2bl w:val="nil"/>
            </w:tcBorders>
            <w:noWrap w:val="0"/>
            <w:vAlign w:val="center"/>
          </w:tcPr>
          <w:p w14:paraId="5E49318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2441.11</w:t>
            </w:r>
          </w:p>
        </w:tc>
        <w:tc>
          <w:tcPr>
            <w:tcW w:w="1395" w:type="dxa"/>
            <w:tcBorders>
              <w:tl2br w:val="nil"/>
              <w:tr2bl w:val="nil"/>
            </w:tcBorders>
            <w:noWrap w:val="0"/>
            <w:vAlign w:val="center"/>
          </w:tcPr>
          <w:p w14:paraId="228E0B5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2412.13</w:t>
            </w:r>
          </w:p>
        </w:tc>
        <w:tc>
          <w:tcPr>
            <w:tcW w:w="1505" w:type="dxa"/>
            <w:tcBorders>
              <w:tl2br w:val="nil"/>
              <w:tr2bl w:val="nil"/>
            </w:tcBorders>
            <w:noWrap w:val="0"/>
            <w:vAlign w:val="center"/>
          </w:tcPr>
          <w:p w14:paraId="2547E18E">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170C83B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0.02</w:t>
            </w:r>
          </w:p>
        </w:tc>
        <w:tc>
          <w:tcPr>
            <w:tcW w:w="2775" w:type="dxa"/>
            <w:tcBorders>
              <w:tl2br w:val="nil"/>
              <w:tr2bl w:val="nil"/>
            </w:tcBorders>
            <w:noWrap w:val="0"/>
            <w:vAlign w:val="center"/>
          </w:tcPr>
          <w:p w14:paraId="7874B69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/1/17 18:00:00</w:t>
            </w:r>
          </w:p>
        </w:tc>
        <w:tc>
          <w:tcPr>
            <w:tcW w:w="1523" w:type="dxa"/>
            <w:tcBorders>
              <w:tl2br w:val="nil"/>
              <w:tr2bl w:val="nil"/>
            </w:tcBorders>
            <w:noWrap w:val="0"/>
            <w:vAlign w:val="center"/>
          </w:tcPr>
          <w:p w14:paraId="059A1B7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0.22</w:t>
            </w:r>
          </w:p>
        </w:tc>
        <w:tc>
          <w:tcPr>
            <w:tcW w:w="1358" w:type="dxa"/>
            <w:tcBorders>
              <w:tl2br w:val="nil"/>
              <w:tr2bl w:val="nil"/>
            </w:tcBorders>
            <w:noWrap w:val="0"/>
            <w:vAlign w:val="center"/>
          </w:tcPr>
          <w:p w14:paraId="007A2A1D">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2DB11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5C7D99B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544" w:type="dxa"/>
            <w:tcBorders>
              <w:tl2br w:val="nil"/>
              <w:tr2bl w:val="nil"/>
            </w:tcBorders>
            <w:noWrap w:val="0"/>
            <w:vAlign w:val="center"/>
          </w:tcPr>
          <w:p w14:paraId="7F39BBB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四季青村</w:t>
            </w:r>
          </w:p>
        </w:tc>
        <w:tc>
          <w:tcPr>
            <w:tcW w:w="1401" w:type="dxa"/>
            <w:tcBorders>
              <w:tl2br w:val="nil"/>
              <w:tr2bl w:val="nil"/>
            </w:tcBorders>
            <w:noWrap w:val="0"/>
            <w:vAlign w:val="center"/>
          </w:tcPr>
          <w:p w14:paraId="24130846">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621.92</w:t>
            </w:r>
          </w:p>
        </w:tc>
        <w:tc>
          <w:tcPr>
            <w:tcW w:w="1395" w:type="dxa"/>
            <w:tcBorders>
              <w:tl2br w:val="nil"/>
              <w:tr2bl w:val="nil"/>
            </w:tcBorders>
            <w:noWrap w:val="0"/>
            <w:vAlign w:val="center"/>
          </w:tcPr>
          <w:p w14:paraId="2A18B21D">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605.14</w:t>
            </w:r>
          </w:p>
        </w:tc>
        <w:tc>
          <w:tcPr>
            <w:tcW w:w="1505" w:type="dxa"/>
            <w:tcBorders>
              <w:tl2br w:val="nil"/>
              <w:tr2bl w:val="nil"/>
            </w:tcBorders>
            <w:shd w:val="clear" w:color="auto" w:fill="auto"/>
            <w:noWrap w:val="0"/>
            <w:vAlign w:val="center"/>
          </w:tcPr>
          <w:p w14:paraId="57724DD3">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22948AA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0.10</w:t>
            </w:r>
          </w:p>
        </w:tc>
        <w:tc>
          <w:tcPr>
            <w:tcW w:w="2775" w:type="dxa"/>
            <w:tcBorders>
              <w:tl2br w:val="nil"/>
              <w:tr2bl w:val="nil"/>
            </w:tcBorders>
            <w:noWrap w:val="0"/>
            <w:vAlign w:val="center"/>
          </w:tcPr>
          <w:p w14:paraId="4A469AAD">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/5/13 0:00:00</w:t>
            </w:r>
          </w:p>
        </w:tc>
        <w:tc>
          <w:tcPr>
            <w:tcW w:w="1523" w:type="dxa"/>
            <w:tcBorders>
              <w:tl2br w:val="nil"/>
              <w:tr2bl w:val="nil"/>
            </w:tcBorders>
            <w:noWrap w:val="0"/>
            <w:vAlign w:val="center"/>
          </w:tcPr>
          <w:p w14:paraId="6E81F6CC">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1.02</w:t>
            </w:r>
          </w:p>
        </w:tc>
        <w:tc>
          <w:tcPr>
            <w:tcW w:w="1358" w:type="dxa"/>
            <w:tcBorders>
              <w:tl2br w:val="nil"/>
              <w:tr2bl w:val="nil"/>
            </w:tcBorders>
            <w:noWrap w:val="0"/>
            <w:vAlign w:val="center"/>
          </w:tcPr>
          <w:p w14:paraId="102AC901">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04F05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53E16AF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544" w:type="dxa"/>
            <w:tcBorders>
              <w:tl2br w:val="nil"/>
              <w:tr2bl w:val="nil"/>
            </w:tcBorders>
            <w:noWrap w:val="0"/>
            <w:vAlign w:val="center"/>
          </w:tcPr>
          <w:p w14:paraId="60223568">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后屯</w:t>
            </w:r>
          </w:p>
        </w:tc>
        <w:tc>
          <w:tcPr>
            <w:tcW w:w="1401" w:type="dxa"/>
            <w:tcBorders>
              <w:tl2br w:val="nil"/>
              <w:tr2bl w:val="nil"/>
            </w:tcBorders>
            <w:noWrap w:val="0"/>
            <w:vAlign w:val="center"/>
          </w:tcPr>
          <w:p w14:paraId="0C57A6C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226.96</w:t>
            </w:r>
          </w:p>
        </w:tc>
        <w:tc>
          <w:tcPr>
            <w:tcW w:w="1395" w:type="dxa"/>
            <w:tcBorders>
              <w:tl2br w:val="nil"/>
              <w:tr2bl w:val="nil"/>
            </w:tcBorders>
            <w:noWrap w:val="0"/>
            <w:vAlign w:val="center"/>
          </w:tcPr>
          <w:p w14:paraId="11E7330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1731.08</w:t>
            </w:r>
          </w:p>
        </w:tc>
        <w:tc>
          <w:tcPr>
            <w:tcW w:w="1505" w:type="dxa"/>
            <w:tcBorders>
              <w:tl2br w:val="nil"/>
              <w:tr2bl w:val="nil"/>
            </w:tcBorders>
            <w:shd w:val="clear" w:color="auto" w:fill="auto"/>
            <w:noWrap w:val="0"/>
            <w:vAlign w:val="center"/>
          </w:tcPr>
          <w:p w14:paraId="3C60EBBE">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3E8B79F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0.06</w:t>
            </w:r>
          </w:p>
        </w:tc>
        <w:tc>
          <w:tcPr>
            <w:tcW w:w="2775" w:type="dxa"/>
            <w:tcBorders>
              <w:tl2br w:val="nil"/>
              <w:tr2bl w:val="nil"/>
            </w:tcBorders>
            <w:noWrap w:val="0"/>
            <w:vAlign w:val="center"/>
          </w:tcPr>
          <w:p w14:paraId="75DF6C71">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/12/31 15:00:00</w:t>
            </w:r>
          </w:p>
        </w:tc>
        <w:tc>
          <w:tcPr>
            <w:tcW w:w="1523" w:type="dxa"/>
            <w:tcBorders>
              <w:tl2br w:val="nil"/>
              <w:tr2bl w:val="nil"/>
            </w:tcBorders>
            <w:noWrap w:val="0"/>
            <w:vAlign w:val="center"/>
          </w:tcPr>
          <w:p w14:paraId="289D0B14">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0.56</w:t>
            </w:r>
          </w:p>
        </w:tc>
        <w:tc>
          <w:tcPr>
            <w:tcW w:w="1358" w:type="dxa"/>
            <w:tcBorders>
              <w:tl2br w:val="nil"/>
              <w:tr2bl w:val="nil"/>
            </w:tcBorders>
            <w:noWrap w:val="0"/>
            <w:vAlign w:val="center"/>
          </w:tcPr>
          <w:p w14:paraId="7EF9B639">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19D7C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530D1BB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544" w:type="dxa"/>
            <w:tcBorders>
              <w:tl2br w:val="nil"/>
              <w:tr2bl w:val="nil"/>
            </w:tcBorders>
            <w:noWrap w:val="0"/>
            <w:vAlign w:val="center"/>
          </w:tcPr>
          <w:p w14:paraId="1575BAF6">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示范场村</w:t>
            </w:r>
          </w:p>
        </w:tc>
        <w:tc>
          <w:tcPr>
            <w:tcW w:w="1401" w:type="dxa"/>
            <w:tcBorders>
              <w:tl2br w:val="nil"/>
              <w:tr2bl w:val="nil"/>
            </w:tcBorders>
            <w:noWrap w:val="0"/>
            <w:vAlign w:val="center"/>
          </w:tcPr>
          <w:p w14:paraId="4E2E340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-104.84</w:t>
            </w:r>
          </w:p>
        </w:tc>
        <w:tc>
          <w:tcPr>
            <w:tcW w:w="1395" w:type="dxa"/>
            <w:tcBorders>
              <w:tl2br w:val="nil"/>
              <w:tr2bl w:val="nil"/>
            </w:tcBorders>
            <w:noWrap w:val="0"/>
            <w:vAlign w:val="center"/>
          </w:tcPr>
          <w:p w14:paraId="1D12806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-154.95</w:t>
            </w:r>
          </w:p>
        </w:tc>
        <w:tc>
          <w:tcPr>
            <w:tcW w:w="1505" w:type="dxa"/>
            <w:tcBorders>
              <w:tl2br w:val="nil"/>
              <w:tr2bl w:val="nil"/>
            </w:tcBorders>
            <w:noWrap w:val="0"/>
            <w:vAlign w:val="center"/>
          </w:tcPr>
          <w:p w14:paraId="19BACEF3">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34046D0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0.23</w:t>
            </w:r>
          </w:p>
        </w:tc>
        <w:tc>
          <w:tcPr>
            <w:tcW w:w="2775" w:type="dxa"/>
            <w:tcBorders>
              <w:tl2br w:val="nil"/>
              <w:tr2bl w:val="nil"/>
            </w:tcBorders>
            <w:noWrap w:val="0"/>
            <w:vAlign w:val="center"/>
          </w:tcPr>
          <w:p w14:paraId="76CB084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/10/14 6:00:00</w:t>
            </w:r>
          </w:p>
        </w:tc>
        <w:tc>
          <w:tcPr>
            <w:tcW w:w="1523" w:type="dxa"/>
            <w:tcBorders>
              <w:tl2br w:val="nil"/>
              <w:tr2bl w:val="nil"/>
            </w:tcBorders>
            <w:noWrap w:val="0"/>
            <w:vAlign w:val="center"/>
          </w:tcPr>
          <w:p w14:paraId="62FE511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2.29</w:t>
            </w:r>
          </w:p>
        </w:tc>
        <w:tc>
          <w:tcPr>
            <w:tcW w:w="1358" w:type="dxa"/>
            <w:tcBorders>
              <w:tl2br w:val="nil"/>
              <w:tr2bl w:val="nil"/>
            </w:tcBorders>
            <w:noWrap w:val="0"/>
            <w:vAlign w:val="center"/>
          </w:tcPr>
          <w:p w14:paraId="6FB62BD4">
            <w:pPr>
              <w:jc w:val="center"/>
              <w:rPr>
                <w:rFonts w:hint="eastAsia"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084E9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67E1707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544" w:type="dxa"/>
            <w:tcBorders>
              <w:tl2br w:val="nil"/>
              <w:tr2bl w:val="nil"/>
            </w:tcBorders>
            <w:noWrap w:val="0"/>
            <w:vAlign w:val="center"/>
          </w:tcPr>
          <w:p w14:paraId="0F88FD7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永富村</w:t>
            </w:r>
          </w:p>
        </w:tc>
        <w:tc>
          <w:tcPr>
            <w:tcW w:w="1401" w:type="dxa"/>
            <w:tcBorders>
              <w:tl2br w:val="nil"/>
              <w:tr2bl w:val="nil"/>
            </w:tcBorders>
            <w:noWrap w:val="0"/>
            <w:vAlign w:val="center"/>
          </w:tcPr>
          <w:p w14:paraId="623170B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-875.91</w:t>
            </w:r>
          </w:p>
        </w:tc>
        <w:tc>
          <w:tcPr>
            <w:tcW w:w="1395" w:type="dxa"/>
            <w:tcBorders>
              <w:tl2br w:val="nil"/>
              <w:tr2bl w:val="nil"/>
            </w:tcBorders>
            <w:noWrap w:val="0"/>
            <w:vAlign w:val="center"/>
          </w:tcPr>
          <w:p w14:paraId="732E503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-2394.93</w:t>
            </w:r>
          </w:p>
        </w:tc>
        <w:tc>
          <w:tcPr>
            <w:tcW w:w="1505" w:type="dxa"/>
            <w:tcBorders>
              <w:tl2br w:val="nil"/>
              <w:tr2bl w:val="nil"/>
            </w:tcBorders>
            <w:noWrap w:val="0"/>
            <w:vAlign w:val="center"/>
          </w:tcPr>
          <w:p w14:paraId="6D9D60F3">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009345F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0.04</w:t>
            </w:r>
          </w:p>
        </w:tc>
        <w:tc>
          <w:tcPr>
            <w:tcW w:w="2775" w:type="dxa"/>
            <w:tcBorders>
              <w:tl2br w:val="nil"/>
              <w:tr2bl w:val="nil"/>
            </w:tcBorders>
            <w:noWrap w:val="0"/>
            <w:vAlign w:val="center"/>
          </w:tcPr>
          <w:p w14:paraId="5C6B2B1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/1/17 8:00:00</w:t>
            </w:r>
          </w:p>
        </w:tc>
        <w:tc>
          <w:tcPr>
            <w:tcW w:w="1523" w:type="dxa"/>
            <w:tcBorders>
              <w:tl2br w:val="nil"/>
              <w:tr2bl w:val="nil"/>
            </w:tcBorders>
            <w:noWrap w:val="0"/>
            <w:vAlign w:val="center"/>
          </w:tcPr>
          <w:p w14:paraId="4BCECE7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0.39</w:t>
            </w:r>
          </w:p>
        </w:tc>
        <w:tc>
          <w:tcPr>
            <w:tcW w:w="1358" w:type="dxa"/>
            <w:tcBorders>
              <w:tl2br w:val="nil"/>
              <w:tr2bl w:val="nil"/>
            </w:tcBorders>
            <w:noWrap w:val="0"/>
            <w:vAlign w:val="center"/>
          </w:tcPr>
          <w:p w14:paraId="49DC8DD6">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502D2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0F572AB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544" w:type="dxa"/>
            <w:tcBorders>
              <w:tl2br w:val="nil"/>
              <w:tr2bl w:val="nil"/>
            </w:tcBorders>
            <w:noWrap w:val="0"/>
            <w:vAlign w:val="center"/>
          </w:tcPr>
          <w:p w14:paraId="287EF46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区域最大值</w:t>
            </w:r>
          </w:p>
        </w:tc>
        <w:tc>
          <w:tcPr>
            <w:tcW w:w="1401" w:type="dxa"/>
            <w:tcBorders>
              <w:tl2br w:val="nil"/>
              <w:tr2bl w:val="nil"/>
            </w:tcBorders>
            <w:noWrap w:val="0"/>
            <w:vAlign w:val="center"/>
          </w:tcPr>
          <w:p w14:paraId="2AAD084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-300</w:t>
            </w:r>
          </w:p>
        </w:tc>
        <w:tc>
          <w:tcPr>
            <w:tcW w:w="1395" w:type="dxa"/>
            <w:tcBorders>
              <w:tl2br w:val="nil"/>
              <w:tr2bl w:val="nil"/>
            </w:tcBorders>
            <w:noWrap w:val="0"/>
            <w:vAlign w:val="center"/>
          </w:tcPr>
          <w:p w14:paraId="73007FC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p>
        </w:tc>
        <w:tc>
          <w:tcPr>
            <w:tcW w:w="1505" w:type="dxa"/>
            <w:tcBorders>
              <w:tl2br w:val="nil"/>
              <w:tr2bl w:val="nil"/>
            </w:tcBorders>
            <w:noWrap w:val="0"/>
            <w:vAlign w:val="center"/>
          </w:tcPr>
          <w:p w14:paraId="7A93E43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0" w:type="auto"/>
            <w:tcBorders>
              <w:tl2br w:val="nil"/>
              <w:tr2bl w:val="nil"/>
            </w:tcBorders>
            <w:noWrap w:val="0"/>
            <w:vAlign w:val="center"/>
          </w:tcPr>
          <w:p w14:paraId="7255491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0.59</w:t>
            </w:r>
          </w:p>
        </w:tc>
        <w:tc>
          <w:tcPr>
            <w:tcW w:w="0" w:type="auto"/>
            <w:tcBorders>
              <w:tl2br w:val="nil"/>
              <w:tr2bl w:val="nil"/>
            </w:tcBorders>
            <w:noWrap w:val="0"/>
            <w:vAlign w:val="center"/>
          </w:tcPr>
          <w:p w14:paraId="6CB18E8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/9/6 6:00:00</w:t>
            </w:r>
          </w:p>
        </w:tc>
        <w:tc>
          <w:tcPr>
            <w:tcW w:w="1523" w:type="dxa"/>
            <w:tcBorders>
              <w:tl2br w:val="nil"/>
              <w:tr2bl w:val="nil"/>
            </w:tcBorders>
            <w:noWrap w:val="0"/>
            <w:vAlign w:val="center"/>
          </w:tcPr>
          <w:p w14:paraId="585DDAF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5.89</w:t>
            </w:r>
          </w:p>
        </w:tc>
        <w:tc>
          <w:tcPr>
            <w:tcW w:w="0" w:type="auto"/>
            <w:tcBorders>
              <w:tl2br w:val="nil"/>
              <w:tr2bl w:val="nil"/>
            </w:tcBorders>
            <w:noWrap w:val="0"/>
            <w:vAlign w:val="center"/>
          </w:tcPr>
          <w:p w14:paraId="5206D0B6">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bl>
    <w:p w14:paraId="0B3685F8">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表5.2-1</w:t>
      </w:r>
      <w:r>
        <w:rPr>
          <w:rFonts w:hint="eastAsia"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 xml:space="preserve">  硫化氢叠加后质量浓度预测结果表（浓度单位：μg/m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1253"/>
        <w:gridCol w:w="1429"/>
        <w:gridCol w:w="1218"/>
        <w:gridCol w:w="2047"/>
        <w:gridCol w:w="988"/>
        <w:gridCol w:w="1094"/>
        <w:gridCol w:w="1115"/>
        <w:gridCol w:w="1326"/>
        <w:gridCol w:w="1035"/>
        <w:gridCol w:w="1130"/>
      </w:tblGrid>
      <w:tr w14:paraId="78AB4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0" w:type="dxa"/>
            <w:tcBorders>
              <w:tl2br w:val="nil"/>
              <w:tr2bl w:val="nil"/>
            </w:tcBorders>
            <w:noWrap w:val="0"/>
            <w:vAlign w:val="center"/>
          </w:tcPr>
          <w:p w14:paraId="260C361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预测点</w:t>
            </w:r>
          </w:p>
        </w:tc>
        <w:tc>
          <w:tcPr>
            <w:tcW w:w="1253" w:type="dxa"/>
            <w:tcBorders>
              <w:tl2br w:val="nil"/>
              <w:tr2bl w:val="nil"/>
            </w:tcBorders>
            <w:noWrap w:val="0"/>
            <w:vAlign w:val="center"/>
          </w:tcPr>
          <w:p w14:paraId="065CD3A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X坐标（m）</w:t>
            </w:r>
          </w:p>
        </w:tc>
        <w:tc>
          <w:tcPr>
            <w:tcW w:w="1429" w:type="dxa"/>
            <w:tcBorders>
              <w:tl2br w:val="nil"/>
              <w:tr2bl w:val="nil"/>
            </w:tcBorders>
            <w:noWrap w:val="0"/>
            <w:vAlign w:val="center"/>
          </w:tcPr>
          <w:p w14:paraId="378D8DC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Y坐标（m）</w:t>
            </w:r>
          </w:p>
        </w:tc>
        <w:tc>
          <w:tcPr>
            <w:tcW w:w="1218" w:type="dxa"/>
            <w:tcBorders>
              <w:tl2br w:val="nil"/>
              <w:tr2bl w:val="nil"/>
            </w:tcBorders>
            <w:noWrap w:val="0"/>
            <w:vAlign w:val="center"/>
          </w:tcPr>
          <w:p w14:paraId="22CF8E3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平均时段</w:t>
            </w:r>
          </w:p>
        </w:tc>
        <w:tc>
          <w:tcPr>
            <w:tcW w:w="2047" w:type="dxa"/>
            <w:tcBorders>
              <w:tl2br w:val="nil"/>
              <w:tr2bl w:val="nil"/>
            </w:tcBorders>
            <w:noWrap w:val="0"/>
            <w:vAlign w:val="center"/>
          </w:tcPr>
          <w:p w14:paraId="5DF360B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出现时间</w:t>
            </w:r>
          </w:p>
        </w:tc>
        <w:tc>
          <w:tcPr>
            <w:tcW w:w="988" w:type="dxa"/>
            <w:tcBorders>
              <w:tl2br w:val="nil"/>
              <w:tr2bl w:val="nil"/>
            </w:tcBorders>
            <w:noWrap w:val="0"/>
            <w:vAlign w:val="center"/>
          </w:tcPr>
          <w:p w14:paraId="285B0A5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贡献值</w:t>
            </w:r>
          </w:p>
        </w:tc>
        <w:tc>
          <w:tcPr>
            <w:tcW w:w="1094" w:type="dxa"/>
            <w:tcBorders>
              <w:tl2br w:val="nil"/>
              <w:tr2bl w:val="nil"/>
            </w:tcBorders>
            <w:noWrap w:val="0"/>
            <w:vAlign w:val="center"/>
          </w:tcPr>
          <w:p w14:paraId="4C7B449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115" w:type="dxa"/>
            <w:tcBorders>
              <w:tl2br w:val="nil"/>
              <w:tr2bl w:val="nil"/>
            </w:tcBorders>
            <w:noWrap w:val="0"/>
            <w:vAlign w:val="center"/>
          </w:tcPr>
          <w:p w14:paraId="2F0DD71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现状浓度</w:t>
            </w:r>
          </w:p>
        </w:tc>
        <w:tc>
          <w:tcPr>
            <w:tcW w:w="1326" w:type="dxa"/>
            <w:tcBorders>
              <w:tl2br w:val="nil"/>
              <w:tr2bl w:val="nil"/>
            </w:tcBorders>
            <w:noWrap w:val="0"/>
            <w:vAlign w:val="center"/>
          </w:tcPr>
          <w:p w14:paraId="765AB82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叠加后浓度</w:t>
            </w:r>
          </w:p>
        </w:tc>
        <w:tc>
          <w:tcPr>
            <w:tcW w:w="1035" w:type="dxa"/>
            <w:tcBorders>
              <w:tl2br w:val="nil"/>
              <w:tr2bl w:val="nil"/>
            </w:tcBorders>
            <w:noWrap w:val="0"/>
            <w:vAlign w:val="center"/>
          </w:tcPr>
          <w:p w14:paraId="780CDB3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130" w:type="dxa"/>
            <w:tcBorders>
              <w:tl2br w:val="nil"/>
              <w:tr2bl w:val="nil"/>
            </w:tcBorders>
            <w:noWrap w:val="0"/>
            <w:vAlign w:val="center"/>
          </w:tcPr>
          <w:p w14:paraId="4B50177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32443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0" w:type="dxa"/>
            <w:tcBorders>
              <w:tl2br w:val="nil"/>
              <w:tr2bl w:val="nil"/>
            </w:tcBorders>
            <w:noWrap w:val="0"/>
            <w:vAlign w:val="center"/>
          </w:tcPr>
          <w:p w14:paraId="2A48B4D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大桥口</w:t>
            </w:r>
          </w:p>
        </w:tc>
        <w:tc>
          <w:tcPr>
            <w:tcW w:w="1253" w:type="dxa"/>
            <w:tcBorders>
              <w:tl2br w:val="nil"/>
              <w:tr2bl w:val="nil"/>
            </w:tcBorders>
            <w:noWrap w:val="0"/>
            <w:vAlign w:val="center"/>
          </w:tcPr>
          <w:p w14:paraId="79591EF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2441.11</w:t>
            </w:r>
          </w:p>
        </w:tc>
        <w:tc>
          <w:tcPr>
            <w:tcW w:w="1429" w:type="dxa"/>
            <w:tcBorders>
              <w:tl2br w:val="nil"/>
              <w:tr2bl w:val="nil"/>
            </w:tcBorders>
            <w:noWrap w:val="0"/>
            <w:vAlign w:val="center"/>
          </w:tcPr>
          <w:p w14:paraId="51335A8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2412.13</w:t>
            </w:r>
          </w:p>
        </w:tc>
        <w:tc>
          <w:tcPr>
            <w:tcW w:w="1218" w:type="dxa"/>
            <w:tcBorders>
              <w:tl2br w:val="nil"/>
              <w:tr2bl w:val="nil"/>
            </w:tcBorders>
            <w:noWrap w:val="0"/>
            <w:vAlign w:val="center"/>
          </w:tcPr>
          <w:p w14:paraId="2619187D">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2047" w:type="dxa"/>
            <w:tcBorders>
              <w:tl2br w:val="nil"/>
              <w:tr2bl w:val="nil"/>
            </w:tcBorders>
            <w:noWrap w:val="0"/>
            <w:vAlign w:val="center"/>
          </w:tcPr>
          <w:p w14:paraId="4800169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/1/17 18:00:00</w:t>
            </w:r>
          </w:p>
        </w:tc>
        <w:tc>
          <w:tcPr>
            <w:tcW w:w="988" w:type="dxa"/>
            <w:tcBorders>
              <w:tl2br w:val="nil"/>
              <w:tr2bl w:val="nil"/>
            </w:tcBorders>
            <w:noWrap w:val="0"/>
            <w:vAlign w:val="center"/>
          </w:tcPr>
          <w:p w14:paraId="7DEE001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0.02</w:t>
            </w:r>
          </w:p>
        </w:tc>
        <w:tc>
          <w:tcPr>
            <w:tcW w:w="1094" w:type="dxa"/>
            <w:tcBorders>
              <w:tl2br w:val="nil"/>
              <w:tr2bl w:val="nil"/>
            </w:tcBorders>
            <w:noWrap w:val="0"/>
            <w:vAlign w:val="center"/>
          </w:tcPr>
          <w:p w14:paraId="6A70B62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0.22</w:t>
            </w:r>
          </w:p>
        </w:tc>
        <w:tc>
          <w:tcPr>
            <w:tcW w:w="1115" w:type="dxa"/>
            <w:tcBorders>
              <w:tl2br w:val="nil"/>
              <w:tr2bl w:val="nil"/>
            </w:tcBorders>
            <w:noWrap w:val="0"/>
            <w:vAlign w:val="center"/>
          </w:tcPr>
          <w:p w14:paraId="04ED6514">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eastAsia" w:cs="Times New Roman"/>
                <w:color w:val="auto"/>
                <w:sz w:val="21"/>
                <w:szCs w:val="21"/>
                <w:lang w:val="en-US" w:eastAsia="zh-CN"/>
              </w:rPr>
              <w:t>0</w:t>
            </w:r>
          </w:p>
        </w:tc>
        <w:tc>
          <w:tcPr>
            <w:tcW w:w="1326" w:type="dxa"/>
            <w:tcBorders>
              <w:tl2br w:val="nil"/>
              <w:tr2bl w:val="nil"/>
            </w:tcBorders>
            <w:noWrap w:val="0"/>
            <w:vAlign w:val="center"/>
          </w:tcPr>
          <w:p w14:paraId="61AA09C9">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0.02</w:t>
            </w:r>
          </w:p>
        </w:tc>
        <w:tc>
          <w:tcPr>
            <w:tcW w:w="1035" w:type="dxa"/>
            <w:tcBorders>
              <w:tl2br w:val="nil"/>
              <w:tr2bl w:val="nil"/>
            </w:tcBorders>
            <w:noWrap w:val="0"/>
            <w:vAlign w:val="center"/>
          </w:tcPr>
          <w:p w14:paraId="7545CBF2">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0.22</w:t>
            </w:r>
          </w:p>
        </w:tc>
        <w:tc>
          <w:tcPr>
            <w:tcW w:w="1130" w:type="dxa"/>
            <w:tcBorders>
              <w:tl2br w:val="nil"/>
              <w:tr2bl w:val="nil"/>
            </w:tcBorders>
            <w:noWrap w:val="0"/>
            <w:vAlign w:val="center"/>
          </w:tcPr>
          <w:p w14:paraId="583B72AE">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2A510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0" w:type="dxa"/>
            <w:tcBorders>
              <w:tl2br w:val="nil"/>
              <w:tr2bl w:val="nil"/>
            </w:tcBorders>
            <w:noWrap w:val="0"/>
            <w:vAlign w:val="center"/>
          </w:tcPr>
          <w:p w14:paraId="6EDCB89B">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四季青村</w:t>
            </w:r>
          </w:p>
        </w:tc>
        <w:tc>
          <w:tcPr>
            <w:tcW w:w="1253" w:type="dxa"/>
            <w:tcBorders>
              <w:tl2br w:val="nil"/>
              <w:tr2bl w:val="nil"/>
            </w:tcBorders>
            <w:noWrap w:val="0"/>
            <w:vAlign w:val="center"/>
          </w:tcPr>
          <w:p w14:paraId="79A33D57">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621.92</w:t>
            </w:r>
          </w:p>
        </w:tc>
        <w:tc>
          <w:tcPr>
            <w:tcW w:w="1429" w:type="dxa"/>
            <w:tcBorders>
              <w:tl2br w:val="nil"/>
              <w:tr2bl w:val="nil"/>
            </w:tcBorders>
            <w:noWrap w:val="0"/>
            <w:vAlign w:val="center"/>
          </w:tcPr>
          <w:p w14:paraId="505823C6">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605.14</w:t>
            </w:r>
          </w:p>
        </w:tc>
        <w:tc>
          <w:tcPr>
            <w:tcW w:w="1218" w:type="dxa"/>
            <w:tcBorders>
              <w:tl2br w:val="nil"/>
              <w:tr2bl w:val="nil"/>
            </w:tcBorders>
            <w:shd w:val="clear" w:color="auto" w:fill="auto"/>
            <w:noWrap w:val="0"/>
            <w:vAlign w:val="center"/>
          </w:tcPr>
          <w:p w14:paraId="11ADBDF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2047" w:type="dxa"/>
            <w:tcBorders>
              <w:tl2br w:val="nil"/>
              <w:tr2bl w:val="nil"/>
            </w:tcBorders>
            <w:noWrap w:val="0"/>
            <w:vAlign w:val="center"/>
          </w:tcPr>
          <w:p w14:paraId="7747E8BD">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/5/13 0:00:00</w:t>
            </w:r>
          </w:p>
        </w:tc>
        <w:tc>
          <w:tcPr>
            <w:tcW w:w="988" w:type="dxa"/>
            <w:tcBorders>
              <w:tl2br w:val="nil"/>
              <w:tr2bl w:val="nil"/>
            </w:tcBorders>
            <w:noWrap w:val="0"/>
            <w:vAlign w:val="center"/>
          </w:tcPr>
          <w:p w14:paraId="103EB913">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0.10</w:t>
            </w:r>
          </w:p>
        </w:tc>
        <w:tc>
          <w:tcPr>
            <w:tcW w:w="1094" w:type="dxa"/>
            <w:tcBorders>
              <w:tl2br w:val="nil"/>
              <w:tr2bl w:val="nil"/>
            </w:tcBorders>
            <w:noWrap w:val="0"/>
            <w:vAlign w:val="center"/>
          </w:tcPr>
          <w:p w14:paraId="7F8A204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1.02</w:t>
            </w:r>
          </w:p>
        </w:tc>
        <w:tc>
          <w:tcPr>
            <w:tcW w:w="1115" w:type="dxa"/>
            <w:tcBorders>
              <w:tl2br w:val="nil"/>
              <w:tr2bl w:val="nil"/>
            </w:tcBorders>
            <w:noWrap w:val="0"/>
            <w:vAlign w:val="center"/>
          </w:tcPr>
          <w:p w14:paraId="37B86C27">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eastAsia" w:cs="Times New Roman"/>
                <w:color w:val="auto"/>
                <w:sz w:val="21"/>
                <w:szCs w:val="21"/>
                <w:lang w:val="en-US" w:eastAsia="zh-CN"/>
              </w:rPr>
              <w:t>0</w:t>
            </w:r>
          </w:p>
        </w:tc>
        <w:tc>
          <w:tcPr>
            <w:tcW w:w="1326" w:type="dxa"/>
            <w:tcBorders>
              <w:tl2br w:val="nil"/>
              <w:tr2bl w:val="nil"/>
            </w:tcBorders>
            <w:noWrap w:val="0"/>
            <w:vAlign w:val="center"/>
          </w:tcPr>
          <w:p w14:paraId="2BFE1EFB">
            <w:pPr>
              <w:jc w:val="center"/>
              <w:rPr>
                <w:rFonts w:hint="eastAsia"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0.10</w:t>
            </w:r>
          </w:p>
        </w:tc>
        <w:tc>
          <w:tcPr>
            <w:tcW w:w="1035" w:type="dxa"/>
            <w:tcBorders>
              <w:tl2br w:val="nil"/>
              <w:tr2bl w:val="nil"/>
            </w:tcBorders>
            <w:noWrap w:val="0"/>
            <w:vAlign w:val="center"/>
          </w:tcPr>
          <w:p w14:paraId="7D5BA933">
            <w:pPr>
              <w:jc w:val="center"/>
              <w:rPr>
                <w:rFonts w:hint="eastAsia"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1.02</w:t>
            </w:r>
          </w:p>
        </w:tc>
        <w:tc>
          <w:tcPr>
            <w:tcW w:w="1130" w:type="dxa"/>
            <w:tcBorders>
              <w:tl2br w:val="nil"/>
              <w:tr2bl w:val="nil"/>
            </w:tcBorders>
            <w:noWrap w:val="0"/>
            <w:vAlign w:val="center"/>
          </w:tcPr>
          <w:p w14:paraId="28C70553">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788B9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0" w:type="dxa"/>
            <w:tcBorders>
              <w:tl2br w:val="nil"/>
              <w:tr2bl w:val="nil"/>
            </w:tcBorders>
            <w:noWrap w:val="0"/>
            <w:vAlign w:val="center"/>
          </w:tcPr>
          <w:p w14:paraId="46B4D529">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后屯</w:t>
            </w:r>
          </w:p>
        </w:tc>
        <w:tc>
          <w:tcPr>
            <w:tcW w:w="1253" w:type="dxa"/>
            <w:tcBorders>
              <w:tl2br w:val="nil"/>
              <w:tr2bl w:val="nil"/>
            </w:tcBorders>
            <w:noWrap w:val="0"/>
            <w:vAlign w:val="center"/>
          </w:tcPr>
          <w:p w14:paraId="1DF6C1D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226.96</w:t>
            </w:r>
          </w:p>
        </w:tc>
        <w:tc>
          <w:tcPr>
            <w:tcW w:w="1429" w:type="dxa"/>
            <w:tcBorders>
              <w:tl2br w:val="nil"/>
              <w:tr2bl w:val="nil"/>
            </w:tcBorders>
            <w:noWrap w:val="0"/>
            <w:vAlign w:val="center"/>
          </w:tcPr>
          <w:p w14:paraId="441AA24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1731.08</w:t>
            </w:r>
          </w:p>
        </w:tc>
        <w:tc>
          <w:tcPr>
            <w:tcW w:w="1218" w:type="dxa"/>
            <w:tcBorders>
              <w:tl2br w:val="nil"/>
              <w:tr2bl w:val="nil"/>
            </w:tcBorders>
            <w:shd w:val="clear" w:color="auto" w:fill="auto"/>
            <w:noWrap w:val="0"/>
            <w:vAlign w:val="center"/>
          </w:tcPr>
          <w:p w14:paraId="0C35F900">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2047" w:type="dxa"/>
            <w:tcBorders>
              <w:tl2br w:val="nil"/>
              <w:tr2bl w:val="nil"/>
            </w:tcBorders>
            <w:noWrap w:val="0"/>
            <w:vAlign w:val="center"/>
          </w:tcPr>
          <w:p w14:paraId="7506BC08">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/12/31 15:00:00</w:t>
            </w:r>
          </w:p>
        </w:tc>
        <w:tc>
          <w:tcPr>
            <w:tcW w:w="988" w:type="dxa"/>
            <w:tcBorders>
              <w:tl2br w:val="nil"/>
              <w:tr2bl w:val="nil"/>
            </w:tcBorders>
            <w:noWrap w:val="0"/>
            <w:vAlign w:val="center"/>
          </w:tcPr>
          <w:p w14:paraId="344795E3">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0.06</w:t>
            </w:r>
          </w:p>
        </w:tc>
        <w:tc>
          <w:tcPr>
            <w:tcW w:w="1094" w:type="dxa"/>
            <w:tcBorders>
              <w:tl2br w:val="nil"/>
              <w:tr2bl w:val="nil"/>
            </w:tcBorders>
            <w:noWrap w:val="0"/>
            <w:vAlign w:val="center"/>
          </w:tcPr>
          <w:p w14:paraId="2E5DF783">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0.56</w:t>
            </w:r>
          </w:p>
        </w:tc>
        <w:tc>
          <w:tcPr>
            <w:tcW w:w="1115" w:type="dxa"/>
            <w:tcBorders>
              <w:tl2br w:val="nil"/>
              <w:tr2bl w:val="nil"/>
            </w:tcBorders>
            <w:noWrap w:val="0"/>
            <w:vAlign w:val="center"/>
          </w:tcPr>
          <w:p w14:paraId="344D8476">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eastAsia" w:cs="Times New Roman"/>
                <w:color w:val="auto"/>
                <w:sz w:val="21"/>
                <w:szCs w:val="21"/>
                <w:lang w:val="en-US" w:eastAsia="zh-CN"/>
              </w:rPr>
              <w:t>0</w:t>
            </w:r>
          </w:p>
        </w:tc>
        <w:tc>
          <w:tcPr>
            <w:tcW w:w="1326" w:type="dxa"/>
            <w:tcBorders>
              <w:tl2br w:val="nil"/>
              <w:tr2bl w:val="nil"/>
            </w:tcBorders>
            <w:noWrap w:val="0"/>
            <w:vAlign w:val="center"/>
          </w:tcPr>
          <w:p w14:paraId="0A2F3D6B">
            <w:pPr>
              <w:jc w:val="center"/>
              <w:rPr>
                <w:rFonts w:hint="eastAsia"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0.06</w:t>
            </w:r>
          </w:p>
        </w:tc>
        <w:tc>
          <w:tcPr>
            <w:tcW w:w="1035" w:type="dxa"/>
            <w:tcBorders>
              <w:tl2br w:val="nil"/>
              <w:tr2bl w:val="nil"/>
            </w:tcBorders>
            <w:noWrap w:val="0"/>
            <w:vAlign w:val="center"/>
          </w:tcPr>
          <w:p w14:paraId="1DB41CE9">
            <w:pPr>
              <w:jc w:val="center"/>
              <w:rPr>
                <w:rFonts w:hint="eastAsia"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0.56</w:t>
            </w:r>
          </w:p>
        </w:tc>
        <w:tc>
          <w:tcPr>
            <w:tcW w:w="1130" w:type="dxa"/>
            <w:tcBorders>
              <w:tl2br w:val="nil"/>
              <w:tr2bl w:val="nil"/>
            </w:tcBorders>
            <w:noWrap w:val="0"/>
            <w:vAlign w:val="center"/>
          </w:tcPr>
          <w:p w14:paraId="7BAD0901">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1147B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0" w:type="dxa"/>
            <w:tcBorders>
              <w:tl2br w:val="nil"/>
              <w:tr2bl w:val="nil"/>
            </w:tcBorders>
            <w:noWrap w:val="0"/>
            <w:vAlign w:val="center"/>
          </w:tcPr>
          <w:p w14:paraId="79FCD10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示范场村</w:t>
            </w:r>
          </w:p>
        </w:tc>
        <w:tc>
          <w:tcPr>
            <w:tcW w:w="1253" w:type="dxa"/>
            <w:tcBorders>
              <w:tl2br w:val="nil"/>
              <w:tr2bl w:val="nil"/>
            </w:tcBorders>
            <w:noWrap w:val="0"/>
            <w:vAlign w:val="center"/>
          </w:tcPr>
          <w:p w14:paraId="6325CC8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-104.84</w:t>
            </w:r>
          </w:p>
        </w:tc>
        <w:tc>
          <w:tcPr>
            <w:tcW w:w="1429" w:type="dxa"/>
            <w:tcBorders>
              <w:tl2br w:val="nil"/>
              <w:tr2bl w:val="nil"/>
            </w:tcBorders>
            <w:noWrap w:val="0"/>
            <w:vAlign w:val="center"/>
          </w:tcPr>
          <w:p w14:paraId="2E99E0E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-154.95</w:t>
            </w:r>
          </w:p>
        </w:tc>
        <w:tc>
          <w:tcPr>
            <w:tcW w:w="1218" w:type="dxa"/>
            <w:tcBorders>
              <w:tl2br w:val="nil"/>
              <w:tr2bl w:val="nil"/>
            </w:tcBorders>
            <w:noWrap w:val="0"/>
            <w:vAlign w:val="center"/>
          </w:tcPr>
          <w:p w14:paraId="30B4D9B9">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2047" w:type="dxa"/>
            <w:tcBorders>
              <w:tl2br w:val="nil"/>
              <w:tr2bl w:val="nil"/>
            </w:tcBorders>
            <w:noWrap w:val="0"/>
            <w:vAlign w:val="center"/>
          </w:tcPr>
          <w:p w14:paraId="7912FD4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/10/14 6:00:00</w:t>
            </w:r>
          </w:p>
        </w:tc>
        <w:tc>
          <w:tcPr>
            <w:tcW w:w="988" w:type="dxa"/>
            <w:tcBorders>
              <w:tl2br w:val="nil"/>
              <w:tr2bl w:val="nil"/>
            </w:tcBorders>
            <w:noWrap w:val="0"/>
            <w:vAlign w:val="center"/>
          </w:tcPr>
          <w:p w14:paraId="22ADBB4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0.23</w:t>
            </w:r>
          </w:p>
        </w:tc>
        <w:tc>
          <w:tcPr>
            <w:tcW w:w="1094" w:type="dxa"/>
            <w:tcBorders>
              <w:tl2br w:val="nil"/>
              <w:tr2bl w:val="nil"/>
            </w:tcBorders>
            <w:noWrap w:val="0"/>
            <w:vAlign w:val="center"/>
          </w:tcPr>
          <w:p w14:paraId="67A639D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2.29</w:t>
            </w:r>
          </w:p>
        </w:tc>
        <w:tc>
          <w:tcPr>
            <w:tcW w:w="1115" w:type="dxa"/>
            <w:tcBorders>
              <w:tl2br w:val="nil"/>
              <w:tr2bl w:val="nil"/>
            </w:tcBorders>
            <w:noWrap w:val="0"/>
            <w:vAlign w:val="center"/>
          </w:tcPr>
          <w:p w14:paraId="427691ED">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eastAsia" w:cs="Times New Roman"/>
                <w:color w:val="auto"/>
                <w:sz w:val="21"/>
                <w:szCs w:val="21"/>
                <w:lang w:val="en-US" w:eastAsia="zh-CN"/>
              </w:rPr>
              <w:t>0</w:t>
            </w:r>
          </w:p>
        </w:tc>
        <w:tc>
          <w:tcPr>
            <w:tcW w:w="1326" w:type="dxa"/>
            <w:tcBorders>
              <w:tl2br w:val="nil"/>
              <w:tr2bl w:val="nil"/>
            </w:tcBorders>
            <w:noWrap w:val="0"/>
            <w:vAlign w:val="center"/>
          </w:tcPr>
          <w:p w14:paraId="081EAC6E">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0.23</w:t>
            </w:r>
          </w:p>
        </w:tc>
        <w:tc>
          <w:tcPr>
            <w:tcW w:w="1035" w:type="dxa"/>
            <w:tcBorders>
              <w:tl2br w:val="nil"/>
              <w:tr2bl w:val="nil"/>
            </w:tcBorders>
            <w:noWrap w:val="0"/>
            <w:vAlign w:val="center"/>
          </w:tcPr>
          <w:p w14:paraId="5D7A5C51">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2.29</w:t>
            </w:r>
          </w:p>
        </w:tc>
        <w:tc>
          <w:tcPr>
            <w:tcW w:w="1130" w:type="dxa"/>
            <w:tcBorders>
              <w:tl2br w:val="nil"/>
              <w:tr2bl w:val="nil"/>
            </w:tcBorders>
            <w:noWrap w:val="0"/>
            <w:vAlign w:val="center"/>
          </w:tcPr>
          <w:p w14:paraId="49209B9B">
            <w:pPr>
              <w:keepNext w:val="0"/>
              <w:keepLines w:val="0"/>
              <w:widowControl/>
              <w:suppressLineNumbers w:val="0"/>
              <w:spacing w:before="0" w:beforeAutospacing="0" w:after="0" w:afterAutospacing="0"/>
              <w:ind w:left="0" w:right="0"/>
              <w:jc w:val="center"/>
              <w:rPr>
                <w:rFonts w:hint="eastAsia"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403A9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0" w:type="dxa"/>
            <w:tcBorders>
              <w:tl2br w:val="nil"/>
              <w:tr2bl w:val="nil"/>
            </w:tcBorders>
            <w:noWrap w:val="0"/>
            <w:vAlign w:val="center"/>
          </w:tcPr>
          <w:p w14:paraId="2B0CDD1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永富村</w:t>
            </w:r>
          </w:p>
        </w:tc>
        <w:tc>
          <w:tcPr>
            <w:tcW w:w="1253" w:type="dxa"/>
            <w:tcBorders>
              <w:tl2br w:val="nil"/>
              <w:tr2bl w:val="nil"/>
            </w:tcBorders>
            <w:noWrap w:val="0"/>
            <w:vAlign w:val="center"/>
          </w:tcPr>
          <w:p w14:paraId="46DC305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-875.91</w:t>
            </w:r>
          </w:p>
        </w:tc>
        <w:tc>
          <w:tcPr>
            <w:tcW w:w="1429" w:type="dxa"/>
            <w:tcBorders>
              <w:tl2br w:val="nil"/>
              <w:tr2bl w:val="nil"/>
            </w:tcBorders>
            <w:noWrap w:val="0"/>
            <w:vAlign w:val="center"/>
          </w:tcPr>
          <w:p w14:paraId="08938EC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-2394.93</w:t>
            </w:r>
          </w:p>
        </w:tc>
        <w:tc>
          <w:tcPr>
            <w:tcW w:w="1218" w:type="dxa"/>
            <w:tcBorders>
              <w:tl2br w:val="nil"/>
              <w:tr2bl w:val="nil"/>
            </w:tcBorders>
            <w:noWrap w:val="0"/>
            <w:vAlign w:val="center"/>
          </w:tcPr>
          <w:p w14:paraId="743B4015">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2047" w:type="dxa"/>
            <w:tcBorders>
              <w:tl2br w:val="nil"/>
              <w:tr2bl w:val="nil"/>
            </w:tcBorders>
            <w:noWrap w:val="0"/>
            <w:vAlign w:val="center"/>
          </w:tcPr>
          <w:p w14:paraId="0449E59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/1/17 8:00:00</w:t>
            </w:r>
          </w:p>
        </w:tc>
        <w:tc>
          <w:tcPr>
            <w:tcW w:w="988" w:type="dxa"/>
            <w:tcBorders>
              <w:tl2br w:val="nil"/>
              <w:tr2bl w:val="nil"/>
            </w:tcBorders>
            <w:noWrap w:val="0"/>
            <w:vAlign w:val="center"/>
          </w:tcPr>
          <w:p w14:paraId="7CABF99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0.04</w:t>
            </w:r>
          </w:p>
        </w:tc>
        <w:tc>
          <w:tcPr>
            <w:tcW w:w="1094" w:type="dxa"/>
            <w:tcBorders>
              <w:tl2br w:val="nil"/>
              <w:tr2bl w:val="nil"/>
            </w:tcBorders>
            <w:noWrap w:val="0"/>
            <w:vAlign w:val="center"/>
          </w:tcPr>
          <w:p w14:paraId="5C2267D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0.39</w:t>
            </w:r>
          </w:p>
        </w:tc>
        <w:tc>
          <w:tcPr>
            <w:tcW w:w="1115" w:type="dxa"/>
            <w:tcBorders>
              <w:tl2br w:val="nil"/>
              <w:tr2bl w:val="nil"/>
            </w:tcBorders>
            <w:noWrap w:val="0"/>
            <w:vAlign w:val="center"/>
          </w:tcPr>
          <w:p w14:paraId="01D87F85">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eastAsia" w:cs="Times New Roman"/>
                <w:color w:val="auto"/>
                <w:sz w:val="21"/>
                <w:szCs w:val="21"/>
                <w:lang w:val="en-US" w:eastAsia="zh-CN"/>
              </w:rPr>
              <w:t>0</w:t>
            </w:r>
          </w:p>
        </w:tc>
        <w:tc>
          <w:tcPr>
            <w:tcW w:w="1326" w:type="dxa"/>
            <w:tcBorders>
              <w:tl2br w:val="nil"/>
              <w:tr2bl w:val="nil"/>
            </w:tcBorders>
            <w:noWrap w:val="0"/>
            <w:vAlign w:val="center"/>
          </w:tcPr>
          <w:p w14:paraId="77AC4E50">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0.04</w:t>
            </w:r>
          </w:p>
        </w:tc>
        <w:tc>
          <w:tcPr>
            <w:tcW w:w="1035" w:type="dxa"/>
            <w:tcBorders>
              <w:tl2br w:val="nil"/>
              <w:tr2bl w:val="nil"/>
            </w:tcBorders>
            <w:noWrap w:val="0"/>
            <w:vAlign w:val="center"/>
          </w:tcPr>
          <w:p w14:paraId="4E4BC4CD">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0.39</w:t>
            </w:r>
          </w:p>
        </w:tc>
        <w:tc>
          <w:tcPr>
            <w:tcW w:w="1130" w:type="dxa"/>
            <w:tcBorders>
              <w:tl2br w:val="nil"/>
              <w:tr2bl w:val="nil"/>
            </w:tcBorders>
            <w:noWrap w:val="0"/>
            <w:vAlign w:val="center"/>
          </w:tcPr>
          <w:p w14:paraId="6293494D">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58935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30" w:type="dxa"/>
            <w:tcBorders>
              <w:tl2br w:val="nil"/>
              <w:tr2bl w:val="nil"/>
            </w:tcBorders>
            <w:noWrap w:val="0"/>
            <w:vAlign w:val="center"/>
          </w:tcPr>
          <w:p w14:paraId="0722361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区域最大值</w:t>
            </w:r>
          </w:p>
        </w:tc>
        <w:tc>
          <w:tcPr>
            <w:tcW w:w="1253" w:type="dxa"/>
            <w:tcBorders>
              <w:tl2br w:val="nil"/>
              <w:tr2bl w:val="nil"/>
            </w:tcBorders>
            <w:noWrap w:val="0"/>
            <w:vAlign w:val="center"/>
          </w:tcPr>
          <w:p w14:paraId="6BF21CE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-300</w:t>
            </w:r>
          </w:p>
        </w:tc>
        <w:tc>
          <w:tcPr>
            <w:tcW w:w="1429" w:type="dxa"/>
            <w:tcBorders>
              <w:tl2br w:val="nil"/>
              <w:tr2bl w:val="nil"/>
            </w:tcBorders>
            <w:noWrap w:val="0"/>
            <w:vAlign w:val="center"/>
          </w:tcPr>
          <w:p w14:paraId="28D3F8A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p>
        </w:tc>
        <w:tc>
          <w:tcPr>
            <w:tcW w:w="1218" w:type="dxa"/>
            <w:tcBorders>
              <w:tl2br w:val="nil"/>
              <w:tr2bl w:val="nil"/>
            </w:tcBorders>
            <w:noWrap w:val="0"/>
            <w:vAlign w:val="center"/>
          </w:tcPr>
          <w:p w14:paraId="476F4582">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2047" w:type="dxa"/>
            <w:tcBorders>
              <w:tl2br w:val="nil"/>
              <w:tr2bl w:val="nil"/>
            </w:tcBorders>
            <w:noWrap w:val="0"/>
            <w:vAlign w:val="center"/>
          </w:tcPr>
          <w:p w14:paraId="1CB509C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/9/6 6:00:00</w:t>
            </w:r>
          </w:p>
        </w:tc>
        <w:tc>
          <w:tcPr>
            <w:tcW w:w="988" w:type="dxa"/>
            <w:tcBorders>
              <w:tl2br w:val="nil"/>
              <w:tr2bl w:val="nil"/>
            </w:tcBorders>
            <w:noWrap w:val="0"/>
            <w:vAlign w:val="center"/>
          </w:tcPr>
          <w:p w14:paraId="63A4CE0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0.59</w:t>
            </w:r>
          </w:p>
        </w:tc>
        <w:tc>
          <w:tcPr>
            <w:tcW w:w="1094" w:type="dxa"/>
            <w:tcBorders>
              <w:tl2br w:val="nil"/>
              <w:tr2bl w:val="nil"/>
            </w:tcBorders>
            <w:noWrap w:val="0"/>
            <w:vAlign w:val="center"/>
          </w:tcPr>
          <w:p w14:paraId="776C2D6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5.89</w:t>
            </w:r>
          </w:p>
        </w:tc>
        <w:tc>
          <w:tcPr>
            <w:tcW w:w="1115" w:type="dxa"/>
            <w:tcBorders>
              <w:tl2br w:val="nil"/>
              <w:tr2bl w:val="nil"/>
            </w:tcBorders>
            <w:noWrap w:val="0"/>
            <w:vAlign w:val="center"/>
          </w:tcPr>
          <w:p w14:paraId="42F56C02">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eastAsia" w:cs="Times New Roman"/>
                <w:color w:val="auto"/>
                <w:sz w:val="21"/>
                <w:szCs w:val="21"/>
                <w:lang w:val="en-US" w:eastAsia="zh-CN"/>
              </w:rPr>
              <w:t>0</w:t>
            </w:r>
          </w:p>
        </w:tc>
        <w:tc>
          <w:tcPr>
            <w:tcW w:w="1326" w:type="dxa"/>
            <w:tcBorders>
              <w:tl2br w:val="nil"/>
              <w:tr2bl w:val="nil"/>
            </w:tcBorders>
            <w:noWrap w:val="0"/>
            <w:vAlign w:val="center"/>
          </w:tcPr>
          <w:p w14:paraId="1BD72590">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0.59</w:t>
            </w:r>
          </w:p>
        </w:tc>
        <w:tc>
          <w:tcPr>
            <w:tcW w:w="1035" w:type="dxa"/>
            <w:tcBorders>
              <w:tl2br w:val="nil"/>
              <w:tr2bl w:val="nil"/>
            </w:tcBorders>
            <w:noWrap w:val="0"/>
            <w:vAlign w:val="center"/>
          </w:tcPr>
          <w:p w14:paraId="06B09FB8">
            <w:pPr>
              <w:jc w:val="center"/>
              <w:rPr>
                <w:rFonts w:hint="default" w:ascii="Times New Roman" w:cs="Times New Roman"/>
                <w:color w:val="FF0000"/>
                <w:sz w:val="21"/>
                <w:szCs w:val="21"/>
                <w:lang w:val="en-US" w:eastAsia="zh-CN"/>
              </w:rPr>
            </w:pPr>
            <w:r>
              <w:rPr>
                <w:rFonts w:hint="eastAsia" w:ascii="Times New Roman" w:hAnsi="Times New Roman" w:eastAsia="宋体" w:cs="Times New Roman"/>
                <w:b w:val="0"/>
                <w:bCs w:val="0"/>
                <w:color w:val="auto"/>
                <w:sz w:val="21"/>
                <w:szCs w:val="21"/>
              </w:rPr>
              <w:t>5.89</w:t>
            </w:r>
          </w:p>
        </w:tc>
        <w:tc>
          <w:tcPr>
            <w:tcW w:w="0" w:type="auto"/>
            <w:tcBorders>
              <w:tl2br w:val="nil"/>
              <w:tr2bl w:val="nil"/>
            </w:tcBorders>
            <w:noWrap w:val="0"/>
            <w:vAlign w:val="center"/>
          </w:tcPr>
          <w:p w14:paraId="0794AB08">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bl>
    <w:p w14:paraId="525282A9">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表5.2-</w:t>
      </w:r>
      <w:r>
        <w:rPr>
          <w:rFonts w:hint="default" w:ascii="Times New Roman" w:hAnsi="Times New Roman" w:eastAsia="宋体" w:cs="Times New Roman"/>
          <w:b/>
          <w:bCs/>
          <w:color w:val="auto"/>
          <w:sz w:val="24"/>
          <w:szCs w:val="24"/>
          <w:lang w:val="en-US" w:eastAsia="zh-CN"/>
        </w:rPr>
        <w:t>1</w:t>
      </w:r>
      <w:r>
        <w:rPr>
          <w:rFonts w:hint="eastAsia"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 xml:space="preserve"> </w:t>
      </w:r>
      <w:r>
        <w:rPr>
          <w:rFonts w:hint="eastAsia" w:ascii="Times New Roman" w:hAnsi="Times New Roman" w:eastAsia="宋体" w:cs="Times New Roman"/>
          <w:b/>
          <w:bCs/>
          <w:color w:val="auto"/>
          <w:sz w:val="24"/>
          <w:szCs w:val="24"/>
          <w:lang w:val="en-US" w:eastAsia="zh-CN"/>
        </w:rPr>
        <w:t>非甲烷总烃</w:t>
      </w:r>
      <w:r>
        <w:rPr>
          <w:rFonts w:hint="default" w:ascii="Times New Roman" w:hAnsi="Times New Roman" w:eastAsia="宋体" w:cs="Times New Roman"/>
          <w:b/>
          <w:bCs/>
          <w:color w:val="auto"/>
          <w:sz w:val="24"/>
          <w:szCs w:val="24"/>
        </w:rPr>
        <w:t>贡献质量浓度预测结果表（浓度单位：μg/m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w:t>
      </w:r>
    </w:p>
    <w:tbl>
      <w:tblPr>
        <w:tblStyle w:val="5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1544"/>
        <w:gridCol w:w="1401"/>
        <w:gridCol w:w="1395"/>
        <w:gridCol w:w="1505"/>
        <w:gridCol w:w="1591"/>
        <w:gridCol w:w="2775"/>
        <w:gridCol w:w="1523"/>
        <w:gridCol w:w="1358"/>
      </w:tblGrid>
      <w:tr w14:paraId="3FEA9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tcBorders>
              <w:tl2br w:val="nil"/>
              <w:tr2bl w:val="nil"/>
            </w:tcBorders>
            <w:noWrap w:val="0"/>
            <w:vAlign w:val="center"/>
          </w:tcPr>
          <w:p w14:paraId="109FC93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1544" w:type="dxa"/>
            <w:tcBorders>
              <w:tl2br w:val="nil"/>
              <w:tr2bl w:val="nil"/>
            </w:tcBorders>
            <w:noWrap w:val="0"/>
            <w:vAlign w:val="center"/>
          </w:tcPr>
          <w:p w14:paraId="7EEB579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预测点</w:t>
            </w:r>
          </w:p>
        </w:tc>
        <w:tc>
          <w:tcPr>
            <w:tcW w:w="1401" w:type="dxa"/>
            <w:tcBorders>
              <w:tl2br w:val="nil"/>
              <w:tr2bl w:val="nil"/>
            </w:tcBorders>
            <w:noWrap w:val="0"/>
            <w:vAlign w:val="center"/>
          </w:tcPr>
          <w:p w14:paraId="3FCC810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X坐标（m）</w:t>
            </w:r>
          </w:p>
        </w:tc>
        <w:tc>
          <w:tcPr>
            <w:tcW w:w="1395" w:type="dxa"/>
            <w:tcBorders>
              <w:tl2br w:val="nil"/>
              <w:tr2bl w:val="nil"/>
            </w:tcBorders>
            <w:noWrap w:val="0"/>
            <w:vAlign w:val="center"/>
          </w:tcPr>
          <w:p w14:paraId="7AA8771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Y坐标（m）</w:t>
            </w:r>
          </w:p>
        </w:tc>
        <w:tc>
          <w:tcPr>
            <w:tcW w:w="1505" w:type="dxa"/>
            <w:tcBorders>
              <w:tl2br w:val="nil"/>
              <w:tr2bl w:val="nil"/>
            </w:tcBorders>
            <w:noWrap w:val="0"/>
            <w:vAlign w:val="center"/>
          </w:tcPr>
          <w:p w14:paraId="2A8C71B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平均时段</w:t>
            </w:r>
          </w:p>
        </w:tc>
        <w:tc>
          <w:tcPr>
            <w:tcW w:w="1591" w:type="dxa"/>
            <w:tcBorders>
              <w:tl2br w:val="nil"/>
              <w:tr2bl w:val="nil"/>
            </w:tcBorders>
            <w:noWrap w:val="0"/>
            <w:vAlign w:val="center"/>
          </w:tcPr>
          <w:p w14:paraId="31D3311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最大贡献值</w:t>
            </w:r>
          </w:p>
        </w:tc>
        <w:tc>
          <w:tcPr>
            <w:tcW w:w="2775" w:type="dxa"/>
            <w:tcBorders>
              <w:tl2br w:val="nil"/>
              <w:tr2bl w:val="nil"/>
            </w:tcBorders>
            <w:noWrap w:val="0"/>
            <w:vAlign w:val="center"/>
          </w:tcPr>
          <w:p w14:paraId="5F8DD81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出现时间</w:t>
            </w:r>
          </w:p>
        </w:tc>
        <w:tc>
          <w:tcPr>
            <w:tcW w:w="1523" w:type="dxa"/>
            <w:tcBorders>
              <w:tl2br w:val="nil"/>
              <w:tr2bl w:val="nil"/>
            </w:tcBorders>
            <w:noWrap w:val="0"/>
            <w:vAlign w:val="center"/>
          </w:tcPr>
          <w:p w14:paraId="5A16BB7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358" w:type="dxa"/>
            <w:tcBorders>
              <w:tl2br w:val="nil"/>
              <w:tr2bl w:val="nil"/>
            </w:tcBorders>
            <w:noWrap w:val="0"/>
            <w:vAlign w:val="center"/>
          </w:tcPr>
          <w:p w14:paraId="095A835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2AD9C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restart"/>
            <w:tcBorders>
              <w:tl2br w:val="nil"/>
              <w:tr2bl w:val="nil"/>
            </w:tcBorders>
            <w:noWrap w:val="0"/>
            <w:vAlign w:val="center"/>
          </w:tcPr>
          <w:p w14:paraId="163765E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b w:val="0"/>
                <w:bCs w:val="0"/>
                <w:color w:val="auto"/>
                <w:sz w:val="21"/>
                <w:szCs w:val="21"/>
                <w:lang w:val="en-US" w:eastAsia="zh-CN"/>
              </w:rPr>
              <w:t>非甲烷总烃</w:t>
            </w:r>
          </w:p>
        </w:tc>
        <w:tc>
          <w:tcPr>
            <w:tcW w:w="1544" w:type="dxa"/>
            <w:tcBorders>
              <w:tl2br w:val="nil"/>
              <w:tr2bl w:val="nil"/>
            </w:tcBorders>
            <w:noWrap w:val="0"/>
            <w:vAlign w:val="center"/>
          </w:tcPr>
          <w:p w14:paraId="7F5FED6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大桥口</w:t>
            </w:r>
          </w:p>
        </w:tc>
        <w:tc>
          <w:tcPr>
            <w:tcW w:w="1401" w:type="dxa"/>
            <w:tcBorders>
              <w:tl2br w:val="nil"/>
              <w:tr2bl w:val="nil"/>
            </w:tcBorders>
            <w:noWrap w:val="0"/>
            <w:vAlign w:val="center"/>
          </w:tcPr>
          <w:p w14:paraId="36D30C8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2441.11</w:t>
            </w:r>
          </w:p>
        </w:tc>
        <w:tc>
          <w:tcPr>
            <w:tcW w:w="1395" w:type="dxa"/>
            <w:tcBorders>
              <w:tl2br w:val="nil"/>
              <w:tr2bl w:val="nil"/>
            </w:tcBorders>
            <w:noWrap w:val="0"/>
            <w:vAlign w:val="center"/>
          </w:tcPr>
          <w:p w14:paraId="55D8954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2412.13</w:t>
            </w:r>
          </w:p>
        </w:tc>
        <w:tc>
          <w:tcPr>
            <w:tcW w:w="1505" w:type="dxa"/>
            <w:tcBorders>
              <w:tl2br w:val="nil"/>
              <w:tr2bl w:val="nil"/>
            </w:tcBorders>
            <w:noWrap w:val="0"/>
            <w:vAlign w:val="center"/>
          </w:tcPr>
          <w:p w14:paraId="2E29C85B">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798B0D1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19.88</w:t>
            </w:r>
          </w:p>
        </w:tc>
        <w:tc>
          <w:tcPr>
            <w:tcW w:w="2775" w:type="dxa"/>
            <w:tcBorders>
              <w:tl2br w:val="nil"/>
              <w:tr2bl w:val="nil"/>
            </w:tcBorders>
            <w:noWrap w:val="0"/>
            <w:vAlign w:val="center"/>
          </w:tcPr>
          <w:p w14:paraId="238EFC3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/5/13 0:00:00</w:t>
            </w:r>
          </w:p>
        </w:tc>
        <w:tc>
          <w:tcPr>
            <w:tcW w:w="1523" w:type="dxa"/>
            <w:tcBorders>
              <w:tl2br w:val="nil"/>
              <w:tr2bl w:val="nil"/>
            </w:tcBorders>
            <w:noWrap w:val="0"/>
            <w:vAlign w:val="center"/>
          </w:tcPr>
          <w:p w14:paraId="49EAC60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0.99</w:t>
            </w:r>
          </w:p>
        </w:tc>
        <w:tc>
          <w:tcPr>
            <w:tcW w:w="1358" w:type="dxa"/>
            <w:tcBorders>
              <w:tl2br w:val="nil"/>
              <w:tr2bl w:val="nil"/>
            </w:tcBorders>
            <w:noWrap w:val="0"/>
            <w:vAlign w:val="center"/>
          </w:tcPr>
          <w:p w14:paraId="44990176">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60FA2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2AA6483E">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c>
          <w:tcPr>
            <w:tcW w:w="1544" w:type="dxa"/>
            <w:tcBorders>
              <w:tl2br w:val="nil"/>
              <w:tr2bl w:val="nil"/>
            </w:tcBorders>
            <w:noWrap w:val="0"/>
            <w:vAlign w:val="center"/>
          </w:tcPr>
          <w:p w14:paraId="6BBC8E5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四季青村</w:t>
            </w:r>
          </w:p>
        </w:tc>
        <w:tc>
          <w:tcPr>
            <w:tcW w:w="1401" w:type="dxa"/>
            <w:tcBorders>
              <w:tl2br w:val="nil"/>
              <w:tr2bl w:val="nil"/>
            </w:tcBorders>
            <w:noWrap w:val="0"/>
            <w:vAlign w:val="center"/>
          </w:tcPr>
          <w:p w14:paraId="31CC5408">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621.92</w:t>
            </w:r>
          </w:p>
        </w:tc>
        <w:tc>
          <w:tcPr>
            <w:tcW w:w="1395" w:type="dxa"/>
            <w:tcBorders>
              <w:tl2br w:val="nil"/>
              <w:tr2bl w:val="nil"/>
            </w:tcBorders>
            <w:noWrap w:val="0"/>
            <w:vAlign w:val="center"/>
          </w:tcPr>
          <w:p w14:paraId="0C281538">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605.14</w:t>
            </w:r>
          </w:p>
        </w:tc>
        <w:tc>
          <w:tcPr>
            <w:tcW w:w="1505" w:type="dxa"/>
            <w:tcBorders>
              <w:tl2br w:val="nil"/>
              <w:tr2bl w:val="nil"/>
            </w:tcBorders>
            <w:noWrap w:val="0"/>
            <w:vAlign w:val="center"/>
          </w:tcPr>
          <w:p w14:paraId="5B8C0C77">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49081624">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67.00</w:t>
            </w:r>
          </w:p>
        </w:tc>
        <w:tc>
          <w:tcPr>
            <w:tcW w:w="2775" w:type="dxa"/>
            <w:tcBorders>
              <w:tl2br w:val="nil"/>
              <w:tr2bl w:val="nil"/>
            </w:tcBorders>
            <w:noWrap w:val="0"/>
            <w:vAlign w:val="center"/>
          </w:tcPr>
          <w:p w14:paraId="64EF35B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/5/13 0:00:00</w:t>
            </w:r>
          </w:p>
        </w:tc>
        <w:tc>
          <w:tcPr>
            <w:tcW w:w="1523" w:type="dxa"/>
            <w:tcBorders>
              <w:tl2br w:val="nil"/>
              <w:tr2bl w:val="nil"/>
            </w:tcBorders>
            <w:noWrap w:val="0"/>
            <w:vAlign w:val="center"/>
          </w:tcPr>
          <w:p w14:paraId="52E1EAE6">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3.35</w:t>
            </w:r>
          </w:p>
        </w:tc>
        <w:tc>
          <w:tcPr>
            <w:tcW w:w="1358" w:type="dxa"/>
            <w:tcBorders>
              <w:tl2br w:val="nil"/>
              <w:tr2bl w:val="nil"/>
            </w:tcBorders>
            <w:noWrap w:val="0"/>
            <w:vAlign w:val="center"/>
          </w:tcPr>
          <w:p w14:paraId="723F2948">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6D33A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7279A43F">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b w:val="0"/>
                <w:bCs w:val="0"/>
                <w:color w:val="auto"/>
                <w:sz w:val="21"/>
                <w:szCs w:val="21"/>
                <w:lang w:val="en-US" w:eastAsia="zh-CN"/>
              </w:rPr>
            </w:pPr>
          </w:p>
        </w:tc>
        <w:tc>
          <w:tcPr>
            <w:tcW w:w="1544" w:type="dxa"/>
            <w:tcBorders>
              <w:tl2br w:val="nil"/>
              <w:tr2bl w:val="nil"/>
            </w:tcBorders>
            <w:noWrap w:val="0"/>
            <w:vAlign w:val="center"/>
          </w:tcPr>
          <w:p w14:paraId="5A810E0B">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后屯</w:t>
            </w:r>
          </w:p>
        </w:tc>
        <w:tc>
          <w:tcPr>
            <w:tcW w:w="1401" w:type="dxa"/>
            <w:tcBorders>
              <w:tl2br w:val="nil"/>
              <w:tr2bl w:val="nil"/>
            </w:tcBorders>
            <w:noWrap w:val="0"/>
            <w:vAlign w:val="center"/>
          </w:tcPr>
          <w:p w14:paraId="5CEFB411">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226.96</w:t>
            </w:r>
          </w:p>
        </w:tc>
        <w:tc>
          <w:tcPr>
            <w:tcW w:w="1395" w:type="dxa"/>
            <w:tcBorders>
              <w:tl2br w:val="nil"/>
              <w:tr2bl w:val="nil"/>
            </w:tcBorders>
            <w:noWrap w:val="0"/>
            <w:vAlign w:val="center"/>
          </w:tcPr>
          <w:p w14:paraId="2172D893">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1731.08</w:t>
            </w:r>
          </w:p>
        </w:tc>
        <w:tc>
          <w:tcPr>
            <w:tcW w:w="1505" w:type="dxa"/>
            <w:tcBorders>
              <w:tl2br w:val="nil"/>
              <w:tr2bl w:val="nil"/>
            </w:tcBorders>
            <w:noWrap w:val="0"/>
            <w:vAlign w:val="center"/>
          </w:tcPr>
          <w:p w14:paraId="1F5E42D1">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17AFDE8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55.37</w:t>
            </w:r>
          </w:p>
        </w:tc>
        <w:tc>
          <w:tcPr>
            <w:tcW w:w="2775" w:type="dxa"/>
            <w:tcBorders>
              <w:tl2br w:val="nil"/>
              <w:tr2bl w:val="nil"/>
            </w:tcBorders>
            <w:noWrap w:val="0"/>
            <w:vAlign w:val="center"/>
          </w:tcPr>
          <w:p w14:paraId="4095B7E4">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/9/5 4:00:00</w:t>
            </w:r>
          </w:p>
        </w:tc>
        <w:tc>
          <w:tcPr>
            <w:tcW w:w="1523" w:type="dxa"/>
            <w:tcBorders>
              <w:tl2br w:val="nil"/>
              <w:tr2bl w:val="nil"/>
            </w:tcBorders>
            <w:noWrap w:val="0"/>
            <w:vAlign w:val="center"/>
          </w:tcPr>
          <w:p w14:paraId="66B5F065">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2.77</w:t>
            </w:r>
          </w:p>
        </w:tc>
        <w:tc>
          <w:tcPr>
            <w:tcW w:w="1358" w:type="dxa"/>
            <w:tcBorders>
              <w:tl2br w:val="nil"/>
              <w:tr2bl w:val="nil"/>
            </w:tcBorders>
            <w:noWrap w:val="0"/>
            <w:vAlign w:val="center"/>
          </w:tcPr>
          <w:p w14:paraId="210A268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61E0F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5F1C804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21"/>
                <w:szCs w:val="21"/>
                <w:lang w:val="en-US" w:eastAsia="zh-CN"/>
              </w:rPr>
            </w:pPr>
          </w:p>
        </w:tc>
        <w:tc>
          <w:tcPr>
            <w:tcW w:w="1544" w:type="dxa"/>
            <w:tcBorders>
              <w:tl2br w:val="nil"/>
              <w:tr2bl w:val="nil"/>
            </w:tcBorders>
            <w:noWrap w:val="0"/>
            <w:vAlign w:val="center"/>
          </w:tcPr>
          <w:p w14:paraId="3E3B8FB7">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示范场村</w:t>
            </w:r>
          </w:p>
        </w:tc>
        <w:tc>
          <w:tcPr>
            <w:tcW w:w="1401" w:type="dxa"/>
            <w:tcBorders>
              <w:tl2br w:val="nil"/>
              <w:tr2bl w:val="nil"/>
            </w:tcBorders>
            <w:noWrap w:val="0"/>
            <w:vAlign w:val="center"/>
          </w:tcPr>
          <w:p w14:paraId="1B7C6BC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-104.84</w:t>
            </w:r>
          </w:p>
        </w:tc>
        <w:tc>
          <w:tcPr>
            <w:tcW w:w="1395" w:type="dxa"/>
            <w:tcBorders>
              <w:tl2br w:val="nil"/>
              <w:tr2bl w:val="nil"/>
            </w:tcBorders>
            <w:noWrap w:val="0"/>
            <w:vAlign w:val="center"/>
          </w:tcPr>
          <w:p w14:paraId="1DAA533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-154.95</w:t>
            </w:r>
          </w:p>
        </w:tc>
        <w:tc>
          <w:tcPr>
            <w:tcW w:w="1505" w:type="dxa"/>
            <w:tcBorders>
              <w:tl2br w:val="nil"/>
              <w:tr2bl w:val="nil"/>
            </w:tcBorders>
            <w:noWrap w:val="0"/>
            <w:vAlign w:val="center"/>
          </w:tcPr>
          <w:p w14:paraId="324E2E0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13189C7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147.87</w:t>
            </w:r>
          </w:p>
        </w:tc>
        <w:tc>
          <w:tcPr>
            <w:tcW w:w="2775" w:type="dxa"/>
            <w:tcBorders>
              <w:tl2br w:val="nil"/>
              <w:tr2bl w:val="nil"/>
            </w:tcBorders>
            <w:noWrap w:val="0"/>
            <w:vAlign w:val="center"/>
          </w:tcPr>
          <w:p w14:paraId="2944E63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/8/24 19:00:00</w:t>
            </w:r>
          </w:p>
        </w:tc>
        <w:tc>
          <w:tcPr>
            <w:tcW w:w="1523" w:type="dxa"/>
            <w:tcBorders>
              <w:tl2br w:val="nil"/>
              <w:tr2bl w:val="nil"/>
            </w:tcBorders>
            <w:noWrap w:val="0"/>
            <w:vAlign w:val="center"/>
          </w:tcPr>
          <w:p w14:paraId="508B070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7.39</w:t>
            </w:r>
          </w:p>
        </w:tc>
        <w:tc>
          <w:tcPr>
            <w:tcW w:w="1358" w:type="dxa"/>
            <w:tcBorders>
              <w:tl2br w:val="nil"/>
              <w:tr2bl w:val="nil"/>
            </w:tcBorders>
            <w:noWrap w:val="0"/>
            <w:vAlign w:val="center"/>
          </w:tcPr>
          <w:p w14:paraId="4A59119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达标</w:t>
            </w:r>
          </w:p>
        </w:tc>
      </w:tr>
      <w:tr w14:paraId="64DBC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5F5F62A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544" w:type="dxa"/>
            <w:tcBorders>
              <w:tl2br w:val="nil"/>
              <w:tr2bl w:val="nil"/>
            </w:tcBorders>
            <w:noWrap w:val="0"/>
            <w:vAlign w:val="center"/>
          </w:tcPr>
          <w:p w14:paraId="7E0F894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永富村</w:t>
            </w:r>
          </w:p>
        </w:tc>
        <w:tc>
          <w:tcPr>
            <w:tcW w:w="1401" w:type="dxa"/>
            <w:tcBorders>
              <w:tl2br w:val="nil"/>
              <w:tr2bl w:val="nil"/>
            </w:tcBorders>
            <w:noWrap w:val="0"/>
            <w:vAlign w:val="center"/>
          </w:tcPr>
          <w:p w14:paraId="43035A0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-875.91</w:t>
            </w:r>
          </w:p>
        </w:tc>
        <w:tc>
          <w:tcPr>
            <w:tcW w:w="1395" w:type="dxa"/>
            <w:tcBorders>
              <w:tl2br w:val="nil"/>
              <w:tr2bl w:val="nil"/>
            </w:tcBorders>
            <w:noWrap w:val="0"/>
            <w:vAlign w:val="center"/>
          </w:tcPr>
          <w:p w14:paraId="1628554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-2394.93</w:t>
            </w:r>
          </w:p>
        </w:tc>
        <w:tc>
          <w:tcPr>
            <w:tcW w:w="1505" w:type="dxa"/>
            <w:tcBorders>
              <w:tl2br w:val="nil"/>
              <w:tr2bl w:val="nil"/>
            </w:tcBorders>
            <w:noWrap w:val="0"/>
            <w:vAlign w:val="center"/>
          </w:tcPr>
          <w:p w14:paraId="2C0EFC7F">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1591" w:type="dxa"/>
            <w:tcBorders>
              <w:tl2br w:val="nil"/>
              <w:tr2bl w:val="nil"/>
            </w:tcBorders>
            <w:noWrap w:val="0"/>
            <w:vAlign w:val="center"/>
          </w:tcPr>
          <w:p w14:paraId="3B12EA1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30.27</w:t>
            </w:r>
          </w:p>
        </w:tc>
        <w:tc>
          <w:tcPr>
            <w:tcW w:w="2775" w:type="dxa"/>
            <w:tcBorders>
              <w:tl2br w:val="nil"/>
              <w:tr2bl w:val="nil"/>
            </w:tcBorders>
            <w:noWrap w:val="0"/>
            <w:vAlign w:val="center"/>
          </w:tcPr>
          <w:p w14:paraId="1F6D710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/9/25 23:00:00</w:t>
            </w:r>
          </w:p>
        </w:tc>
        <w:tc>
          <w:tcPr>
            <w:tcW w:w="1523" w:type="dxa"/>
            <w:tcBorders>
              <w:tl2br w:val="nil"/>
              <w:tr2bl w:val="nil"/>
            </w:tcBorders>
            <w:noWrap w:val="0"/>
            <w:vAlign w:val="center"/>
          </w:tcPr>
          <w:p w14:paraId="2A00C30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1.51</w:t>
            </w:r>
          </w:p>
        </w:tc>
        <w:tc>
          <w:tcPr>
            <w:tcW w:w="1358" w:type="dxa"/>
            <w:tcBorders>
              <w:tl2br w:val="nil"/>
              <w:tr2bl w:val="nil"/>
            </w:tcBorders>
            <w:noWrap w:val="0"/>
            <w:vAlign w:val="center"/>
          </w:tcPr>
          <w:p w14:paraId="5BE67414">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46592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4" w:type="dxa"/>
            <w:vMerge w:val="continue"/>
            <w:tcBorders>
              <w:tl2br w:val="nil"/>
              <w:tr2bl w:val="nil"/>
            </w:tcBorders>
            <w:noWrap w:val="0"/>
            <w:vAlign w:val="center"/>
          </w:tcPr>
          <w:p w14:paraId="7BF3859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1544" w:type="dxa"/>
            <w:tcBorders>
              <w:tl2br w:val="nil"/>
              <w:tr2bl w:val="nil"/>
            </w:tcBorders>
            <w:noWrap w:val="0"/>
            <w:vAlign w:val="center"/>
          </w:tcPr>
          <w:p w14:paraId="69235AA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区域最大值</w:t>
            </w:r>
          </w:p>
        </w:tc>
        <w:tc>
          <w:tcPr>
            <w:tcW w:w="1401" w:type="dxa"/>
            <w:tcBorders>
              <w:tl2br w:val="nil"/>
              <w:tr2bl w:val="nil"/>
            </w:tcBorders>
            <w:noWrap w:val="0"/>
            <w:vAlign w:val="center"/>
          </w:tcPr>
          <w:p w14:paraId="0BFECAF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-100</w:t>
            </w:r>
          </w:p>
        </w:tc>
        <w:tc>
          <w:tcPr>
            <w:tcW w:w="1395" w:type="dxa"/>
            <w:tcBorders>
              <w:tl2br w:val="nil"/>
              <w:tr2bl w:val="nil"/>
            </w:tcBorders>
            <w:noWrap w:val="0"/>
            <w:vAlign w:val="center"/>
          </w:tcPr>
          <w:p w14:paraId="0155C6B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p>
        </w:tc>
        <w:tc>
          <w:tcPr>
            <w:tcW w:w="1505" w:type="dxa"/>
            <w:tcBorders>
              <w:tl2br w:val="nil"/>
              <w:tr2bl w:val="nil"/>
            </w:tcBorders>
            <w:noWrap w:val="0"/>
            <w:vAlign w:val="center"/>
          </w:tcPr>
          <w:p w14:paraId="0625263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0" w:type="auto"/>
            <w:tcBorders>
              <w:tl2br w:val="nil"/>
              <w:tr2bl w:val="nil"/>
            </w:tcBorders>
            <w:noWrap w:val="0"/>
            <w:vAlign w:val="center"/>
          </w:tcPr>
          <w:p w14:paraId="6C52D84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267.19</w:t>
            </w:r>
          </w:p>
        </w:tc>
        <w:tc>
          <w:tcPr>
            <w:tcW w:w="0" w:type="auto"/>
            <w:tcBorders>
              <w:tl2br w:val="nil"/>
              <w:tr2bl w:val="nil"/>
            </w:tcBorders>
            <w:noWrap w:val="0"/>
            <w:vAlign w:val="center"/>
          </w:tcPr>
          <w:p w14:paraId="5193BC2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/7/31 5:00:00</w:t>
            </w:r>
          </w:p>
        </w:tc>
        <w:tc>
          <w:tcPr>
            <w:tcW w:w="0" w:type="auto"/>
            <w:tcBorders>
              <w:tl2br w:val="nil"/>
              <w:tr2bl w:val="nil"/>
            </w:tcBorders>
            <w:noWrap w:val="0"/>
            <w:vAlign w:val="center"/>
          </w:tcPr>
          <w:p w14:paraId="5B9973C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13.36</w:t>
            </w:r>
          </w:p>
        </w:tc>
        <w:tc>
          <w:tcPr>
            <w:tcW w:w="0" w:type="auto"/>
            <w:tcBorders>
              <w:tl2br w:val="nil"/>
              <w:tr2bl w:val="nil"/>
            </w:tcBorders>
            <w:noWrap w:val="0"/>
            <w:vAlign w:val="center"/>
          </w:tcPr>
          <w:p w14:paraId="63CC10E8">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bl>
    <w:p w14:paraId="5A0FB23C">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表5.2-</w:t>
      </w:r>
      <w:r>
        <w:rPr>
          <w:rFonts w:hint="eastAsia" w:eastAsia="宋体" w:cs="Times New Roman"/>
          <w:b/>
          <w:bCs/>
          <w:color w:val="auto"/>
          <w:sz w:val="24"/>
          <w:szCs w:val="24"/>
          <w:lang w:val="en-US" w:eastAsia="zh-CN"/>
        </w:rPr>
        <w:t>16</w:t>
      </w:r>
      <w:r>
        <w:rPr>
          <w:rFonts w:hint="default" w:ascii="Times New Roman" w:hAnsi="Times New Roman" w:eastAsia="宋体" w:cs="Times New Roman"/>
          <w:b/>
          <w:bCs/>
          <w:color w:val="auto"/>
          <w:sz w:val="24"/>
          <w:szCs w:val="24"/>
        </w:rPr>
        <w:t xml:space="preserve">  </w:t>
      </w:r>
      <w:r>
        <w:rPr>
          <w:rFonts w:hint="eastAsia" w:ascii="Times New Roman" w:hAnsi="Times New Roman" w:eastAsia="宋体" w:cs="Times New Roman"/>
          <w:b/>
          <w:bCs/>
          <w:color w:val="auto"/>
          <w:sz w:val="24"/>
          <w:szCs w:val="24"/>
          <w:lang w:val="en-US" w:eastAsia="zh-CN"/>
        </w:rPr>
        <w:t>非甲烷总烃</w:t>
      </w:r>
      <w:r>
        <w:rPr>
          <w:rFonts w:hint="default" w:ascii="Times New Roman" w:hAnsi="Times New Roman" w:eastAsia="宋体" w:cs="Times New Roman"/>
          <w:b/>
          <w:bCs/>
          <w:color w:val="auto"/>
          <w:sz w:val="24"/>
          <w:szCs w:val="24"/>
        </w:rPr>
        <w:t>叠加后质量浓度预测结果表（浓度单位：μg/m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w:t>
      </w:r>
    </w:p>
    <w:tbl>
      <w:tblPr>
        <w:tblStyle w:val="5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1310"/>
        <w:gridCol w:w="1406"/>
        <w:gridCol w:w="1324"/>
        <w:gridCol w:w="1934"/>
        <w:gridCol w:w="1123"/>
        <w:gridCol w:w="1460"/>
        <w:gridCol w:w="1559"/>
        <w:gridCol w:w="1213"/>
        <w:gridCol w:w="1328"/>
      </w:tblGrid>
      <w:tr w14:paraId="799EC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1E70D99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预测点</w:t>
            </w:r>
          </w:p>
        </w:tc>
        <w:tc>
          <w:tcPr>
            <w:tcW w:w="462" w:type="pct"/>
            <w:tcBorders>
              <w:tl2br w:val="nil"/>
              <w:tr2bl w:val="nil"/>
            </w:tcBorders>
            <w:noWrap w:val="0"/>
            <w:vAlign w:val="center"/>
          </w:tcPr>
          <w:p w14:paraId="6076AA9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X坐标（m）</w:t>
            </w:r>
          </w:p>
        </w:tc>
        <w:tc>
          <w:tcPr>
            <w:tcW w:w="496" w:type="pct"/>
            <w:tcBorders>
              <w:tl2br w:val="nil"/>
              <w:tr2bl w:val="nil"/>
            </w:tcBorders>
            <w:noWrap w:val="0"/>
            <w:vAlign w:val="center"/>
          </w:tcPr>
          <w:p w14:paraId="69A8031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Y坐标（m）</w:t>
            </w:r>
          </w:p>
        </w:tc>
        <w:tc>
          <w:tcPr>
            <w:tcW w:w="467" w:type="pct"/>
            <w:tcBorders>
              <w:tl2br w:val="nil"/>
              <w:tr2bl w:val="nil"/>
            </w:tcBorders>
            <w:noWrap w:val="0"/>
            <w:vAlign w:val="center"/>
          </w:tcPr>
          <w:p w14:paraId="1EBD5A5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平均时段</w:t>
            </w:r>
          </w:p>
        </w:tc>
        <w:tc>
          <w:tcPr>
            <w:tcW w:w="682" w:type="pct"/>
            <w:tcBorders>
              <w:tl2br w:val="nil"/>
              <w:tr2bl w:val="nil"/>
            </w:tcBorders>
            <w:noWrap w:val="0"/>
            <w:vAlign w:val="center"/>
          </w:tcPr>
          <w:p w14:paraId="3BB3F6C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出现时间</w:t>
            </w:r>
          </w:p>
        </w:tc>
        <w:tc>
          <w:tcPr>
            <w:tcW w:w="396" w:type="pct"/>
            <w:tcBorders>
              <w:tl2br w:val="nil"/>
              <w:tr2bl w:val="nil"/>
            </w:tcBorders>
            <w:noWrap w:val="0"/>
            <w:vAlign w:val="center"/>
          </w:tcPr>
          <w:p w14:paraId="5BB01AA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贡献值</w:t>
            </w:r>
          </w:p>
        </w:tc>
        <w:tc>
          <w:tcPr>
            <w:tcW w:w="515" w:type="pct"/>
            <w:tcBorders>
              <w:tl2br w:val="nil"/>
              <w:tr2bl w:val="nil"/>
            </w:tcBorders>
            <w:noWrap w:val="0"/>
            <w:vAlign w:val="center"/>
          </w:tcPr>
          <w:p w14:paraId="2A5B72E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现状浓度</w:t>
            </w:r>
          </w:p>
        </w:tc>
        <w:tc>
          <w:tcPr>
            <w:tcW w:w="550" w:type="pct"/>
            <w:tcBorders>
              <w:tl2br w:val="nil"/>
              <w:tr2bl w:val="nil"/>
            </w:tcBorders>
            <w:noWrap w:val="0"/>
            <w:vAlign w:val="center"/>
          </w:tcPr>
          <w:p w14:paraId="4C78C9D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叠加后浓度</w:t>
            </w:r>
          </w:p>
        </w:tc>
        <w:tc>
          <w:tcPr>
            <w:tcW w:w="428" w:type="pct"/>
            <w:tcBorders>
              <w:tl2br w:val="nil"/>
              <w:tr2bl w:val="nil"/>
            </w:tcBorders>
            <w:noWrap w:val="0"/>
            <w:vAlign w:val="center"/>
          </w:tcPr>
          <w:p w14:paraId="44EDF34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468" w:type="pct"/>
            <w:tcBorders>
              <w:tl2br w:val="nil"/>
              <w:tr2bl w:val="nil"/>
            </w:tcBorders>
            <w:noWrap w:val="0"/>
            <w:vAlign w:val="center"/>
          </w:tcPr>
          <w:p w14:paraId="67E6876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113BA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1DBF680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大桥口</w:t>
            </w:r>
          </w:p>
        </w:tc>
        <w:tc>
          <w:tcPr>
            <w:tcW w:w="462" w:type="pct"/>
            <w:tcBorders>
              <w:tl2br w:val="nil"/>
              <w:tr2bl w:val="nil"/>
            </w:tcBorders>
            <w:noWrap w:val="0"/>
            <w:vAlign w:val="center"/>
          </w:tcPr>
          <w:p w14:paraId="61D95E8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2441.11</w:t>
            </w:r>
          </w:p>
        </w:tc>
        <w:tc>
          <w:tcPr>
            <w:tcW w:w="496" w:type="pct"/>
            <w:tcBorders>
              <w:tl2br w:val="nil"/>
              <w:tr2bl w:val="nil"/>
            </w:tcBorders>
            <w:noWrap w:val="0"/>
            <w:vAlign w:val="center"/>
          </w:tcPr>
          <w:p w14:paraId="30E3C36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2412.13</w:t>
            </w:r>
          </w:p>
        </w:tc>
        <w:tc>
          <w:tcPr>
            <w:tcW w:w="467" w:type="pct"/>
            <w:tcBorders>
              <w:tl2br w:val="nil"/>
              <w:tr2bl w:val="nil"/>
            </w:tcBorders>
            <w:noWrap w:val="0"/>
            <w:vAlign w:val="center"/>
          </w:tcPr>
          <w:p w14:paraId="3C37C88F">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682" w:type="pct"/>
            <w:tcBorders>
              <w:tl2br w:val="nil"/>
              <w:tr2bl w:val="nil"/>
            </w:tcBorders>
            <w:noWrap w:val="0"/>
            <w:vAlign w:val="center"/>
          </w:tcPr>
          <w:p w14:paraId="384EB785">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/5/13 0:00:00</w:t>
            </w:r>
          </w:p>
        </w:tc>
        <w:tc>
          <w:tcPr>
            <w:tcW w:w="396" w:type="pct"/>
            <w:tcBorders>
              <w:tl2br w:val="nil"/>
              <w:tr2bl w:val="nil"/>
            </w:tcBorders>
            <w:noWrap w:val="0"/>
            <w:vAlign w:val="center"/>
          </w:tcPr>
          <w:p w14:paraId="3CE226D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19.88</w:t>
            </w:r>
          </w:p>
        </w:tc>
        <w:tc>
          <w:tcPr>
            <w:tcW w:w="515" w:type="pct"/>
            <w:tcBorders>
              <w:tl2br w:val="nil"/>
              <w:tr2bl w:val="nil"/>
            </w:tcBorders>
            <w:noWrap w:val="0"/>
            <w:vAlign w:val="center"/>
          </w:tcPr>
          <w:p w14:paraId="1122BE3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1550</w:t>
            </w:r>
          </w:p>
        </w:tc>
        <w:tc>
          <w:tcPr>
            <w:tcW w:w="550" w:type="pct"/>
            <w:tcBorders>
              <w:tl2br w:val="nil"/>
              <w:tr2bl w:val="nil"/>
            </w:tcBorders>
            <w:noWrap w:val="0"/>
            <w:vAlign w:val="center"/>
          </w:tcPr>
          <w:p w14:paraId="142C626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1,569.88</w:t>
            </w:r>
          </w:p>
        </w:tc>
        <w:tc>
          <w:tcPr>
            <w:tcW w:w="428" w:type="pct"/>
            <w:tcBorders>
              <w:tl2br w:val="nil"/>
              <w:tr2bl w:val="nil"/>
            </w:tcBorders>
            <w:noWrap w:val="0"/>
            <w:vAlign w:val="center"/>
          </w:tcPr>
          <w:p w14:paraId="13CB945E">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78.49</w:t>
            </w:r>
          </w:p>
        </w:tc>
        <w:tc>
          <w:tcPr>
            <w:tcW w:w="468" w:type="pct"/>
            <w:tcBorders>
              <w:tl2br w:val="nil"/>
              <w:tr2bl w:val="nil"/>
            </w:tcBorders>
            <w:noWrap w:val="0"/>
            <w:vAlign w:val="center"/>
          </w:tcPr>
          <w:p w14:paraId="46FE3B63">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16205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1E13D4F6">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四季青村</w:t>
            </w:r>
          </w:p>
        </w:tc>
        <w:tc>
          <w:tcPr>
            <w:tcW w:w="462" w:type="pct"/>
            <w:tcBorders>
              <w:tl2br w:val="nil"/>
              <w:tr2bl w:val="nil"/>
            </w:tcBorders>
            <w:noWrap w:val="0"/>
            <w:vAlign w:val="center"/>
          </w:tcPr>
          <w:p w14:paraId="763227F3">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621.92</w:t>
            </w:r>
          </w:p>
        </w:tc>
        <w:tc>
          <w:tcPr>
            <w:tcW w:w="496" w:type="pct"/>
            <w:tcBorders>
              <w:tl2br w:val="nil"/>
              <w:tr2bl w:val="nil"/>
            </w:tcBorders>
            <w:noWrap w:val="0"/>
            <w:vAlign w:val="center"/>
          </w:tcPr>
          <w:p w14:paraId="601A4288">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605.14</w:t>
            </w:r>
          </w:p>
        </w:tc>
        <w:tc>
          <w:tcPr>
            <w:tcW w:w="467" w:type="pct"/>
            <w:tcBorders>
              <w:tl2br w:val="nil"/>
              <w:tr2bl w:val="nil"/>
            </w:tcBorders>
            <w:noWrap w:val="0"/>
            <w:vAlign w:val="center"/>
          </w:tcPr>
          <w:p w14:paraId="075EB12D">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682" w:type="pct"/>
            <w:tcBorders>
              <w:tl2br w:val="nil"/>
              <w:tr2bl w:val="nil"/>
            </w:tcBorders>
            <w:noWrap w:val="0"/>
            <w:vAlign w:val="center"/>
          </w:tcPr>
          <w:p w14:paraId="2A1E47E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/5/13 0:00:00</w:t>
            </w:r>
          </w:p>
        </w:tc>
        <w:tc>
          <w:tcPr>
            <w:tcW w:w="396" w:type="pct"/>
            <w:tcBorders>
              <w:tl2br w:val="nil"/>
              <w:tr2bl w:val="nil"/>
            </w:tcBorders>
            <w:noWrap w:val="0"/>
            <w:vAlign w:val="center"/>
          </w:tcPr>
          <w:p w14:paraId="3EFF7DF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67.00</w:t>
            </w:r>
          </w:p>
        </w:tc>
        <w:tc>
          <w:tcPr>
            <w:tcW w:w="515" w:type="pct"/>
            <w:tcBorders>
              <w:tl2br w:val="nil"/>
              <w:tr2bl w:val="nil"/>
            </w:tcBorders>
            <w:noWrap w:val="0"/>
            <w:vAlign w:val="center"/>
          </w:tcPr>
          <w:p w14:paraId="0C2D67F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1550</w:t>
            </w:r>
          </w:p>
        </w:tc>
        <w:tc>
          <w:tcPr>
            <w:tcW w:w="550" w:type="pct"/>
            <w:tcBorders>
              <w:tl2br w:val="nil"/>
              <w:tr2bl w:val="nil"/>
            </w:tcBorders>
            <w:noWrap w:val="0"/>
            <w:vAlign w:val="center"/>
          </w:tcPr>
          <w:p w14:paraId="7E28D55B">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1,617.00</w:t>
            </w:r>
          </w:p>
        </w:tc>
        <w:tc>
          <w:tcPr>
            <w:tcW w:w="428" w:type="pct"/>
            <w:tcBorders>
              <w:tl2br w:val="nil"/>
              <w:tr2bl w:val="nil"/>
            </w:tcBorders>
            <w:noWrap w:val="0"/>
            <w:vAlign w:val="center"/>
          </w:tcPr>
          <w:p w14:paraId="6E2D62C7">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80.85</w:t>
            </w:r>
          </w:p>
        </w:tc>
        <w:tc>
          <w:tcPr>
            <w:tcW w:w="468" w:type="pct"/>
            <w:tcBorders>
              <w:tl2br w:val="nil"/>
              <w:tr2bl w:val="nil"/>
            </w:tcBorders>
            <w:noWrap w:val="0"/>
            <w:vAlign w:val="center"/>
          </w:tcPr>
          <w:p w14:paraId="2E3E083D">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2C175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4819E9E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后屯</w:t>
            </w:r>
          </w:p>
        </w:tc>
        <w:tc>
          <w:tcPr>
            <w:tcW w:w="462" w:type="pct"/>
            <w:tcBorders>
              <w:tl2br w:val="nil"/>
              <w:tr2bl w:val="nil"/>
            </w:tcBorders>
            <w:noWrap w:val="0"/>
            <w:vAlign w:val="center"/>
          </w:tcPr>
          <w:p w14:paraId="0FC6F05D">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226.96</w:t>
            </w:r>
          </w:p>
        </w:tc>
        <w:tc>
          <w:tcPr>
            <w:tcW w:w="496" w:type="pct"/>
            <w:tcBorders>
              <w:tl2br w:val="nil"/>
              <w:tr2bl w:val="nil"/>
            </w:tcBorders>
            <w:noWrap w:val="0"/>
            <w:vAlign w:val="center"/>
          </w:tcPr>
          <w:p w14:paraId="08321EF1">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1731.08</w:t>
            </w:r>
          </w:p>
        </w:tc>
        <w:tc>
          <w:tcPr>
            <w:tcW w:w="467" w:type="pct"/>
            <w:tcBorders>
              <w:tl2br w:val="nil"/>
              <w:tr2bl w:val="nil"/>
            </w:tcBorders>
            <w:noWrap w:val="0"/>
            <w:vAlign w:val="center"/>
          </w:tcPr>
          <w:p w14:paraId="2191C07E">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682" w:type="pct"/>
            <w:tcBorders>
              <w:tl2br w:val="nil"/>
              <w:tr2bl w:val="nil"/>
            </w:tcBorders>
            <w:noWrap w:val="0"/>
            <w:vAlign w:val="center"/>
          </w:tcPr>
          <w:p w14:paraId="6BFEACB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/9/5 4:00:00</w:t>
            </w:r>
          </w:p>
        </w:tc>
        <w:tc>
          <w:tcPr>
            <w:tcW w:w="396" w:type="pct"/>
            <w:tcBorders>
              <w:tl2br w:val="nil"/>
              <w:tr2bl w:val="nil"/>
            </w:tcBorders>
            <w:noWrap w:val="0"/>
            <w:vAlign w:val="center"/>
          </w:tcPr>
          <w:p w14:paraId="4116BA85">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55.37</w:t>
            </w:r>
          </w:p>
        </w:tc>
        <w:tc>
          <w:tcPr>
            <w:tcW w:w="515" w:type="pct"/>
            <w:tcBorders>
              <w:tl2br w:val="nil"/>
              <w:tr2bl w:val="nil"/>
            </w:tcBorders>
            <w:noWrap w:val="0"/>
            <w:vAlign w:val="center"/>
          </w:tcPr>
          <w:p w14:paraId="5F5840E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1550</w:t>
            </w:r>
          </w:p>
        </w:tc>
        <w:tc>
          <w:tcPr>
            <w:tcW w:w="550" w:type="pct"/>
            <w:tcBorders>
              <w:tl2br w:val="nil"/>
              <w:tr2bl w:val="nil"/>
            </w:tcBorders>
            <w:noWrap w:val="0"/>
            <w:vAlign w:val="center"/>
          </w:tcPr>
          <w:p w14:paraId="66D4F9A1">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1,605.37</w:t>
            </w:r>
          </w:p>
        </w:tc>
        <w:tc>
          <w:tcPr>
            <w:tcW w:w="428" w:type="pct"/>
            <w:tcBorders>
              <w:tl2br w:val="nil"/>
              <w:tr2bl w:val="nil"/>
            </w:tcBorders>
            <w:noWrap w:val="0"/>
            <w:vAlign w:val="center"/>
          </w:tcPr>
          <w:p w14:paraId="1969C909">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80.27</w:t>
            </w:r>
          </w:p>
        </w:tc>
        <w:tc>
          <w:tcPr>
            <w:tcW w:w="468" w:type="pct"/>
            <w:tcBorders>
              <w:tl2br w:val="nil"/>
              <w:tr2bl w:val="nil"/>
            </w:tcBorders>
            <w:noWrap w:val="0"/>
            <w:vAlign w:val="center"/>
          </w:tcPr>
          <w:p w14:paraId="7A55358B">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达标</w:t>
            </w:r>
          </w:p>
        </w:tc>
      </w:tr>
      <w:tr w14:paraId="0C571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5AC3EB1C">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示范场村</w:t>
            </w:r>
          </w:p>
        </w:tc>
        <w:tc>
          <w:tcPr>
            <w:tcW w:w="462" w:type="pct"/>
            <w:tcBorders>
              <w:tl2br w:val="nil"/>
              <w:tr2bl w:val="nil"/>
            </w:tcBorders>
            <w:noWrap w:val="0"/>
            <w:vAlign w:val="center"/>
          </w:tcPr>
          <w:p w14:paraId="426AE81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-104.84</w:t>
            </w:r>
          </w:p>
        </w:tc>
        <w:tc>
          <w:tcPr>
            <w:tcW w:w="496" w:type="pct"/>
            <w:tcBorders>
              <w:tl2br w:val="nil"/>
              <w:tr2bl w:val="nil"/>
            </w:tcBorders>
            <w:noWrap w:val="0"/>
            <w:vAlign w:val="center"/>
          </w:tcPr>
          <w:p w14:paraId="477EDFB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-154.95</w:t>
            </w:r>
          </w:p>
        </w:tc>
        <w:tc>
          <w:tcPr>
            <w:tcW w:w="467" w:type="pct"/>
            <w:tcBorders>
              <w:tl2br w:val="nil"/>
              <w:tr2bl w:val="nil"/>
            </w:tcBorders>
            <w:noWrap w:val="0"/>
            <w:vAlign w:val="center"/>
          </w:tcPr>
          <w:p w14:paraId="4EA96FA2">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682" w:type="pct"/>
            <w:tcBorders>
              <w:tl2br w:val="nil"/>
              <w:tr2bl w:val="nil"/>
            </w:tcBorders>
            <w:noWrap w:val="0"/>
            <w:vAlign w:val="center"/>
          </w:tcPr>
          <w:p w14:paraId="27D89952">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/8/24 19:00:00</w:t>
            </w:r>
          </w:p>
        </w:tc>
        <w:tc>
          <w:tcPr>
            <w:tcW w:w="396" w:type="pct"/>
            <w:tcBorders>
              <w:tl2br w:val="nil"/>
              <w:tr2bl w:val="nil"/>
            </w:tcBorders>
            <w:noWrap w:val="0"/>
            <w:vAlign w:val="center"/>
          </w:tcPr>
          <w:p w14:paraId="3C3C47C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147.87</w:t>
            </w:r>
          </w:p>
        </w:tc>
        <w:tc>
          <w:tcPr>
            <w:tcW w:w="515" w:type="pct"/>
            <w:tcBorders>
              <w:tl2br w:val="nil"/>
              <w:tr2bl w:val="nil"/>
            </w:tcBorders>
            <w:noWrap w:val="0"/>
            <w:vAlign w:val="center"/>
          </w:tcPr>
          <w:p w14:paraId="32E7957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1550</w:t>
            </w:r>
          </w:p>
        </w:tc>
        <w:tc>
          <w:tcPr>
            <w:tcW w:w="550" w:type="pct"/>
            <w:tcBorders>
              <w:tl2br w:val="nil"/>
              <w:tr2bl w:val="nil"/>
            </w:tcBorders>
            <w:noWrap w:val="0"/>
            <w:vAlign w:val="center"/>
          </w:tcPr>
          <w:p w14:paraId="7BD0151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1,697.87</w:t>
            </w:r>
          </w:p>
        </w:tc>
        <w:tc>
          <w:tcPr>
            <w:tcW w:w="428" w:type="pct"/>
            <w:tcBorders>
              <w:tl2br w:val="nil"/>
              <w:tr2bl w:val="nil"/>
            </w:tcBorders>
            <w:noWrap w:val="0"/>
            <w:vAlign w:val="center"/>
          </w:tcPr>
          <w:p w14:paraId="3AF3C78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84.89</w:t>
            </w:r>
          </w:p>
        </w:tc>
        <w:tc>
          <w:tcPr>
            <w:tcW w:w="468" w:type="pct"/>
            <w:tcBorders>
              <w:tl2br w:val="nil"/>
              <w:tr2bl w:val="nil"/>
            </w:tcBorders>
            <w:noWrap w:val="0"/>
            <w:vAlign w:val="center"/>
          </w:tcPr>
          <w:p w14:paraId="08643DF2">
            <w:pPr>
              <w:keepNext w:val="0"/>
              <w:keepLines w:val="0"/>
              <w:widowControl/>
              <w:suppressLineNumbers w:val="0"/>
              <w:spacing w:before="0" w:beforeAutospacing="0" w:after="0" w:afterAutospacing="0"/>
              <w:ind w:left="0" w:right="0"/>
              <w:jc w:val="center"/>
              <w:rPr>
                <w:rFonts w:hint="eastAsia" w:ascii="Times New Roman" w:cs="Times New Roman"/>
                <w:color w:val="auto"/>
                <w:sz w:val="21"/>
                <w:szCs w:val="21"/>
                <w:lang w:val="en-US" w:eastAsia="zh-CN"/>
              </w:rPr>
            </w:pPr>
            <w:r>
              <w:rPr>
                <w:rFonts w:hint="eastAsia" w:ascii="Times New Roman" w:cs="Times New Roman"/>
                <w:color w:val="auto"/>
                <w:sz w:val="21"/>
                <w:szCs w:val="21"/>
                <w:lang w:val="en-US" w:eastAsia="zh-CN"/>
              </w:rPr>
              <w:t>达标</w:t>
            </w:r>
          </w:p>
        </w:tc>
      </w:tr>
      <w:tr w14:paraId="35CF1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181D69F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永富村</w:t>
            </w:r>
          </w:p>
        </w:tc>
        <w:tc>
          <w:tcPr>
            <w:tcW w:w="462" w:type="pct"/>
            <w:tcBorders>
              <w:tl2br w:val="nil"/>
              <w:tr2bl w:val="nil"/>
            </w:tcBorders>
            <w:noWrap w:val="0"/>
            <w:vAlign w:val="center"/>
          </w:tcPr>
          <w:p w14:paraId="1B9F489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-875.91</w:t>
            </w:r>
          </w:p>
        </w:tc>
        <w:tc>
          <w:tcPr>
            <w:tcW w:w="496" w:type="pct"/>
            <w:tcBorders>
              <w:tl2br w:val="nil"/>
              <w:tr2bl w:val="nil"/>
            </w:tcBorders>
            <w:noWrap w:val="0"/>
            <w:vAlign w:val="center"/>
          </w:tcPr>
          <w:p w14:paraId="1F7D25D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-2394.93</w:t>
            </w:r>
          </w:p>
        </w:tc>
        <w:tc>
          <w:tcPr>
            <w:tcW w:w="467" w:type="pct"/>
            <w:tcBorders>
              <w:tl2br w:val="nil"/>
              <w:tr2bl w:val="nil"/>
            </w:tcBorders>
            <w:noWrap w:val="0"/>
            <w:vAlign w:val="center"/>
          </w:tcPr>
          <w:p w14:paraId="6BE2DA20">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682" w:type="pct"/>
            <w:tcBorders>
              <w:tl2br w:val="nil"/>
              <w:tr2bl w:val="nil"/>
            </w:tcBorders>
            <w:noWrap w:val="0"/>
            <w:vAlign w:val="center"/>
          </w:tcPr>
          <w:p w14:paraId="612629A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/9/25 23:00:00</w:t>
            </w:r>
          </w:p>
        </w:tc>
        <w:tc>
          <w:tcPr>
            <w:tcW w:w="396" w:type="pct"/>
            <w:tcBorders>
              <w:tl2br w:val="nil"/>
              <w:tr2bl w:val="nil"/>
            </w:tcBorders>
            <w:noWrap w:val="0"/>
            <w:vAlign w:val="center"/>
          </w:tcPr>
          <w:p w14:paraId="6A60C3F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30.27</w:t>
            </w:r>
          </w:p>
        </w:tc>
        <w:tc>
          <w:tcPr>
            <w:tcW w:w="515" w:type="pct"/>
            <w:tcBorders>
              <w:tl2br w:val="nil"/>
              <w:tr2bl w:val="nil"/>
            </w:tcBorders>
            <w:noWrap w:val="0"/>
            <w:vAlign w:val="center"/>
          </w:tcPr>
          <w:p w14:paraId="7CF92EF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1550</w:t>
            </w:r>
          </w:p>
        </w:tc>
        <w:tc>
          <w:tcPr>
            <w:tcW w:w="550" w:type="pct"/>
            <w:tcBorders>
              <w:tl2br w:val="nil"/>
              <w:tr2bl w:val="nil"/>
            </w:tcBorders>
            <w:noWrap w:val="0"/>
            <w:vAlign w:val="center"/>
          </w:tcPr>
          <w:p w14:paraId="17F365D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1,580.27</w:t>
            </w:r>
          </w:p>
        </w:tc>
        <w:tc>
          <w:tcPr>
            <w:tcW w:w="428" w:type="pct"/>
            <w:tcBorders>
              <w:tl2br w:val="nil"/>
              <w:tr2bl w:val="nil"/>
            </w:tcBorders>
            <w:noWrap w:val="0"/>
            <w:vAlign w:val="center"/>
          </w:tcPr>
          <w:p w14:paraId="2A4D80B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79.01</w:t>
            </w:r>
          </w:p>
        </w:tc>
        <w:tc>
          <w:tcPr>
            <w:tcW w:w="468" w:type="pct"/>
            <w:tcBorders>
              <w:tl2br w:val="nil"/>
              <w:tr2bl w:val="nil"/>
            </w:tcBorders>
            <w:noWrap w:val="0"/>
            <w:vAlign w:val="center"/>
          </w:tcPr>
          <w:p w14:paraId="12591831">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5C7C0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2" w:type="pct"/>
            <w:tcBorders>
              <w:tl2br w:val="nil"/>
              <w:tr2bl w:val="nil"/>
            </w:tcBorders>
            <w:noWrap w:val="0"/>
            <w:vAlign w:val="center"/>
          </w:tcPr>
          <w:p w14:paraId="1C83FAE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区域最大值</w:t>
            </w:r>
          </w:p>
        </w:tc>
        <w:tc>
          <w:tcPr>
            <w:tcW w:w="462" w:type="pct"/>
            <w:tcBorders>
              <w:tl2br w:val="nil"/>
              <w:tr2bl w:val="nil"/>
            </w:tcBorders>
            <w:noWrap w:val="0"/>
            <w:vAlign w:val="center"/>
          </w:tcPr>
          <w:p w14:paraId="5BBBD1B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-100</w:t>
            </w:r>
          </w:p>
        </w:tc>
        <w:tc>
          <w:tcPr>
            <w:tcW w:w="496" w:type="pct"/>
            <w:tcBorders>
              <w:tl2br w:val="nil"/>
              <w:tr2bl w:val="nil"/>
            </w:tcBorders>
            <w:noWrap w:val="0"/>
            <w:vAlign w:val="center"/>
          </w:tcPr>
          <w:p w14:paraId="197AC12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p>
        </w:tc>
        <w:tc>
          <w:tcPr>
            <w:tcW w:w="467" w:type="pct"/>
            <w:tcBorders>
              <w:tl2br w:val="nil"/>
              <w:tr2bl w:val="nil"/>
            </w:tcBorders>
            <w:noWrap w:val="0"/>
            <w:vAlign w:val="center"/>
          </w:tcPr>
          <w:p w14:paraId="4A3CE418">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小时平均</w:t>
            </w:r>
          </w:p>
        </w:tc>
        <w:tc>
          <w:tcPr>
            <w:tcW w:w="682" w:type="pct"/>
            <w:tcBorders>
              <w:tl2br w:val="nil"/>
              <w:tr2bl w:val="nil"/>
            </w:tcBorders>
            <w:noWrap w:val="0"/>
            <w:vAlign w:val="center"/>
          </w:tcPr>
          <w:p w14:paraId="44411538">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202</w:t>
            </w:r>
            <w:r>
              <w:rPr>
                <w:rFonts w:hint="eastAsia" w:ascii="Times New Roman" w:hAnsi="Times New Roman" w:eastAsia="宋体" w:cs="Times New Roman"/>
                <w:b w:val="0"/>
                <w:bCs w:val="0"/>
                <w:color w:val="auto"/>
                <w:sz w:val="21"/>
                <w:szCs w:val="21"/>
                <w:lang w:val="en-US" w:eastAsia="zh-CN"/>
              </w:rPr>
              <w:t>4</w:t>
            </w:r>
            <w:r>
              <w:rPr>
                <w:rFonts w:hint="eastAsia" w:ascii="Times New Roman" w:hAnsi="Times New Roman" w:eastAsia="宋体" w:cs="Times New Roman"/>
                <w:b w:val="0"/>
                <w:bCs w:val="0"/>
                <w:color w:val="auto"/>
                <w:sz w:val="21"/>
                <w:szCs w:val="21"/>
              </w:rPr>
              <w:t>/7/31 5:00:00</w:t>
            </w:r>
          </w:p>
        </w:tc>
        <w:tc>
          <w:tcPr>
            <w:tcW w:w="396" w:type="pct"/>
            <w:tcBorders>
              <w:tl2br w:val="nil"/>
              <w:tr2bl w:val="nil"/>
            </w:tcBorders>
            <w:noWrap w:val="0"/>
            <w:vAlign w:val="center"/>
          </w:tcPr>
          <w:p w14:paraId="6DC55AF3">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267.19</w:t>
            </w:r>
          </w:p>
        </w:tc>
        <w:tc>
          <w:tcPr>
            <w:tcW w:w="515" w:type="pct"/>
            <w:tcBorders>
              <w:tl2br w:val="nil"/>
              <w:tr2bl w:val="nil"/>
            </w:tcBorders>
            <w:noWrap w:val="0"/>
            <w:vAlign w:val="center"/>
          </w:tcPr>
          <w:p w14:paraId="3BAAE2A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1550</w:t>
            </w:r>
          </w:p>
        </w:tc>
        <w:tc>
          <w:tcPr>
            <w:tcW w:w="550" w:type="pct"/>
            <w:tcBorders>
              <w:tl2br w:val="nil"/>
              <w:tr2bl w:val="nil"/>
            </w:tcBorders>
            <w:noWrap w:val="0"/>
            <w:vAlign w:val="center"/>
          </w:tcPr>
          <w:p w14:paraId="53ACEF5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1,687.93</w:t>
            </w:r>
          </w:p>
        </w:tc>
        <w:tc>
          <w:tcPr>
            <w:tcW w:w="428" w:type="pct"/>
            <w:tcBorders>
              <w:tl2br w:val="nil"/>
              <w:tr2bl w:val="nil"/>
            </w:tcBorders>
            <w:noWrap w:val="0"/>
            <w:vAlign w:val="center"/>
          </w:tcPr>
          <w:p w14:paraId="233E51F0">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84.40</w:t>
            </w:r>
          </w:p>
        </w:tc>
        <w:tc>
          <w:tcPr>
            <w:tcW w:w="468" w:type="pct"/>
            <w:tcBorders>
              <w:tl2br w:val="nil"/>
              <w:tr2bl w:val="nil"/>
            </w:tcBorders>
            <w:noWrap w:val="0"/>
            <w:vAlign w:val="center"/>
          </w:tcPr>
          <w:p w14:paraId="53DBD976">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bl>
    <w:p w14:paraId="49B0CD68">
      <w:pPr>
        <w:pStyle w:val="503"/>
        <w:keepNext w:val="0"/>
        <w:keepLines w:val="0"/>
        <w:pageBreakBefore w:val="0"/>
        <w:widowControl w:val="0"/>
        <w:kinsoku/>
        <w:wordWrap/>
        <w:overflowPunct/>
        <w:topLinePunct w:val="0"/>
        <w:autoSpaceDE/>
        <w:autoSpaceDN/>
        <w:bidi w:val="0"/>
        <w:adjustRightInd w:val="0"/>
        <w:snapToGrid w:val="0"/>
        <w:spacing w:beforeLines="0" w:line="360" w:lineRule="auto"/>
        <w:ind w:left="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b/>
          <w:bCs/>
          <w:color w:val="auto"/>
          <w:sz w:val="24"/>
          <w:szCs w:val="24"/>
        </w:rPr>
        <w:t>表5.2-</w:t>
      </w:r>
      <w:r>
        <w:rPr>
          <w:rFonts w:hint="eastAsia" w:eastAsia="宋体" w:cs="Times New Roman"/>
          <w:b/>
          <w:bCs/>
          <w:color w:val="auto"/>
          <w:sz w:val="24"/>
          <w:szCs w:val="24"/>
          <w:lang w:val="en-US" w:eastAsia="zh-CN"/>
        </w:rPr>
        <w:t>17</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PM</w:t>
      </w:r>
      <w:r>
        <w:rPr>
          <w:rFonts w:hint="default" w:ascii="Times New Roman" w:hAnsi="Times New Roman" w:eastAsia="宋体" w:cs="Times New Roman"/>
          <w:b/>
          <w:bCs/>
          <w:color w:val="auto"/>
          <w:sz w:val="24"/>
          <w:szCs w:val="24"/>
          <w:vertAlign w:val="subscript"/>
          <w:lang w:val="en-US" w:eastAsia="zh-CN"/>
        </w:rPr>
        <w:t>10</w:t>
      </w:r>
      <w:r>
        <w:rPr>
          <w:rFonts w:hint="default" w:ascii="Times New Roman" w:hAnsi="Times New Roman" w:eastAsia="宋体" w:cs="Times New Roman"/>
          <w:b/>
          <w:bCs/>
          <w:color w:val="auto"/>
          <w:sz w:val="24"/>
          <w:szCs w:val="24"/>
        </w:rPr>
        <w:t>叠加后质量浓度预测结果表（浓度单位：μg/m</w:t>
      </w:r>
      <w:r>
        <w:rPr>
          <w:rFonts w:hint="default" w:ascii="Times New Roman" w:hAnsi="Times New Roman" w:eastAsia="宋体" w:cs="Times New Roman"/>
          <w:b/>
          <w:bCs/>
          <w:color w:val="auto"/>
          <w:sz w:val="24"/>
          <w:szCs w:val="24"/>
          <w:vertAlign w:val="superscript"/>
        </w:rPr>
        <w:t>3</w:t>
      </w:r>
      <w:r>
        <w:rPr>
          <w:rFonts w:hint="default" w:ascii="Times New Roman" w:hAnsi="Times New Roman" w:eastAsia="宋体" w:cs="Times New Roman"/>
          <w:b/>
          <w:bCs/>
          <w:color w:val="auto"/>
          <w:sz w:val="24"/>
          <w:szCs w:val="24"/>
        </w:rPr>
        <w:t>）</w:t>
      </w:r>
    </w:p>
    <w:tbl>
      <w:tblPr>
        <w:tblStyle w:val="5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7"/>
        <w:gridCol w:w="1827"/>
        <w:gridCol w:w="1827"/>
        <w:gridCol w:w="1563"/>
        <w:gridCol w:w="1231"/>
        <w:gridCol w:w="1594"/>
        <w:gridCol w:w="1702"/>
        <w:gridCol w:w="1327"/>
        <w:gridCol w:w="1449"/>
      </w:tblGrid>
      <w:tr w14:paraId="26702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81" w:type="pct"/>
            <w:tcBorders>
              <w:tl2br w:val="nil"/>
              <w:tr2bl w:val="nil"/>
            </w:tcBorders>
            <w:noWrap w:val="0"/>
            <w:vAlign w:val="center"/>
          </w:tcPr>
          <w:p w14:paraId="1EDA5A2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预测点</w:t>
            </w:r>
          </w:p>
        </w:tc>
        <w:tc>
          <w:tcPr>
            <w:tcW w:w="644" w:type="pct"/>
            <w:tcBorders>
              <w:tl2br w:val="nil"/>
              <w:tr2bl w:val="nil"/>
            </w:tcBorders>
            <w:noWrap w:val="0"/>
            <w:vAlign w:val="center"/>
          </w:tcPr>
          <w:p w14:paraId="12CEF16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X坐标（m）</w:t>
            </w:r>
          </w:p>
        </w:tc>
        <w:tc>
          <w:tcPr>
            <w:tcW w:w="644" w:type="pct"/>
            <w:tcBorders>
              <w:tl2br w:val="nil"/>
              <w:tr2bl w:val="nil"/>
            </w:tcBorders>
            <w:noWrap w:val="0"/>
            <w:vAlign w:val="center"/>
          </w:tcPr>
          <w:p w14:paraId="5CE2E17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Y坐标（m）</w:t>
            </w:r>
          </w:p>
        </w:tc>
        <w:tc>
          <w:tcPr>
            <w:tcW w:w="551" w:type="pct"/>
            <w:tcBorders>
              <w:tl2br w:val="nil"/>
              <w:tr2bl w:val="nil"/>
            </w:tcBorders>
            <w:noWrap w:val="0"/>
            <w:vAlign w:val="center"/>
          </w:tcPr>
          <w:p w14:paraId="0A84FE0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平均时段</w:t>
            </w:r>
          </w:p>
        </w:tc>
        <w:tc>
          <w:tcPr>
            <w:tcW w:w="434" w:type="pct"/>
            <w:tcBorders>
              <w:tl2br w:val="nil"/>
              <w:tr2bl w:val="nil"/>
            </w:tcBorders>
            <w:noWrap w:val="0"/>
            <w:vAlign w:val="center"/>
          </w:tcPr>
          <w:p w14:paraId="735F155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贡献值</w:t>
            </w:r>
          </w:p>
        </w:tc>
        <w:tc>
          <w:tcPr>
            <w:tcW w:w="562" w:type="pct"/>
            <w:tcBorders>
              <w:tl2br w:val="nil"/>
              <w:tr2bl w:val="nil"/>
            </w:tcBorders>
            <w:noWrap w:val="0"/>
            <w:vAlign w:val="center"/>
          </w:tcPr>
          <w:p w14:paraId="275833C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现状浓度</w:t>
            </w:r>
          </w:p>
        </w:tc>
        <w:tc>
          <w:tcPr>
            <w:tcW w:w="600" w:type="pct"/>
            <w:tcBorders>
              <w:tl2br w:val="nil"/>
              <w:tr2bl w:val="nil"/>
            </w:tcBorders>
            <w:noWrap w:val="0"/>
            <w:vAlign w:val="center"/>
          </w:tcPr>
          <w:p w14:paraId="4B7AB09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叠加后浓度</w:t>
            </w:r>
          </w:p>
        </w:tc>
        <w:tc>
          <w:tcPr>
            <w:tcW w:w="468" w:type="pct"/>
            <w:tcBorders>
              <w:tl2br w:val="nil"/>
              <w:tr2bl w:val="nil"/>
            </w:tcBorders>
            <w:noWrap w:val="0"/>
            <w:vAlign w:val="center"/>
          </w:tcPr>
          <w:p w14:paraId="643FE86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511" w:type="pct"/>
            <w:tcBorders>
              <w:tl2br w:val="nil"/>
              <w:tr2bl w:val="nil"/>
            </w:tcBorders>
            <w:noWrap w:val="0"/>
            <w:vAlign w:val="center"/>
          </w:tcPr>
          <w:p w14:paraId="55D4388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1CF92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7" w:type="dxa"/>
            <w:tcBorders>
              <w:tl2br w:val="nil"/>
              <w:tr2bl w:val="nil"/>
            </w:tcBorders>
            <w:noWrap w:val="0"/>
            <w:vAlign w:val="center"/>
          </w:tcPr>
          <w:p w14:paraId="2E32BF1D">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大桥口</w:t>
            </w:r>
          </w:p>
        </w:tc>
        <w:tc>
          <w:tcPr>
            <w:tcW w:w="1827" w:type="dxa"/>
            <w:tcBorders>
              <w:tl2br w:val="nil"/>
              <w:tr2bl w:val="nil"/>
            </w:tcBorders>
            <w:noWrap w:val="0"/>
            <w:vAlign w:val="center"/>
          </w:tcPr>
          <w:p w14:paraId="7BACCDA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2441.11</w:t>
            </w:r>
          </w:p>
        </w:tc>
        <w:tc>
          <w:tcPr>
            <w:tcW w:w="1827" w:type="dxa"/>
            <w:tcBorders>
              <w:tl2br w:val="nil"/>
              <w:tr2bl w:val="nil"/>
            </w:tcBorders>
            <w:noWrap w:val="0"/>
            <w:vAlign w:val="center"/>
          </w:tcPr>
          <w:p w14:paraId="29B9681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2412.13</w:t>
            </w:r>
          </w:p>
        </w:tc>
        <w:tc>
          <w:tcPr>
            <w:tcW w:w="551" w:type="pct"/>
            <w:tcBorders>
              <w:tl2br w:val="nil"/>
              <w:tr2bl w:val="nil"/>
            </w:tcBorders>
            <w:noWrap w:val="0"/>
            <w:vAlign w:val="center"/>
          </w:tcPr>
          <w:p w14:paraId="38E2957F">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期间平均</w:t>
            </w:r>
          </w:p>
        </w:tc>
        <w:tc>
          <w:tcPr>
            <w:tcW w:w="434" w:type="pct"/>
            <w:tcBorders>
              <w:tl2br w:val="nil"/>
              <w:tr2bl w:val="nil"/>
            </w:tcBorders>
            <w:noWrap w:val="0"/>
            <w:vAlign w:val="center"/>
          </w:tcPr>
          <w:p w14:paraId="44CCB43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0.13</w:t>
            </w:r>
          </w:p>
        </w:tc>
        <w:tc>
          <w:tcPr>
            <w:tcW w:w="562" w:type="pct"/>
            <w:tcBorders>
              <w:tl2br w:val="nil"/>
              <w:tr2bl w:val="nil"/>
            </w:tcBorders>
            <w:noWrap w:val="0"/>
            <w:vAlign w:val="center"/>
          </w:tcPr>
          <w:p w14:paraId="145190CD">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44</w:t>
            </w:r>
          </w:p>
        </w:tc>
        <w:tc>
          <w:tcPr>
            <w:tcW w:w="600" w:type="pct"/>
            <w:tcBorders>
              <w:tl2br w:val="nil"/>
              <w:tr2bl w:val="nil"/>
            </w:tcBorders>
            <w:noWrap w:val="0"/>
            <w:vAlign w:val="center"/>
          </w:tcPr>
          <w:p w14:paraId="383CDB35">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44.13</w:t>
            </w:r>
          </w:p>
        </w:tc>
        <w:tc>
          <w:tcPr>
            <w:tcW w:w="468" w:type="pct"/>
            <w:tcBorders>
              <w:tl2br w:val="nil"/>
              <w:tr2bl w:val="nil"/>
            </w:tcBorders>
            <w:noWrap w:val="0"/>
            <w:vAlign w:val="center"/>
          </w:tcPr>
          <w:p w14:paraId="3FABEF3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73.55</w:t>
            </w:r>
          </w:p>
        </w:tc>
        <w:tc>
          <w:tcPr>
            <w:tcW w:w="511" w:type="pct"/>
            <w:tcBorders>
              <w:tl2br w:val="nil"/>
              <w:tr2bl w:val="nil"/>
            </w:tcBorders>
            <w:noWrap w:val="0"/>
            <w:vAlign w:val="center"/>
          </w:tcPr>
          <w:p w14:paraId="23541108">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76398E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7" w:type="dxa"/>
            <w:tcBorders>
              <w:tl2br w:val="nil"/>
              <w:tr2bl w:val="nil"/>
            </w:tcBorders>
            <w:noWrap w:val="0"/>
            <w:vAlign w:val="center"/>
          </w:tcPr>
          <w:p w14:paraId="23A1CA54">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四季青村</w:t>
            </w:r>
          </w:p>
        </w:tc>
        <w:tc>
          <w:tcPr>
            <w:tcW w:w="1827" w:type="dxa"/>
            <w:tcBorders>
              <w:tl2br w:val="nil"/>
              <w:tr2bl w:val="nil"/>
            </w:tcBorders>
            <w:noWrap w:val="0"/>
            <w:vAlign w:val="center"/>
          </w:tcPr>
          <w:p w14:paraId="71C8820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621.92</w:t>
            </w:r>
          </w:p>
        </w:tc>
        <w:tc>
          <w:tcPr>
            <w:tcW w:w="1827" w:type="dxa"/>
            <w:tcBorders>
              <w:tl2br w:val="nil"/>
              <w:tr2bl w:val="nil"/>
            </w:tcBorders>
            <w:noWrap w:val="0"/>
            <w:vAlign w:val="center"/>
          </w:tcPr>
          <w:p w14:paraId="6C6C9F9A">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605.14</w:t>
            </w:r>
          </w:p>
        </w:tc>
        <w:tc>
          <w:tcPr>
            <w:tcW w:w="551" w:type="pct"/>
            <w:tcBorders>
              <w:tl2br w:val="nil"/>
              <w:tr2bl w:val="nil"/>
            </w:tcBorders>
            <w:noWrap w:val="0"/>
            <w:vAlign w:val="center"/>
          </w:tcPr>
          <w:p w14:paraId="0FDD46B7">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期间平均</w:t>
            </w:r>
          </w:p>
        </w:tc>
        <w:tc>
          <w:tcPr>
            <w:tcW w:w="434" w:type="pct"/>
            <w:tcBorders>
              <w:tl2br w:val="nil"/>
              <w:tr2bl w:val="nil"/>
            </w:tcBorders>
            <w:noWrap w:val="0"/>
            <w:vAlign w:val="center"/>
          </w:tcPr>
          <w:p w14:paraId="33503144">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0.61</w:t>
            </w:r>
          </w:p>
        </w:tc>
        <w:tc>
          <w:tcPr>
            <w:tcW w:w="562" w:type="pct"/>
            <w:tcBorders>
              <w:tl2br w:val="nil"/>
              <w:tr2bl w:val="nil"/>
            </w:tcBorders>
            <w:noWrap w:val="0"/>
            <w:vAlign w:val="center"/>
          </w:tcPr>
          <w:p w14:paraId="6D0C42D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44</w:t>
            </w:r>
          </w:p>
        </w:tc>
        <w:tc>
          <w:tcPr>
            <w:tcW w:w="600" w:type="pct"/>
            <w:tcBorders>
              <w:tl2br w:val="nil"/>
              <w:tr2bl w:val="nil"/>
            </w:tcBorders>
            <w:noWrap w:val="0"/>
            <w:vAlign w:val="center"/>
          </w:tcPr>
          <w:p w14:paraId="19DEA14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44.61</w:t>
            </w:r>
          </w:p>
        </w:tc>
        <w:tc>
          <w:tcPr>
            <w:tcW w:w="468" w:type="pct"/>
            <w:tcBorders>
              <w:tl2br w:val="nil"/>
              <w:tr2bl w:val="nil"/>
            </w:tcBorders>
            <w:noWrap w:val="0"/>
            <w:vAlign w:val="center"/>
          </w:tcPr>
          <w:p w14:paraId="4F8F40E0">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74.35</w:t>
            </w:r>
          </w:p>
        </w:tc>
        <w:tc>
          <w:tcPr>
            <w:tcW w:w="511" w:type="pct"/>
            <w:tcBorders>
              <w:tl2br w:val="nil"/>
              <w:tr2bl w:val="nil"/>
            </w:tcBorders>
            <w:noWrap w:val="0"/>
            <w:vAlign w:val="center"/>
          </w:tcPr>
          <w:p w14:paraId="6424AFC4">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7CD61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7" w:type="dxa"/>
            <w:tcBorders>
              <w:tl2br w:val="nil"/>
              <w:tr2bl w:val="nil"/>
            </w:tcBorders>
            <w:noWrap w:val="0"/>
            <w:vAlign w:val="center"/>
          </w:tcPr>
          <w:p w14:paraId="2240A36E">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后屯</w:t>
            </w:r>
          </w:p>
        </w:tc>
        <w:tc>
          <w:tcPr>
            <w:tcW w:w="1827" w:type="dxa"/>
            <w:tcBorders>
              <w:tl2br w:val="nil"/>
              <w:tr2bl w:val="nil"/>
            </w:tcBorders>
            <w:noWrap w:val="0"/>
            <w:vAlign w:val="center"/>
          </w:tcPr>
          <w:p w14:paraId="7FBDEFA4">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226.96</w:t>
            </w:r>
          </w:p>
        </w:tc>
        <w:tc>
          <w:tcPr>
            <w:tcW w:w="1827" w:type="dxa"/>
            <w:tcBorders>
              <w:tl2br w:val="nil"/>
              <w:tr2bl w:val="nil"/>
            </w:tcBorders>
            <w:noWrap w:val="0"/>
            <w:vAlign w:val="center"/>
          </w:tcPr>
          <w:p w14:paraId="0DD418EB">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1731.08</w:t>
            </w:r>
          </w:p>
        </w:tc>
        <w:tc>
          <w:tcPr>
            <w:tcW w:w="551" w:type="pct"/>
            <w:tcBorders>
              <w:tl2br w:val="nil"/>
              <w:tr2bl w:val="nil"/>
            </w:tcBorders>
            <w:noWrap w:val="0"/>
            <w:vAlign w:val="center"/>
          </w:tcPr>
          <w:p w14:paraId="7A069847">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期间平均</w:t>
            </w:r>
          </w:p>
        </w:tc>
        <w:tc>
          <w:tcPr>
            <w:tcW w:w="434" w:type="pct"/>
            <w:tcBorders>
              <w:tl2br w:val="nil"/>
              <w:tr2bl w:val="nil"/>
            </w:tcBorders>
            <w:noWrap w:val="0"/>
            <w:vAlign w:val="center"/>
          </w:tcPr>
          <w:p w14:paraId="3138F68F">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0.20</w:t>
            </w:r>
          </w:p>
        </w:tc>
        <w:tc>
          <w:tcPr>
            <w:tcW w:w="562" w:type="pct"/>
            <w:tcBorders>
              <w:tl2br w:val="nil"/>
              <w:tr2bl w:val="nil"/>
            </w:tcBorders>
            <w:noWrap w:val="0"/>
            <w:vAlign w:val="center"/>
          </w:tcPr>
          <w:p w14:paraId="7E1F5B5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44</w:t>
            </w:r>
          </w:p>
        </w:tc>
        <w:tc>
          <w:tcPr>
            <w:tcW w:w="600" w:type="pct"/>
            <w:tcBorders>
              <w:tl2br w:val="nil"/>
              <w:tr2bl w:val="nil"/>
            </w:tcBorders>
            <w:noWrap w:val="0"/>
            <w:vAlign w:val="center"/>
          </w:tcPr>
          <w:p w14:paraId="7D391A3C">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44.20</w:t>
            </w:r>
          </w:p>
        </w:tc>
        <w:tc>
          <w:tcPr>
            <w:tcW w:w="468" w:type="pct"/>
            <w:tcBorders>
              <w:tl2br w:val="nil"/>
              <w:tr2bl w:val="nil"/>
            </w:tcBorders>
            <w:noWrap w:val="0"/>
            <w:vAlign w:val="center"/>
          </w:tcPr>
          <w:p w14:paraId="60F78007">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73.66</w:t>
            </w:r>
          </w:p>
        </w:tc>
        <w:tc>
          <w:tcPr>
            <w:tcW w:w="511" w:type="pct"/>
            <w:tcBorders>
              <w:tl2br w:val="nil"/>
              <w:tr2bl w:val="nil"/>
            </w:tcBorders>
            <w:noWrap w:val="0"/>
            <w:vAlign w:val="center"/>
          </w:tcPr>
          <w:p w14:paraId="728029D0">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33B5A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7" w:type="dxa"/>
            <w:tcBorders>
              <w:tl2br w:val="nil"/>
              <w:tr2bl w:val="nil"/>
            </w:tcBorders>
            <w:noWrap w:val="0"/>
            <w:vAlign w:val="center"/>
          </w:tcPr>
          <w:p w14:paraId="224D94CC">
            <w:pPr>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示范场村</w:t>
            </w:r>
          </w:p>
        </w:tc>
        <w:tc>
          <w:tcPr>
            <w:tcW w:w="1827" w:type="dxa"/>
            <w:tcBorders>
              <w:tl2br w:val="nil"/>
              <w:tr2bl w:val="nil"/>
            </w:tcBorders>
            <w:noWrap w:val="0"/>
            <w:vAlign w:val="center"/>
          </w:tcPr>
          <w:p w14:paraId="36F8E99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-104.84</w:t>
            </w:r>
          </w:p>
        </w:tc>
        <w:tc>
          <w:tcPr>
            <w:tcW w:w="1827" w:type="dxa"/>
            <w:tcBorders>
              <w:tl2br w:val="nil"/>
              <w:tr2bl w:val="nil"/>
            </w:tcBorders>
            <w:noWrap w:val="0"/>
            <w:vAlign w:val="center"/>
          </w:tcPr>
          <w:p w14:paraId="5F9709F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-154.95</w:t>
            </w:r>
          </w:p>
        </w:tc>
        <w:tc>
          <w:tcPr>
            <w:tcW w:w="551" w:type="pct"/>
            <w:tcBorders>
              <w:tl2br w:val="nil"/>
              <w:tr2bl w:val="nil"/>
            </w:tcBorders>
            <w:noWrap w:val="0"/>
            <w:vAlign w:val="center"/>
          </w:tcPr>
          <w:p w14:paraId="79A4491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期间平均</w:t>
            </w:r>
          </w:p>
        </w:tc>
        <w:tc>
          <w:tcPr>
            <w:tcW w:w="434" w:type="pct"/>
            <w:tcBorders>
              <w:tl2br w:val="nil"/>
              <w:tr2bl w:val="nil"/>
            </w:tcBorders>
            <w:noWrap w:val="0"/>
            <w:vAlign w:val="center"/>
          </w:tcPr>
          <w:p w14:paraId="42C79FA2">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3.69</w:t>
            </w:r>
          </w:p>
        </w:tc>
        <w:tc>
          <w:tcPr>
            <w:tcW w:w="562" w:type="pct"/>
            <w:tcBorders>
              <w:tl2br w:val="nil"/>
              <w:tr2bl w:val="nil"/>
            </w:tcBorders>
            <w:noWrap w:val="0"/>
            <w:vAlign w:val="center"/>
          </w:tcPr>
          <w:p w14:paraId="4CBB7DDB">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44</w:t>
            </w:r>
          </w:p>
        </w:tc>
        <w:tc>
          <w:tcPr>
            <w:tcW w:w="600" w:type="pct"/>
            <w:tcBorders>
              <w:tl2br w:val="nil"/>
              <w:tr2bl w:val="nil"/>
            </w:tcBorders>
            <w:noWrap w:val="0"/>
            <w:vAlign w:val="center"/>
          </w:tcPr>
          <w:p w14:paraId="252D097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47.69</w:t>
            </w:r>
          </w:p>
        </w:tc>
        <w:tc>
          <w:tcPr>
            <w:tcW w:w="468" w:type="pct"/>
            <w:tcBorders>
              <w:tl2br w:val="nil"/>
              <w:tr2bl w:val="nil"/>
            </w:tcBorders>
            <w:noWrap w:val="0"/>
            <w:vAlign w:val="center"/>
          </w:tcPr>
          <w:p w14:paraId="4F92F54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79.48</w:t>
            </w:r>
          </w:p>
        </w:tc>
        <w:tc>
          <w:tcPr>
            <w:tcW w:w="511" w:type="pct"/>
            <w:tcBorders>
              <w:tl2br w:val="nil"/>
              <w:tr2bl w:val="nil"/>
            </w:tcBorders>
            <w:noWrap w:val="0"/>
            <w:vAlign w:val="center"/>
          </w:tcPr>
          <w:p w14:paraId="1FA5E9CD">
            <w:pPr>
              <w:keepNext w:val="0"/>
              <w:keepLines w:val="0"/>
              <w:widowControl/>
              <w:suppressLineNumbers w:val="0"/>
              <w:spacing w:before="0" w:beforeAutospacing="0" w:after="0" w:afterAutospacing="0"/>
              <w:ind w:left="0" w:right="0"/>
              <w:jc w:val="center"/>
              <w:rPr>
                <w:rFonts w:hint="eastAsia" w:ascii="Times New Roman" w:cs="Times New Roman"/>
                <w:color w:val="auto"/>
                <w:sz w:val="21"/>
                <w:szCs w:val="21"/>
                <w:lang w:val="en-US" w:eastAsia="zh-CN"/>
              </w:rPr>
            </w:pPr>
            <w:r>
              <w:rPr>
                <w:rFonts w:hint="eastAsia" w:ascii="Times New Roman" w:cs="Times New Roman"/>
                <w:color w:val="auto"/>
                <w:sz w:val="21"/>
                <w:szCs w:val="21"/>
                <w:lang w:val="en-US" w:eastAsia="zh-CN"/>
              </w:rPr>
              <w:t>达标</w:t>
            </w:r>
          </w:p>
        </w:tc>
      </w:tr>
      <w:tr w14:paraId="5587D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7" w:type="dxa"/>
            <w:tcBorders>
              <w:tl2br w:val="nil"/>
              <w:tr2bl w:val="nil"/>
            </w:tcBorders>
            <w:noWrap w:val="0"/>
            <w:vAlign w:val="center"/>
          </w:tcPr>
          <w:p w14:paraId="1FE69334">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永富村</w:t>
            </w:r>
          </w:p>
        </w:tc>
        <w:tc>
          <w:tcPr>
            <w:tcW w:w="1827" w:type="dxa"/>
            <w:tcBorders>
              <w:tl2br w:val="nil"/>
              <w:tr2bl w:val="nil"/>
            </w:tcBorders>
            <w:noWrap w:val="0"/>
            <w:vAlign w:val="center"/>
          </w:tcPr>
          <w:p w14:paraId="6F0FD5F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-875.91</w:t>
            </w:r>
          </w:p>
        </w:tc>
        <w:tc>
          <w:tcPr>
            <w:tcW w:w="1827" w:type="dxa"/>
            <w:tcBorders>
              <w:tl2br w:val="nil"/>
              <w:tr2bl w:val="nil"/>
            </w:tcBorders>
            <w:noWrap w:val="0"/>
            <w:vAlign w:val="center"/>
          </w:tcPr>
          <w:p w14:paraId="3D02B409">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-2394.93</w:t>
            </w:r>
          </w:p>
        </w:tc>
        <w:tc>
          <w:tcPr>
            <w:tcW w:w="551" w:type="pct"/>
            <w:tcBorders>
              <w:tl2br w:val="nil"/>
              <w:tr2bl w:val="nil"/>
            </w:tcBorders>
            <w:noWrap w:val="0"/>
            <w:vAlign w:val="center"/>
          </w:tcPr>
          <w:p w14:paraId="732B1B8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期间平均</w:t>
            </w:r>
          </w:p>
        </w:tc>
        <w:tc>
          <w:tcPr>
            <w:tcW w:w="434" w:type="pct"/>
            <w:tcBorders>
              <w:tl2br w:val="nil"/>
              <w:tr2bl w:val="nil"/>
            </w:tcBorders>
            <w:noWrap w:val="0"/>
            <w:vAlign w:val="center"/>
          </w:tcPr>
          <w:p w14:paraId="0C21F0F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0.20</w:t>
            </w:r>
          </w:p>
        </w:tc>
        <w:tc>
          <w:tcPr>
            <w:tcW w:w="562" w:type="pct"/>
            <w:tcBorders>
              <w:tl2br w:val="nil"/>
              <w:tr2bl w:val="nil"/>
            </w:tcBorders>
            <w:noWrap w:val="0"/>
            <w:vAlign w:val="center"/>
          </w:tcPr>
          <w:p w14:paraId="65D491F3">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44</w:t>
            </w:r>
          </w:p>
        </w:tc>
        <w:tc>
          <w:tcPr>
            <w:tcW w:w="600" w:type="pct"/>
            <w:tcBorders>
              <w:tl2br w:val="nil"/>
              <w:tr2bl w:val="nil"/>
            </w:tcBorders>
            <w:noWrap w:val="0"/>
            <w:vAlign w:val="center"/>
          </w:tcPr>
          <w:p w14:paraId="279A2768">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44.20</w:t>
            </w:r>
          </w:p>
        </w:tc>
        <w:tc>
          <w:tcPr>
            <w:tcW w:w="468" w:type="pct"/>
            <w:tcBorders>
              <w:tl2br w:val="nil"/>
              <w:tr2bl w:val="nil"/>
            </w:tcBorders>
            <w:noWrap w:val="0"/>
            <w:vAlign w:val="center"/>
          </w:tcPr>
          <w:p w14:paraId="2B862A6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73.66</w:t>
            </w:r>
          </w:p>
        </w:tc>
        <w:tc>
          <w:tcPr>
            <w:tcW w:w="511" w:type="pct"/>
            <w:tcBorders>
              <w:tl2br w:val="nil"/>
              <w:tr2bl w:val="nil"/>
            </w:tcBorders>
            <w:noWrap w:val="0"/>
            <w:vAlign w:val="center"/>
          </w:tcPr>
          <w:p w14:paraId="45B2B9D1">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r w14:paraId="4478F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47" w:type="dxa"/>
            <w:tcBorders>
              <w:tl2br w:val="nil"/>
              <w:tr2bl w:val="nil"/>
            </w:tcBorders>
            <w:noWrap w:val="0"/>
            <w:vAlign w:val="center"/>
          </w:tcPr>
          <w:p w14:paraId="44467347">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区域最大值</w:t>
            </w:r>
          </w:p>
        </w:tc>
        <w:tc>
          <w:tcPr>
            <w:tcW w:w="1827" w:type="dxa"/>
            <w:tcBorders>
              <w:tl2br w:val="nil"/>
              <w:tr2bl w:val="nil"/>
            </w:tcBorders>
            <w:noWrap w:val="0"/>
            <w:vAlign w:val="center"/>
          </w:tcPr>
          <w:p w14:paraId="09BFB60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-200</w:t>
            </w:r>
          </w:p>
        </w:tc>
        <w:tc>
          <w:tcPr>
            <w:tcW w:w="1827" w:type="dxa"/>
            <w:tcBorders>
              <w:tl2br w:val="nil"/>
              <w:tr2bl w:val="nil"/>
            </w:tcBorders>
            <w:noWrap w:val="0"/>
            <w:vAlign w:val="center"/>
          </w:tcPr>
          <w:p w14:paraId="249DE881">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0</w:t>
            </w:r>
          </w:p>
        </w:tc>
        <w:tc>
          <w:tcPr>
            <w:tcW w:w="551" w:type="pct"/>
            <w:tcBorders>
              <w:tl2br w:val="nil"/>
              <w:tr2bl w:val="nil"/>
            </w:tcBorders>
            <w:noWrap w:val="0"/>
            <w:vAlign w:val="center"/>
          </w:tcPr>
          <w:p w14:paraId="6AA9A0DC">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期间平均</w:t>
            </w:r>
          </w:p>
        </w:tc>
        <w:tc>
          <w:tcPr>
            <w:tcW w:w="434" w:type="pct"/>
            <w:tcBorders>
              <w:tl2br w:val="nil"/>
              <w:tr2bl w:val="nil"/>
            </w:tcBorders>
            <w:noWrap w:val="0"/>
            <w:vAlign w:val="center"/>
          </w:tcPr>
          <w:p w14:paraId="799C1D7F">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4.63</w:t>
            </w:r>
          </w:p>
        </w:tc>
        <w:tc>
          <w:tcPr>
            <w:tcW w:w="562" w:type="pct"/>
            <w:tcBorders>
              <w:tl2br w:val="nil"/>
              <w:tr2bl w:val="nil"/>
            </w:tcBorders>
            <w:noWrap w:val="0"/>
            <w:vAlign w:val="center"/>
          </w:tcPr>
          <w:p w14:paraId="4C6A30C9">
            <w:pPr>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44</w:t>
            </w:r>
          </w:p>
        </w:tc>
        <w:tc>
          <w:tcPr>
            <w:tcW w:w="600" w:type="pct"/>
            <w:tcBorders>
              <w:tl2br w:val="nil"/>
              <w:tr2bl w:val="nil"/>
            </w:tcBorders>
            <w:noWrap w:val="0"/>
            <w:vAlign w:val="center"/>
          </w:tcPr>
          <w:p w14:paraId="3FB2E1FA">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48.63</w:t>
            </w:r>
          </w:p>
        </w:tc>
        <w:tc>
          <w:tcPr>
            <w:tcW w:w="468" w:type="pct"/>
            <w:tcBorders>
              <w:tl2br w:val="nil"/>
              <w:tr2bl w:val="nil"/>
            </w:tcBorders>
            <w:noWrap w:val="0"/>
            <w:vAlign w:val="center"/>
          </w:tcPr>
          <w:p w14:paraId="367E9356">
            <w:pPr>
              <w:jc w:val="center"/>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rPr>
              <w:t>81.05</w:t>
            </w:r>
          </w:p>
        </w:tc>
        <w:tc>
          <w:tcPr>
            <w:tcW w:w="511" w:type="pct"/>
            <w:tcBorders>
              <w:tl2br w:val="nil"/>
              <w:tr2bl w:val="nil"/>
            </w:tcBorders>
            <w:noWrap w:val="0"/>
            <w:vAlign w:val="center"/>
          </w:tcPr>
          <w:p w14:paraId="51DA956E">
            <w:pPr>
              <w:keepNext w:val="0"/>
              <w:keepLines w:val="0"/>
              <w:widowControl/>
              <w:suppressLineNumbers w:val="0"/>
              <w:spacing w:before="0" w:beforeAutospacing="0" w:after="0" w:afterAutospacing="0"/>
              <w:ind w:left="0" w:right="0"/>
              <w:jc w:val="center"/>
              <w:rPr>
                <w:rFonts w:hint="default" w:ascii="Times New Roman" w:cs="Times New Roman"/>
                <w:color w:val="auto"/>
                <w:sz w:val="21"/>
                <w:szCs w:val="21"/>
                <w:lang w:val="en-US" w:eastAsia="zh-CN"/>
              </w:rPr>
            </w:pPr>
            <w:r>
              <w:rPr>
                <w:rFonts w:hint="default" w:ascii="Times New Roman" w:cs="Times New Roman"/>
                <w:color w:val="auto"/>
                <w:sz w:val="21"/>
                <w:szCs w:val="21"/>
                <w:lang w:val="en-US" w:eastAsia="zh-CN"/>
              </w:rPr>
              <w:t>达标</w:t>
            </w:r>
          </w:p>
        </w:tc>
      </w:tr>
    </w:tbl>
    <w:p w14:paraId="7F992B16">
      <w:pPr>
        <w:pStyle w:val="519"/>
        <w:rPr>
          <w:rFonts w:hint="default" w:ascii="Times New Roman" w:hAnsi="Times New Roman" w:cs="Times New Roman"/>
          <w:color w:val="auto"/>
        </w:rPr>
        <w:sectPr>
          <w:pgSz w:w="16840" w:h="11907" w:orient="landscape"/>
          <w:pgMar w:top="1440" w:right="1440" w:bottom="1440"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14:paraId="28AEDEC7">
      <w:pPr>
        <w:pStyle w:val="503"/>
        <w:spacing w:beforeLines="0" w:line="360" w:lineRule="auto"/>
        <w:rPr>
          <w:rFonts w:hint="default" w:ascii="Times New Roman" w:hAnsi="Times New Roman" w:cs="Times New Roman"/>
          <w:color w:val="auto"/>
        </w:rPr>
      </w:pPr>
      <w:r>
        <w:drawing>
          <wp:inline distT="0" distB="0" distL="114300" distR="114300">
            <wp:extent cx="5361305" cy="4156075"/>
            <wp:effectExtent l="0" t="0" r="10795" b="15875"/>
            <wp:docPr id="1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
                    <pic:cNvPicPr>
                      <a:picLocks noChangeAspect="1"/>
                    </pic:cNvPicPr>
                  </pic:nvPicPr>
                  <pic:blipFill>
                    <a:blip r:embed="rId88"/>
                    <a:stretch>
                      <a:fillRect/>
                    </a:stretch>
                  </pic:blipFill>
                  <pic:spPr>
                    <a:xfrm>
                      <a:off x="0" y="0"/>
                      <a:ext cx="5361305" cy="4156075"/>
                    </a:xfrm>
                    <a:prstGeom prst="rect">
                      <a:avLst/>
                    </a:prstGeom>
                    <a:noFill/>
                    <a:ln>
                      <a:noFill/>
                    </a:ln>
                  </pic:spPr>
                </pic:pic>
              </a:graphicData>
            </a:graphic>
          </wp:inline>
        </w:drawing>
      </w:r>
    </w:p>
    <w:p w14:paraId="190E5D46">
      <w:pPr>
        <w:pStyle w:val="503"/>
        <w:spacing w:beforeLines="0" w:line="360" w:lineRule="auto"/>
        <w:ind w:left="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图5.2-1  叠加后氨小时平均质量浓度</w:t>
      </w:r>
    </w:p>
    <w:p w14:paraId="2C760412">
      <w:pPr>
        <w:pStyle w:val="503"/>
        <w:spacing w:beforeLines="0" w:line="360" w:lineRule="auto"/>
        <w:ind w:left="0"/>
      </w:pPr>
      <w:r>
        <w:drawing>
          <wp:inline distT="0" distB="0" distL="114300" distR="114300">
            <wp:extent cx="5297170" cy="3989070"/>
            <wp:effectExtent l="0" t="0" r="17780" b="11430"/>
            <wp:docPr id="1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1"/>
                    <pic:cNvPicPr>
                      <a:picLocks noChangeAspect="1"/>
                    </pic:cNvPicPr>
                  </pic:nvPicPr>
                  <pic:blipFill>
                    <a:blip r:embed="rId89"/>
                    <a:stretch>
                      <a:fillRect/>
                    </a:stretch>
                  </pic:blipFill>
                  <pic:spPr>
                    <a:xfrm>
                      <a:off x="0" y="0"/>
                      <a:ext cx="5297170" cy="3989070"/>
                    </a:xfrm>
                    <a:prstGeom prst="rect">
                      <a:avLst/>
                    </a:prstGeom>
                    <a:noFill/>
                    <a:ln>
                      <a:noFill/>
                    </a:ln>
                  </pic:spPr>
                </pic:pic>
              </a:graphicData>
            </a:graphic>
          </wp:inline>
        </w:drawing>
      </w:r>
    </w:p>
    <w:p w14:paraId="729DCFCB">
      <w:pPr>
        <w:pStyle w:val="503"/>
        <w:spacing w:beforeLines="0" w:line="360" w:lineRule="auto"/>
        <w:ind w:left="0"/>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图5.2-2  叠加后硫化氢小时平均质量浓度</w:t>
      </w:r>
    </w:p>
    <w:p w14:paraId="2272DC8F">
      <w:pPr>
        <w:pStyle w:val="503"/>
        <w:spacing w:beforeLines="0" w:line="360" w:lineRule="auto"/>
        <w:rPr>
          <w:rFonts w:hint="default" w:ascii="Times New Roman" w:hAnsi="Times New Roman" w:cs="Times New Roman"/>
          <w:color w:val="auto"/>
        </w:rPr>
      </w:pPr>
      <w:r>
        <w:drawing>
          <wp:inline distT="0" distB="0" distL="114300" distR="114300">
            <wp:extent cx="5446395" cy="4213860"/>
            <wp:effectExtent l="0" t="0" r="1905" b="15240"/>
            <wp:docPr id="1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2"/>
                    <pic:cNvPicPr>
                      <a:picLocks noChangeAspect="1"/>
                    </pic:cNvPicPr>
                  </pic:nvPicPr>
                  <pic:blipFill>
                    <a:blip r:embed="rId90"/>
                    <a:stretch>
                      <a:fillRect/>
                    </a:stretch>
                  </pic:blipFill>
                  <pic:spPr>
                    <a:xfrm>
                      <a:off x="0" y="0"/>
                      <a:ext cx="5446395" cy="4213860"/>
                    </a:xfrm>
                    <a:prstGeom prst="rect">
                      <a:avLst/>
                    </a:prstGeom>
                    <a:noFill/>
                    <a:ln>
                      <a:noFill/>
                    </a:ln>
                  </pic:spPr>
                </pic:pic>
              </a:graphicData>
            </a:graphic>
          </wp:inline>
        </w:drawing>
      </w:r>
    </w:p>
    <w:p w14:paraId="3E1D8C45">
      <w:pPr>
        <w:pStyle w:val="503"/>
        <w:spacing w:beforeLines="0" w:line="360" w:lineRule="auto"/>
        <w:ind w:left="0"/>
        <w:jc w:val="center"/>
        <w:rPr>
          <w:rFonts w:hint="default" w:ascii="Times New Roman" w:hAnsi="Times New Roman" w:cs="Times New Roman"/>
          <w:color w:val="auto"/>
        </w:rPr>
      </w:pPr>
      <w:r>
        <w:rPr>
          <w:rFonts w:hint="default" w:ascii="Times New Roman" w:hAnsi="Times New Roman" w:eastAsia="宋体" w:cs="Times New Roman"/>
          <w:b/>
          <w:bCs/>
          <w:color w:val="auto"/>
          <w:sz w:val="24"/>
          <w:szCs w:val="24"/>
        </w:rPr>
        <w:t>图5.2-</w:t>
      </w: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 xml:space="preserve">  叠加后</w:t>
      </w:r>
      <w:r>
        <w:rPr>
          <w:rFonts w:hint="eastAsia" w:eastAsia="宋体" w:cs="Times New Roman"/>
          <w:b/>
          <w:bCs/>
          <w:color w:val="auto"/>
          <w:sz w:val="24"/>
          <w:szCs w:val="24"/>
          <w:lang w:val="en-US" w:eastAsia="zh-CN"/>
        </w:rPr>
        <w:t>非甲烷总烃</w:t>
      </w:r>
      <w:r>
        <w:rPr>
          <w:rFonts w:hint="default" w:ascii="Times New Roman" w:hAnsi="Times New Roman" w:eastAsia="宋体" w:cs="Times New Roman"/>
          <w:b/>
          <w:bCs/>
          <w:color w:val="auto"/>
          <w:sz w:val="24"/>
          <w:szCs w:val="24"/>
          <w:lang w:val="en-US" w:eastAsia="zh-CN"/>
        </w:rPr>
        <w:t>年</w:t>
      </w:r>
      <w:r>
        <w:rPr>
          <w:rFonts w:hint="eastAsia" w:eastAsia="宋体" w:cs="Times New Roman"/>
          <w:b/>
          <w:bCs/>
          <w:color w:val="auto"/>
          <w:sz w:val="24"/>
          <w:szCs w:val="24"/>
          <w:lang w:val="en-US" w:eastAsia="zh-CN"/>
        </w:rPr>
        <w:t>小时平均</w:t>
      </w:r>
      <w:r>
        <w:rPr>
          <w:rFonts w:hint="default" w:ascii="Times New Roman" w:hAnsi="Times New Roman" w:eastAsia="宋体" w:cs="Times New Roman"/>
          <w:b/>
          <w:bCs/>
          <w:color w:val="auto"/>
          <w:sz w:val="24"/>
          <w:szCs w:val="24"/>
        </w:rPr>
        <w:t>质量浓度图</w:t>
      </w:r>
    </w:p>
    <w:p w14:paraId="29F4EFBE">
      <w:pPr>
        <w:pStyle w:val="503"/>
        <w:spacing w:beforeLines="0" w:line="360" w:lineRule="auto"/>
        <w:ind w:left="0"/>
        <w:jc w:val="center"/>
      </w:pPr>
      <w:r>
        <w:drawing>
          <wp:inline distT="0" distB="0" distL="114300" distR="114300">
            <wp:extent cx="5447665" cy="3917315"/>
            <wp:effectExtent l="0" t="0" r="635" b="6985"/>
            <wp:docPr id="1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3"/>
                    <pic:cNvPicPr>
                      <a:picLocks noChangeAspect="1"/>
                    </pic:cNvPicPr>
                  </pic:nvPicPr>
                  <pic:blipFill>
                    <a:blip r:embed="rId91"/>
                    <a:stretch>
                      <a:fillRect/>
                    </a:stretch>
                  </pic:blipFill>
                  <pic:spPr>
                    <a:xfrm>
                      <a:off x="0" y="0"/>
                      <a:ext cx="5447665" cy="3917315"/>
                    </a:xfrm>
                    <a:prstGeom prst="rect">
                      <a:avLst/>
                    </a:prstGeom>
                    <a:noFill/>
                    <a:ln>
                      <a:noFill/>
                    </a:ln>
                  </pic:spPr>
                </pic:pic>
              </a:graphicData>
            </a:graphic>
          </wp:inline>
        </w:drawing>
      </w:r>
    </w:p>
    <w:p w14:paraId="04FB060C">
      <w:pPr>
        <w:pStyle w:val="503"/>
        <w:spacing w:beforeLines="0" w:line="360" w:lineRule="auto"/>
        <w:ind w:left="0"/>
        <w:jc w:val="center"/>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图5.2-</w:t>
      </w:r>
      <w:r>
        <w:rPr>
          <w:rFonts w:hint="eastAsia"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rPr>
        <w:t xml:space="preserve">  叠加后</w:t>
      </w:r>
      <w:r>
        <w:rPr>
          <w:rFonts w:hint="default" w:ascii="Times New Roman" w:hAnsi="Times New Roman" w:eastAsia="宋体" w:cs="Times New Roman"/>
          <w:b/>
          <w:bCs/>
          <w:color w:val="auto"/>
          <w:sz w:val="24"/>
          <w:szCs w:val="24"/>
          <w:lang w:val="en-US" w:eastAsia="zh-CN"/>
        </w:rPr>
        <w:t>PM10年</w:t>
      </w:r>
      <w:r>
        <w:rPr>
          <w:rFonts w:hint="default" w:ascii="Times New Roman" w:hAnsi="Times New Roman" w:eastAsia="宋体" w:cs="Times New Roman"/>
          <w:b/>
          <w:bCs/>
          <w:color w:val="auto"/>
          <w:sz w:val="24"/>
          <w:szCs w:val="24"/>
        </w:rPr>
        <w:t>平均质量浓度</w:t>
      </w:r>
    </w:p>
    <w:p w14:paraId="4FBA7BE5">
      <w:pPr>
        <w:spacing w:line="360" w:lineRule="auto"/>
        <w:ind w:firstLine="482" w:firstLineChars="200"/>
        <w:jc w:val="left"/>
        <w:rPr>
          <w:rFonts w:hint="default" w:ascii="Times New Roman" w:hAnsi="Times New Roman" w:cs="Times New Roman"/>
          <w:b/>
          <w:bCs/>
          <w:color w:val="auto"/>
          <w:sz w:val="24"/>
        </w:rPr>
      </w:pPr>
      <w:r>
        <w:rPr>
          <w:rFonts w:hint="default" w:ascii="Times New Roman" w:hAnsi="Times New Roman" w:cs="Times New Roman"/>
          <w:b/>
          <w:bCs/>
          <w:color w:val="auto"/>
          <w:sz w:val="24"/>
        </w:rPr>
        <w:t>结论：</w:t>
      </w:r>
    </w:p>
    <w:p w14:paraId="06494341">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a）新增污染源正常排放下的污染物（</w:t>
      </w:r>
      <w:r>
        <w:rPr>
          <w:rFonts w:hint="eastAsia"/>
          <w:color w:val="auto"/>
          <w:lang w:val="en-GB"/>
        </w:rPr>
        <w:t>NH</w:t>
      </w:r>
      <w:r>
        <w:rPr>
          <w:rFonts w:hint="eastAsia"/>
          <w:color w:val="auto"/>
          <w:vertAlign w:val="subscript"/>
          <w:lang w:val="en-GB"/>
        </w:rPr>
        <w:t>3</w:t>
      </w:r>
      <w:r>
        <w:rPr>
          <w:rFonts w:hint="eastAsia"/>
          <w:color w:val="auto"/>
          <w:lang w:val="en-GB"/>
        </w:rPr>
        <w:t>、H</w:t>
      </w:r>
      <w:r>
        <w:rPr>
          <w:rFonts w:hint="eastAsia"/>
          <w:color w:val="auto"/>
          <w:vertAlign w:val="subscript"/>
          <w:lang w:val="en-GB"/>
        </w:rPr>
        <w:t>2</w:t>
      </w:r>
      <w:r>
        <w:rPr>
          <w:rFonts w:hint="eastAsia"/>
          <w:color w:val="auto"/>
          <w:lang w:val="en-GB"/>
        </w:rPr>
        <w:t>S</w:t>
      </w:r>
      <w:r>
        <w:rPr>
          <w:rFonts w:hint="eastAsia"/>
          <w:color w:val="auto"/>
          <w:lang w:val="en-GB" w:eastAsia="zh-CN"/>
        </w:rPr>
        <w:t>、</w:t>
      </w:r>
      <w:r>
        <w:rPr>
          <w:rFonts w:hint="eastAsia"/>
          <w:color w:val="auto"/>
          <w:lang w:val="en-US" w:eastAsia="zh-CN"/>
        </w:rPr>
        <w:t>NMHC、PM</w:t>
      </w:r>
      <w:r>
        <w:rPr>
          <w:rFonts w:hint="eastAsia"/>
          <w:color w:val="auto"/>
          <w:vertAlign w:val="subscript"/>
          <w:lang w:val="en-US" w:eastAsia="zh-CN"/>
        </w:rPr>
        <w:t>10</w:t>
      </w:r>
      <w:r>
        <w:rPr>
          <w:rFonts w:hint="default" w:ascii="Times New Roman" w:hAnsi="Times New Roman" w:cs="Times New Roman"/>
          <w:color w:val="auto"/>
          <w:sz w:val="24"/>
        </w:rPr>
        <w:t>）短期浓度贡献值的最大浓度占标率≤100%；</w:t>
      </w:r>
    </w:p>
    <w:p w14:paraId="30C4D9FF">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b）新增污染源正常排放下的污染物（PM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）年均浓度贡献值的最大浓度占标率≤30%。</w:t>
      </w:r>
    </w:p>
    <w:p w14:paraId="37D7F582">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c）项目环境影响符合环境功能区划。叠加现状浓度</w:t>
      </w:r>
      <w:r>
        <w:rPr>
          <w:rFonts w:hint="default" w:ascii="Times New Roman" w:hAnsi="Times New Roman" w:cs="Times New Roman"/>
          <w:color w:val="auto"/>
          <w:sz w:val="24"/>
          <w:szCs w:val="24"/>
          <w:lang w:val="en-US" w:eastAsia="zh-CN"/>
        </w:rPr>
        <w:t>的</w:t>
      </w:r>
      <w:r>
        <w:rPr>
          <w:rFonts w:hint="default" w:ascii="Times New Roman" w:hAnsi="Times New Roman" w:cs="Times New Roman"/>
          <w:color w:val="auto"/>
          <w:sz w:val="24"/>
          <w:szCs w:val="24"/>
        </w:rPr>
        <w:t>环境影响后，污染物</w:t>
      </w:r>
      <w:r>
        <w:rPr>
          <w:rFonts w:hint="eastAsia"/>
          <w:color w:val="auto"/>
          <w:lang w:val="en-GB"/>
        </w:rPr>
        <w:t>NH</w:t>
      </w:r>
      <w:r>
        <w:rPr>
          <w:rFonts w:hint="eastAsia"/>
          <w:color w:val="auto"/>
          <w:vertAlign w:val="subscript"/>
          <w:lang w:val="en-GB"/>
        </w:rPr>
        <w:t>3</w:t>
      </w:r>
      <w:r>
        <w:rPr>
          <w:rFonts w:hint="eastAsia"/>
          <w:color w:val="auto"/>
          <w:lang w:val="en-GB"/>
        </w:rPr>
        <w:t>、H</w:t>
      </w:r>
      <w:r>
        <w:rPr>
          <w:rFonts w:hint="eastAsia"/>
          <w:color w:val="auto"/>
          <w:vertAlign w:val="subscript"/>
          <w:lang w:val="en-GB"/>
        </w:rPr>
        <w:t>2</w:t>
      </w:r>
      <w:r>
        <w:rPr>
          <w:rFonts w:hint="eastAsia"/>
          <w:color w:val="auto"/>
          <w:lang w:val="en-GB"/>
        </w:rPr>
        <w:t>S</w:t>
      </w:r>
      <w:r>
        <w:rPr>
          <w:rFonts w:hint="default" w:ascii="Times New Roman" w:hAnsi="Times New Roman" w:cs="Times New Roman"/>
          <w:color w:val="auto"/>
          <w:sz w:val="24"/>
          <w:szCs w:val="24"/>
          <w:highlight w:val="none"/>
          <w:vertAlign w:val="baseline"/>
          <w:lang w:val="en-US" w:eastAsia="zh-CN"/>
        </w:rPr>
        <w:t>小时</w:t>
      </w:r>
      <w:r>
        <w:rPr>
          <w:rFonts w:hint="default" w:ascii="Times New Roman" w:hAnsi="Times New Roman" w:cs="Times New Roman"/>
          <w:color w:val="auto"/>
          <w:sz w:val="24"/>
          <w:szCs w:val="24"/>
        </w:rPr>
        <w:t>平均质量浓度符合《环境影响评价技术导则 大气环境》（HJ2.2-2018）附录D</w:t>
      </w:r>
      <w:r>
        <w:rPr>
          <w:rFonts w:hint="default" w:ascii="Times New Roman" w:hAnsi="Times New Roman" w:cs="Times New Roman"/>
          <w:color w:val="auto"/>
          <w:sz w:val="24"/>
          <w:szCs w:val="24"/>
          <w:lang w:eastAsia="zh-CN"/>
        </w:rPr>
        <w:t>。</w:t>
      </w:r>
      <w:r>
        <w:rPr>
          <w:rFonts w:hint="eastAsia"/>
          <w:color w:val="auto"/>
          <w:lang w:val="en-US" w:eastAsia="zh-CN"/>
        </w:rPr>
        <w:t>NMHC</w:t>
      </w:r>
      <w:r>
        <w:rPr>
          <w:rFonts w:hint="default" w:ascii="Times New Roman" w:hAnsi="Times New Roman" w:cs="Times New Roman"/>
          <w:color w:val="auto"/>
          <w:sz w:val="24"/>
          <w:szCs w:val="24"/>
          <w:highlight w:val="none"/>
          <w:vertAlign w:val="baseline"/>
          <w:lang w:val="en-US" w:eastAsia="zh-CN"/>
        </w:rPr>
        <w:t>小时</w:t>
      </w:r>
      <w:r>
        <w:rPr>
          <w:rFonts w:hint="default" w:ascii="Times New Roman" w:hAnsi="Times New Roman" w:cs="Times New Roman"/>
          <w:color w:val="auto"/>
          <w:sz w:val="24"/>
          <w:szCs w:val="24"/>
        </w:rPr>
        <w:t>平均质量浓度符合</w:t>
      </w:r>
      <w:r>
        <w:rPr>
          <w:rFonts w:hint="eastAsia" w:cs="Times New Roman"/>
          <w:color w:val="auto"/>
          <w:sz w:val="24"/>
          <w:szCs w:val="24"/>
          <w:lang w:eastAsia="zh-CN"/>
        </w:rPr>
        <w:t>《环境空气质量 非甲烷总烃限值》（DB13/1577-2012）二级标准限值</w:t>
      </w:r>
      <w:r>
        <w:rPr>
          <w:rFonts w:hint="eastAsia" w:ascii="Times New Roman" w:hAnsi="Times New Roman" w:eastAsia="宋体" w:cs="Times New Roman"/>
          <w:color w:val="auto"/>
          <w:sz w:val="24"/>
          <w:szCs w:val="24"/>
          <w:lang w:eastAsia="zh-CN"/>
        </w:rPr>
        <w:t>。</w:t>
      </w:r>
    </w:p>
    <w:p w14:paraId="27D152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rPr>
        <w:t>根据大气软件的环境防护区域预测模式的计算结果，项目各污染物小时贡献浓度均无超标点，无需设置大气环境防护距离。</w:t>
      </w:r>
    </w:p>
    <w:p w14:paraId="081FCAD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根据预测结果可知，</w:t>
      </w:r>
      <w:r>
        <w:rPr>
          <w:rFonts w:hint="default" w:ascii="Times New Roman" w:hAnsi="Times New Roman" w:cs="Times New Roman"/>
          <w:color w:val="auto"/>
        </w:rPr>
        <w:t>项目运营期应加强环保措施维护保养及运行管理，杜绝事故发生。本项目建成后对大气环境影响在可接受范围内。</w:t>
      </w:r>
    </w:p>
    <w:p w14:paraId="0DEA6410">
      <w:pPr>
        <w:pStyle w:val="5"/>
        <w:rPr>
          <w:rFonts w:hint="eastAsia" w:eastAsia="宋体"/>
        </w:rPr>
      </w:pPr>
      <w:r>
        <w:rPr>
          <w:rFonts w:hint="eastAsia" w:eastAsia="宋体"/>
        </w:rPr>
        <w:t>5.</w:t>
      </w:r>
      <w:r>
        <w:rPr>
          <w:rFonts w:hint="eastAsia" w:eastAsia="宋体"/>
          <w:lang w:eastAsia="zh-CN"/>
        </w:rPr>
        <w:t>2.2</w:t>
      </w:r>
      <w:r>
        <w:rPr>
          <w:rFonts w:hint="eastAsia" w:eastAsia="宋体"/>
        </w:rPr>
        <w:t>.</w:t>
      </w:r>
      <w:r>
        <w:rPr>
          <w:rFonts w:hint="eastAsia" w:eastAsia="宋体"/>
          <w:lang w:val="en-US" w:eastAsia="zh-CN"/>
        </w:rPr>
        <w:t>4</w:t>
      </w:r>
      <w:r>
        <w:rPr>
          <w:rFonts w:hint="eastAsia" w:eastAsia="宋体"/>
        </w:rPr>
        <w:t>项目污染物排放量核算</w:t>
      </w:r>
    </w:p>
    <w:p w14:paraId="77A766E6">
      <w:pPr>
        <w:spacing w:line="360" w:lineRule="auto"/>
        <w:ind w:firstLine="480" w:firstLineChars="200"/>
        <w:jc w:val="left"/>
        <w:rPr>
          <w:rFonts w:hint="eastAsia"/>
          <w:lang w:val="en-GB"/>
        </w:rPr>
      </w:pPr>
      <w:r>
        <w:rPr>
          <w:rFonts w:hint="eastAsia"/>
          <w:lang w:val="en-GB"/>
        </w:rPr>
        <w:t>根据《排污许可证申请与核发技术规范 总则》（HJ942-2018）：废气排放口分为主要排放口、一般排放口和其他排放口。</w:t>
      </w:r>
    </w:p>
    <w:p w14:paraId="0BB501C0">
      <w:pPr>
        <w:spacing w:line="360" w:lineRule="auto"/>
        <w:ind w:firstLine="480" w:firstLineChars="200"/>
        <w:jc w:val="left"/>
        <w:rPr>
          <w:rFonts w:hint="eastAsia"/>
        </w:rPr>
      </w:pPr>
      <w:r>
        <w:rPr>
          <w:rFonts w:hint="eastAsia"/>
          <w:lang w:val="en-GB"/>
        </w:rPr>
        <w:t>本项目大气污染物有组织排放量核算见表5</w:t>
      </w:r>
      <w:r>
        <w:rPr>
          <w:rFonts w:hint="eastAsia"/>
          <w:lang w:val="en-US" w:eastAsia="zh-CN"/>
        </w:rPr>
        <w:t>.</w:t>
      </w:r>
      <w:r>
        <w:rPr>
          <w:rFonts w:hint="eastAsia"/>
          <w:lang w:val="en-GB"/>
        </w:rPr>
        <w:t>2-</w:t>
      </w:r>
      <w:r>
        <w:rPr>
          <w:rFonts w:hint="eastAsia"/>
          <w:lang w:val="en-US" w:eastAsia="zh-CN"/>
        </w:rPr>
        <w:t>18</w:t>
      </w:r>
      <w:r>
        <w:rPr>
          <w:rFonts w:hint="eastAsia"/>
          <w:lang w:val="en-GB"/>
        </w:rPr>
        <w:t>。</w:t>
      </w:r>
    </w:p>
    <w:p w14:paraId="17127095">
      <w:pPr>
        <w:jc w:val="center"/>
        <w:rPr>
          <w:b/>
          <w:lang w:bidi="ar"/>
        </w:rPr>
      </w:pPr>
      <w:r>
        <w:rPr>
          <w:b/>
          <w:lang w:bidi="ar"/>
        </w:rPr>
        <w:t>表5</w:t>
      </w:r>
      <w:r>
        <w:rPr>
          <w:rFonts w:hint="eastAsia"/>
          <w:b/>
          <w:lang w:val="en-US" w:eastAsia="zh-CN" w:bidi="ar"/>
        </w:rPr>
        <w:t>.</w:t>
      </w:r>
      <w:r>
        <w:rPr>
          <w:b/>
          <w:lang w:bidi="ar"/>
        </w:rPr>
        <w:t>2-</w:t>
      </w:r>
      <w:r>
        <w:rPr>
          <w:rFonts w:hint="eastAsia"/>
          <w:b/>
          <w:lang w:val="en-US" w:eastAsia="zh-CN" w:bidi="ar"/>
        </w:rPr>
        <w:t>18</w:t>
      </w:r>
      <w:r>
        <w:rPr>
          <w:b/>
          <w:lang w:bidi="ar"/>
        </w:rPr>
        <w:t xml:space="preserve"> 大气污染物有组织排放量核算表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2403"/>
        <w:gridCol w:w="1497"/>
        <w:gridCol w:w="1627"/>
        <w:gridCol w:w="1516"/>
        <w:gridCol w:w="1658"/>
      </w:tblGrid>
      <w:tr w14:paraId="7645D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Align w:val="center"/>
          </w:tcPr>
          <w:p w14:paraId="2F089B1D">
            <w:pPr>
              <w:pStyle w:val="511"/>
              <w:widowControl/>
              <w:adjustRightInd w:val="0"/>
              <w:spacing w:line="240" w:lineRule="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序号</w:t>
            </w:r>
          </w:p>
        </w:tc>
        <w:tc>
          <w:tcPr>
            <w:tcW w:w="1300" w:type="pct"/>
            <w:vAlign w:val="center"/>
          </w:tcPr>
          <w:p w14:paraId="18CD4BA7">
            <w:pPr>
              <w:pStyle w:val="511"/>
              <w:widowControl/>
              <w:adjustRightInd w:val="0"/>
              <w:spacing w:line="240" w:lineRule="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排放口编号</w:t>
            </w:r>
          </w:p>
        </w:tc>
        <w:tc>
          <w:tcPr>
            <w:tcW w:w="810" w:type="pct"/>
            <w:vAlign w:val="center"/>
          </w:tcPr>
          <w:p w14:paraId="4CBF3D0E">
            <w:pPr>
              <w:pStyle w:val="511"/>
              <w:widowControl/>
              <w:adjustRightInd w:val="0"/>
              <w:spacing w:line="240" w:lineRule="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污染物</w:t>
            </w:r>
          </w:p>
        </w:tc>
        <w:tc>
          <w:tcPr>
            <w:tcW w:w="880" w:type="pct"/>
            <w:vAlign w:val="center"/>
          </w:tcPr>
          <w:p w14:paraId="64CFC823">
            <w:pPr>
              <w:pStyle w:val="511"/>
              <w:widowControl/>
              <w:adjustRightInd w:val="0"/>
              <w:spacing w:line="240" w:lineRule="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核算排放浓度（mg/m</w:t>
            </w:r>
            <w:r>
              <w:rPr>
                <w:rFonts w:hint="default" w:ascii="Times New Roman" w:hAnsi="Times New Roman" w:eastAsia="宋体" w:cs="Times New Roman"/>
                <w:color w:val="auto"/>
                <w:spacing w:val="0"/>
                <w:kern w:val="0"/>
                <w:sz w:val="21"/>
                <w:szCs w:val="21"/>
                <w:vertAlign w:val="superscript"/>
              </w:rPr>
              <w:t>3</w:t>
            </w:r>
            <w:r>
              <w:rPr>
                <w:rFonts w:hint="default" w:ascii="Times New Roman" w:hAnsi="Times New Roman" w:eastAsia="宋体" w:cs="Times New Roman"/>
                <w:color w:val="auto"/>
                <w:spacing w:val="0"/>
                <w:kern w:val="0"/>
                <w:sz w:val="21"/>
                <w:szCs w:val="21"/>
              </w:rPr>
              <w:t>）</w:t>
            </w:r>
          </w:p>
        </w:tc>
        <w:tc>
          <w:tcPr>
            <w:tcW w:w="819" w:type="pct"/>
            <w:vAlign w:val="center"/>
          </w:tcPr>
          <w:p w14:paraId="6B04BCAB">
            <w:pPr>
              <w:pStyle w:val="511"/>
              <w:widowControl/>
              <w:adjustRightInd w:val="0"/>
              <w:spacing w:line="240" w:lineRule="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核算排放速率（kg/h）</w:t>
            </w:r>
          </w:p>
        </w:tc>
        <w:tc>
          <w:tcPr>
            <w:tcW w:w="895" w:type="pct"/>
            <w:vAlign w:val="center"/>
          </w:tcPr>
          <w:p w14:paraId="340217BF">
            <w:pPr>
              <w:pStyle w:val="511"/>
              <w:widowControl/>
              <w:adjustRightInd w:val="0"/>
              <w:spacing w:line="240" w:lineRule="auto"/>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核算年排放量（t/a）</w:t>
            </w:r>
          </w:p>
        </w:tc>
      </w:tr>
      <w:tr w14:paraId="79A48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14:paraId="2D0FCF35">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一般排放口</w:t>
            </w:r>
          </w:p>
        </w:tc>
      </w:tr>
      <w:tr w14:paraId="3A0B2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restart"/>
            <w:vAlign w:val="center"/>
          </w:tcPr>
          <w:p w14:paraId="77F346C8">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1</w:t>
            </w:r>
          </w:p>
        </w:tc>
        <w:tc>
          <w:tcPr>
            <w:tcW w:w="1300" w:type="pct"/>
            <w:vMerge w:val="restart"/>
            <w:vAlign w:val="center"/>
          </w:tcPr>
          <w:p w14:paraId="4027B770">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DA011</w:t>
            </w:r>
          </w:p>
        </w:tc>
        <w:tc>
          <w:tcPr>
            <w:tcW w:w="810" w:type="pct"/>
            <w:vAlign w:val="center"/>
          </w:tcPr>
          <w:p w14:paraId="4CA0BB3D">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NH</w:t>
            </w:r>
            <w:r>
              <w:rPr>
                <w:rFonts w:hint="default" w:ascii="Times New Roman" w:hAnsi="Times New Roman" w:eastAsia="宋体" w:cs="Times New Roman"/>
                <w:color w:val="auto"/>
                <w:spacing w:val="0"/>
                <w:kern w:val="0"/>
                <w:sz w:val="21"/>
                <w:szCs w:val="21"/>
                <w:vertAlign w:val="subscript"/>
              </w:rPr>
              <w:t>3</w:t>
            </w:r>
          </w:p>
        </w:tc>
        <w:tc>
          <w:tcPr>
            <w:tcW w:w="880" w:type="pct"/>
            <w:vAlign w:val="center"/>
          </w:tcPr>
          <w:p w14:paraId="53EBFF57">
            <w:pPr>
              <w:widowControl/>
              <w:spacing w:line="440" w:lineRule="exact"/>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47.8</w:t>
            </w:r>
          </w:p>
        </w:tc>
        <w:tc>
          <w:tcPr>
            <w:tcW w:w="819" w:type="pct"/>
            <w:vAlign w:val="center"/>
          </w:tcPr>
          <w:p w14:paraId="4965299A">
            <w:pPr>
              <w:widowControl/>
              <w:adjustRightInd w:val="0"/>
              <w:snapToGrid w:val="0"/>
              <w:spacing w:line="440" w:lineRule="exact"/>
              <w:jc w:val="center"/>
              <w:textAlignment w:val="baseline"/>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eastAsia="zh-CN"/>
              </w:rPr>
              <w:t>0.034</w:t>
            </w:r>
          </w:p>
        </w:tc>
        <w:tc>
          <w:tcPr>
            <w:tcW w:w="895" w:type="pct"/>
            <w:vAlign w:val="center"/>
          </w:tcPr>
          <w:p w14:paraId="69F12C8E">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0.27</w:t>
            </w:r>
          </w:p>
        </w:tc>
      </w:tr>
      <w:tr w14:paraId="4D266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Merge w:val="continue"/>
            <w:vAlign w:val="center"/>
          </w:tcPr>
          <w:p w14:paraId="1E39C8AB">
            <w:pPr>
              <w:pStyle w:val="511"/>
              <w:widowControl/>
              <w:adjustRightInd w:val="0"/>
              <w:rPr>
                <w:rFonts w:hint="default" w:ascii="Times New Roman" w:hAnsi="Times New Roman" w:eastAsia="宋体" w:cs="Times New Roman"/>
                <w:color w:val="auto"/>
                <w:spacing w:val="0"/>
                <w:kern w:val="0"/>
                <w:sz w:val="21"/>
                <w:szCs w:val="21"/>
              </w:rPr>
            </w:pPr>
          </w:p>
        </w:tc>
        <w:tc>
          <w:tcPr>
            <w:tcW w:w="1300" w:type="pct"/>
            <w:vMerge w:val="continue"/>
            <w:vAlign w:val="center"/>
          </w:tcPr>
          <w:p w14:paraId="15B321E5">
            <w:pPr>
              <w:pStyle w:val="511"/>
              <w:widowControl/>
              <w:adjustRightInd w:val="0"/>
              <w:rPr>
                <w:rFonts w:hint="default" w:ascii="Times New Roman" w:hAnsi="Times New Roman" w:eastAsia="宋体" w:cs="Times New Roman"/>
                <w:color w:val="auto"/>
                <w:spacing w:val="0"/>
                <w:kern w:val="0"/>
                <w:sz w:val="21"/>
                <w:szCs w:val="21"/>
              </w:rPr>
            </w:pPr>
          </w:p>
        </w:tc>
        <w:tc>
          <w:tcPr>
            <w:tcW w:w="810" w:type="pct"/>
            <w:vAlign w:val="center"/>
          </w:tcPr>
          <w:p w14:paraId="3865C771">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H</w:t>
            </w:r>
            <w:r>
              <w:rPr>
                <w:rFonts w:hint="default" w:ascii="Times New Roman" w:hAnsi="Times New Roman" w:eastAsia="宋体" w:cs="Times New Roman"/>
                <w:color w:val="auto"/>
                <w:spacing w:val="0"/>
                <w:kern w:val="0"/>
                <w:sz w:val="21"/>
                <w:szCs w:val="21"/>
                <w:vertAlign w:val="subscript"/>
              </w:rPr>
              <w:t>2</w:t>
            </w:r>
            <w:r>
              <w:rPr>
                <w:rFonts w:hint="default" w:ascii="Times New Roman" w:hAnsi="Times New Roman" w:eastAsia="宋体" w:cs="Times New Roman"/>
                <w:color w:val="auto"/>
                <w:spacing w:val="0"/>
                <w:kern w:val="0"/>
                <w:sz w:val="21"/>
                <w:szCs w:val="21"/>
              </w:rPr>
              <w:t>S</w:t>
            </w:r>
          </w:p>
        </w:tc>
        <w:tc>
          <w:tcPr>
            <w:tcW w:w="880" w:type="pct"/>
            <w:vAlign w:val="center"/>
          </w:tcPr>
          <w:p w14:paraId="655F1B0B">
            <w:pPr>
              <w:widowControl/>
              <w:spacing w:line="440" w:lineRule="exact"/>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4.38</w:t>
            </w:r>
          </w:p>
        </w:tc>
        <w:tc>
          <w:tcPr>
            <w:tcW w:w="819" w:type="pct"/>
            <w:vAlign w:val="center"/>
          </w:tcPr>
          <w:p w14:paraId="430A607A">
            <w:pPr>
              <w:widowControl/>
              <w:adjustRightInd w:val="0"/>
              <w:snapToGrid w:val="0"/>
              <w:spacing w:line="440" w:lineRule="exact"/>
              <w:jc w:val="center"/>
              <w:textAlignment w:val="baseline"/>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0.003</w:t>
            </w:r>
          </w:p>
        </w:tc>
        <w:tc>
          <w:tcPr>
            <w:tcW w:w="895" w:type="pct"/>
            <w:vAlign w:val="center"/>
          </w:tcPr>
          <w:p w14:paraId="6B7602FD">
            <w:pPr>
              <w:pStyle w:val="511"/>
              <w:widowControl/>
              <w:adjustRightInd w:val="0"/>
              <w:rPr>
                <w:rFonts w:hint="eastAsia" w:ascii="Times New Roman" w:hAnsi="Times New Roman" w:eastAsia="宋体" w:cs="Times New Roman"/>
                <w:color w:val="auto"/>
                <w:spacing w:val="0"/>
                <w:kern w:val="0"/>
                <w:sz w:val="21"/>
                <w:szCs w:val="21"/>
                <w:lang w:eastAsia="zh-CN"/>
              </w:rPr>
            </w:pPr>
            <w:r>
              <w:rPr>
                <w:rFonts w:hint="eastAsia" w:eastAsia="宋体" w:cs="Times New Roman"/>
                <w:color w:val="auto"/>
                <w:spacing w:val="0"/>
                <w:kern w:val="0"/>
                <w:sz w:val="21"/>
                <w:szCs w:val="21"/>
                <w:lang w:eastAsia="zh-CN"/>
              </w:rPr>
              <w:t>0.024</w:t>
            </w:r>
          </w:p>
        </w:tc>
      </w:tr>
      <w:tr w14:paraId="2A1FE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Align w:val="center"/>
          </w:tcPr>
          <w:p w14:paraId="3B5CFC32">
            <w:pPr>
              <w:pStyle w:val="511"/>
              <w:widowControl/>
              <w:adjustRightInd w:val="0"/>
              <w:rPr>
                <w:rFonts w:hint="eastAsia"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2</w:t>
            </w:r>
          </w:p>
        </w:tc>
        <w:tc>
          <w:tcPr>
            <w:tcW w:w="1300" w:type="pct"/>
            <w:vAlign w:val="center"/>
          </w:tcPr>
          <w:p w14:paraId="2DEE344A">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z w:val="21"/>
                <w:szCs w:val="21"/>
                <w:lang w:val="en-US" w:eastAsia="zh-CN"/>
              </w:rPr>
              <w:t>DA005-DA010、DA014、DA015、DA040、DA018-DA029、DA035</w:t>
            </w:r>
          </w:p>
        </w:tc>
        <w:tc>
          <w:tcPr>
            <w:tcW w:w="810" w:type="pct"/>
            <w:vAlign w:val="center"/>
          </w:tcPr>
          <w:p w14:paraId="4668CBA6">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z w:val="21"/>
                <w:szCs w:val="21"/>
                <w:lang w:val="en-US" w:eastAsia="zh-CN"/>
              </w:rPr>
              <w:t>颗粒物</w:t>
            </w:r>
          </w:p>
        </w:tc>
        <w:tc>
          <w:tcPr>
            <w:tcW w:w="880" w:type="pct"/>
            <w:vAlign w:val="center"/>
          </w:tcPr>
          <w:p w14:paraId="44A85C76">
            <w:pPr>
              <w:widowControl/>
              <w:spacing w:line="440" w:lineRule="exact"/>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21.1</w:t>
            </w:r>
          </w:p>
        </w:tc>
        <w:tc>
          <w:tcPr>
            <w:tcW w:w="819" w:type="pct"/>
            <w:vAlign w:val="center"/>
          </w:tcPr>
          <w:p w14:paraId="05BCC5FA">
            <w:pPr>
              <w:widowControl/>
              <w:adjustRightInd w:val="0"/>
              <w:snapToGrid w:val="0"/>
              <w:spacing w:line="440" w:lineRule="exact"/>
              <w:jc w:val="center"/>
              <w:textAlignment w:val="baseline"/>
              <w:rPr>
                <w:rFonts w:hint="default" w:cs="Times New Roman"/>
                <w:color w:val="auto"/>
                <w:kern w:val="0"/>
                <w:sz w:val="21"/>
                <w:szCs w:val="21"/>
                <w:lang w:val="en-US" w:eastAsia="zh-CN"/>
              </w:rPr>
            </w:pPr>
            <w:r>
              <w:rPr>
                <w:rFonts w:hint="eastAsia" w:cs="Times New Roman"/>
                <w:color w:val="auto"/>
                <w:kern w:val="0"/>
                <w:sz w:val="21"/>
                <w:szCs w:val="21"/>
                <w:lang w:val="en-US" w:eastAsia="zh-CN"/>
              </w:rPr>
              <w:t>0.273</w:t>
            </w:r>
          </w:p>
        </w:tc>
        <w:tc>
          <w:tcPr>
            <w:tcW w:w="895" w:type="pct"/>
            <w:vAlign w:val="center"/>
          </w:tcPr>
          <w:p w14:paraId="2E0E06C0">
            <w:pPr>
              <w:pStyle w:val="511"/>
              <w:widowControl/>
              <w:adjustRightInd w:val="0"/>
              <w:rPr>
                <w:rFonts w:hint="default"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48.05</w:t>
            </w:r>
          </w:p>
        </w:tc>
      </w:tr>
      <w:tr w14:paraId="74921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3" w:type="pct"/>
            <w:vAlign w:val="center"/>
          </w:tcPr>
          <w:p w14:paraId="44A47C8A">
            <w:pPr>
              <w:pStyle w:val="511"/>
              <w:widowControl/>
              <w:adjustRightInd w:val="0"/>
              <w:rPr>
                <w:rFonts w:hint="eastAsia"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3</w:t>
            </w:r>
          </w:p>
        </w:tc>
        <w:tc>
          <w:tcPr>
            <w:tcW w:w="1300" w:type="pct"/>
            <w:vAlign w:val="center"/>
          </w:tcPr>
          <w:p w14:paraId="45B3B30A">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z w:val="21"/>
                <w:szCs w:val="21"/>
                <w:lang w:val="en-US" w:eastAsia="zh-CN"/>
              </w:rPr>
              <w:t>DA002、DA032、DA041、DA042</w:t>
            </w:r>
          </w:p>
        </w:tc>
        <w:tc>
          <w:tcPr>
            <w:tcW w:w="810" w:type="pct"/>
            <w:vAlign w:val="center"/>
          </w:tcPr>
          <w:p w14:paraId="4DCC9404">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z w:val="21"/>
                <w:szCs w:val="21"/>
                <w:lang w:val="en-US" w:eastAsia="zh-CN"/>
              </w:rPr>
              <w:t>非甲烷总烃</w:t>
            </w:r>
          </w:p>
        </w:tc>
        <w:tc>
          <w:tcPr>
            <w:tcW w:w="880" w:type="pct"/>
            <w:vAlign w:val="center"/>
          </w:tcPr>
          <w:p w14:paraId="161E3431">
            <w:pPr>
              <w:widowControl/>
              <w:spacing w:line="440" w:lineRule="exact"/>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6.38</w:t>
            </w:r>
          </w:p>
        </w:tc>
        <w:tc>
          <w:tcPr>
            <w:tcW w:w="819" w:type="pct"/>
            <w:vAlign w:val="center"/>
          </w:tcPr>
          <w:p w14:paraId="518A2F8D">
            <w:pPr>
              <w:widowControl/>
              <w:adjustRightInd w:val="0"/>
              <w:snapToGrid w:val="0"/>
              <w:spacing w:line="440" w:lineRule="exact"/>
              <w:jc w:val="center"/>
              <w:textAlignment w:val="baseline"/>
              <w:rPr>
                <w:rFonts w:hint="default" w:cs="Times New Roman"/>
                <w:color w:val="auto"/>
                <w:kern w:val="0"/>
                <w:sz w:val="21"/>
                <w:szCs w:val="21"/>
                <w:lang w:val="en-US" w:eastAsia="zh-CN"/>
              </w:rPr>
            </w:pPr>
            <w:r>
              <w:rPr>
                <w:rFonts w:hint="eastAsia" w:cs="Times New Roman"/>
                <w:color w:val="auto"/>
                <w:kern w:val="0"/>
                <w:sz w:val="21"/>
                <w:szCs w:val="21"/>
                <w:lang w:val="en-US" w:eastAsia="zh-CN"/>
              </w:rPr>
              <w:t>0.746</w:t>
            </w:r>
          </w:p>
        </w:tc>
        <w:tc>
          <w:tcPr>
            <w:tcW w:w="895" w:type="pct"/>
            <w:vAlign w:val="center"/>
          </w:tcPr>
          <w:p w14:paraId="3E5CAFD3">
            <w:pPr>
              <w:pStyle w:val="511"/>
              <w:widowControl/>
              <w:adjustRightInd w:val="0"/>
              <w:rPr>
                <w:rFonts w:hint="default"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23.71</w:t>
            </w:r>
          </w:p>
        </w:tc>
      </w:tr>
      <w:tr w14:paraId="51F7B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restart"/>
            <w:vAlign w:val="center"/>
          </w:tcPr>
          <w:p w14:paraId="7BE6A25A">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一般排放口合计</w:t>
            </w:r>
          </w:p>
        </w:tc>
        <w:tc>
          <w:tcPr>
            <w:tcW w:w="2510" w:type="pct"/>
            <w:gridSpan w:val="3"/>
            <w:vAlign w:val="center"/>
          </w:tcPr>
          <w:p w14:paraId="6F1FE1F7">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NH</w:t>
            </w:r>
            <w:r>
              <w:rPr>
                <w:rFonts w:hint="default" w:ascii="Times New Roman" w:hAnsi="Times New Roman" w:eastAsia="宋体" w:cs="Times New Roman"/>
                <w:color w:val="auto"/>
                <w:spacing w:val="0"/>
                <w:kern w:val="0"/>
                <w:sz w:val="21"/>
                <w:szCs w:val="21"/>
                <w:vertAlign w:val="subscript"/>
              </w:rPr>
              <w:t>3</w:t>
            </w:r>
          </w:p>
        </w:tc>
        <w:tc>
          <w:tcPr>
            <w:tcW w:w="895" w:type="pct"/>
            <w:vAlign w:val="center"/>
          </w:tcPr>
          <w:p w14:paraId="0DD47657">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0.27</w:t>
            </w:r>
          </w:p>
        </w:tc>
      </w:tr>
      <w:tr w14:paraId="2FC7B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continue"/>
            <w:vAlign w:val="center"/>
          </w:tcPr>
          <w:p w14:paraId="35A253E9">
            <w:pPr>
              <w:pStyle w:val="511"/>
              <w:widowControl/>
              <w:adjustRightInd w:val="0"/>
              <w:rPr>
                <w:rFonts w:hint="default" w:ascii="Times New Roman" w:hAnsi="Times New Roman" w:eastAsia="宋体" w:cs="Times New Roman"/>
                <w:color w:val="auto"/>
                <w:spacing w:val="0"/>
                <w:kern w:val="0"/>
                <w:sz w:val="21"/>
                <w:szCs w:val="21"/>
              </w:rPr>
            </w:pPr>
          </w:p>
        </w:tc>
        <w:tc>
          <w:tcPr>
            <w:tcW w:w="2510" w:type="pct"/>
            <w:gridSpan w:val="3"/>
            <w:shd w:val="clear" w:color="auto" w:fill="auto"/>
            <w:vAlign w:val="center"/>
          </w:tcPr>
          <w:p w14:paraId="1F01E5D7">
            <w:pPr>
              <w:pStyle w:val="511"/>
              <w:widowControl/>
              <w:adjustRightInd w:val="0"/>
              <w:rPr>
                <w:rFonts w:hint="default" w:ascii="Times New Roman" w:hAnsi="Times New Roman" w:eastAsia="宋体" w:cs="Times New Roman"/>
                <w:bCs/>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H</w:t>
            </w:r>
            <w:r>
              <w:rPr>
                <w:rFonts w:hint="default" w:ascii="Times New Roman" w:hAnsi="Times New Roman" w:eastAsia="宋体" w:cs="Times New Roman"/>
                <w:color w:val="auto"/>
                <w:spacing w:val="0"/>
                <w:kern w:val="0"/>
                <w:sz w:val="21"/>
                <w:szCs w:val="21"/>
                <w:vertAlign w:val="subscript"/>
              </w:rPr>
              <w:t>2</w:t>
            </w:r>
            <w:r>
              <w:rPr>
                <w:rFonts w:hint="default" w:ascii="Times New Roman" w:hAnsi="Times New Roman" w:eastAsia="宋体" w:cs="Times New Roman"/>
                <w:color w:val="auto"/>
                <w:spacing w:val="0"/>
                <w:kern w:val="0"/>
                <w:sz w:val="21"/>
                <w:szCs w:val="21"/>
              </w:rPr>
              <w:t>S</w:t>
            </w:r>
          </w:p>
        </w:tc>
        <w:tc>
          <w:tcPr>
            <w:tcW w:w="895" w:type="pct"/>
            <w:shd w:val="clear" w:color="auto" w:fill="auto"/>
            <w:vAlign w:val="center"/>
          </w:tcPr>
          <w:p w14:paraId="180C4055">
            <w:pPr>
              <w:pStyle w:val="511"/>
              <w:widowControl/>
              <w:adjustRightInd w:val="0"/>
              <w:rPr>
                <w:rFonts w:hint="eastAsia" w:ascii="Times New Roman" w:hAnsi="Times New Roman" w:eastAsia="宋体" w:cs="Times New Roman"/>
                <w:bCs/>
                <w:color w:val="auto"/>
                <w:spacing w:val="0"/>
                <w:kern w:val="0"/>
                <w:sz w:val="21"/>
                <w:szCs w:val="21"/>
                <w:lang w:val="en-US" w:eastAsia="zh-CN" w:bidi="ar-SA"/>
              </w:rPr>
            </w:pPr>
            <w:r>
              <w:rPr>
                <w:rFonts w:hint="eastAsia" w:eastAsia="宋体" w:cs="Times New Roman"/>
                <w:color w:val="auto"/>
                <w:spacing w:val="0"/>
                <w:kern w:val="0"/>
                <w:sz w:val="21"/>
                <w:szCs w:val="21"/>
                <w:lang w:eastAsia="zh-CN"/>
              </w:rPr>
              <w:t>0.024</w:t>
            </w:r>
          </w:p>
        </w:tc>
      </w:tr>
      <w:tr w14:paraId="3B0B4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continue"/>
            <w:vAlign w:val="center"/>
          </w:tcPr>
          <w:p w14:paraId="7221CFA8">
            <w:pPr>
              <w:pStyle w:val="511"/>
              <w:widowControl/>
              <w:adjustRightInd w:val="0"/>
              <w:rPr>
                <w:rFonts w:hint="default" w:ascii="Times New Roman" w:hAnsi="Times New Roman" w:eastAsia="宋体" w:cs="Times New Roman"/>
                <w:color w:val="auto"/>
                <w:spacing w:val="0"/>
                <w:kern w:val="0"/>
                <w:sz w:val="21"/>
                <w:szCs w:val="21"/>
              </w:rPr>
            </w:pPr>
          </w:p>
        </w:tc>
        <w:tc>
          <w:tcPr>
            <w:tcW w:w="2510" w:type="pct"/>
            <w:gridSpan w:val="3"/>
            <w:shd w:val="clear" w:color="auto" w:fill="auto"/>
            <w:vAlign w:val="center"/>
          </w:tcPr>
          <w:p w14:paraId="20FFBC2B">
            <w:pPr>
              <w:jc w:val="center"/>
              <w:rPr>
                <w:rFonts w:hint="default" w:ascii="Times New Roman" w:hAnsi="Times New Roman" w:eastAsia="宋体" w:cs="Times New Roman"/>
                <w:color w:val="auto"/>
                <w:spacing w:val="0"/>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895" w:type="pct"/>
            <w:vAlign w:val="center"/>
          </w:tcPr>
          <w:p w14:paraId="0C5EBBDB">
            <w:pPr>
              <w:pStyle w:val="511"/>
              <w:widowControl/>
              <w:adjustRightInd w:val="0"/>
              <w:rPr>
                <w:rFonts w:hint="default"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48.05</w:t>
            </w:r>
          </w:p>
        </w:tc>
      </w:tr>
      <w:tr w14:paraId="47AB7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continue"/>
            <w:vAlign w:val="center"/>
          </w:tcPr>
          <w:p w14:paraId="1E1A35BB">
            <w:pPr>
              <w:pStyle w:val="511"/>
              <w:widowControl/>
              <w:adjustRightInd w:val="0"/>
              <w:rPr>
                <w:rFonts w:hint="default" w:ascii="Times New Roman" w:hAnsi="Times New Roman" w:eastAsia="宋体" w:cs="Times New Roman"/>
                <w:color w:val="auto"/>
                <w:spacing w:val="0"/>
                <w:kern w:val="0"/>
                <w:sz w:val="21"/>
                <w:szCs w:val="21"/>
              </w:rPr>
            </w:pPr>
          </w:p>
        </w:tc>
        <w:tc>
          <w:tcPr>
            <w:tcW w:w="2510" w:type="pct"/>
            <w:gridSpan w:val="3"/>
            <w:shd w:val="clear" w:color="auto" w:fill="auto"/>
            <w:vAlign w:val="center"/>
          </w:tcPr>
          <w:p w14:paraId="1AF0E1CE">
            <w:pPr>
              <w:jc w:val="center"/>
              <w:rPr>
                <w:rFonts w:hint="default" w:ascii="Times New Roman" w:hAnsi="Times New Roman" w:eastAsia="宋体" w:cs="Times New Roman"/>
                <w:color w:val="auto"/>
                <w:spacing w:val="0"/>
                <w:kern w:val="0"/>
                <w:sz w:val="21"/>
                <w:szCs w:val="21"/>
                <w:lang w:val="en-US" w:eastAsia="zh-CN" w:bidi="ar-SA"/>
              </w:rPr>
            </w:pPr>
            <w:r>
              <w:rPr>
                <w:rFonts w:hint="eastAsia" w:ascii="Times New Roman" w:hAnsi="Times New Roman" w:eastAsia="宋体" w:cs="Times New Roman"/>
                <w:color w:val="auto"/>
                <w:sz w:val="21"/>
                <w:szCs w:val="21"/>
                <w:lang w:val="en-US" w:eastAsia="zh-CN"/>
              </w:rPr>
              <w:t>非甲烷总烃</w:t>
            </w:r>
          </w:p>
        </w:tc>
        <w:tc>
          <w:tcPr>
            <w:tcW w:w="895" w:type="pct"/>
            <w:vAlign w:val="center"/>
          </w:tcPr>
          <w:p w14:paraId="4EA13C1F">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23.71</w:t>
            </w:r>
          </w:p>
        </w:tc>
      </w:tr>
      <w:tr w14:paraId="7C1B4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14:paraId="69F74A57">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有组织排放总计</w:t>
            </w:r>
          </w:p>
        </w:tc>
      </w:tr>
      <w:tr w14:paraId="76845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restart"/>
            <w:vAlign w:val="center"/>
          </w:tcPr>
          <w:p w14:paraId="2F453282">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有组织排放总计</w:t>
            </w:r>
          </w:p>
        </w:tc>
        <w:tc>
          <w:tcPr>
            <w:tcW w:w="2510" w:type="pct"/>
            <w:gridSpan w:val="3"/>
            <w:vAlign w:val="center"/>
          </w:tcPr>
          <w:p w14:paraId="28CEA465">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NH</w:t>
            </w:r>
            <w:r>
              <w:rPr>
                <w:rFonts w:hint="default" w:ascii="Times New Roman" w:hAnsi="Times New Roman" w:eastAsia="宋体" w:cs="Times New Roman"/>
                <w:color w:val="auto"/>
                <w:spacing w:val="0"/>
                <w:kern w:val="0"/>
                <w:sz w:val="21"/>
                <w:szCs w:val="21"/>
                <w:vertAlign w:val="subscript"/>
              </w:rPr>
              <w:t>3</w:t>
            </w:r>
          </w:p>
        </w:tc>
        <w:tc>
          <w:tcPr>
            <w:tcW w:w="1658" w:type="dxa"/>
            <w:vAlign w:val="center"/>
          </w:tcPr>
          <w:p w14:paraId="3BC104C7">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0.27</w:t>
            </w:r>
          </w:p>
        </w:tc>
      </w:tr>
      <w:tr w14:paraId="5D87A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continue"/>
            <w:vAlign w:val="center"/>
          </w:tcPr>
          <w:p w14:paraId="750B0906">
            <w:pPr>
              <w:pStyle w:val="511"/>
              <w:widowControl/>
              <w:adjustRightInd w:val="0"/>
              <w:rPr>
                <w:rFonts w:hint="default" w:ascii="Times New Roman" w:hAnsi="Times New Roman" w:eastAsia="宋体" w:cs="Times New Roman"/>
                <w:color w:val="auto"/>
                <w:spacing w:val="0"/>
                <w:kern w:val="0"/>
                <w:sz w:val="21"/>
                <w:szCs w:val="21"/>
              </w:rPr>
            </w:pPr>
          </w:p>
        </w:tc>
        <w:tc>
          <w:tcPr>
            <w:tcW w:w="2510" w:type="pct"/>
            <w:gridSpan w:val="3"/>
            <w:shd w:val="clear" w:color="auto" w:fill="auto"/>
            <w:vAlign w:val="center"/>
          </w:tcPr>
          <w:p w14:paraId="2DD916DE">
            <w:pPr>
              <w:pStyle w:val="511"/>
              <w:widowControl/>
              <w:adjustRightInd w:val="0"/>
              <w:rPr>
                <w:rFonts w:hint="default" w:ascii="Times New Roman" w:hAnsi="Times New Roman" w:eastAsia="宋体" w:cs="Times New Roman"/>
                <w:bCs/>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rPr>
              <w:t>H</w:t>
            </w:r>
            <w:r>
              <w:rPr>
                <w:rFonts w:hint="default" w:ascii="Times New Roman" w:hAnsi="Times New Roman" w:eastAsia="宋体" w:cs="Times New Roman"/>
                <w:color w:val="auto"/>
                <w:spacing w:val="0"/>
                <w:kern w:val="0"/>
                <w:sz w:val="21"/>
                <w:szCs w:val="21"/>
                <w:vertAlign w:val="subscript"/>
              </w:rPr>
              <w:t>2</w:t>
            </w:r>
            <w:r>
              <w:rPr>
                <w:rFonts w:hint="default" w:ascii="Times New Roman" w:hAnsi="Times New Roman" w:eastAsia="宋体" w:cs="Times New Roman"/>
                <w:color w:val="auto"/>
                <w:spacing w:val="0"/>
                <w:kern w:val="0"/>
                <w:sz w:val="21"/>
                <w:szCs w:val="21"/>
              </w:rPr>
              <w:t>S</w:t>
            </w:r>
          </w:p>
        </w:tc>
        <w:tc>
          <w:tcPr>
            <w:tcW w:w="1658" w:type="dxa"/>
            <w:shd w:val="clear" w:color="auto" w:fill="auto"/>
            <w:vAlign w:val="center"/>
          </w:tcPr>
          <w:p w14:paraId="46E8251A">
            <w:pPr>
              <w:pStyle w:val="511"/>
              <w:widowControl/>
              <w:adjustRightInd w:val="0"/>
              <w:rPr>
                <w:rFonts w:hint="eastAsia" w:ascii="Times New Roman" w:hAnsi="Times New Roman" w:eastAsia="宋体" w:cs="Times New Roman"/>
                <w:bCs/>
                <w:color w:val="auto"/>
                <w:spacing w:val="0"/>
                <w:kern w:val="0"/>
                <w:sz w:val="21"/>
                <w:szCs w:val="21"/>
                <w:lang w:val="en-US" w:eastAsia="zh-CN" w:bidi="ar-SA"/>
              </w:rPr>
            </w:pPr>
            <w:r>
              <w:rPr>
                <w:rFonts w:hint="eastAsia" w:eastAsia="宋体" w:cs="Times New Roman"/>
                <w:color w:val="auto"/>
                <w:spacing w:val="0"/>
                <w:kern w:val="0"/>
                <w:sz w:val="21"/>
                <w:szCs w:val="21"/>
                <w:lang w:eastAsia="zh-CN"/>
              </w:rPr>
              <w:t>0.024</w:t>
            </w:r>
          </w:p>
        </w:tc>
      </w:tr>
      <w:tr w14:paraId="2BB0B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continue"/>
            <w:vAlign w:val="center"/>
          </w:tcPr>
          <w:p w14:paraId="3B8C8FE6">
            <w:pPr>
              <w:pStyle w:val="511"/>
              <w:widowControl/>
              <w:adjustRightInd w:val="0"/>
              <w:rPr>
                <w:rFonts w:hint="default" w:ascii="Times New Roman" w:hAnsi="Times New Roman" w:eastAsia="宋体" w:cs="Times New Roman"/>
                <w:color w:val="auto"/>
                <w:spacing w:val="0"/>
                <w:kern w:val="0"/>
                <w:sz w:val="21"/>
                <w:szCs w:val="21"/>
              </w:rPr>
            </w:pPr>
          </w:p>
        </w:tc>
        <w:tc>
          <w:tcPr>
            <w:tcW w:w="2510" w:type="pct"/>
            <w:gridSpan w:val="3"/>
            <w:shd w:val="clear" w:color="auto" w:fill="auto"/>
            <w:vAlign w:val="center"/>
          </w:tcPr>
          <w:p w14:paraId="619F071D">
            <w:pPr>
              <w:jc w:val="center"/>
              <w:rPr>
                <w:rFonts w:hint="default" w:ascii="Times New Roman" w:hAnsi="Times New Roman" w:eastAsia="宋体" w:cs="Times New Roman"/>
                <w:color w:val="auto"/>
                <w:spacing w:val="0"/>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658" w:type="dxa"/>
            <w:vAlign w:val="center"/>
          </w:tcPr>
          <w:p w14:paraId="66300A17">
            <w:pPr>
              <w:pStyle w:val="511"/>
              <w:widowControl/>
              <w:adjustRightInd w:val="0"/>
              <w:rPr>
                <w:rFonts w:hint="eastAsia" w:eastAsia="宋体" w:cs="Times New Roman"/>
                <w:color w:val="auto"/>
                <w:spacing w:val="0"/>
                <w:kern w:val="0"/>
                <w:sz w:val="21"/>
                <w:szCs w:val="21"/>
                <w:lang w:eastAsia="zh-CN"/>
              </w:rPr>
            </w:pPr>
            <w:r>
              <w:rPr>
                <w:rFonts w:hint="eastAsia" w:eastAsia="宋体" w:cs="Times New Roman"/>
                <w:color w:val="auto"/>
                <w:spacing w:val="0"/>
                <w:kern w:val="0"/>
                <w:sz w:val="21"/>
                <w:szCs w:val="21"/>
                <w:lang w:val="en-US" w:eastAsia="zh-CN"/>
              </w:rPr>
              <w:t>48.05</w:t>
            </w:r>
          </w:p>
        </w:tc>
      </w:tr>
      <w:tr w14:paraId="0AEF4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93" w:type="pct"/>
            <w:gridSpan w:val="2"/>
            <w:vMerge w:val="continue"/>
            <w:vAlign w:val="center"/>
          </w:tcPr>
          <w:p w14:paraId="75898D90">
            <w:pPr>
              <w:pStyle w:val="511"/>
              <w:widowControl/>
              <w:adjustRightInd w:val="0"/>
              <w:rPr>
                <w:rFonts w:hint="default" w:ascii="Times New Roman" w:hAnsi="Times New Roman" w:eastAsia="宋体" w:cs="Times New Roman"/>
                <w:color w:val="auto"/>
                <w:spacing w:val="0"/>
                <w:kern w:val="0"/>
                <w:sz w:val="21"/>
                <w:szCs w:val="21"/>
              </w:rPr>
            </w:pPr>
          </w:p>
        </w:tc>
        <w:tc>
          <w:tcPr>
            <w:tcW w:w="2510" w:type="pct"/>
            <w:gridSpan w:val="3"/>
            <w:shd w:val="clear" w:color="auto" w:fill="auto"/>
            <w:vAlign w:val="center"/>
          </w:tcPr>
          <w:p w14:paraId="5C63E2FE">
            <w:pPr>
              <w:jc w:val="center"/>
              <w:rPr>
                <w:rFonts w:hint="default" w:ascii="Times New Roman" w:hAnsi="Times New Roman" w:eastAsia="宋体" w:cs="Times New Roman"/>
                <w:color w:val="auto"/>
                <w:spacing w:val="0"/>
                <w:kern w:val="0"/>
                <w:sz w:val="21"/>
                <w:szCs w:val="21"/>
                <w:lang w:val="en-US" w:eastAsia="zh-CN" w:bidi="ar-SA"/>
              </w:rPr>
            </w:pPr>
            <w:r>
              <w:rPr>
                <w:rFonts w:hint="eastAsia" w:ascii="Times New Roman" w:hAnsi="Times New Roman" w:eastAsia="宋体" w:cs="Times New Roman"/>
                <w:color w:val="auto"/>
                <w:sz w:val="21"/>
                <w:szCs w:val="21"/>
                <w:lang w:val="en-US" w:eastAsia="zh-CN"/>
              </w:rPr>
              <w:t>非甲烷总烃</w:t>
            </w:r>
          </w:p>
        </w:tc>
        <w:tc>
          <w:tcPr>
            <w:tcW w:w="1658" w:type="dxa"/>
            <w:vAlign w:val="center"/>
          </w:tcPr>
          <w:p w14:paraId="2900C801">
            <w:pPr>
              <w:pStyle w:val="511"/>
              <w:widowControl/>
              <w:adjustRightInd w:val="0"/>
              <w:rPr>
                <w:rFonts w:hint="eastAsia" w:ascii="Times New Roman" w:hAnsi="Times New Roman" w:eastAsia="宋体" w:cs="Times New Roman"/>
                <w:color w:val="auto"/>
                <w:spacing w:val="0"/>
                <w:kern w:val="0"/>
                <w:sz w:val="21"/>
                <w:szCs w:val="21"/>
                <w:lang w:eastAsia="zh-CN"/>
              </w:rPr>
            </w:pPr>
            <w:r>
              <w:rPr>
                <w:rFonts w:hint="eastAsia" w:eastAsia="宋体" w:cs="Times New Roman"/>
                <w:color w:val="auto"/>
                <w:spacing w:val="0"/>
                <w:kern w:val="0"/>
                <w:sz w:val="21"/>
                <w:szCs w:val="21"/>
                <w:lang w:val="en-US" w:eastAsia="zh-CN"/>
              </w:rPr>
              <w:t>23.71</w:t>
            </w:r>
          </w:p>
        </w:tc>
      </w:tr>
    </w:tbl>
    <w:p w14:paraId="4EDC06DB">
      <w:pPr>
        <w:jc w:val="center"/>
        <w:rPr>
          <w:b/>
          <w:lang w:bidi="ar"/>
        </w:rPr>
      </w:pPr>
      <w:r>
        <w:rPr>
          <w:b/>
          <w:lang w:bidi="ar"/>
        </w:rPr>
        <w:t>表5</w:t>
      </w:r>
      <w:r>
        <w:rPr>
          <w:rFonts w:hint="eastAsia"/>
          <w:b/>
          <w:lang w:val="en-US" w:eastAsia="zh-CN" w:bidi="ar"/>
        </w:rPr>
        <w:t>.</w:t>
      </w:r>
      <w:r>
        <w:rPr>
          <w:b/>
          <w:lang w:bidi="ar"/>
        </w:rPr>
        <w:t>2-</w:t>
      </w:r>
      <w:r>
        <w:rPr>
          <w:rFonts w:hint="eastAsia"/>
          <w:b/>
          <w:lang w:val="en-US" w:eastAsia="zh-CN" w:bidi="ar"/>
        </w:rPr>
        <w:t>19</w:t>
      </w:r>
      <w:r>
        <w:rPr>
          <w:b/>
          <w:lang w:bidi="ar"/>
        </w:rPr>
        <w:t xml:space="preserve"> 大气污染物无组织排放量核算表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1"/>
        <w:gridCol w:w="804"/>
        <w:gridCol w:w="963"/>
        <w:gridCol w:w="3163"/>
        <w:gridCol w:w="2035"/>
        <w:gridCol w:w="1486"/>
      </w:tblGrid>
      <w:tr w14:paraId="5E3F6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Merge w:val="restart"/>
            <w:vAlign w:val="center"/>
          </w:tcPr>
          <w:p w14:paraId="48AA7D5B">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序号</w:t>
            </w:r>
          </w:p>
        </w:tc>
        <w:tc>
          <w:tcPr>
            <w:tcW w:w="435" w:type="pct"/>
            <w:vMerge w:val="restart"/>
            <w:vAlign w:val="center"/>
          </w:tcPr>
          <w:p w14:paraId="0FBF856C">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产物环节</w:t>
            </w:r>
          </w:p>
        </w:tc>
        <w:tc>
          <w:tcPr>
            <w:tcW w:w="521" w:type="pct"/>
            <w:vMerge w:val="restart"/>
            <w:vAlign w:val="center"/>
          </w:tcPr>
          <w:p w14:paraId="2EB666C8">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污染物</w:t>
            </w:r>
          </w:p>
        </w:tc>
        <w:tc>
          <w:tcPr>
            <w:tcW w:w="2812" w:type="pct"/>
            <w:gridSpan w:val="2"/>
            <w:vAlign w:val="center"/>
          </w:tcPr>
          <w:p w14:paraId="661B650B">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国家或地方污染物排放标准</w:t>
            </w:r>
          </w:p>
        </w:tc>
        <w:tc>
          <w:tcPr>
            <w:tcW w:w="804" w:type="pct"/>
            <w:vMerge w:val="restart"/>
            <w:vAlign w:val="center"/>
          </w:tcPr>
          <w:p w14:paraId="029EB269">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年排放量（t/a）</w:t>
            </w:r>
          </w:p>
        </w:tc>
      </w:tr>
      <w:tr w14:paraId="1C38F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Merge w:val="continue"/>
            <w:vAlign w:val="center"/>
          </w:tcPr>
          <w:p w14:paraId="29A6EEBF">
            <w:pPr>
              <w:pStyle w:val="511"/>
              <w:widowControl/>
              <w:adjustRightInd w:val="0"/>
              <w:rPr>
                <w:rFonts w:hint="default" w:ascii="Times New Roman" w:hAnsi="Times New Roman" w:eastAsia="宋体" w:cs="Times New Roman"/>
                <w:color w:val="auto"/>
                <w:spacing w:val="0"/>
                <w:kern w:val="0"/>
                <w:sz w:val="21"/>
                <w:szCs w:val="21"/>
              </w:rPr>
            </w:pPr>
          </w:p>
        </w:tc>
        <w:tc>
          <w:tcPr>
            <w:tcW w:w="435" w:type="pct"/>
            <w:vMerge w:val="continue"/>
            <w:vAlign w:val="center"/>
          </w:tcPr>
          <w:p w14:paraId="438D2230">
            <w:pPr>
              <w:pStyle w:val="511"/>
              <w:widowControl/>
              <w:adjustRightInd w:val="0"/>
              <w:rPr>
                <w:rFonts w:hint="default" w:ascii="Times New Roman" w:hAnsi="Times New Roman" w:eastAsia="宋体" w:cs="Times New Roman"/>
                <w:color w:val="auto"/>
                <w:spacing w:val="0"/>
                <w:kern w:val="0"/>
                <w:sz w:val="21"/>
                <w:szCs w:val="21"/>
              </w:rPr>
            </w:pPr>
          </w:p>
        </w:tc>
        <w:tc>
          <w:tcPr>
            <w:tcW w:w="521" w:type="pct"/>
            <w:vMerge w:val="continue"/>
            <w:vAlign w:val="center"/>
          </w:tcPr>
          <w:p w14:paraId="7D75B680">
            <w:pPr>
              <w:pStyle w:val="511"/>
              <w:widowControl/>
              <w:adjustRightInd w:val="0"/>
              <w:rPr>
                <w:rFonts w:hint="default" w:ascii="Times New Roman" w:hAnsi="Times New Roman" w:eastAsia="宋体" w:cs="Times New Roman"/>
                <w:color w:val="auto"/>
                <w:spacing w:val="0"/>
                <w:kern w:val="0"/>
                <w:sz w:val="21"/>
                <w:szCs w:val="21"/>
              </w:rPr>
            </w:pPr>
          </w:p>
        </w:tc>
        <w:tc>
          <w:tcPr>
            <w:tcW w:w="1711" w:type="pct"/>
            <w:vAlign w:val="center"/>
          </w:tcPr>
          <w:p w14:paraId="15700074">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标准名称</w:t>
            </w:r>
          </w:p>
        </w:tc>
        <w:tc>
          <w:tcPr>
            <w:tcW w:w="1101" w:type="pct"/>
            <w:vAlign w:val="center"/>
          </w:tcPr>
          <w:p w14:paraId="52192DA4">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浓度限值（mg/m</w:t>
            </w:r>
            <w:r>
              <w:rPr>
                <w:rFonts w:hint="default" w:ascii="Times New Roman" w:hAnsi="Times New Roman" w:eastAsia="宋体" w:cs="Times New Roman"/>
                <w:color w:val="auto"/>
                <w:spacing w:val="0"/>
                <w:kern w:val="0"/>
                <w:sz w:val="21"/>
                <w:szCs w:val="21"/>
                <w:vertAlign w:val="superscript"/>
              </w:rPr>
              <w:t>3</w:t>
            </w:r>
            <w:r>
              <w:rPr>
                <w:rFonts w:hint="default" w:ascii="Times New Roman" w:hAnsi="Times New Roman" w:eastAsia="宋体" w:cs="Times New Roman"/>
                <w:color w:val="auto"/>
                <w:spacing w:val="0"/>
                <w:kern w:val="0"/>
                <w:sz w:val="21"/>
                <w:szCs w:val="21"/>
              </w:rPr>
              <w:t>）</w:t>
            </w:r>
          </w:p>
        </w:tc>
        <w:tc>
          <w:tcPr>
            <w:tcW w:w="804" w:type="pct"/>
            <w:vMerge w:val="continue"/>
            <w:vAlign w:val="center"/>
          </w:tcPr>
          <w:p w14:paraId="233D948C">
            <w:pPr>
              <w:pStyle w:val="511"/>
              <w:widowControl/>
              <w:adjustRightInd w:val="0"/>
              <w:rPr>
                <w:rFonts w:hint="default" w:ascii="Times New Roman" w:hAnsi="Times New Roman" w:eastAsia="宋体" w:cs="Times New Roman"/>
                <w:color w:val="auto"/>
                <w:spacing w:val="0"/>
                <w:kern w:val="0"/>
                <w:sz w:val="21"/>
                <w:szCs w:val="21"/>
              </w:rPr>
            </w:pPr>
          </w:p>
        </w:tc>
      </w:tr>
      <w:tr w14:paraId="793D2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Merge w:val="restart"/>
            <w:vAlign w:val="center"/>
          </w:tcPr>
          <w:p w14:paraId="6234DB49">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1</w:t>
            </w:r>
          </w:p>
        </w:tc>
        <w:tc>
          <w:tcPr>
            <w:tcW w:w="435" w:type="pct"/>
            <w:vMerge w:val="restart"/>
            <w:vAlign w:val="center"/>
          </w:tcPr>
          <w:p w14:paraId="18516BE4">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污水处理</w:t>
            </w:r>
          </w:p>
        </w:tc>
        <w:tc>
          <w:tcPr>
            <w:tcW w:w="521" w:type="pct"/>
            <w:vAlign w:val="center"/>
          </w:tcPr>
          <w:p w14:paraId="7008824D">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NH</w:t>
            </w:r>
            <w:r>
              <w:rPr>
                <w:rFonts w:hint="default" w:ascii="Times New Roman" w:hAnsi="Times New Roman" w:eastAsia="宋体" w:cs="Times New Roman"/>
                <w:color w:val="auto"/>
                <w:spacing w:val="0"/>
                <w:kern w:val="0"/>
                <w:sz w:val="21"/>
                <w:szCs w:val="21"/>
                <w:vertAlign w:val="subscript"/>
              </w:rPr>
              <w:t>3</w:t>
            </w:r>
          </w:p>
        </w:tc>
        <w:tc>
          <w:tcPr>
            <w:tcW w:w="1711" w:type="pct"/>
            <w:vMerge w:val="restart"/>
            <w:vAlign w:val="center"/>
          </w:tcPr>
          <w:p w14:paraId="03261984">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sz w:val="21"/>
                <w:szCs w:val="21"/>
              </w:rPr>
              <w:t>《城镇污水处理厂污染物排放标准》（GB18918-2002）</w:t>
            </w:r>
          </w:p>
        </w:tc>
        <w:tc>
          <w:tcPr>
            <w:tcW w:w="1101" w:type="pct"/>
            <w:vAlign w:val="center"/>
          </w:tcPr>
          <w:p w14:paraId="5BA6E9B7">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1.5</w:t>
            </w:r>
          </w:p>
        </w:tc>
        <w:tc>
          <w:tcPr>
            <w:tcW w:w="804" w:type="pct"/>
            <w:vAlign w:val="center"/>
          </w:tcPr>
          <w:p w14:paraId="1D04B727">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0.33</w:t>
            </w:r>
          </w:p>
        </w:tc>
      </w:tr>
      <w:tr w14:paraId="4C2CB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pct"/>
            <w:vMerge w:val="continue"/>
            <w:vAlign w:val="center"/>
          </w:tcPr>
          <w:p w14:paraId="4AF3CE51">
            <w:pPr>
              <w:pStyle w:val="511"/>
              <w:widowControl/>
              <w:adjustRightInd w:val="0"/>
              <w:rPr>
                <w:rFonts w:hint="default" w:ascii="Times New Roman" w:hAnsi="Times New Roman" w:eastAsia="宋体" w:cs="Times New Roman"/>
                <w:color w:val="auto"/>
                <w:spacing w:val="0"/>
                <w:kern w:val="0"/>
                <w:sz w:val="21"/>
                <w:szCs w:val="21"/>
              </w:rPr>
            </w:pPr>
          </w:p>
        </w:tc>
        <w:tc>
          <w:tcPr>
            <w:tcW w:w="435" w:type="pct"/>
            <w:vMerge w:val="continue"/>
            <w:vAlign w:val="center"/>
          </w:tcPr>
          <w:p w14:paraId="0716B2FE">
            <w:pPr>
              <w:pStyle w:val="511"/>
              <w:widowControl/>
              <w:adjustRightInd w:val="0"/>
              <w:rPr>
                <w:rFonts w:hint="default" w:ascii="Times New Roman" w:hAnsi="Times New Roman" w:eastAsia="宋体" w:cs="Times New Roman"/>
                <w:color w:val="auto"/>
                <w:spacing w:val="0"/>
                <w:kern w:val="0"/>
                <w:sz w:val="21"/>
                <w:szCs w:val="21"/>
              </w:rPr>
            </w:pPr>
          </w:p>
        </w:tc>
        <w:tc>
          <w:tcPr>
            <w:tcW w:w="521" w:type="pct"/>
            <w:vAlign w:val="center"/>
          </w:tcPr>
          <w:p w14:paraId="4AD63194">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H</w:t>
            </w:r>
            <w:r>
              <w:rPr>
                <w:rFonts w:hint="default" w:ascii="Times New Roman" w:hAnsi="Times New Roman" w:eastAsia="宋体" w:cs="Times New Roman"/>
                <w:color w:val="auto"/>
                <w:spacing w:val="0"/>
                <w:kern w:val="0"/>
                <w:sz w:val="21"/>
                <w:szCs w:val="21"/>
                <w:vertAlign w:val="subscript"/>
              </w:rPr>
              <w:t>2</w:t>
            </w:r>
            <w:r>
              <w:rPr>
                <w:rFonts w:hint="default" w:ascii="Times New Roman" w:hAnsi="Times New Roman" w:eastAsia="宋体" w:cs="Times New Roman"/>
                <w:color w:val="auto"/>
                <w:spacing w:val="0"/>
                <w:kern w:val="0"/>
                <w:sz w:val="21"/>
                <w:szCs w:val="21"/>
              </w:rPr>
              <w:t>S</w:t>
            </w:r>
          </w:p>
        </w:tc>
        <w:tc>
          <w:tcPr>
            <w:tcW w:w="1711" w:type="pct"/>
            <w:vMerge w:val="continue"/>
            <w:vAlign w:val="center"/>
          </w:tcPr>
          <w:p w14:paraId="53EC6A5A">
            <w:pPr>
              <w:pStyle w:val="511"/>
              <w:widowControl/>
              <w:adjustRightInd w:val="0"/>
              <w:rPr>
                <w:rFonts w:hint="default" w:ascii="Times New Roman" w:hAnsi="Times New Roman" w:eastAsia="宋体" w:cs="Times New Roman"/>
                <w:color w:val="auto"/>
                <w:spacing w:val="0"/>
                <w:kern w:val="0"/>
                <w:sz w:val="21"/>
                <w:szCs w:val="21"/>
              </w:rPr>
            </w:pPr>
          </w:p>
        </w:tc>
        <w:tc>
          <w:tcPr>
            <w:tcW w:w="1101" w:type="pct"/>
            <w:vAlign w:val="center"/>
          </w:tcPr>
          <w:p w14:paraId="3914D514">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0.06</w:t>
            </w:r>
          </w:p>
        </w:tc>
        <w:tc>
          <w:tcPr>
            <w:tcW w:w="804" w:type="pct"/>
            <w:vAlign w:val="center"/>
          </w:tcPr>
          <w:p w14:paraId="281534B5">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0.026</w:t>
            </w:r>
          </w:p>
        </w:tc>
      </w:tr>
      <w:tr w14:paraId="220898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vAlign w:val="center"/>
          </w:tcPr>
          <w:p w14:paraId="6635CAFD">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sz w:val="21"/>
                <w:szCs w:val="21"/>
              </w:rPr>
              <w:t>无组织排放总计</w:t>
            </w:r>
          </w:p>
        </w:tc>
      </w:tr>
      <w:tr w14:paraId="2C810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gridSpan w:val="3"/>
            <w:vMerge w:val="restart"/>
            <w:vAlign w:val="center"/>
          </w:tcPr>
          <w:p w14:paraId="40F5F55B">
            <w:pPr>
              <w:snapToGrid w:val="0"/>
              <w:spacing w:line="440" w:lineRule="exact"/>
              <w:jc w:val="center"/>
              <w:rPr>
                <w:rFonts w:hint="default" w:ascii="Times New Roman" w:hAnsi="Times New Roman" w:eastAsia="宋体" w:cs="Times New Roman"/>
                <w:kern w:val="0"/>
                <w:sz w:val="21"/>
                <w:szCs w:val="21"/>
              </w:rPr>
            </w:pPr>
            <w:r>
              <w:rPr>
                <w:rFonts w:hint="default" w:ascii="Times New Roman" w:hAnsi="Times New Roman" w:eastAsia="宋体" w:cs="Times New Roman"/>
                <w:bCs/>
                <w:sz w:val="21"/>
                <w:szCs w:val="21"/>
              </w:rPr>
              <w:t>无组织排放总计</w:t>
            </w:r>
          </w:p>
        </w:tc>
        <w:tc>
          <w:tcPr>
            <w:tcW w:w="1711" w:type="pct"/>
            <w:vAlign w:val="center"/>
          </w:tcPr>
          <w:p w14:paraId="4BBE0D31">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NH</w:t>
            </w:r>
            <w:r>
              <w:rPr>
                <w:rFonts w:hint="default" w:ascii="Times New Roman" w:hAnsi="Times New Roman" w:eastAsia="宋体" w:cs="Times New Roman"/>
                <w:color w:val="auto"/>
                <w:spacing w:val="0"/>
                <w:kern w:val="0"/>
                <w:sz w:val="21"/>
                <w:szCs w:val="21"/>
                <w:vertAlign w:val="subscript"/>
              </w:rPr>
              <w:t>3</w:t>
            </w:r>
          </w:p>
        </w:tc>
        <w:tc>
          <w:tcPr>
            <w:tcW w:w="3521" w:type="dxa"/>
            <w:gridSpan w:val="2"/>
            <w:vAlign w:val="center"/>
          </w:tcPr>
          <w:p w14:paraId="50A3176B">
            <w:pPr>
              <w:pStyle w:val="511"/>
              <w:widowControl/>
              <w:adjustRightInd w:val="0"/>
              <w:rPr>
                <w:rFonts w:hint="eastAsia" w:ascii="Times New Roman" w:hAnsi="Times New Roman" w:eastAsia="宋体" w:cs="Times New Roman"/>
                <w:color w:val="auto"/>
                <w:spacing w:val="0"/>
                <w:kern w:val="0"/>
                <w:sz w:val="21"/>
                <w:szCs w:val="21"/>
                <w:lang w:eastAsia="zh-CN"/>
              </w:rPr>
            </w:pPr>
            <w:r>
              <w:rPr>
                <w:rFonts w:hint="eastAsia" w:eastAsia="宋体" w:cs="Times New Roman"/>
                <w:color w:val="auto"/>
                <w:spacing w:val="0"/>
                <w:kern w:val="0"/>
                <w:sz w:val="21"/>
                <w:szCs w:val="21"/>
                <w:lang w:val="en-US" w:eastAsia="zh-CN"/>
              </w:rPr>
              <w:t>0.33</w:t>
            </w:r>
          </w:p>
        </w:tc>
      </w:tr>
      <w:tr w14:paraId="2457B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pct"/>
            <w:gridSpan w:val="3"/>
            <w:vMerge w:val="continue"/>
            <w:vAlign w:val="center"/>
          </w:tcPr>
          <w:p w14:paraId="2E159576">
            <w:pPr>
              <w:snapToGrid w:val="0"/>
              <w:spacing w:line="440" w:lineRule="exact"/>
              <w:jc w:val="center"/>
              <w:rPr>
                <w:rFonts w:hint="default" w:ascii="Times New Roman" w:hAnsi="Times New Roman" w:eastAsia="宋体" w:cs="Times New Roman"/>
                <w:kern w:val="0"/>
                <w:sz w:val="21"/>
                <w:szCs w:val="21"/>
              </w:rPr>
            </w:pPr>
          </w:p>
        </w:tc>
        <w:tc>
          <w:tcPr>
            <w:tcW w:w="1711" w:type="pct"/>
            <w:vAlign w:val="center"/>
          </w:tcPr>
          <w:p w14:paraId="38AB2C77">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H</w:t>
            </w:r>
            <w:r>
              <w:rPr>
                <w:rFonts w:hint="default" w:ascii="Times New Roman" w:hAnsi="Times New Roman" w:eastAsia="宋体" w:cs="Times New Roman"/>
                <w:color w:val="auto"/>
                <w:spacing w:val="0"/>
                <w:kern w:val="0"/>
                <w:sz w:val="21"/>
                <w:szCs w:val="21"/>
                <w:vertAlign w:val="subscript"/>
              </w:rPr>
              <w:t>2</w:t>
            </w:r>
            <w:r>
              <w:rPr>
                <w:rFonts w:hint="default" w:ascii="Times New Roman" w:hAnsi="Times New Roman" w:eastAsia="宋体" w:cs="Times New Roman"/>
                <w:color w:val="auto"/>
                <w:spacing w:val="0"/>
                <w:kern w:val="0"/>
                <w:sz w:val="21"/>
                <w:szCs w:val="21"/>
              </w:rPr>
              <w:t>S</w:t>
            </w:r>
          </w:p>
        </w:tc>
        <w:tc>
          <w:tcPr>
            <w:tcW w:w="3521" w:type="dxa"/>
            <w:gridSpan w:val="2"/>
            <w:vAlign w:val="center"/>
          </w:tcPr>
          <w:p w14:paraId="7DDAB55B">
            <w:pPr>
              <w:pStyle w:val="511"/>
              <w:widowControl/>
              <w:adjustRightInd w:val="0"/>
              <w:rPr>
                <w:rFonts w:hint="eastAsia" w:ascii="Times New Roman" w:hAnsi="Times New Roman" w:eastAsia="宋体" w:cs="Times New Roman"/>
                <w:color w:val="auto"/>
                <w:spacing w:val="0"/>
                <w:kern w:val="0"/>
                <w:sz w:val="21"/>
                <w:szCs w:val="21"/>
                <w:lang w:eastAsia="zh-CN"/>
              </w:rPr>
            </w:pPr>
            <w:r>
              <w:rPr>
                <w:rFonts w:hint="eastAsia" w:eastAsia="宋体" w:cs="Times New Roman"/>
                <w:color w:val="auto"/>
                <w:spacing w:val="0"/>
                <w:kern w:val="0"/>
                <w:sz w:val="21"/>
                <w:szCs w:val="21"/>
                <w:lang w:val="en-US" w:eastAsia="zh-CN"/>
              </w:rPr>
              <w:t>0.026</w:t>
            </w:r>
          </w:p>
        </w:tc>
      </w:tr>
    </w:tbl>
    <w:p w14:paraId="0B62FA8A">
      <w:pPr>
        <w:jc w:val="center"/>
        <w:rPr>
          <w:b/>
          <w:lang w:bidi="ar"/>
        </w:rPr>
      </w:pPr>
      <w:r>
        <w:rPr>
          <w:b/>
          <w:lang w:bidi="ar"/>
        </w:rPr>
        <w:t>表5</w:t>
      </w:r>
      <w:r>
        <w:rPr>
          <w:rFonts w:hint="eastAsia"/>
          <w:b/>
          <w:lang w:val="en-US" w:eastAsia="zh-CN" w:bidi="ar"/>
        </w:rPr>
        <w:t>.</w:t>
      </w:r>
      <w:r>
        <w:rPr>
          <w:b/>
          <w:lang w:bidi="ar"/>
        </w:rPr>
        <w:t>2-</w:t>
      </w:r>
      <w:r>
        <w:rPr>
          <w:rFonts w:hint="eastAsia"/>
          <w:b/>
          <w:lang w:val="en-US" w:eastAsia="zh-CN" w:bidi="ar"/>
        </w:rPr>
        <w:t>20</w:t>
      </w:r>
      <w:r>
        <w:rPr>
          <w:b/>
          <w:lang w:bidi="ar"/>
        </w:rPr>
        <w:t xml:space="preserve"> 大气污染物年排放量核算表</w:t>
      </w:r>
    </w:p>
    <w:tbl>
      <w:tblPr>
        <w:tblStyle w:val="5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1"/>
        <w:gridCol w:w="4897"/>
        <w:gridCol w:w="3044"/>
      </w:tblGrid>
      <w:tr w14:paraId="7BC6B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pct"/>
            <w:vAlign w:val="center"/>
          </w:tcPr>
          <w:p w14:paraId="157524F2">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序号</w:t>
            </w:r>
          </w:p>
        </w:tc>
        <w:tc>
          <w:tcPr>
            <w:tcW w:w="2648" w:type="pct"/>
            <w:vAlign w:val="center"/>
          </w:tcPr>
          <w:p w14:paraId="730E7D5E">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污染物</w:t>
            </w:r>
          </w:p>
        </w:tc>
        <w:tc>
          <w:tcPr>
            <w:tcW w:w="1646" w:type="pct"/>
            <w:vAlign w:val="center"/>
          </w:tcPr>
          <w:p w14:paraId="5A98BD2F">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年排放量（t/a）</w:t>
            </w:r>
          </w:p>
        </w:tc>
      </w:tr>
      <w:tr w14:paraId="6A656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4" w:type="pct"/>
            <w:vAlign w:val="center"/>
          </w:tcPr>
          <w:p w14:paraId="146FEA8D">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1</w:t>
            </w:r>
          </w:p>
        </w:tc>
        <w:tc>
          <w:tcPr>
            <w:tcW w:w="2648" w:type="pct"/>
            <w:vAlign w:val="center"/>
          </w:tcPr>
          <w:p w14:paraId="74BA2362">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NH</w:t>
            </w:r>
            <w:r>
              <w:rPr>
                <w:rFonts w:hint="default" w:ascii="Times New Roman" w:hAnsi="Times New Roman" w:eastAsia="宋体" w:cs="Times New Roman"/>
                <w:color w:val="auto"/>
                <w:spacing w:val="0"/>
                <w:kern w:val="0"/>
                <w:sz w:val="21"/>
                <w:szCs w:val="21"/>
                <w:vertAlign w:val="subscript"/>
              </w:rPr>
              <w:t>3</w:t>
            </w:r>
          </w:p>
        </w:tc>
        <w:tc>
          <w:tcPr>
            <w:tcW w:w="1646" w:type="pct"/>
            <w:vAlign w:val="center"/>
          </w:tcPr>
          <w:p w14:paraId="31A82A48">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0.6</w:t>
            </w:r>
          </w:p>
        </w:tc>
      </w:tr>
      <w:tr w14:paraId="6B08E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704" w:type="pct"/>
            <w:vAlign w:val="center"/>
          </w:tcPr>
          <w:p w14:paraId="704B0C4D">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2</w:t>
            </w:r>
          </w:p>
        </w:tc>
        <w:tc>
          <w:tcPr>
            <w:tcW w:w="2648" w:type="pct"/>
            <w:vAlign w:val="center"/>
          </w:tcPr>
          <w:p w14:paraId="20509FBC">
            <w:pPr>
              <w:pStyle w:val="511"/>
              <w:widowControl/>
              <w:adjustRightInd w:val="0"/>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H</w:t>
            </w:r>
            <w:r>
              <w:rPr>
                <w:rFonts w:hint="default" w:ascii="Times New Roman" w:hAnsi="Times New Roman" w:eastAsia="宋体" w:cs="Times New Roman"/>
                <w:color w:val="auto"/>
                <w:spacing w:val="0"/>
                <w:kern w:val="0"/>
                <w:sz w:val="21"/>
                <w:szCs w:val="21"/>
                <w:vertAlign w:val="subscript"/>
              </w:rPr>
              <w:t>2</w:t>
            </w:r>
            <w:r>
              <w:rPr>
                <w:rFonts w:hint="default" w:ascii="Times New Roman" w:hAnsi="Times New Roman" w:eastAsia="宋体" w:cs="Times New Roman"/>
                <w:color w:val="auto"/>
                <w:spacing w:val="0"/>
                <w:kern w:val="0"/>
                <w:sz w:val="21"/>
                <w:szCs w:val="21"/>
              </w:rPr>
              <w:t>S</w:t>
            </w:r>
          </w:p>
        </w:tc>
        <w:tc>
          <w:tcPr>
            <w:tcW w:w="1646" w:type="pct"/>
            <w:vAlign w:val="center"/>
          </w:tcPr>
          <w:p w14:paraId="0692F8B6">
            <w:pPr>
              <w:pStyle w:val="511"/>
              <w:widowControl/>
              <w:adjustRightInd w:val="0"/>
              <w:rPr>
                <w:rFonts w:hint="default"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0.05</w:t>
            </w:r>
          </w:p>
        </w:tc>
      </w:tr>
      <w:tr w14:paraId="3B806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4" w:type="pct"/>
            <w:vAlign w:val="center"/>
          </w:tcPr>
          <w:p w14:paraId="7FFC98E8">
            <w:pPr>
              <w:pStyle w:val="511"/>
              <w:widowControl/>
              <w:adjustRightInd w:val="0"/>
              <w:rPr>
                <w:rFonts w:hint="eastAsia"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3</w:t>
            </w:r>
          </w:p>
        </w:tc>
        <w:tc>
          <w:tcPr>
            <w:tcW w:w="2648" w:type="pct"/>
            <w:shd w:val="clear" w:color="auto" w:fill="auto"/>
            <w:vAlign w:val="center"/>
          </w:tcPr>
          <w:p w14:paraId="53088DF9">
            <w:pPr>
              <w:jc w:val="center"/>
              <w:rPr>
                <w:rFonts w:hint="default" w:ascii="Times New Roman" w:hAnsi="Times New Roman" w:eastAsia="宋体" w:cs="Times New Roman"/>
                <w:color w:val="auto"/>
                <w:spacing w:val="0"/>
                <w:kern w:val="0"/>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1646" w:type="pct"/>
            <w:vAlign w:val="center"/>
          </w:tcPr>
          <w:p w14:paraId="6A6A3545">
            <w:pPr>
              <w:pStyle w:val="511"/>
              <w:widowControl/>
              <w:adjustRightInd w:val="0"/>
              <w:rPr>
                <w:rFonts w:hint="default"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48.05</w:t>
            </w:r>
          </w:p>
        </w:tc>
      </w:tr>
      <w:tr w14:paraId="1DEA2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704" w:type="pct"/>
            <w:vAlign w:val="center"/>
          </w:tcPr>
          <w:p w14:paraId="0C953D32">
            <w:pPr>
              <w:pStyle w:val="511"/>
              <w:widowControl/>
              <w:adjustRightInd w:val="0"/>
              <w:rPr>
                <w:rFonts w:hint="eastAsia" w:ascii="Times New Roman" w:hAnsi="Times New Roman"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4</w:t>
            </w:r>
          </w:p>
        </w:tc>
        <w:tc>
          <w:tcPr>
            <w:tcW w:w="2648" w:type="pct"/>
            <w:shd w:val="clear" w:color="auto" w:fill="auto"/>
            <w:vAlign w:val="center"/>
          </w:tcPr>
          <w:p w14:paraId="3BAF1059">
            <w:pPr>
              <w:jc w:val="center"/>
              <w:rPr>
                <w:rFonts w:hint="default" w:ascii="Times New Roman" w:hAnsi="Times New Roman" w:eastAsia="宋体" w:cs="Times New Roman"/>
                <w:color w:val="auto"/>
                <w:spacing w:val="0"/>
                <w:kern w:val="0"/>
                <w:sz w:val="21"/>
                <w:szCs w:val="21"/>
                <w:lang w:val="en-US" w:eastAsia="zh-CN" w:bidi="ar-SA"/>
              </w:rPr>
            </w:pPr>
            <w:r>
              <w:rPr>
                <w:rFonts w:hint="eastAsia" w:ascii="Times New Roman" w:hAnsi="Times New Roman" w:eastAsia="宋体" w:cs="Times New Roman"/>
                <w:color w:val="auto"/>
                <w:sz w:val="21"/>
                <w:szCs w:val="21"/>
                <w:lang w:val="en-US" w:eastAsia="zh-CN"/>
              </w:rPr>
              <w:t>非甲烷总烃</w:t>
            </w:r>
          </w:p>
        </w:tc>
        <w:tc>
          <w:tcPr>
            <w:tcW w:w="1646" w:type="pct"/>
            <w:vAlign w:val="center"/>
          </w:tcPr>
          <w:p w14:paraId="6E553AE7">
            <w:pPr>
              <w:pStyle w:val="511"/>
              <w:widowControl/>
              <w:adjustRightInd w:val="0"/>
              <w:rPr>
                <w:rFonts w:hint="default" w:eastAsia="宋体" w:cs="Times New Roman"/>
                <w:color w:val="auto"/>
                <w:spacing w:val="0"/>
                <w:kern w:val="0"/>
                <w:sz w:val="21"/>
                <w:szCs w:val="21"/>
                <w:lang w:val="en-US" w:eastAsia="zh-CN"/>
              </w:rPr>
            </w:pPr>
            <w:r>
              <w:rPr>
                <w:rFonts w:hint="eastAsia" w:eastAsia="宋体" w:cs="Times New Roman"/>
                <w:color w:val="auto"/>
                <w:spacing w:val="0"/>
                <w:kern w:val="0"/>
                <w:sz w:val="21"/>
                <w:szCs w:val="21"/>
                <w:lang w:val="en-US" w:eastAsia="zh-CN"/>
              </w:rPr>
              <w:t>23.71</w:t>
            </w:r>
          </w:p>
        </w:tc>
      </w:tr>
    </w:tbl>
    <w:p w14:paraId="417A2E85">
      <w:pPr>
        <w:pStyle w:val="5"/>
        <w:rPr>
          <w:rFonts w:hint="eastAsia" w:eastAsia="宋体"/>
        </w:rPr>
      </w:pPr>
      <w:bookmarkStart w:id="342" w:name="_Toc29631"/>
      <w:bookmarkStart w:id="343" w:name="_Toc20359"/>
      <w:r>
        <w:rPr>
          <w:rFonts w:hint="eastAsia" w:eastAsia="宋体"/>
        </w:rPr>
        <w:t>5.</w:t>
      </w:r>
      <w:r>
        <w:rPr>
          <w:rFonts w:hint="eastAsia" w:eastAsia="宋体"/>
          <w:lang w:eastAsia="zh-CN"/>
        </w:rPr>
        <w:t>2.2</w:t>
      </w:r>
      <w:r>
        <w:rPr>
          <w:rFonts w:hint="eastAsia" w:eastAsia="宋体"/>
        </w:rPr>
        <w:t>.</w:t>
      </w:r>
      <w:r>
        <w:rPr>
          <w:rFonts w:hint="eastAsia" w:eastAsia="宋体"/>
          <w:lang w:val="en-US" w:eastAsia="zh-CN"/>
        </w:rPr>
        <w:t>5</w:t>
      </w:r>
      <w:r>
        <w:rPr>
          <w:rFonts w:hint="eastAsia" w:eastAsia="宋体"/>
        </w:rPr>
        <w:t>大气环境防护距离的确定</w:t>
      </w:r>
      <w:bookmarkEnd w:id="342"/>
      <w:bookmarkEnd w:id="343"/>
    </w:p>
    <w:p w14:paraId="1778A56C">
      <w:pPr>
        <w:pageBreakBefore w:val="0"/>
        <w:widowControl w:val="0"/>
        <w:kinsoku/>
        <w:wordWrap/>
        <w:overflowPunct/>
        <w:topLinePunct w:val="0"/>
        <w:autoSpaceDE/>
        <w:autoSpaceDN/>
        <w:bidi w:val="0"/>
        <w:adjustRightInd/>
        <w:snapToGrid/>
        <w:spacing w:line="360" w:lineRule="auto"/>
        <w:ind w:left="0" w:right="0" w:firstLine="483"/>
        <w:textAlignment w:val="auto"/>
        <w:rPr>
          <w:rFonts w:hint="default" w:ascii="Times New Roman" w:hAnsi="Times New Roman" w:eastAsia="宋体" w:cs="Times New Roman"/>
          <w:color w:val="0000FF"/>
          <w:spacing w:val="8"/>
          <w:sz w:val="24"/>
          <w:szCs w:val="24"/>
        </w:rPr>
      </w:pPr>
      <w:r>
        <w:rPr>
          <w:rFonts w:hint="default" w:ascii="Times New Roman" w:hAnsi="Times New Roman" w:eastAsia="宋体" w:cs="Times New Roman"/>
          <w:color w:val="0000FF"/>
          <w:spacing w:val="18"/>
          <w:sz w:val="24"/>
          <w:szCs w:val="24"/>
        </w:rPr>
        <w:t>大气</w:t>
      </w:r>
      <w:r>
        <w:rPr>
          <w:rFonts w:hint="default" w:ascii="Times New Roman" w:hAnsi="Times New Roman" w:eastAsia="宋体" w:cs="Times New Roman"/>
          <w:color w:val="0000FF"/>
          <w:spacing w:val="10"/>
          <w:sz w:val="24"/>
          <w:szCs w:val="24"/>
        </w:rPr>
        <w:t>防</w:t>
      </w:r>
      <w:r>
        <w:rPr>
          <w:rFonts w:hint="default" w:ascii="Times New Roman" w:hAnsi="Times New Roman" w:eastAsia="宋体" w:cs="Times New Roman"/>
          <w:color w:val="0000FF"/>
          <w:spacing w:val="9"/>
          <w:sz w:val="24"/>
          <w:szCs w:val="24"/>
        </w:rPr>
        <w:t>护距离是指为保护人群健康，减少正常排放条件下大气污染物对居</w:t>
      </w:r>
      <w:r>
        <w:rPr>
          <w:rFonts w:hint="default" w:ascii="Times New Roman" w:hAnsi="Times New Roman" w:eastAsia="宋体" w:cs="Times New Roman"/>
          <w:color w:val="0000FF"/>
          <w:spacing w:val="18"/>
          <w:sz w:val="24"/>
          <w:szCs w:val="24"/>
        </w:rPr>
        <w:t>住区</w:t>
      </w:r>
      <w:r>
        <w:rPr>
          <w:rFonts w:hint="default" w:ascii="Times New Roman" w:hAnsi="Times New Roman" w:eastAsia="宋体" w:cs="Times New Roman"/>
          <w:color w:val="0000FF"/>
          <w:spacing w:val="16"/>
          <w:sz w:val="24"/>
          <w:szCs w:val="24"/>
        </w:rPr>
        <w:t>的</w:t>
      </w:r>
      <w:r>
        <w:rPr>
          <w:rFonts w:hint="default" w:ascii="Times New Roman" w:hAnsi="Times New Roman" w:eastAsia="宋体" w:cs="Times New Roman"/>
          <w:color w:val="0000FF"/>
          <w:spacing w:val="9"/>
          <w:sz w:val="24"/>
          <w:szCs w:val="24"/>
        </w:rPr>
        <w:t>环境影响，在项目厂界以外设置的环境防护距离。计算的距离是以污染</w:t>
      </w:r>
      <w:r>
        <w:rPr>
          <w:rFonts w:hint="default" w:ascii="Times New Roman" w:hAnsi="Times New Roman" w:eastAsia="宋体" w:cs="Times New Roman"/>
          <w:color w:val="0000FF"/>
          <w:spacing w:val="18"/>
          <w:sz w:val="24"/>
          <w:szCs w:val="24"/>
        </w:rPr>
        <w:t>源中</w:t>
      </w:r>
      <w:r>
        <w:rPr>
          <w:rFonts w:hint="default" w:ascii="Times New Roman" w:hAnsi="Times New Roman" w:eastAsia="宋体" w:cs="Times New Roman"/>
          <w:color w:val="0000FF"/>
          <w:spacing w:val="16"/>
          <w:sz w:val="24"/>
          <w:szCs w:val="24"/>
        </w:rPr>
        <w:t>心</w:t>
      </w:r>
      <w:r>
        <w:rPr>
          <w:rFonts w:hint="default" w:ascii="Times New Roman" w:hAnsi="Times New Roman" w:eastAsia="宋体" w:cs="Times New Roman"/>
          <w:color w:val="0000FF"/>
          <w:spacing w:val="9"/>
          <w:sz w:val="24"/>
          <w:szCs w:val="24"/>
        </w:rPr>
        <w:t>点为起点的控制距离，并结合项目平面布置图，确定控制距离范围，超</w:t>
      </w:r>
      <w:r>
        <w:rPr>
          <w:rFonts w:hint="default" w:ascii="Times New Roman" w:hAnsi="Times New Roman" w:eastAsia="宋体" w:cs="Times New Roman"/>
          <w:color w:val="0000FF"/>
          <w:spacing w:val="18"/>
          <w:sz w:val="24"/>
          <w:szCs w:val="24"/>
        </w:rPr>
        <w:t>出厂</w:t>
      </w:r>
      <w:r>
        <w:rPr>
          <w:rFonts w:hint="default" w:ascii="Times New Roman" w:hAnsi="Times New Roman" w:eastAsia="宋体" w:cs="Times New Roman"/>
          <w:color w:val="0000FF"/>
          <w:spacing w:val="16"/>
          <w:sz w:val="24"/>
          <w:szCs w:val="24"/>
        </w:rPr>
        <w:t>界</w:t>
      </w:r>
      <w:r>
        <w:rPr>
          <w:rFonts w:hint="default" w:ascii="Times New Roman" w:hAnsi="Times New Roman" w:eastAsia="宋体" w:cs="Times New Roman"/>
          <w:color w:val="0000FF"/>
          <w:spacing w:val="9"/>
          <w:sz w:val="24"/>
          <w:szCs w:val="24"/>
        </w:rPr>
        <w:t>以外的范围即为项目大气环境防护距离。</w:t>
      </w:r>
      <w:r>
        <w:rPr>
          <w:rFonts w:hint="default" w:ascii="Times New Roman" w:hAnsi="Times New Roman" w:eastAsia="宋体" w:cs="Times New Roman"/>
          <w:color w:val="0000FF"/>
          <w:spacing w:val="9"/>
          <w:sz w:val="24"/>
          <w:szCs w:val="24"/>
          <w:lang w:val="en-US" w:eastAsia="zh-CN"/>
        </w:rPr>
        <w:t>经</w:t>
      </w:r>
      <w:r>
        <w:rPr>
          <w:rFonts w:hint="default" w:ascii="Times New Roman" w:hAnsi="Times New Roman" w:cs="Times New Roman"/>
          <w:color w:val="0000FF"/>
          <w:sz w:val="24"/>
        </w:rPr>
        <w:t>AERMOD模式</w:t>
      </w:r>
      <w:r>
        <w:rPr>
          <w:rFonts w:hint="default" w:ascii="Times New Roman" w:hAnsi="Times New Roman" w:eastAsia="宋体" w:cs="Times New Roman"/>
          <w:color w:val="0000FF"/>
          <w:spacing w:val="9"/>
          <w:sz w:val="24"/>
          <w:szCs w:val="24"/>
          <w:lang w:val="en-US" w:eastAsia="zh-CN"/>
        </w:rPr>
        <w:t>计算，</w:t>
      </w:r>
      <w:r>
        <w:rPr>
          <w:rFonts w:hint="default" w:ascii="Times New Roman" w:hAnsi="Times New Roman" w:eastAsia="宋体" w:cs="Times New Roman"/>
          <w:color w:val="0000FF"/>
          <w:spacing w:val="9"/>
          <w:sz w:val="24"/>
          <w:szCs w:val="24"/>
        </w:rPr>
        <w:t>拟建项目厂界</w:t>
      </w:r>
      <w:r>
        <w:rPr>
          <w:rFonts w:hint="eastAsia" w:ascii="Times New Roman" w:cs="Times New Roman"/>
          <w:color w:val="0000FF"/>
          <w:spacing w:val="9"/>
          <w:sz w:val="24"/>
          <w:szCs w:val="24"/>
          <w:lang w:val="en-US" w:eastAsia="zh-CN"/>
        </w:rPr>
        <w:t>氨、硫化氢</w:t>
      </w:r>
      <w:r>
        <w:rPr>
          <w:rFonts w:hint="eastAsia" w:cs="Times New Roman"/>
          <w:color w:val="0000FF"/>
          <w:spacing w:val="9"/>
          <w:sz w:val="24"/>
          <w:szCs w:val="24"/>
          <w:lang w:val="en-US" w:eastAsia="zh-CN"/>
        </w:rPr>
        <w:t>、非甲烷总烃、PM</w:t>
      </w:r>
      <w:r>
        <w:rPr>
          <w:rFonts w:hint="eastAsia" w:cs="Times New Roman"/>
          <w:color w:val="0000FF"/>
          <w:spacing w:val="9"/>
          <w:sz w:val="24"/>
          <w:szCs w:val="24"/>
          <w:vertAlign w:val="subscript"/>
          <w:lang w:val="en-US" w:eastAsia="zh-CN"/>
        </w:rPr>
        <w:t>10</w:t>
      </w:r>
      <w:r>
        <w:rPr>
          <w:rFonts w:hint="eastAsia" w:ascii="Times New Roman" w:cs="Times New Roman"/>
          <w:color w:val="0000FF"/>
          <w:spacing w:val="9"/>
          <w:sz w:val="24"/>
          <w:szCs w:val="24"/>
          <w:lang w:val="en-US" w:eastAsia="zh-CN"/>
        </w:rPr>
        <w:t>均</w:t>
      </w:r>
      <w:r>
        <w:rPr>
          <w:rFonts w:hint="eastAsia" w:cs="Times New Roman"/>
          <w:color w:val="0000FF"/>
          <w:spacing w:val="9"/>
          <w:sz w:val="24"/>
          <w:szCs w:val="24"/>
          <w:lang w:val="en-US" w:eastAsia="zh-CN"/>
        </w:rPr>
        <w:t>未</w:t>
      </w:r>
      <w:r>
        <w:rPr>
          <w:rFonts w:hint="eastAsia" w:ascii="Times New Roman" w:cs="Times New Roman"/>
          <w:color w:val="0000FF"/>
          <w:spacing w:val="9"/>
          <w:sz w:val="24"/>
          <w:szCs w:val="24"/>
          <w:lang w:val="en-US" w:eastAsia="zh-CN"/>
        </w:rPr>
        <w:t>有</w:t>
      </w:r>
      <w:r>
        <w:rPr>
          <w:rFonts w:hint="default" w:ascii="Times New Roman" w:hAnsi="Times New Roman" w:eastAsia="宋体" w:cs="Times New Roman"/>
          <w:color w:val="0000FF"/>
          <w:spacing w:val="9"/>
          <w:sz w:val="24"/>
          <w:szCs w:val="24"/>
        </w:rPr>
        <w:t>超标点，项</w:t>
      </w:r>
      <w:r>
        <w:rPr>
          <w:rFonts w:hint="default" w:ascii="Times New Roman" w:hAnsi="Times New Roman" w:eastAsia="宋体" w:cs="Times New Roman"/>
          <w:color w:val="0000FF"/>
          <w:spacing w:val="16"/>
          <w:sz w:val="24"/>
          <w:szCs w:val="24"/>
        </w:rPr>
        <w:t>目</w:t>
      </w:r>
      <w:r>
        <w:rPr>
          <w:rFonts w:hint="eastAsia" w:cs="Times New Roman"/>
          <w:color w:val="0000FF"/>
          <w:spacing w:val="16"/>
          <w:sz w:val="24"/>
          <w:szCs w:val="24"/>
          <w:lang w:val="en-US" w:eastAsia="zh-CN"/>
        </w:rPr>
        <w:t>无</w:t>
      </w:r>
      <w:r>
        <w:rPr>
          <w:rFonts w:hint="default" w:ascii="Times New Roman" w:hAnsi="Times New Roman" w:eastAsia="宋体" w:cs="Times New Roman"/>
          <w:color w:val="0000FF"/>
          <w:spacing w:val="8"/>
          <w:sz w:val="24"/>
          <w:szCs w:val="24"/>
        </w:rPr>
        <w:t>需设置大气环境防护距离。</w:t>
      </w:r>
    </w:p>
    <w:p w14:paraId="1BB2F57D">
      <w:pPr>
        <w:pageBreakBefore w:val="0"/>
        <w:widowControl w:val="0"/>
        <w:kinsoku/>
        <w:wordWrap/>
        <w:overflowPunct/>
        <w:topLinePunct w:val="0"/>
        <w:autoSpaceDE/>
        <w:autoSpaceDN/>
        <w:bidi w:val="0"/>
        <w:adjustRightInd/>
        <w:snapToGrid/>
        <w:spacing w:line="360" w:lineRule="auto"/>
        <w:ind w:right="0"/>
        <w:textAlignment w:val="auto"/>
      </w:pPr>
      <w:r>
        <w:drawing>
          <wp:inline distT="0" distB="0" distL="114300" distR="114300">
            <wp:extent cx="5723255" cy="3380740"/>
            <wp:effectExtent l="0" t="0" r="10795" b="10160"/>
            <wp:docPr id="1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4"/>
                    <pic:cNvPicPr>
                      <a:picLocks noChangeAspect="1"/>
                    </pic:cNvPicPr>
                  </pic:nvPicPr>
                  <pic:blipFill>
                    <a:blip r:embed="rId92"/>
                    <a:stretch>
                      <a:fillRect/>
                    </a:stretch>
                  </pic:blipFill>
                  <pic:spPr>
                    <a:xfrm>
                      <a:off x="0" y="0"/>
                      <a:ext cx="5723255" cy="3380740"/>
                    </a:xfrm>
                    <a:prstGeom prst="rect">
                      <a:avLst/>
                    </a:prstGeom>
                    <a:noFill/>
                    <a:ln>
                      <a:noFill/>
                    </a:ln>
                  </pic:spPr>
                </pic:pic>
              </a:graphicData>
            </a:graphic>
          </wp:inline>
        </w:drawing>
      </w:r>
    </w:p>
    <w:p w14:paraId="5860CC0C">
      <w:pPr>
        <w:pageBreakBefore w:val="0"/>
        <w:widowControl w:val="0"/>
        <w:kinsoku/>
        <w:wordWrap/>
        <w:overflowPunct/>
        <w:topLinePunct w:val="0"/>
        <w:autoSpaceDE/>
        <w:autoSpaceDN/>
        <w:bidi w:val="0"/>
        <w:adjustRightInd/>
        <w:snapToGrid/>
        <w:spacing w:line="360" w:lineRule="auto"/>
        <w:ind w:right="0"/>
        <w:jc w:val="center"/>
        <w:textAlignment w:val="auto"/>
        <w:rPr>
          <w:rFonts w:hint="default" w:eastAsia="宋体"/>
          <w:lang w:val="en-US" w:eastAsia="zh-CN"/>
        </w:rPr>
      </w:pPr>
      <w:r>
        <w:rPr>
          <w:rFonts w:hint="default" w:ascii="Times New Roman" w:hAnsi="Times New Roman" w:eastAsia="宋体" w:cs="Times New Roman"/>
          <w:b/>
          <w:bCs/>
          <w:color w:val="auto"/>
          <w:sz w:val="24"/>
          <w:szCs w:val="24"/>
        </w:rPr>
        <w:t>图5.2-</w:t>
      </w:r>
      <w:r>
        <w:rPr>
          <w:rFonts w:hint="eastAsia"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rPr>
        <w:t xml:space="preserve">  </w:t>
      </w:r>
      <w:r>
        <w:rPr>
          <w:rFonts w:hint="eastAsia" w:ascii="Times New Roman" w:hAnsi="Times New Roman" w:eastAsia="宋体" w:cs="Times New Roman"/>
          <w:b/>
          <w:bCs/>
          <w:color w:val="auto"/>
          <w:sz w:val="24"/>
          <w:szCs w:val="24"/>
          <w:lang w:val="en-US" w:eastAsia="zh-CN"/>
        </w:rPr>
        <w:t>大气环境防护距离计算图</w:t>
      </w:r>
    </w:p>
    <w:p w14:paraId="1AFF8623">
      <w:pPr>
        <w:pStyle w:val="5"/>
        <w:rPr>
          <w:rFonts w:hint="eastAsia" w:eastAsia="宋体"/>
        </w:rPr>
      </w:pPr>
      <w:r>
        <w:rPr>
          <w:rFonts w:hint="eastAsia" w:eastAsia="宋体"/>
        </w:rPr>
        <w:t>5.</w:t>
      </w:r>
      <w:r>
        <w:rPr>
          <w:rFonts w:hint="eastAsia" w:eastAsia="宋体"/>
          <w:lang w:eastAsia="zh-CN"/>
        </w:rPr>
        <w:t>2.2</w:t>
      </w:r>
      <w:r>
        <w:rPr>
          <w:rFonts w:hint="eastAsia" w:eastAsia="宋体"/>
        </w:rPr>
        <w:t>.</w:t>
      </w:r>
      <w:r>
        <w:rPr>
          <w:rFonts w:hint="eastAsia" w:eastAsia="宋体"/>
          <w:lang w:val="en-US" w:eastAsia="zh-CN"/>
        </w:rPr>
        <w:t>6</w:t>
      </w:r>
      <w:r>
        <w:rPr>
          <w:rFonts w:hint="eastAsia" w:eastAsia="宋体"/>
        </w:rPr>
        <w:t>臭气浓度影响分析</w:t>
      </w:r>
    </w:p>
    <w:p w14:paraId="055710F5">
      <w:pPr>
        <w:spacing w:line="360" w:lineRule="auto"/>
        <w:ind w:firstLine="480" w:firstLineChars="200"/>
        <w:jc w:val="left"/>
        <w:rPr>
          <w:rFonts w:hint="eastAsia"/>
          <w:lang w:val="en-GB"/>
        </w:rPr>
      </w:pPr>
      <w:r>
        <w:rPr>
          <w:rFonts w:hint="eastAsia"/>
          <w:lang w:val="en-GB"/>
        </w:rPr>
        <w:t>污水处理过程中会产生恶臭气体，被人们认为是不愉快气味，目前国内尚无定量研究方法及成果。本评价结合项目采取的恶臭气体控制措施，通过类比调查，初步定性分析其环境影响。</w:t>
      </w:r>
    </w:p>
    <w:p w14:paraId="4DF55B9E">
      <w:pPr>
        <w:spacing w:line="360" w:lineRule="auto"/>
        <w:ind w:firstLine="480" w:firstLineChars="200"/>
        <w:jc w:val="left"/>
        <w:rPr>
          <w:rFonts w:hint="eastAsia"/>
          <w:lang w:val="en-GB"/>
        </w:rPr>
      </w:pPr>
      <w:r>
        <w:rPr>
          <w:rFonts w:hint="eastAsia"/>
          <w:lang w:val="en-GB"/>
        </w:rPr>
        <w:t>污水在运输过程中由于水流动，废水中所含的硫化氢等臭气分子等节点处散发出来的；水位差引起水流强烈翻动产生较强臭味。同时由于集水池中污泥的淤积，在厌氧细菌的作用下会产生H</w:t>
      </w:r>
      <w:r>
        <w:rPr>
          <w:rFonts w:hint="eastAsia"/>
          <w:vertAlign w:val="subscript"/>
          <w:lang w:val="en-GB"/>
        </w:rPr>
        <w:t>2</w:t>
      </w:r>
      <w:r>
        <w:rPr>
          <w:rFonts w:hint="eastAsia"/>
          <w:lang w:val="en-GB"/>
        </w:rPr>
        <w:t>S等臭气物质；污泥浓缩、脱水等过程由于污泥停留时间较长造成缺氧环境，而产生恶臭气体等原因。</w:t>
      </w:r>
    </w:p>
    <w:p w14:paraId="017D33E4">
      <w:pPr>
        <w:spacing w:line="360" w:lineRule="auto"/>
        <w:ind w:firstLine="480" w:firstLineChars="200"/>
        <w:jc w:val="left"/>
        <w:rPr>
          <w:rFonts w:hint="eastAsia"/>
          <w:lang w:val="en-GB"/>
        </w:rPr>
      </w:pPr>
      <w:r>
        <w:rPr>
          <w:rFonts w:hint="eastAsia"/>
          <w:lang w:val="en-GB"/>
        </w:rPr>
        <w:t>为了减小恶臭气体影响范围，本项目采用</w:t>
      </w:r>
      <w:r>
        <w:rPr>
          <w:rFonts w:hint="eastAsia"/>
          <w:lang w:val="en-US" w:eastAsia="zh-CN"/>
        </w:rPr>
        <w:t>活性炭吸附</w:t>
      </w:r>
      <w:r>
        <w:rPr>
          <w:rFonts w:hint="eastAsia"/>
          <w:lang w:val="en-GB"/>
        </w:rPr>
        <w:t>除臭措施，对H</w:t>
      </w:r>
      <w:r>
        <w:rPr>
          <w:rFonts w:hint="eastAsia"/>
          <w:vertAlign w:val="subscript"/>
          <w:lang w:val="en-GB"/>
        </w:rPr>
        <w:t>2</w:t>
      </w:r>
      <w:r>
        <w:rPr>
          <w:rFonts w:hint="eastAsia"/>
          <w:lang w:val="en-GB"/>
        </w:rPr>
        <w:t>S和NH</w:t>
      </w:r>
      <w:r>
        <w:rPr>
          <w:rFonts w:hint="eastAsia"/>
          <w:vertAlign w:val="subscript"/>
          <w:lang w:val="en-GB"/>
        </w:rPr>
        <w:t>3</w:t>
      </w:r>
      <w:r>
        <w:rPr>
          <w:rFonts w:hint="eastAsia"/>
          <w:lang w:val="en-GB"/>
        </w:rPr>
        <w:t>进行了有效的去除，处理后通过15m高排气筒实现达标排放，并在厂区周边设置绿化带，减小恶臭气体的挥发。</w:t>
      </w:r>
    </w:p>
    <w:p w14:paraId="23A15F21">
      <w:pPr>
        <w:spacing w:line="360" w:lineRule="auto"/>
        <w:ind w:firstLine="480" w:firstLineChars="200"/>
        <w:jc w:val="left"/>
        <w:rPr>
          <w:rFonts w:hint="eastAsia"/>
          <w:lang w:val="en-GB"/>
        </w:rPr>
      </w:pPr>
      <w:r>
        <w:rPr>
          <w:rFonts w:hint="eastAsia"/>
          <w:lang w:val="en-GB"/>
        </w:rPr>
        <w:t>本次评价根据《大气有害物质无组织排放卫生防护距离推导技术导则》（GB/T39499-2020）中卫生防护距离初值计算公式：</w:t>
      </w:r>
    </w:p>
    <w:p w14:paraId="08B11D9F">
      <w:pPr>
        <w:jc w:val="center"/>
        <w:rPr>
          <w:rFonts w:eastAsia="仿宋_GB2312"/>
          <w:sz w:val="28"/>
          <w:szCs w:val="28"/>
        </w:rPr>
      </w:pPr>
      <w:r>
        <w:drawing>
          <wp:inline distT="0" distB="0" distL="0" distR="0">
            <wp:extent cx="5400040" cy="1668780"/>
            <wp:effectExtent l="0" t="0" r="10160" b="762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93"/>
                    <a:stretch>
                      <a:fillRect/>
                    </a:stretch>
                  </pic:blipFill>
                  <pic:spPr>
                    <a:xfrm>
                      <a:off x="0" y="0"/>
                      <a:ext cx="5400040" cy="1669387"/>
                    </a:xfrm>
                    <a:prstGeom prst="rect">
                      <a:avLst/>
                    </a:prstGeom>
                  </pic:spPr>
                </pic:pic>
              </a:graphicData>
            </a:graphic>
          </wp:inline>
        </w:drawing>
      </w:r>
    </w:p>
    <w:p w14:paraId="274CEE98">
      <w:pPr>
        <w:spacing w:line="360" w:lineRule="auto"/>
        <w:ind w:firstLine="480" w:firstLineChars="200"/>
        <w:jc w:val="left"/>
        <w:rPr>
          <w:rFonts w:hint="eastAsia"/>
          <w:lang w:val="en-GB"/>
        </w:rPr>
      </w:pPr>
      <w:r>
        <w:rPr>
          <w:rFonts w:hint="eastAsia"/>
          <w:lang w:val="en-GB"/>
        </w:rPr>
        <w:t>本项目NH</w:t>
      </w:r>
      <w:r>
        <w:rPr>
          <w:rFonts w:hint="eastAsia"/>
          <w:vertAlign w:val="subscript"/>
          <w:lang w:val="en-GB"/>
        </w:rPr>
        <w:t>3</w:t>
      </w:r>
      <w:r>
        <w:rPr>
          <w:rFonts w:hint="eastAsia"/>
          <w:lang w:val="en-GB"/>
        </w:rPr>
        <w:t>Qc=</w:t>
      </w:r>
      <w:r>
        <w:rPr>
          <w:rFonts w:hint="eastAsia"/>
          <w:lang w:val="en-GB" w:eastAsia="zh-CN"/>
        </w:rPr>
        <w:t>0.0</w:t>
      </w:r>
      <w:r>
        <w:rPr>
          <w:rFonts w:hint="eastAsia"/>
          <w:lang w:val="en-US" w:eastAsia="zh-CN"/>
        </w:rPr>
        <w:t>0</w:t>
      </w:r>
      <w:r>
        <w:rPr>
          <w:rFonts w:hint="eastAsia"/>
          <w:lang w:val="en-GB" w:eastAsia="zh-CN"/>
        </w:rPr>
        <w:t>2</w:t>
      </w:r>
      <w:r>
        <w:rPr>
          <w:rFonts w:hint="eastAsia"/>
          <w:lang w:val="en-US" w:eastAsia="zh-CN"/>
        </w:rPr>
        <w:t>8</w:t>
      </w:r>
      <w:r>
        <w:rPr>
          <w:rFonts w:hint="eastAsia"/>
          <w:lang w:val="en-GB" w:eastAsia="zh-CN"/>
        </w:rPr>
        <w:t>5</w:t>
      </w:r>
      <w:r>
        <w:rPr>
          <w:rFonts w:hint="eastAsia"/>
          <w:lang w:val="en-GB"/>
        </w:rPr>
        <w:t>；Cm=</w:t>
      </w:r>
      <w:r>
        <w:rPr>
          <w:rFonts w:hint="eastAsia"/>
          <w:lang w:val="en-US" w:eastAsia="zh-CN"/>
        </w:rPr>
        <w:t>0.2</w:t>
      </w:r>
      <w:r>
        <w:rPr>
          <w:rFonts w:hint="eastAsia"/>
          <w:lang w:val="en-GB"/>
        </w:rPr>
        <w:t>mg/m</w:t>
      </w:r>
      <w:r>
        <w:rPr>
          <w:rFonts w:hint="eastAsia"/>
          <w:vertAlign w:val="superscript"/>
          <w:lang w:val="en-GB"/>
        </w:rPr>
        <w:t>3</w:t>
      </w:r>
      <w:r>
        <w:rPr>
          <w:rFonts w:hint="eastAsia"/>
          <w:lang w:val="en-GB"/>
        </w:rPr>
        <w:t>；讷河市进5年平均风速大于4m/s，查表得A=350；B=0.021；C=1.85；D=0.84，H2SQc=</w:t>
      </w:r>
      <w:r>
        <w:rPr>
          <w:rFonts w:hint="eastAsia"/>
          <w:lang w:val="en-GB" w:eastAsia="zh-CN"/>
        </w:rPr>
        <w:t>0.00</w:t>
      </w:r>
      <w:r>
        <w:rPr>
          <w:rFonts w:hint="eastAsia"/>
          <w:lang w:val="en-US" w:eastAsia="zh-CN"/>
        </w:rPr>
        <w:t>0</w:t>
      </w:r>
      <w:r>
        <w:rPr>
          <w:rFonts w:hint="eastAsia"/>
          <w:lang w:val="en-GB" w:eastAsia="zh-CN"/>
        </w:rPr>
        <w:t>1</w:t>
      </w:r>
      <w:r>
        <w:rPr>
          <w:rFonts w:hint="eastAsia"/>
          <w:lang w:val="en-US" w:eastAsia="zh-CN"/>
        </w:rPr>
        <w:t>6</w:t>
      </w:r>
      <w:r>
        <w:rPr>
          <w:rFonts w:hint="eastAsia"/>
          <w:lang w:val="en-GB" w:eastAsia="zh-CN"/>
        </w:rPr>
        <w:t>5</w:t>
      </w:r>
      <w:r>
        <w:rPr>
          <w:rFonts w:hint="eastAsia"/>
          <w:lang w:val="en-GB"/>
        </w:rPr>
        <w:t>；Cm=0.0</w:t>
      </w:r>
      <w:r>
        <w:rPr>
          <w:rFonts w:hint="eastAsia"/>
          <w:lang w:val="en-US" w:eastAsia="zh-CN"/>
        </w:rPr>
        <w:t>1</w:t>
      </w:r>
      <w:r>
        <w:rPr>
          <w:rFonts w:hint="eastAsia"/>
          <w:lang w:val="en-GB"/>
        </w:rPr>
        <w:t>mg/m</w:t>
      </w:r>
      <w:r>
        <w:rPr>
          <w:rFonts w:hint="eastAsia"/>
          <w:vertAlign w:val="superscript"/>
          <w:lang w:val="en-GB"/>
        </w:rPr>
        <w:t>3</w:t>
      </w:r>
      <w:r>
        <w:rPr>
          <w:rFonts w:hint="eastAsia"/>
          <w:lang w:val="en-GB"/>
        </w:rPr>
        <w:t>；讷河市进5年平均风速大于4m/s，查表得A=350；B=0.021；C=1.85；D=0.84。</w:t>
      </w:r>
    </w:p>
    <w:p w14:paraId="6629C8B0">
      <w:pPr>
        <w:spacing w:line="360" w:lineRule="auto"/>
        <w:ind w:firstLine="480" w:firstLineChars="200"/>
        <w:jc w:val="left"/>
        <w:rPr>
          <w:rFonts w:hint="eastAsia"/>
          <w:color w:val="auto"/>
          <w:lang w:val="en-GB"/>
        </w:rPr>
      </w:pPr>
      <w:r>
        <w:rPr>
          <w:rFonts w:hint="eastAsia"/>
          <w:color w:val="auto"/>
          <w:lang w:val="en-GB"/>
        </w:rPr>
        <w:t>通过计算得氨气L=</w:t>
      </w:r>
      <w:r>
        <w:rPr>
          <w:rFonts w:hint="eastAsia"/>
          <w:color w:val="auto"/>
          <w:lang w:val="en-US" w:eastAsia="zh-CN"/>
        </w:rPr>
        <w:t>1.43</w:t>
      </w:r>
      <w:r>
        <w:rPr>
          <w:rFonts w:hint="eastAsia"/>
          <w:color w:val="auto"/>
          <w:lang w:val="en-GB"/>
        </w:rPr>
        <w:t>m；硫化氢L=0.84m，当卫生防护距离初值小于50m时，级差为50m。如计算初值小于50m，卫生防护距离终值取</w:t>
      </w:r>
      <w:r>
        <w:rPr>
          <w:rFonts w:hint="eastAsia"/>
          <w:color w:val="auto"/>
          <w:lang w:val="en-US" w:eastAsia="zh-CN"/>
        </w:rPr>
        <w:t>100</w:t>
      </w:r>
      <w:r>
        <w:rPr>
          <w:rFonts w:hint="eastAsia"/>
          <w:color w:val="auto"/>
          <w:lang w:val="en-GB"/>
        </w:rPr>
        <w:t>m。结合</w:t>
      </w:r>
      <w:r>
        <w:rPr>
          <w:rFonts w:hint="eastAsia"/>
          <w:color w:val="auto"/>
          <w:lang w:val="en-US" w:eastAsia="zh-CN"/>
        </w:rPr>
        <w:t>原有项目的卫生防护距离</w:t>
      </w:r>
      <w:r>
        <w:rPr>
          <w:rFonts w:hint="eastAsia"/>
          <w:color w:val="auto"/>
          <w:lang w:val="en-GB" w:eastAsia="zh-CN"/>
        </w:rPr>
        <w:t>，</w:t>
      </w:r>
      <w:r>
        <w:rPr>
          <w:rFonts w:hint="eastAsia" w:cs="Times New Roman"/>
          <w:bCs/>
          <w:snapToGrid w:val="0"/>
          <w:color w:val="auto"/>
          <w:spacing w:val="0"/>
          <w:position w:val="0"/>
          <w:sz w:val="24"/>
          <w:szCs w:val="24"/>
          <w:lang w:val="en-US" w:eastAsia="zh-CN"/>
        </w:rPr>
        <w:t>本项目</w:t>
      </w:r>
      <w:r>
        <w:rPr>
          <w:rFonts w:hint="eastAsia" w:ascii="Times New Roman" w:hAnsi="Times New Roman" w:eastAsia="宋体" w:cs="Times New Roman"/>
          <w:bCs/>
          <w:snapToGrid w:val="0"/>
          <w:color w:val="auto"/>
          <w:spacing w:val="0"/>
          <w:position w:val="0"/>
          <w:sz w:val="24"/>
          <w:szCs w:val="24"/>
        </w:rPr>
        <w:t>的大气环境防护距离为</w:t>
      </w:r>
      <w:r>
        <w:rPr>
          <w:rFonts w:hint="eastAsia" w:ascii="Times New Roman" w:hAnsi="Times New Roman" w:eastAsia="宋体" w:cs="Times New Roman"/>
          <w:bCs/>
          <w:snapToGrid w:val="0"/>
          <w:color w:val="auto"/>
          <w:spacing w:val="0"/>
          <w:position w:val="0"/>
          <w:sz w:val="24"/>
          <w:szCs w:val="24"/>
          <w:lang w:eastAsia="zh-CN"/>
        </w:rPr>
        <w:t>西</w:t>
      </w:r>
      <w:r>
        <w:rPr>
          <w:rFonts w:hint="eastAsia" w:ascii="Times New Roman" w:hAnsi="Times New Roman" w:eastAsia="宋体" w:cs="Times New Roman"/>
          <w:bCs/>
          <w:snapToGrid w:val="0"/>
          <w:color w:val="auto"/>
          <w:spacing w:val="0"/>
          <w:position w:val="0"/>
          <w:sz w:val="24"/>
          <w:szCs w:val="24"/>
        </w:rPr>
        <w:t>侧厂界外</w:t>
      </w:r>
      <w:r>
        <w:rPr>
          <w:rFonts w:hint="eastAsia" w:ascii="Times New Roman" w:hAnsi="Times New Roman" w:eastAsia="宋体" w:cs="Times New Roman"/>
          <w:bCs/>
          <w:snapToGrid w:val="0"/>
          <w:color w:val="auto"/>
          <w:spacing w:val="0"/>
          <w:position w:val="0"/>
          <w:sz w:val="24"/>
          <w:szCs w:val="24"/>
          <w:lang w:val="en-US" w:eastAsia="zh-CN"/>
        </w:rPr>
        <w:t>180</w:t>
      </w:r>
      <w:r>
        <w:rPr>
          <w:rFonts w:hint="eastAsia" w:ascii="Times New Roman" w:hAnsi="Times New Roman" w:eastAsia="宋体" w:cs="Times New Roman"/>
          <w:bCs/>
          <w:snapToGrid w:val="0"/>
          <w:color w:val="auto"/>
          <w:spacing w:val="0"/>
          <w:position w:val="0"/>
          <w:sz w:val="24"/>
          <w:szCs w:val="24"/>
        </w:rPr>
        <w:t>m</w:t>
      </w:r>
      <w:r>
        <w:rPr>
          <w:rFonts w:hint="eastAsia" w:ascii="Times New Roman" w:hAnsi="Times New Roman" w:eastAsia="宋体" w:cs="Times New Roman"/>
          <w:bCs/>
          <w:snapToGrid w:val="0"/>
          <w:color w:val="auto"/>
          <w:spacing w:val="0"/>
          <w:position w:val="0"/>
          <w:sz w:val="24"/>
          <w:szCs w:val="24"/>
          <w:lang w:eastAsia="zh-CN"/>
        </w:rPr>
        <w:t>和</w:t>
      </w:r>
      <w:r>
        <w:rPr>
          <w:rFonts w:hint="eastAsia" w:ascii="Times New Roman" w:hAnsi="Times New Roman" w:eastAsia="宋体" w:cs="Times New Roman"/>
          <w:bCs/>
          <w:snapToGrid w:val="0"/>
          <w:color w:val="auto"/>
          <w:spacing w:val="0"/>
          <w:position w:val="0"/>
          <w:sz w:val="24"/>
          <w:szCs w:val="24"/>
        </w:rPr>
        <w:t>南侧厂界外</w:t>
      </w:r>
      <w:r>
        <w:rPr>
          <w:rFonts w:hint="eastAsia" w:ascii="Times New Roman" w:hAnsi="Times New Roman" w:eastAsia="宋体" w:cs="Times New Roman"/>
          <w:bCs/>
          <w:snapToGrid w:val="0"/>
          <w:color w:val="auto"/>
          <w:spacing w:val="0"/>
          <w:position w:val="0"/>
          <w:sz w:val="24"/>
          <w:szCs w:val="24"/>
          <w:lang w:val="en-US" w:eastAsia="zh-CN"/>
        </w:rPr>
        <w:t>175</w:t>
      </w:r>
      <w:r>
        <w:rPr>
          <w:rFonts w:hint="eastAsia" w:ascii="Times New Roman" w:hAnsi="Times New Roman" w:eastAsia="宋体" w:cs="Times New Roman"/>
          <w:bCs/>
          <w:snapToGrid w:val="0"/>
          <w:color w:val="auto"/>
          <w:spacing w:val="0"/>
          <w:position w:val="0"/>
          <w:sz w:val="24"/>
          <w:szCs w:val="24"/>
        </w:rPr>
        <w:t>m的区域</w:t>
      </w:r>
      <w:r>
        <w:rPr>
          <w:rFonts w:hint="eastAsia"/>
          <w:color w:val="auto"/>
          <w:lang w:val="en-GB"/>
        </w:rPr>
        <w:t>。</w:t>
      </w:r>
      <w:r>
        <w:rPr>
          <w:rFonts w:hint="eastAsia"/>
          <w:color w:val="auto"/>
          <w:lang w:val="en-US" w:eastAsia="zh-CN"/>
        </w:rPr>
        <w:t>本项目卫生防护距离内</w:t>
      </w:r>
      <w:r>
        <w:rPr>
          <w:rFonts w:hint="eastAsia"/>
          <w:color w:val="auto"/>
          <w:lang w:val="en-GB"/>
        </w:rPr>
        <w:t>无环境保护目标。</w:t>
      </w:r>
    </w:p>
    <w:p w14:paraId="238F938A">
      <w:pPr>
        <w:pStyle w:val="42"/>
        <w:ind w:left="0" w:leftChars="0" w:firstLine="0" w:firstLineChars="0"/>
        <w:rPr>
          <w:rFonts w:hint="eastAsia"/>
          <w:lang w:val="en-GB"/>
        </w:rPr>
      </w:pPr>
      <w:r>
        <w:drawing>
          <wp:inline distT="0" distB="0" distL="114300" distR="114300">
            <wp:extent cx="5727700" cy="4126230"/>
            <wp:effectExtent l="0" t="0" r="6350" b="7620"/>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94"/>
                    <a:stretch>
                      <a:fillRect/>
                    </a:stretch>
                  </pic:blipFill>
                  <pic:spPr>
                    <a:xfrm>
                      <a:off x="0" y="0"/>
                      <a:ext cx="5727700" cy="4126230"/>
                    </a:xfrm>
                    <a:prstGeom prst="rect">
                      <a:avLst/>
                    </a:prstGeom>
                    <a:noFill/>
                    <a:ln>
                      <a:noFill/>
                    </a:ln>
                  </pic:spPr>
                </pic:pic>
              </a:graphicData>
            </a:graphic>
          </wp:inline>
        </w:drawing>
      </w:r>
    </w:p>
    <w:p w14:paraId="42EEB8D6">
      <w:pPr>
        <w:jc w:val="center"/>
        <w:rPr>
          <w:rFonts w:hint="default" w:eastAsia="宋体"/>
          <w:b/>
          <w:lang w:val="en-US" w:eastAsia="zh-CN" w:bidi="ar"/>
        </w:rPr>
      </w:pPr>
      <w:r>
        <w:rPr>
          <w:rFonts w:hint="eastAsia"/>
          <w:b/>
          <w:lang w:val="en-US" w:eastAsia="zh-CN" w:bidi="ar"/>
        </w:rPr>
        <w:t>图</w:t>
      </w:r>
      <w:r>
        <w:rPr>
          <w:b/>
          <w:lang w:bidi="ar"/>
        </w:rPr>
        <w:t>5</w:t>
      </w:r>
      <w:r>
        <w:rPr>
          <w:rFonts w:hint="eastAsia"/>
          <w:b/>
          <w:lang w:val="en-US" w:eastAsia="zh-CN" w:bidi="ar"/>
        </w:rPr>
        <w:t>.</w:t>
      </w:r>
      <w:r>
        <w:rPr>
          <w:b/>
          <w:lang w:bidi="ar"/>
        </w:rPr>
        <w:t>2-</w:t>
      </w:r>
      <w:r>
        <w:rPr>
          <w:rFonts w:hint="eastAsia"/>
          <w:b/>
          <w:lang w:val="en-US" w:eastAsia="zh-CN" w:bidi="ar"/>
        </w:rPr>
        <w:t>6</w:t>
      </w:r>
      <w:r>
        <w:rPr>
          <w:b/>
          <w:lang w:bidi="ar"/>
        </w:rPr>
        <w:t xml:space="preserve"> </w:t>
      </w:r>
      <w:r>
        <w:rPr>
          <w:rFonts w:hint="eastAsia"/>
          <w:b/>
          <w:lang w:val="en-US" w:eastAsia="zh-CN" w:bidi="ar"/>
        </w:rPr>
        <w:t>本项目卫生防护距离图</w:t>
      </w:r>
    </w:p>
    <w:p w14:paraId="76BA1B01">
      <w:pPr>
        <w:pStyle w:val="4"/>
      </w:pPr>
      <w:bookmarkStart w:id="344" w:name="_Toc23524"/>
      <w:bookmarkStart w:id="345" w:name="_Toc227836804"/>
      <w:bookmarkStart w:id="346" w:name="_Toc227836929"/>
      <w:bookmarkStart w:id="347" w:name="_Toc5148"/>
      <w:bookmarkStart w:id="348" w:name="_Toc201249412"/>
      <w:bookmarkStart w:id="349" w:name="_Toc16507"/>
      <w:bookmarkStart w:id="350" w:name="_Toc8869"/>
      <w:bookmarkStart w:id="351" w:name="_Toc27932"/>
      <w:r>
        <w:t>5.2.3声环境影响分析</w:t>
      </w:r>
      <w:bookmarkEnd w:id="312"/>
      <w:bookmarkEnd w:id="313"/>
      <w:bookmarkEnd w:id="314"/>
      <w:bookmarkEnd w:id="315"/>
      <w:bookmarkEnd w:id="316"/>
      <w:bookmarkEnd w:id="317"/>
      <w:bookmarkEnd w:id="318"/>
      <w:bookmarkEnd w:id="319"/>
      <w:bookmarkEnd w:id="320"/>
      <w:bookmarkEnd w:id="321"/>
      <w:bookmarkEnd w:id="344"/>
      <w:bookmarkEnd w:id="345"/>
      <w:bookmarkEnd w:id="346"/>
      <w:bookmarkEnd w:id="347"/>
      <w:bookmarkEnd w:id="348"/>
      <w:bookmarkEnd w:id="349"/>
      <w:bookmarkEnd w:id="350"/>
      <w:bookmarkEnd w:id="351"/>
    </w:p>
    <w:p w14:paraId="40CB86B6">
      <w:pPr>
        <w:pStyle w:val="5"/>
        <w:rPr>
          <w:rFonts w:eastAsia="宋体"/>
        </w:rPr>
      </w:pPr>
      <w:bookmarkStart w:id="352" w:name="_Toc271897864"/>
      <w:bookmarkStart w:id="353" w:name="_Toc275358440"/>
      <w:bookmarkStart w:id="354" w:name="_Toc271360758"/>
      <w:bookmarkStart w:id="355" w:name="_Toc269285251"/>
      <w:bookmarkStart w:id="356" w:name="_Toc268185728"/>
      <w:bookmarkStart w:id="357" w:name="_Toc272500077"/>
      <w:bookmarkStart w:id="358" w:name="_Toc271898130"/>
      <w:bookmarkStart w:id="359" w:name="_Toc270323329"/>
      <w:r>
        <w:rPr>
          <w:rFonts w:eastAsia="宋体"/>
        </w:rPr>
        <w:t>5.2.3.</w:t>
      </w:r>
      <w:bookmarkEnd w:id="352"/>
      <w:bookmarkEnd w:id="353"/>
      <w:bookmarkEnd w:id="354"/>
      <w:bookmarkEnd w:id="355"/>
      <w:bookmarkEnd w:id="356"/>
      <w:bookmarkEnd w:id="357"/>
      <w:bookmarkEnd w:id="358"/>
      <w:bookmarkEnd w:id="359"/>
      <w:r>
        <w:rPr>
          <w:rFonts w:eastAsia="宋体"/>
        </w:rPr>
        <w:t>1噪声源分析</w:t>
      </w:r>
    </w:p>
    <w:p w14:paraId="2E45DBE7">
      <w:pPr>
        <w:spacing w:line="360" w:lineRule="auto"/>
        <w:ind w:firstLine="480" w:firstLineChars="200"/>
        <w:jc w:val="left"/>
      </w:pPr>
      <w:bookmarkStart w:id="360" w:name="_Toc270323330"/>
      <w:bookmarkStart w:id="361" w:name="_Toc271897865"/>
      <w:bookmarkStart w:id="362" w:name="_Toc268185729"/>
      <w:bookmarkStart w:id="363" w:name="_Toc271360759"/>
      <w:bookmarkStart w:id="364" w:name="_Toc275358441"/>
      <w:bookmarkStart w:id="365" w:name="_Toc269285252"/>
      <w:bookmarkStart w:id="366" w:name="_Toc271898131"/>
      <w:bookmarkStart w:id="367" w:name="_Toc272500078"/>
      <w:r>
        <w:rPr>
          <w:rFonts w:hint="eastAsia"/>
          <w:lang w:val="en-US" w:eastAsia="zh-CN" w:bidi="ar"/>
        </w:rPr>
        <w:t>-</w:t>
      </w:r>
      <w:r>
        <w:rPr>
          <w:rFonts w:hint="eastAsia"/>
          <w:lang w:eastAsia="zh-CN" w:bidi="ar"/>
        </w:rPr>
        <w:t>本项目</w:t>
      </w:r>
      <w:r>
        <w:rPr>
          <w:lang w:bidi="ar"/>
        </w:rPr>
        <w:t>运行期间产生的噪声主要来自风机、水泵等发出噪声。从噪声类型看，主要有空气动力噪声、机械噪声。噪声源大多分布在厂房内，噪声源强在70-90</w:t>
      </w:r>
      <w:r>
        <w:t>dB(A)</w:t>
      </w:r>
      <w:r>
        <w:rPr>
          <w:lang w:bidi="ar"/>
        </w:rPr>
        <w:t>间，</w:t>
      </w:r>
      <w:r>
        <w:rPr>
          <w:rFonts w:hint="eastAsia"/>
          <w:lang w:eastAsia="zh-CN" w:bidi="ar"/>
        </w:rPr>
        <w:t>本项目</w:t>
      </w:r>
      <w:r>
        <w:rPr>
          <w:lang w:bidi="ar"/>
        </w:rPr>
        <w:t>噪声污染源源强核算及相关参数见表</w:t>
      </w:r>
      <w:r>
        <w:rPr>
          <w:rFonts w:hint="eastAsia"/>
          <w:lang w:val="en-US" w:eastAsia="zh-CN" w:bidi="ar"/>
        </w:rPr>
        <w:t>5.2-21</w:t>
      </w:r>
      <w:r>
        <w:rPr>
          <w:lang w:bidi="ar"/>
        </w:rPr>
        <w:t>。</w:t>
      </w:r>
    </w:p>
    <w:p w14:paraId="645050C4">
      <w:pPr>
        <w:spacing w:line="360" w:lineRule="auto"/>
        <w:ind w:firstLine="482" w:firstLineChars="200"/>
        <w:jc w:val="left"/>
        <w:rPr>
          <w:rFonts w:hint="default"/>
          <w:b/>
          <w:lang w:val="en-US" w:bidi="ar"/>
        </w:rPr>
        <w:sectPr>
          <w:footerReference r:id="rId13" w:type="default"/>
          <w:pgSz w:w="11906" w:h="16838"/>
          <w:pgMar w:top="1440" w:right="1440" w:bottom="1440" w:left="1440" w:header="851" w:footer="992" w:gutter="0"/>
          <w:pgBorders>
            <w:top w:val="none" w:sz="0" w:space="0"/>
            <w:left w:val="none" w:sz="0" w:space="0"/>
            <w:bottom w:val="none" w:sz="0" w:space="0"/>
            <w:right w:val="none" w:sz="0" w:space="0"/>
          </w:pgBorders>
          <w:cols w:space="0" w:num="1"/>
          <w:docGrid w:linePitch="312" w:charSpace="0"/>
        </w:sectPr>
      </w:pPr>
    </w:p>
    <w:p w14:paraId="1F033451">
      <w:pPr>
        <w:jc w:val="center"/>
        <w:rPr>
          <w:rFonts w:eastAsia="宋体"/>
          <w:b w:val="0"/>
          <w:bCs/>
        </w:rPr>
      </w:pPr>
      <w:r>
        <w:rPr>
          <w:b/>
          <w:lang w:bidi="ar"/>
        </w:rPr>
        <w:t>表</w:t>
      </w:r>
      <w:r>
        <w:rPr>
          <w:rFonts w:hint="eastAsia"/>
          <w:b/>
          <w:lang w:val="en-US" w:eastAsia="zh-CN" w:bidi="ar"/>
        </w:rPr>
        <w:t>5.2-21</w:t>
      </w:r>
      <w:r>
        <w:rPr>
          <w:b/>
          <w:lang w:bidi="ar"/>
        </w:rPr>
        <w:t xml:space="preserve">  </w:t>
      </w:r>
      <w:r>
        <w:rPr>
          <w:rFonts w:hint="eastAsia"/>
          <w:b/>
          <w:lang w:eastAsia="zh-CN" w:bidi="ar"/>
        </w:rPr>
        <w:t>本项目</w:t>
      </w:r>
      <w:r>
        <w:rPr>
          <w:b/>
          <w:lang w:bidi="ar"/>
        </w:rPr>
        <w:t>噪声源强</w:t>
      </w:r>
      <w:r>
        <w:rPr>
          <w:rFonts w:hint="eastAsia"/>
          <w:b/>
          <w:lang w:val="en-US" w:eastAsia="zh-CN" w:bidi="ar"/>
        </w:rPr>
        <w:t>调查清单（室内声源）</w:t>
      </w:r>
    </w:p>
    <w:tbl>
      <w:tblPr>
        <w:tblStyle w:val="54"/>
        <w:tblW w:w="140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8"/>
        <w:gridCol w:w="882"/>
        <w:gridCol w:w="1748"/>
        <w:gridCol w:w="1173"/>
        <w:gridCol w:w="1042"/>
        <w:gridCol w:w="1173"/>
        <w:gridCol w:w="915"/>
        <w:gridCol w:w="1021"/>
        <w:gridCol w:w="1561"/>
        <w:gridCol w:w="894"/>
        <w:gridCol w:w="989"/>
        <w:gridCol w:w="1022"/>
        <w:gridCol w:w="966"/>
      </w:tblGrid>
      <w:tr w14:paraId="0FAF0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8" w:type="dxa"/>
            <w:vMerge w:val="restart"/>
            <w:vAlign w:val="center"/>
          </w:tcPr>
          <w:p w14:paraId="2FF27351">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序号</w:t>
            </w:r>
          </w:p>
        </w:tc>
        <w:tc>
          <w:tcPr>
            <w:tcW w:w="882" w:type="dxa"/>
            <w:vMerge w:val="restart"/>
            <w:vAlign w:val="center"/>
          </w:tcPr>
          <w:p w14:paraId="61764764">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建筑物名称</w:t>
            </w:r>
          </w:p>
        </w:tc>
        <w:tc>
          <w:tcPr>
            <w:tcW w:w="1748" w:type="dxa"/>
            <w:vMerge w:val="restart"/>
            <w:vAlign w:val="center"/>
          </w:tcPr>
          <w:p w14:paraId="5C9014D6">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声源名称</w:t>
            </w:r>
          </w:p>
        </w:tc>
        <w:tc>
          <w:tcPr>
            <w:tcW w:w="1173" w:type="dxa"/>
            <w:vMerge w:val="restart"/>
            <w:vAlign w:val="center"/>
          </w:tcPr>
          <w:p w14:paraId="28C7B9D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型号</w:t>
            </w:r>
          </w:p>
        </w:tc>
        <w:tc>
          <w:tcPr>
            <w:tcW w:w="1042" w:type="dxa"/>
            <w:vMerge w:val="restart"/>
            <w:vAlign w:val="center"/>
          </w:tcPr>
          <w:p w14:paraId="3F406F32">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声功率级/dB（A）</w:t>
            </w:r>
          </w:p>
        </w:tc>
        <w:tc>
          <w:tcPr>
            <w:tcW w:w="1173" w:type="dxa"/>
            <w:vMerge w:val="restart"/>
            <w:vAlign w:val="center"/>
          </w:tcPr>
          <w:p w14:paraId="3254AD38">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声源控制措施</w:t>
            </w:r>
          </w:p>
        </w:tc>
        <w:tc>
          <w:tcPr>
            <w:tcW w:w="915" w:type="dxa"/>
            <w:vMerge w:val="restart"/>
            <w:vAlign w:val="center"/>
          </w:tcPr>
          <w:p w14:paraId="528904CC">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空间相对位置</w:t>
            </w:r>
          </w:p>
        </w:tc>
        <w:tc>
          <w:tcPr>
            <w:tcW w:w="1021" w:type="dxa"/>
            <w:vMerge w:val="restart"/>
            <w:vAlign w:val="center"/>
          </w:tcPr>
          <w:p w14:paraId="37DF0608">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距室内边界距离/m</w:t>
            </w:r>
          </w:p>
        </w:tc>
        <w:tc>
          <w:tcPr>
            <w:tcW w:w="1561" w:type="dxa"/>
            <w:vMerge w:val="restart"/>
            <w:vAlign w:val="center"/>
          </w:tcPr>
          <w:p w14:paraId="1E1DB451">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室内边界声级/dB（A）</w:t>
            </w:r>
          </w:p>
        </w:tc>
        <w:tc>
          <w:tcPr>
            <w:tcW w:w="894" w:type="dxa"/>
            <w:vMerge w:val="restart"/>
            <w:vAlign w:val="center"/>
          </w:tcPr>
          <w:p w14:paraId="0EF53756">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运行时段</w:t>
            </w:r>
          </w:p>
        </w:tc>
        <w:tc>
          <w:tcPr>
            <w:tcW w:w="989" w:type="dxa"/>
            <w:vMerge w:val="restart"/>
            <w:vAlign w:val="center"/>
          </w:tcPr>
          <w:p w14:paraId="010AEC4D">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建筑物插入损失/dB（A）</w:t>
            </w:r>
          </w:p>
        </w:tc>
        <w:tc>
          <w:tcPr>
            <w:tcW w:w="1988" w:type="dxa"/>
            <w:gridSpan w:val="2"/>
            <w:vAlign w:val="center"/>
          </w:tcPr>
          <w:p w14:paraId="49EA3C54">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建筑物外噪声</w:t>
            </w:r>
          </w:p>
        </w:tc>
      </w:tr>
      <w:tr w14:paraId="1FDFE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668" w:type="dxa"/>
            <w:vMerge w:val="continue"/>
            <w:vAlign w:val="center"/>
          </w:tcPr>
          <w:p w14:paraId="26ACD83B">
            <w:pPr>
              <w:spacing w:line="240" w:lineRule="auto"/>
              <w:jc w:val="center"/>
              <w:rPr>
                <w:rFonts w:hint="default" w:ascii="Times New Roman" w:hAnsi="Times New Roman" w:eastAsia="宋体" w:cs="Times New Roman"/>
                <w:color w:val="auto"/>
                <w:sz w:val="21"/>
              </w:rPr>
            </w:pPr>
          </w:p>
        </w:tc>
        <w:tc>
          <w:tcPr>
            <w:tcW w:w="882" w:type="dxa"/>
            <w:vMerge w:val="continue"/>
            <w:vAlign w:val="center"/>
          </w:tcPr>
          <w:p w14:paraId="508BA2BB">
            <w:pPr>
              <w:spacing w:line="240" w:lineRule="auto"/>
              <w:jc w:val="center"/>
              <w:rPr>
                <w:rFonts w:hint="default" w:ascii="Times New Roman" w:hAnsi="Times New Roman" w:eastAsia="宋体" w:cs="Times New Roman"/>
                <w:color w:val="auto"/>
                <w:sz w:val="21"/>
              </w:rPr>
            </w:pPr>
          </w:p>
        </w:tc>
        <w:tc>
          <w:tcPr>
            <w:tcW w:w="1748" w:type="dxa"/>
            <w:vMerge w:val="continue"/>
            <w:vAlign w:val="center"/>
          </w:tcPr>
          <w:p w14:paraId="109054C5">
            <w:pPr>
              <w:spacing w:line="240" w:lineRule="auto"/>
              <w:jc w:val="center"/>
              <w:rPr>
                <w:rFonts w:hint="default" w:ascii="Times New Roman" w:hAnsi="Times New Roman" w:eastAsia="宋体" w:cs="Times New Roman"/>
                <w:color w:val="auto"/>
                <w:sz w:val="21"/>
              </w:rPr>
            </w:pPr>
          </w:p>
        </w:tc>
        <w:tc>
          <w:tcPr>
            <w:tcW w:w="1173" w:type="dxa"/>
            <w:vMerge w:val="continue"/>
            <w:vAlign w:val="center"/>
          </w:tcPr>
          <w:p w14:paraId="116B74E1">
            <w:pPr>
              <w:spacing w:line="240" w:lineRule="auto"/>
              <w:jc w:val="center"/>
              <w:rPr>
                <w:rFonts w:hint="default" w:ascii="Times New Roman" w:hAnsi="Times New Roman" w:eastAsia="宋体" w:cs="Times New Roman"/>
                <w:color w:val="auto"/>
                <w:sz w:val="21"/>
              </w:rPr>
            </w:pPr>
          </w:p>
        </w:tc>
        <w:tc>
          <w:tcPr>
            <w:tcW w:w="1042" w:type="dxa"/>
            <w:vMerge w:val="continue"/>
            <w:vAlign w:val="center"/>
          </w:tcPr>
          <w:p w14:paraId="5F21FFDF">
            <w:pPr>
              <w:spacing w:line="240" w:lineRule="auto"/>
              <w:jc w:val="center"/>
              <w:rPr>
                <w:rFonts w:hint="default" w:ascii="Times New Roman" w:hAnsi="Times New Roman" w:eastAsia="宋体" w:cs="Times New Roman"/>
                <w:color w:val="auto"/>
                <w:sz w:val="21"/>
              </w:rPr>
            </w:pPr>
          </w:p>
        </w:tc>
        <w:tc>
          <w:tcPr>
            <w:tcW w:w="1173" w:type="dxa"/>
            <w:vMerge w:val="continue"/>
            <w:vAlign w:val="center"/>
          </w:tcPr>
          <w:p w14:paraId="605F29F6">
            <w:pPr>
              <w:spacing w:line="240" w:lineRule="auto"/>
              <w:jc w:val="center"/>
              <w:rPr>
                <w:rFonts w:hint="default" w:ascii="Times New Roman" w:hAnsi="Times New Roman" w:eastAsia="宋体" w:cs="Times New Roman"/>
                <w:color w:val="auto"/>
                <w:sz w:val="21"/>
              </w:rPr>
            </w:pPr>
          </w:p>
        </w:tc>
        <w:tc>
          <w:tcPr>
            <w:tcW w:w="915" w:type="dxa"/>
            <w:vMerge w:val="continue"/>
            <w:vAlign w:val="center"/>
          </w:tcPr>
          <w:p w14:paraId="7B08AEB9">
            <w:pPr>
              <w:spacing w:line="240" w:lineRule="auto"/>
              <w:jc w:val="center"/>
              <w:rPr>
                <w:rFonts w:hint="default" w:ascii="Times New Roman" w:hAnsi="Times New Roman" w:eastAsia="宋体" w:cs="Times New Roman"/>
                <w:color w:val="auto"/>
                <w:sz w:val="21"/>
              </w:rPr>
            </w:pPr>
          </w:p>
        </w:tc>
        <w:tc>
          <w:tcPr>
            <w:tcW w:w="1021" w:type="dxa"/>
            <w:vMerge w:val="continue"/>
            <w:vAlign w:val="center"/>
          </w:tcPr>
          <w:p w14:paraId="2C88376B">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4CD7C25A">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426B75AA">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020C083">
            <w:pPr>
              <w:spacing w:line="240" w:lineRule="auto"/>
              <w:jc w:val="center"/>
              <w:rPr>
                <w:rFonts w:hint="default" w:ascii="Times New Roman" w:hAnsi="Times New Roman" w:eastAsia="宋体" w:cs="Times New Roman"/>
                <w:color w:val="auto"/>
                <w:sz w:val="21"/>
              </w:rPr>
            </w:pPr>
          </w:p>
        </w:tc>
        <w:tc>
          <w:tcPr>
            <w:tcW w:w="1022" w:type="dxa"/>
            <w:vAlign w:val="center"/>
          </w:tcPr>
          <w:p w14:paraId="5F1F9648">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声压级</w:t>
            </w:r>
          </w:p>
        </w:tc>
        <w:tc>
          <w:tcPr>
            <w:tcW w:w="966" w:type="dxa"/>
            <w:vAlign w:val="center"/>
          </w:tcPr>
          <w:p w14:paraId="3398D538">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建筑物外距离</w:t>
            </w:r>
          </w:p>
        </w:tc>
      </w:tr>
      <w:tr w14:paraId="27E7C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33A69F1F">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1</w:t>
            </w:r>
          </w:p>
        </w:tc>
        <w:tc>
          <w:tcPr>
            <w:tcW w:w="882" w:type="dxa"/>
            <w:vMerge w:val="restart"/>
            <w:vAlign w:val="center"/>
          </w:tcPr>
          <w:p w14:paraId="11597916">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发酵车间</w:t>
            </w:r>
          </w:p>
        </w:tc>
        <w:tc>
          <w:tcPr>
            <w:tcW w:w="1748" w:type="dxa"/>
            <w:vAlign w:val="center"/>
          </w:tcPr>
          <w:p w14:paraId="0A0FF3CD">
            <w:pPr>
              <w:jc w:val="center"/>
              <w:rPr>
                <w:rFonts w:hint="default" w:ascii="Times New Roman" w:hAnsi="Times New Roman" w:eastAsia="宋体" w:cs="Times New Roman"/>
                <w:color w:val="auto"/>
                <w:sz w:val="21"/>
              </w:rPr>
            </w:pPr>
            <w:r>
              <w:rPr>
                <w:sz w:val="21"/>
                <w:szCs w:val="21"/>
              </w:rPr>
              <w:t>1</w:t>
            </w:r>
            <w:r>
              <w:rPr>
                <w:rFonts w:hAnsi="宋体"/>
                <w:sz w:val="21"/>
                <w:szCs w:val="21"/>
              </w:rPr>
              <w:t>号发酵循环泵</w:t>
            </w:r>
            <w:r>
              <w:rPr>
                <w:sz w:val="21"/>
                <w:szCs w:val="21"/>
              </w:rPr>
              <w:t>A/B</w:t>
            </w:r>
          </w:p>
        </w:tc>
        <w:tc>
          <w:tcPr>
            <w:tcW w:w="1173" w:type="dxa"/>
            <w:vAlign w:val="center"/>
          </w:tcPr>
          <w:p w14:paraId="4404D03B">
            <w:pPr>
              <w:jc w:val="center"/>
              <w:rPr>
                <w:rFonts w:hint="default" w:ascii="Times New Roman" w:hAnsi="Times New Roman" w:eastAsia="宋体" w:cs="Times New Roman"/>
                <w:color w:val="auto"/>
                <w:sz w:val="21"/>
              </w:rPr>
            </w:pPr>
            <w:r>
              <w:rPr>
                <w:sz w:val="21"/>
                <w:szCs w:val="21"/>
              </w:rPr>
              <w:t>P411AB</w:t>
            </w:r>
          </w:p>
        </w:tc>
        <w:tc>
          <w:tcPr>
            <w:tcW w:w="1042" w:type="dxa"/>
            <w:vAlign w:val="center"/>
          </w:tcPr>
          <w:p w14:paraId="0EB0902E">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055C615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28FFF2B">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restart"/>
            <w:vAlign w:val="center"/>
          </w:tcPr>
          <w:p w14:paraId="150642F7">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声屏障-1(有窗户)：4.90</w:t>
            </w:r>
          </w:p>
          <w:p w14:paraId="7E8D9362">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声屏障-2：19.50</w:t>
            </w:r>
          </w:p>
          <w:p w14:paraId="62B99636">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声屏障-3：6.40</w:t>
            </w:r>
          </w:p>
          <w:p w14:paraId="51FBFB03">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声屏障-4：29.50</w:t>
            </w:r>
          </w:p>
        </w:tc>
        <w:tc>
          <w:tcPr>
            <w:tcW w:w="1561" w:type="dxa"/>
            <w:vMerge w:val="restart"/>
            <w:vAlign w:val="center"/>
          </w:tcPr>
          <w:p w14:paraId="1579A8D2">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声屏障-1(有窗户)：116.08</w:t>
            </w:r>
          </w:p>
          <w:p w14:paraId="55F17F1D">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声屏障-2：116.04</w:t>
            </w:r>
          </w:p>
          <w:p w14:paraId="0E0DD2DE">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声屏障-3：116.06</w:t>
            </w:r>
          </w:p>
          <w:p w14:paraId="4A22759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声屏障-4：116.04</w:t>
            </w:r>
          </w:p>
        </w:tc>
        <w:tc>
          <w:tcPr>
            <w:tcW w:w="894" w:type="dxa"/>
            <w:vMerge w:val="restart"/>
            <w:vAlign w:val="center"/>
          </w:tcPr>
          <w:p w14:paraId="36DEC8B0">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20</w:t>
            </w:r>
          </w:p>
        </w:tc>
        <w:tc>
          <w:tcPr>
            <w:tcW w:w="989" w:type="dxa"/>
            <w:vMerge w:val="restart"/>
            <w:vAlign w:val="center"/>
          </w:tcPr>
          <w:p w14:paraId="202D91B9">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声屏障-1(有窗户)：16.00</w:t>
            </w:r>
          </w:p>
          <w:p w14:paraId="6E315D19">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声屏障-2：41.00</w:t>
            </w:r>
          </w:p>
          <w:p w14:paraId="1ADEFEDF">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声屏障-3：41.00</w:t>
            </w:r>
          </w:p>
          <w:p w14:paraId="6A692EC4">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声屏障-4：41.00</w:t>
            </w:r>
          </w:p>
        </w:tc>
        <w:tc>
          <w:tcPr>
            <w:tcW w:w="1022" w:type="dxa"/>
            <w:vMerge w:val="restart"/>
            <w:vAlign w:val="center"/>
          </w:tcPr>
          <w:p w14:paraId="06DC51BD">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声屏障-1(有窗户)：100.08</w:t>
            </w:r>
          </w:p>
          <w:p w14:paraId="1BEFB1FE">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声屏障-2：75.04</w:t>
            </w:r>
          </w:p>
          <w:p w14:paraId="4F481542">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声屏障-3：75.06</w:t>
            </w:r>
          </w:p>
          <w:p w14:paraId="09028E73">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声屏障-4：75.04</w:t>
            </w:r>
          </w:p>
        </w:tc>
        <w:tc>
          <w:tcPr>
            <w:tcW w:w="966" w:type="dxa"/>
            <w:vMerge w:val="restart"/>
            <w:vAlign w:val="center"/>
          </w:tcPr>
          <w:p w14:paraId="1B485D5C">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w:t>
            </w:r>
          </w:p>
          <w:p w14:paraId="5F5F98E7">
            <w:pPr>
              <w:spacing w:line="240" w:lineRule="auto"/>
              <w:jc w:val="center"/>
              <w:rPr>
                <w:rFonts w:hint="eastAsia" w:ascii="Times New Roman" w:hAnsi="Times New Roman" w:eastAsia="宋体" w:cs="Times New Roman"/>
                <w:color w:val="auto"/>
                <w:sz w:val="21"/>
                <w:lang w:val="en-US" w:eastAsia="zh-CN"/>
              </w:rPr>
            </w:pPr>
          </w:p>
        </w:tc>
      </w:tr>
      <w:tr w14:paraId="7A827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5CABBCA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2</w:t>
            </w:r>
          </w:p>
        </w:tc>
        <w:tc>
          <w:tcPr>
            <w:tcW w:w="882" w:type="dxa"/>
            <w:vMerge w:val="continue"/>
            <w:vAlign w:val="center"/>
          </w:tcPr>
          <w:p w14:paraId="79EB1EAF">
            <w:pPr>
              <w:spacing w:line="240" w:lineRule="auto"/>
              <w:jc w:val="center"/>
              <w:rPr>
                <w:rFonts w:hint="default" w:ascii="Times New Roman" w:hAnsi="Times New Roman" w:eastAsia="宋体" w:cs="Times New Roman"/>
                <w:color w:val="auto"/>
                <w:sz w:val="21"/>
              </w:rPr>
            </w:pPr>
          </w:p>
        </w:tc>
        <w:tc>
          <w:tcPr>
            <w:tcW w:w="1748" w:type="dxa"/>
            <w:vAlign w:val="center"/>
          </w:tcPr>
          <w:p w14:paraId="0A84ED5B">
            <w:pPr>
              <w:jc w:val="center"/>
              <w:rPr>
                <w:rFonts w:hint="default" w:ascii="Times New Roman" w:hAnsi="Times New Roman" w:eastAsia="宋体" w:cs="Times New Roman"/>
                <w:color w:val="auto"/>
                <w:sz w:val="21"/>
              </w:rPr>
            </w:pPr>
            <w:r>
              <w:rPr>
                <w:sz w:val="21"/>
                <w:szCs w:val="21"/>
              </w:rPr>
              <w:t>2</w:t>
            </w:r>
            <w:r>
              <w:rPr>
                <w:rFonts w:hAnsi="宋体"/>
                <w:sz w:val="21"/>
                <w:szCs w:val="21"/>
              </w:rPr>
              <w:t>号发酵循环泵</w:t>
            </w:r>
            <w:r>
              <w:rPr>
                <w:sz w:val="21"/>
                <w:szCs w:val="21"/>
              </w:rPr>
              <w:t>A/B</w:t>
            </w:r>
          </w:p>
        </w:tc>
        <w:tc>
          <w:tcPr>
            <w:tcW w:w="1173" w:type="dxa"/>
            <w:vAlign w:val="center"/>
          </w:tcPr>
          <w:p w14:paraId="0E293D38">
            <w:pPr>
              <w:jc w:val="center"/>
              <w:rPr>
                <w:rFonts w:hint="default" w:ascii="Times New Roman" w:hAnsi="Times New Roman" w:eastAsia="宋体" w:cs="Times New Roman"/>
                <w:color w:val="auto"/>
                <w:sz w:val="21"/>
              </w:rPr>
            </w:pPr>
            <w:r>
              <w:rPr>
                <w:sz w:val="21"/>
                <w:szCs w:val="21"/>
              </w:rPr>
              <w:t>P412AB</w:t>
            </w:r>
          </w:p>
        </w:tc>
        <w:tc>
          <w:tcPr>
            <w:tcW w:w="1042" w:type="dxa"/>
            <w:vAlign w:val="center"/>
          </w:tcPr>
          <w:p w14:paraId="0507FAED">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32D49FF4">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23382C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32EEA995">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5C3A5DE1">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76AA3769">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6153C6CA">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096635E4">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2B7E3D0F">
            <w:pPr>
              <w:spacing w:line="240" w:lineRule="auto"/>
              <w:jc w:val="center"/>
              <w:rPr>
                <w:rFonts w:hint="eastAsia" w:ascii="Times New Roman" w:hAnsi="Times New Roman" w:eastAsia="宋体" w:cs="Times New Roman"/>
                <w:color w:val="auto"/>
                <w:sz w:val="21"/>
                <w:lang w:val="en-US" w:eastAsia="zh-CN"/>
              </w:rPr>
            </w:pPr>
          </w:p>
        </w:tc>
      </w:tr>
      <w:tr w14:paraId="0CD2C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5106F832">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3</w:t>
            </w:r>
          </w:p>
        </w:tc>
        <w:tc>
          <w:tcPr>
            <w:tcW w:w="882" w:type="dxa"/>
            <w:vMerge w:val="continue"/>
            <w:vAlign w:val="center"/>
          </w:tcPr>
          <w:p w14:paraId="70225E13">
            <w:pPr>
              <w:spacing w:line="240" w:lineRule="auto"/>
              <w:jc w:val="center"/>
              <w:rPr>
                <w:rFonts w:hint="default" w:ascii="Times New Roman" w:hAnsi="Times New Roman" w:eastAsia="宋体" w:cs="Times New Roman"/>
                <w:color w:val="auto"/>
                <w:sz w:val="21"/>
              </w:rPr>
            </w:pPr>
          </w:p>
        </w:tc>
        <w:tc>
          <w:tcPr>
            <w:tcW w:w="1748" w:type="dxa"/>
            <w:vAlign w:val="center"/>
          </w:tcPr>
          <w:p w14:paraId="1C614AAE">
            <w:pPr>
              <w:jc w:val="center"/>
              <w:rPr>
                <w:rFonts w:hint="default" w:ascii="Times New Roman" w:hAnsi="Times New Roman" w:eastAsia="宋体" w:cs="Times New Roman"/>
                <w:color w:val="auto"/>
                <w:sz w:val="21"/>
              </w:rPr>
            </w:pPr>
            <w:r>
              <w:rPr>
                <w:sz w:val="21"/>
                <w:szCs w:val="21"/>
              </w:rPr>
              <w:t>3</w:t>
            </w:r>
            <w:r>
              <w:rPr>
                <w:rFonts w:hAnsi="宋体"/>
                <w:sz w:val="21"/>
                <w:szCs w:val="21"/>
              </w:rPr>
              <w:t>号发酵循环泵</w:t>
            </w:r>
            <w:r>
              <w:rPr>
                <w:sz w:val="21"/>
                <w:szCs w:val="21"/>
              </w:rPr>
              <w:t>A/B</w:t>
            </w:r>
          </w:p>
        </w:tc>
        <w:tc>
          <w:tcPr>
            <w:tcW w:w="1173" w:type="dxa"/>
            <w:vAlign w:val="center"/>
          </w:tcPr>
          <w:p w14:paraId="35FDCBC9">
            <w:pPr>
              <w:jc w:val="center"/>
              <w:rPr>
                <w:rFonts w:hint="default" w:ascii="Times New Roman" w:hAnsi="Times New Roman" w:eastAsia="宋体" w:cs="Times New Roman"/>
                <w:color w:val="auto"/>
                <w:sz w:val="21"/>
              </w:rPr>
            </w:pPr>
            <w:r>
              <w:rPr>
                <w:sz w:val="21"/>
                <w:szCs w:val="21"/>
              </w:rPr>
              <w:t>P413AB</w:t>
            </w:r>
          </w:p>
        </w:tc>
        <w:tc>
          <w:tcPr>
            <w:tcW w:w="1042" w:type="dxa"/>
            <w:vAlign w:val="center"/>
          </w:tcPr>
          <w:p w14:paraId="1F523FEF">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3F8E864E">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3F6D84CE">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2816D9A1">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82C22D8">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2CB6F05">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21CF148C">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71601737">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9A78E79">
            <w:pPr>
              <w:spacing w:line="240" w:lineRule="auto"/>
              <w:jc w:val="center"/>
              <w:rPr>
                <w:rFonts w:hint="eastAsia" w:ascii="Times New Roman" w:hAnsi="Times New Roman" w:eastAsia="宋体" w:cs="Times New Roman"/>
                <w:color w:val="auto"/>
                <w:sz w:val="21"/>
                <w:lang w:val="en-US" w:eastAsia="zh-CN"/>
              </w:rPr>
            </w:pPr>
          </w:p>
        </w:tc>
      </w:tr>
      <w:tr w14:paraId="2240D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703AC5A8">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4</w:t>
            </w:r>
          </w:p>
        </w:tc>
        <w:tc>
          <w:tcPr>
            <w:tcW w:w="882" w:type="dxa"/>
            <w:vMerge w:val="continue"/>
            <w:vAlign w:val="center"/>
          </w:tcPr>
          <w:p w14:paraId="50DFFB18">
            <w:pPr>
              <w:spacing w:line="240" w:lineRule="auto"/>
              <w:jc w:val="center"/>
              <w:rPr>
                <w:rFonts w:hint="default" w:ascii="Times New Roman" w:hAnsi="Times New Roman" w:eastAsia="宋体" w:cs="Times New Roman"/>
                <w:color w:val="auto"/>
                <w:sz w:val="21"/>
              </w:rPr>
            </w:pPr>
          </w:p>
        </w:tc>
        <w:tc>
          <w:tcPr>
            <w:tcW w:w="1748" w:type="dxa"/>
            <w:vAlign w:val="center"/>
          </w:tcPr>
          <w:p w14:paraId="52E82E6A">
            <w:pPr>
              <w:jc w:val="center"/>
              <w:rPr>
                <w:rFonts w:hint="default" w:ascii="Times New Roman" w:hAnsi="Times New Roman" w:eastAsia="宋体" w:cs="Times New Roman"/>
                <w:color w:val="auto"/>
                <w:sz w:val="21"/>
              </w:rPr>
            </w:pPr>
            <w:r>
              <w:rPr>
                <w:sz w:val="21"/>
                <w:szCs w:val="21"/>
              </w:rPr>
              <w:t>4</w:t>
            </w:r>
            <w:r>
              <w:rPr>
                <w:rFonts w:hAnsi="宋体"/>
                <w:sz w:val="21"/>
                <w:szCs w:val="21"/>
              </w:rPr>
              <w:t>号发酵循环泵</w:t>
            </w:r>
          </w:p>
        </w:tc>
        <w:tc>
          <w:tcPr>
            <w:tcW w:w="1173" w:type="dxa"/>
            <w:vAlign w:val="center"/>
          </w:tcPr>
          <w:p w14:paraId="4DD04717">
            <w:pPr>
              <w:jc w:val="center"/>
              <w:rPr>
                <w:rFonts w:hint="default" w:ascii="Times New Roman" w:hAnsi="Times New Roman" w:eastAsia="宋体" w:cs="Times New Roman"/>
                <w:color w:val="auto"/>
                <w:sz w:val="21"/>
              </w:rPr>
            </w:pPr>
            <w:r>
              <w:rPr>
                <w:sz w:val="21"/>
                <w:szCs w:val="21"/>
              </w:rPr>
              <w:t>P414</w:t>
            </w:r>
          </w:p>
        </w:tc>
        <w:tc>
          <w:tcPr>
            <w:tcW w:w="1042" w:type="dxa"/>
            <w:vAlign w:val="center"/>
          </w:tcPr>
          <w:p w14:paraId="32CA19B6">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7D5F7BCA">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7BAA440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26D0CCF3">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49A8679B">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4F705E91">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68CCF82F">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47789779">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48D625CC">
            <w:pPr>
              <w:spacing w:line="240" w:lineRule="auto"/>
              <w:jc w:val="center"/>
              <w:rPr>
                <w:rFonts w:hint="eastAsia" w:ascii="Times New Roman" w:hAnsi="Times New Roman" w:eastAsia="宋体" w:cs="Times New Roman"/>
                <w:color w:val="auto"/>
                <w:sz w:val="21"/>
                <w:lang w:val="en-US" w:eastAsia="zh-CN"/>
              </w:rPr>
            </w:pPr>
          </w:p>
        </w:tc>
      </w:tr>
      <w:tr w14:paraId="25456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7FDE563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5</w:t>
            </w:r>
          </w:p>
        </w:tc>
        <w:tc>
          <w:tcPr>
            <w:tcW w:w="882" w:type="dxa"/>
            <w:vMerge w:val="continue"/>
            <w:vAlign w:val="center"/>
          </w:tcPr>
          <w:p w14:paraId="26BAD881">
            <w:pPr>
              <w:spacing w:line="240" w:lineRule="auto"/>
              <w:jc w:val="center"/>
              <w:rPr>
                <w:rFonts w:hint="default" w:ascii="Times New Roman" w:hAnsi="Times New Roman" w:eastAsia="宋体" w:cs="Times New Roman"/>
                <w:color w:val="auto"/>
                <w:sz w:val="21"/>
              </w:rPr>
            </w:pPr>
          </w:p>
        </w:tc>
        <w:tc>
          <w:tcPr>
            <w:tcW w:w="1748" w:type="dxa"/>
            <w:vAlign w:val="center"/>
          </w:tcPr>
          <w:p w14:paraId="74C965F0">
            <w:pPr>
              <w:jc w:val="center"/>
              <w:rPr>
                <w:rFonts w:hint="default" w:ascii="Times New Roman" w:hAnsi="Times New Roman" w:eastAsia="宋体" w:cs="Times New Roman"/>
                <w:color w:val="auto"/>
                <w:sz w:val="21"/>
              </w:rPr>
            </w:pPr>
            <w:r>
              <w:rPr>
                <w:sz w:val="21"/>
                <w:szCs w:val="21"/>
              </w:rPr>
              <w:t>5</w:t>
            </w:r>
            <w:r>
              <w:rPr>
                <w:rFonts w:hAnsi="宋体"/>
                <w:sz w:val="21"/>
                <w:szCs w:val="21"/>
              </w:rPr>
              <w:t>号发酵循环泵</w:t>
            </w:r>
          </w:p>
        </w:tc>
        <w:tc>
          <w:tcPr>
            <w:tcW w:w="1173" w:type="dxa"/>
            <w:vAlign w:val="center"/>
          </w:tcPr>
          <w:p w14:paraId="3EC20226">
            <w:pPr>
              <w:jc w:val="center"/>
              <w:rPr>
                <w:rFonts w:hint="default" w:ascii="Times New Roman" w:hAnsi="Times New Roman" w:eastAsia="宋体" w:cs="Times New Roman"/>
                <w:color w:val="auto"/>
                <w:sz w:val="21"/>
              </w:rPr>
            </w:pPr>
            <w:r>
              <w:rPr>
                <w:sz w:val="21"/>
                <w:szCs w:val="21"/>
              </w:rPr>
              <w:t>P415</w:t>
            </w:r>
          </w:p>
        </w:tc>
        <w:tc>
          <w:tcPr>
            <w:tcW w:w="1042" w:type="dxa"/>
            <w:vAlign w:val="center"/>
          </w:tcPr>
          <w:p w14:paraId="4C967FE9">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544E660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24AC8D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70C99228">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4D106D48">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3432A9D4">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422E3E72">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6ACEC531">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4389BAEC">
            <w:pPr>
              <w:spacing w:line="240" w:lineRule="auto"/>
              <w:jc w:val="center"/>
              <w:rPr>
                <w:rFonts w:hint="eastAsia" w:ascii="Times New Roman" w:hAnsi="Times New Roman" w:eastAsia="宋体" w:cs="Times New Roman"/>
                <w:color w:val="auto"/>
                <w:sz w:val="21"/>
                <w:lang w:val="en-US" w:eastAsia="zh-CN"/>
              </w:rPr>
            </w:pPr>
          </w:p>
        </w:tc>
      </w:tr>
      <w:tr w14:paraId="71D34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453EAC2F">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6</w:t>
            </w:r>
          </w:p>
        </w:tc>
        <w:tc>
          <w:tcPr>
            <w:tcW w:w="882" w:type="dxa"/>
            <w:vMerge w:val="continue"/>
            <w:vAlign w:val="center"/>
          </w:tcPr>
          <w:p w14:paraId="498F48F3">
            <w:pPr>
              <w:spacing w:line="240" w:lineRule="auto"/>
              <w:jc w:val="center"/>
              <w:rPr>
                <w:rFonts w:hint="default" w:ascii="Times New Roman" w:hAnsi="Times New Roman" w:eastAsia="宋体" w:cs="Times New Roman"/>
                <w:color w:val="auto"/>
                <w:sz w:val="21"/>
              </w:rPr>
            </w:pPr>
          </w:p>
        </w:tc>
        <w:tc>
          <w:tcPr>
            <w:tcW w:w="1748" w:type="dxa"/>
            <w:vAlign w:val="center"/>
          </w:tcPr>
          <w:p w14:paraId="4760EDCB">
            <w:pPr>
              <w:jc w:val="center"/>
              <w:rPr>
                <w:rFonts w:hint="default" w:ascii="Times New Roman" w:hAnsi="Times New Roman" w:eastAsia="宋体" w:cs="Times New Roman"/>
                <w:color w:val="auto"/>
                <w:sz w:val="21"/>
              </w:rPr>
            </w:pPr>
            <w:r>
              <w:rPr>
                <w:sz w:val="21"/>
                <w:szCs w:val="21"/>
              </w:rPr>
              <w:t>6</w:t>
            </w:r>
            <w:r>
              <w:rPr>
                <w:rFonts w:hAnsi="宋体"/>
                <w:sz w:val="21"/>
                <w:szCs w:val="21"/>
              </w:rPr>
              <w:t>号发酵循环泵</w:t>
            </w:r>
          </w:p>
        </w:tc>
        <w:tc>
          <w:tcPr>
            <w:tcW w:w="1173" w:type="dxa"/>
            <w:vAlign w:val="center"/>
          </w:tcPr>
          <w:p w14:paraId="37F60C66">
            <w:pPr>
              <w:jc w:val="center"/>
              <w:rPr>
                <w:rFonts w:hint="default" w:ascii="Times New Roman" w:hAnsi="Times New Roman" w:eastAsia="宋体" w:cs="Times New Roman"/>
                <w:color w:val="auto"/>
                <w:sz w:val="21"/>
              </w:rPr>
            </w:pPr>
            <w:r>
              <w:rPr>
                <w:sz w:val="21"/>
                <w:szCs w:val="21"/>
              </w:rPr>
              <w:t>P416</w:t>
            </w:r>
          </w:p>
        </w:tc>
        <w:tc>
          <w:tcPr>
            <w:tcW w:w="1042" w:type="dxa"/>
            <w:vAlign w:val="center"/>
          </w:tcPr>
          <w:p w14:paraId="78DB60FD">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7AC9401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0397900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3C7C24C7">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63D53C0D">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476F7096">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2EED58F">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00C16D22">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447BCB42">
            <w:pPr>
              <w:spacing w:line="240" w:lineRule="auto"/>
              <w:jc w:val="center"/>
              <w:rPr>
                <w:rFonts w:hint="eastAsia" w:ascii="Times New Roman" w:hAnsi="Times New Roman" w:eastAsia="宋体" w:cs="Times New Roman"/>
                <w:color w:val="auto"/>
                <w:sz w:val="21"/>
                <w:lang w:val="en-US" w:eastAsia="zh-CN"/>
              </w:rPr>
            </w:pPr>
          </w:p>
        </w:tc>
      </w:tr>
      <w:tr w14:paraId="5B2C1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1B9CDB42">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7</w:t>
            </w:r>
          </w:p>
        </w:tc>
        <w:tc>
          <w:tcPr>
            <w:tcW w:w="882" w:type="dxa"/>
            <w:vMerge w:val="continue"/>
            <w:vAlign w:val="center"/>
          </w:tcPr>
          <w:p w14:paraId="6C90E3DA">
            <w:pPr>
              <w:spacing w:line="240" w:lineRule="auto"/>
              <w:jc w:val="center"/>
              <w:rPr>
                <w:rFonts w:hint="default" w:ascii="Times New Roman" w:hAnsi="Times New Roman" w:eastAsia="宋体" w:cs="Times New Roman"/>
                <w:color w:val="auto"/>
                <w:sz w:val="21"/>
              </w:rPr>
            </w:pPr>
          </w:p>
        </w:tc>
        <w:tc>
          <w:tcPr>
            <w:tcW w:w="1748" w:type="dxa"/>
            <w:vAlign w:val="center"/>
          </w:tcPr>
          <w:p w14:paraId="65EE96BE">
            <w:pPr>
              <w:jc w:val="center"/>
              <w:rPr>
                <w:rFonts w:hint="default" w:ascii="Times New Roman" w:hAnsi="Times New Roman" w:eastAsia="宋体" w:cs="Times New Roman"/>
                <w:color w:val="auto"/>
                <w:sz w:val="21"/>
              </w:rPr>
            </w:pPr>
            <w:r>
              <w:rPr>
                <w:sz w:val="21"/>
                <w:szCs w:val="21"/>
              </w:rPr>
              <w:t>7</w:t>
            </w:r>
            <w:r>
              <w:rPr>
                <w:rFonts w:hAnsi="宋体"/>
                <w:sz w:val="21"/>
                <w:szCs w:val="21"/>
              </w:rPr>
              <w:t>号发酵循环泵</w:t>
            </w:r>
          </w:p>
        </w:tc>
        <w:tc>
          <w:tcPr>
            <w:tcW w:w="1173" w:type="dxa"/>
            <w:vAlign w:val="center"/>
          </w:tcPr>
          <w:p w14:paraId="7527D9D2">
            <w:pPr>
              <w:jc w:val="center"/>
              <w:rPr>
                <w:rFonts w:hint="default" w:ascii="Times New Roman" w:hAnsi="Times New Roman" w:eastAsia="宋体" w:cs="Times New Roman"/>
                <w:color w:val="auto"/>
                <w:sz w:val="21"/>
              </w:rPr>
            </w:pPr>
            <w:r>
              <w:rPr>
                <w:sz w:val="21"/>
                <w:szCs w:val="21"/>
              </w:rPr>
              <w:t>P417</w:t>
            </w:r>
          </w:p>
        </w:tc>
        <w:tc>
          <w:tcPr>
            <w:tcW w:w="1042" w:type="dxa"/>
            <w:vAlign w:val="center"/>
          </w:tcPr>
          <w:p w14:paraId="2B9633F6">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75AAA6F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70021009">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4D548F6D">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4AD556D0">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E47CBAE">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B1FC719">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1408563B">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795E83A6">
            <w:pPr>
              <w:spacing w:line="240" w:lineRule="auto"/>
              <w:jc w:val="center"/>
              <w:rPr>
                <w:rFonts w:hint="eastAsia" w:ascii="Times New Roman" w:hAnsi="Times New Roman" w:eastAsia="宋体" w:cs="Times New Roman"/>
                <w:color w:val="auto"/>
                <w:sz w:val="21"/>
                <w:lang w:val="en-US" w:eastAsia="zh-CN"/>
              </w:rPr>
            </w:pPr>
          </w:p>
        </w:tc>
      </w:tr>
      <w:tr w14:paraId="08A15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716AD5DA">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8</w:t>
            </w:r>
          </w:p>
        </w:tc>
        <w:tc>
          <w:tcPr>
            <w:tcW w:w="882" w:type="dxa"/>
            <w:vMerge w:val="continue"/>
            <w:vAlign w:val="center"/>
          </w:tcPr>
          <w:p w14:paraId="26E187D8">
            <w:pPr>
              <w:spacing w:line="240" w:lineRule="auto"/>
              <w:jc w:val="center"/>
              <w:rPr>
                <w:rFonts w:hint="default" w:ascii="Times New Roman" w:hAnsi="Times New Roman" w:eastAsia="宋体" w:cs="Times New Roman"/>
                <w:color w:val="auto"/>
                <w:sz w:val="21"/>
              </w:rPr>
            </w:pPr>
          </w:p>
        </w:tc>
        <w:tc>
          <w:tcPr>
            <w:tcW w:w="1748" w:type="dxa"/>
            <w:vAlign w:val="center"/>
          </w:tcPr>
          <w:p w14:paraId="04468E69">
            <w:pPr>
              <w:jc w:val="center"/>
              <w:rPr>
                <w:rFonts w:hint="default" w:ascii="Times New Roman" w:hAnsi="Times New Roman" w:eastAsia="宋体" w:cs="Times New Roman"/>
                <w:color w:val="auto"/>
                <w:sz w:val="21"/>
              </w:rPr>
            </w:pPr>
            <w:r>
              <w:rPr>
                <w:sz w:val="21"/>
                <w:szCs w:val="21"/>
              </w:rPr>
              <w:t>8</w:t>
            </w:r>
            <w:r>
              <w:rPr>
                <w:rFonts w:hAnsi="宋体"/>
                <w:sz w:val="21"/>
                <w:szCs w:val="21"/>
              </w:rPr>
              <w:t>号发酵循环泵</w:t>
            </w:r>
          </w:p>
        </w:tc>
        <w:tc>
          <w:tcPr>
            <w:tcW w:w="1173" w:type="dxa"/>
            <w:vAlign w:val="center"/>
          </w:tcPr>
          <w:p w14:paraId="1EF141A5">
            <w:pPr>
              <w:jc w:val="center"/>
              <w:rPr>
                <w:rFonts w:hint="default" w:ascii="Times New Roman" w:hAnsi="Times New Roman" w:eastAsia="宋体" w:cs="Times New Roman"/>
                <w:color w:val="auto"/>
                <w:sz w:val="21"/>
              </w:rPr>
            </w:pPr>
            <w:r>
              <w:rPr>
                <w:sz w:val="21"/>
                <w:szCs w:val="21"/>
              </w:rPr>
              <w:t>P418</w:t>
            </w:r>
          </w:p>
        </w:tc>
        <w:tc>
          <w:tcPr>
            <w:tcW w:w="1042" w:type="dxa"/>
            <w:vAlign w:val="center"/>
          </w:tcPr>
          <w:p w14:paraId="09C8E8A2">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678DEF4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FDF042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6085F8DF">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03965DC9">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1E79F04">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8C7F232">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4B7B1864">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63499A2A">
            <w:pPr>
              <w:spacing w:line="240" w:lineRule="auto"/>
              <w:jc w:val="center"/>
              <w:rPr>
                <w:rFonts w:hint="eastAsia" w:ascii="Times New Roman" w:hAnsi="Times New Roman" w:eastAsia="宋体" w:cs="Times New Roman"/>
                <w:color w:val="auto"/>
                <w:sz w:val="21"/>
                <w:lang w:val="en-US" w:eastAsia="zh-CN"/>
              </w:rPr>
            </w:pPr>
          </w:p>
        </w:tc>
      </w:tr>
      <w:tr w14:paraId="5D1CF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5049963B">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9</w:t>
            </w:r>
          </w:p>
        </w:tc>
        <w:tc>
          <w:tcPr>
            <w:tcW w:w="882" w:type="dxa"/>
            <w:vMerge w:val="continue"/>
            <w:vAlign w:val="center"/>
          </w:tcPr>
          <w:p w14:paraId="001633F7">
            <w:pPr>
              <w:spacing w:line="240" w:lineRule="auto"/>
              <w:jc w:val="center"/>
              <w:rPr>
                <w:rFonts w:hint="default" w:ascii="Times New Roman" w:hAnsi="Times New Roman" w:eastAsia="宋体" w:cs="Times New Roman"/>
                <w:color w:val="auto"/>
                <w:sz w:val="21"/>
              </w:rPr>
            </w:pPr>
          </w:p>
        </w:tc>
        <w:tc>
          <w:tcPr>
            <w:tcW w:w="1748" w:type="dxa"/>
            <w:vAlign w:val="center"/>
          </w:tcPr>
          <w:p w14:paraId="5DAE9BF0">
            <w:pPr>
              <w:jc w:val="center"/>
              <w:rPr>
                <w:rFonts w:hint="default" w:ascii="Times New Roman" w:hAnsi="Times New Roman" w:eastAsia="宋体" w:cs="Times New Roman"/>
                <w:color w:val="auto"/>
                <w:sz w:val="21"/>
              </w:rPr>
            </w:pPr>
            <w:r>
              <w:rPr>
                <w:rFonts w:hAnsi="宋体"/>
                <w:sz w:val="21"/>
                <w:szCs w:val="21"/>
              </w:rPr>
              <w:t>成熟醪泵</w:t>
            </w:r>
            <w:r>
              <w:rPr>
                <w:sz w:val="21"/>
                <w:szCs w:val="21"/>
              </w:rPr>
              <w:t>A/B</w:t>
            </w:r>
          </w:p>
        </w:tc>
        <w:tc>
          <w:tcPr>
            <w:tcW w:w="1173" w:type="dxa"/>
            <w:vAlign w:val="center"/>
          </w:tcPr>
          <w:p w14:paraId="7CA585D7">
            <w:pPr>
              <w:jc w:val="center"/>
              <w:rPr>
                <w:rFonts w:hint="default" w:ascii="Times New Roman" w:hAnsi="Times New Roman" w:eastAsia="宋体" w:cs="Times New Roman"/>
                <w:color w:val="auto"/>
                <w:sz w:val="21"/>
              </w:rPr>
            </w:pPr>
            <w:r>
              <w:rPr>
                <w:sz w:val="21"/>
                <w:szCs w:val="21"/>
              </w:rPr>
              <w:t>P410A/B</w:t>
            </w:r>
          </w:p>
        </w:tc>
        <w:tc>
          <w:tcPr>
            <w:tcW w:w="1042" w:type="dxa"/>
            <w:vAlign w:val="center"/>
          </w:tcPr>
          <w:p w14:paraId="50BCD70F">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7849806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696021E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6056408E">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690E61B3">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2D8960DE">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EB0892F">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453C44AD">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5932B79F">
            <w:pPr>
              <w:spacing w:line="240" w:lineRule="auto"/>
              <w:jc w:val="center"/>
              <w:rPr>
                <w:rFonts w:hint="eastAsia" w:ascii="Times New Roman" w:hAnsi="Times New Roman" w:eastAsia="宋体" w:cs="Times New Roman"/>
                <w:color w:val="auto"/>
                <w:sz w:val="21"/>
                <w:lang w:val="en-US" w:eastAsia="zh-CN"/>
              </w:rPr>
            </w:pPr>
          </w:p>
        </w:tc>
      </w:tr>
      <w:tr w14:paraId="5275C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080F731E">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10</w:t>
            </w:r>
          </w:p>
        </w:tc>
        <w:tc>
          <w:tcPr>
            <w:tcW w:w="882" w:type="dxa"/>
            <w:vMerge w:val="restart"/>
            <w:vAlign w:val="center"/>
          </w:tcPr>
          <w:p w14:paraId="07BE6A9F">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蒸馏车间</w:t>
            </w:r>
          </w:p>
        </w:tc>
        <w:tc>
          <w:tcPr>
            <w:tcW w:w="1748" w:type="dxa"/>
            <w:vAlign w:val="center"/>
          </w:tcPr>
          <w:p w14:paraId="0E464BDE">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水洗塔回流泵</w:t>
            </w:r>
          </w:p>
        </w:tc>
        <w:tc>
          <w:tcPr>
            <w:tcW w:w="1173" w:type="dxa"/>
            <w:vAlign w:val="center"/>
          </w:tcPr>
          <w:p w14:paraId="5ACE7FA2">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P565A/B</w:t>
            </w:r>
          </w:p>
        </w:tc>
        <w:tc>
          <w:tcPr>
            <w:tcW w:w="1042" w:type="dxa"/>
            <w:vAlign w:val="center"/>
          </w:tcPr>
          <w:p w14:paraId="0CADA3F7">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77B7BEA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1DB66B4F">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6532793A">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0FA89B0C">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F8055B3">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13065FF">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5FFA9CE8">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02CC0660">
            <w:pPr>
              <w:spacing w:line="240" w:lineRule="auto"/>
              <w:jc w:val="center"/>
              <w:rPr>
                <w:rFonts w:hint="eastAsia" w:ascii="Times New Roman" w:hAnsi="Times New Roman" w:eastAsia="宋体" w:cs="Times New Roman"/>
                <w:color w:val="auto"/>
                <w:sz w:val="21"/>
                <w:lang w:val="en-US" w:eastAsia="zh-CN"/>
              </w:rPr>
            </w:pPr>
          </w:p>
        </w:tc>
      </w:tr>
      <w:tr w14:paraId="01BED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747011E9">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11</w:t>
            </w:r>
          </w:p>
        </w:tc>
        <w:tc>
          <w:tcPr>
            <w:tcW w:w="882" w:type="dxa"/>
            <w:vMerge w:val="continue"/>
            <w:vAlign w:val="center"/>
          </w:tcPr>
          <w:p w14:paraId="1A097C0C">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757811CC">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甲醇塔回流泵</w:t>
            </w:r>
          </w:p>
        </w:tc>
        <w:tc>
          <w:tcPr>
            <w:tcW w:w="1173" w:type="dxa"/>
            <w:vAlign w:val="center"/>
          </w:tcPr>
          <w:p w14:paraId="22CF76FE">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P555A/B</w:t>
            </w:r>
          </w:p>
        </w:tc>
        <w:tc>
          <w:tcPr>
            <w:tcW w:w="1042" w:type="dxa"/>
            <w:vAlign w:val="center"/>
          </w:tcPr>
          <w:p w14:paraId="543262BD">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430D0ACF">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DFBC9A2">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4CFEDB06">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20CFF28A">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73C89446">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2F4D76CC">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5F3B47A7">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05DCE48A">
            <w:pPr>
              <w:spacing w:line="240" w:lineRule="auto"/>
              <w:jc w:val="center"/>
              <w:rPr>
                <w:rFonts w:hint="eastAsia" w:ascii="Times New Roman" w:hAnsi="Times New Roman" w:eastAsia="宋体" w:cs="Times New Roman"/>
                <w:color w:val="auto"/>
                <w:sz w:val="21"/>
                <w:lang w:val="en-US" w:eastAsia="zh-CN"/>
              </w:rPr>
            </w:pPr>
          </w:p>
        </w:tc>
      </w:tr>
      <w:tr w14:paraId="2BEF1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6862A8CC">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12</w:t>
            </w:r>
          </w:p>
        </w:tc>
        <w:tc>
          <w:tcPr>
            <w:tcW w:w="882" w:type="dxa"/>
            <w:vMerge w:val="continue"/>
            <w:vAlign w:val="center"/>
          </w:tcPr>
          <w:p w14:paraId="611FC969">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3588F65E">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水洗塔淡酒泵</w:t>
            </w:r>
          </w:p>
        </w:tc>
        <w:tc>
          <w:tcPr>
            <w:tcW w:w="1173" w:type="dxa"/>
            <w:vAlign w:val="center"/>
          </w:tcPr>
          <w:p w14:paraId="31F90F55">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P560A/B</w:t>
            </w:r>
          </w:p>
        </w:tc>
        <w:tc>
          <w:tcPr>
            <w:tcW w:w="1042" w:type="dxa"/>
            <w:vAlign w:val="center"/>
          </w:tcPr>
          <w:p w14:paraId="3574FF6A">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69776BB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0E94AEE">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163EC251">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146AB394">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5FE773D7">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4A6F2D1A">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2B2B063E">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B38E213">
            <w:pPr>
              <w:spacing w:line="240" w:lineRule="auto"/>
              <w:jc w:val="center"/>
              <w:rPr>
                <w:rFonts w:hint="eastAsia" w:ascii="Times New Roman" w:hAnsi="Times New Roman" w:eastAsia="宋体" w:cs="Times New Roman"/>
                <w:color w:val="auto"/>
                <w:sz w:val="21"/>
                <w:lang w:val="en-US" w:eastAsia="zh-CN"/>
              </w:rPr>
            </w:pPr>
          </w:p>
        </w:tc>
      </w:tr>
      <w:tr w14:paraId="3620F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5ED33FCE">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13</w:t>
            </w:r>
          </w:p>
        </w:tc>
        <w:tc>
          <w:tcPr>
            <w:tcW w:w="882" w:type="dxa"/>
            <w:vMerge w:val="continue"/>
            <w:vAlign w:val="center"/>
          </w:tcPr>
          <w:p w14:paraId="2D287EDF">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7C519EBD">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水洗塔淡酒泵</w:t>
            </w:r>
          </w:p>
        </w:tc>
        <w:tc>
          <w:tcPr>
            <w:tcW w:w="1173" w:type="dxa"/>
            <w:vAlign w:val="center"/>
          </w:tcPr>
          <w:p w14:paraId="51B14EE4">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P560C</w:t>
            </w:r>
          </w:p>
        </w:tc>
        <w:tc>
          <w:tcPr>
            <w:tcW w:w="1042" w:type="dxa"/>
            <w:vAlign w:val="center"/>
          </w:tcPr>
          <w:p w14:paraId="3448E125">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0878481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3C897610">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1A7128C8">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74A36A67">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255A49AC">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FA1E5F1">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0A0F64EA">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66407CA5">
            <w:pPr>
              <w:spacing w:line="240" w:lineRule="auto"/>
              <w:jc w:val="center"/>
              <w:rPr>
                <w:rFonts w:hint="eastAsia" w:ascii="Times New Roman" w:hAnsi="Times New Roman" w:eastAsia="宋体" w:cs="Times New Roman"/>
                <w:color w:val="auto"/>
                <w:sz w:val="21"/>
                <w:lang w:val="en-US" w:eastAsia="zh-CN"/>
              </w:rPr>
            </w:pPr>
          </w:p>
        </w:tc>
      </w:tr>
      <w:tr w14:paraId="3E94C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1B915A4E">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14</w:t>
            </w:r>
          </w:p>
        </w:tc>
        <w:tc>
          <w:tcPr>
            <w:tcW w:w="882" w:type="dxa"/>
            <w:vMerge w:val="continue"/>
            <w:vAlign w:val="center"/>
          </w:tcPr>
          <w:p w14:paraId="51E03068">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249867D5">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甲醇塔循环泵</w:t>
            </w:r>
          </w:p>
        </w:tc>
        <w:tc>
          <w:tcPr>
            <w:tcW w:w="1173" w:type="dxa"/>
            <w:vAlign w:val="center"/>
          </w:tcPr>
          <w:p w14:paraId="1E4962B0">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P552A/B/C</w:t>
            </w:r>
          </w:p>
        </w:tc>
        <w:tc>
          <w:tcPr>
            <w:tcW w:w="1042" w:type="dxa"/>
            <w:vAlign w:val="center"/>
          </w:tcPr>
          <w:p w14:paraId="061F2BE4">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23522AC9">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34033B4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616272A9">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35594565">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65AD54A">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02233BB7">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02E338E9">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95CDB39">
            <w:pPr>
              <w:spacing w:line="240" w:lineRule="auto"/>
              <w:jc w:val="center"/>
              <w:rPr>
                <w:rFonts w:hint="eastAsia" w:ascii="Times New Roman" w:hAnsi="Times New Roman" w:eastAsia="宋体" w:cs="Times New Roman"/>
                <w:color w:val="auto"/>
                <w:sz w:val="21"/>
                <w:lang w:val="en-US" w:eastAsia="zh-CN"/>
              </w:rPr>
            </w:pPr>
          </w:p>
        </w:tc>
      </w:tr>
      <w:tr w14:paraId="69CD1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07958D62">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15</w:t>
            </w:r>
          </w:p>
        </w:tc>
        <w:tc>
          <w:tcPr>
            <w:tcW w:w="882" w:type="dxa"/>
            <w:vMerge w:val="continue"/>
            <w:vAlign w:val="center"/>
          </w:tcPr>
          <w:p w14:paraId="30A7814E">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253F2A3D">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成品泵</w:t>
            </w:r>
          </w:p>
        </w:tc>
        <w:tc>
          <w:tcPr>
            <w:tcW w:w="1173" w:type="dxa"/>
            <w:vAlign w:val="center"/>
          </w:tcPr>
          <w:p w14:paraId="57B25620">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P5551 A/B</w:t>
            </w:r>
          </w:p>
        </w:tc>
        <w:tc>
          <w:tcPr>
            <w:tcW w:w="1042" w:type="dxa"/>
            <w:vAlign w:val="center"/>
          </w:tcPr>
          <w:p w14:paraId="57FC0D15">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62F4F4ED">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04DC2892">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5B0239E7">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02DDDF4B">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6A461713">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6CBBFD32">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6BDC4FE1">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E2F7DC3">
            <w:pPr>
              <w:spacing w:line="240" w:lineRule="auto"/>
              <w:jc w:val="center"/>
              <w:rPr>
                <w:rFonts w:hint="eastAsia" w:ascii="Times New Roman" w:hAnsi="Times New Roman" w:eastAsia="宋体" w:cs="Times New Roman"/>
                <w:color w:val="auto"/>
                <w:sz w:val="21"/>
                <w:lang w:val="en-US" w:eastAsia="zh-CN"/>
              </w:rPr>
            </w:pPr>
          </w:p>
        </w:tc>
      </w:tr>
      <w:tr w14:paraId="55950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2E9F78C5">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16</w:t>
            </w:r>
          </w:p>
        </w:tc>
        <w:tc>
          <w:tcPr>
            <w:tcW w:w="882" w:type="dxa"/>
            <w:vMerge w:val="continue"/>
            <w:vAlign w:val="center"/>
          </w:tcPr>
          <w:p w14:paraId="75461A4E">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2FDFA7BB">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水洗塔循环泵A</w:t>
            </w:r>
          </w:p>
        </w:tc>
        <w:tc>
          <w:tcPr>
            <w:tcW w:w="1173" w:type="dxa"/>
            <w:vAlign w:val="center"/>
          </w:tcPr>
          <w:p w14:paraId="66B1EE2D">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P562A</w:t>
            </w:r>
          </w:p>
        </w:tc>
        <w:tc>
          <w:tcPr>
            <w:tcW w:w="1042" w:type="dxa"/>
            <w:vAlign w:val="center"/>
          </w:tcPr>
          <w:p w14:paraId="646DC9C2">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46B528E7">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1A84499F">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79569F21">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2CAA37C4">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62886588">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580CC41C">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305441CE">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0FA7E7FA">
            <w:pPr>
              <w:spacing w:line="240" w:lineRule="auto"/>
              <w:jc w:val="center"/>
              <w:rPr>
                <w:rFonts w:hint="eastAsia" w:ascii="Times New Roman" w:hAnsi="Times New Roman" w:eastAsia="宋体" w:cs="Times New Roman"/>
                <w:color w:val="auto"/>
                <w:sz w:val="21"/>
                <w:lang w:val="en-US" w:eastAsia="zh-CN"/>
              </w:rPr>
            </w:pPr>
          </w:p>
        </w:tc>
      </w:tr>
      <w:tr w14:paraId="6488C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631E799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17</w:t>
            </w:r>
          </w:p>
        </w:tc>
        <w:tc>
          <w:tcPr>
            <w:tcW w:w="882" w:type="dxa"/>
            <w:vMerge w:val="continue"/>
            <w:vAlign w:val="center"/>
          </w:tcPr>
          <w:p w14:paraId="621D7A17">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509ED60F">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水洗塔循环泵B</w:t>
            </w:r>
          </w:p>
        </w:tc>
        <w:tc>
          <w:tcPr>
            <w:tcW w:w="1173" w:type="dxa"/>
            <w:vAlign w:val="center"/>
          </w:tcPr>
          <w:p w14:paraId="154EED80">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P562B</w:t>
            </w:r>
          </w:p>
        </w:tc>
        <w:tc>
          <w:tcPr>
            <w:tcW w:w="1042" w:type="dxa"/>
            <w:vAlign w:val="center"/>
          </w:tcPr>
          <w:p w14:paraId="0513ACE4">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4296236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C4A604A">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3567F91F">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28F53783">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35C1608C">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18FD0511">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6FDDF553">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7C6590B0">
            <w:pPr>
              <w:spacing w:line="240" w:lineRule="auto"/>
              <w:jc w:val="center"/>
              <w:rPr>
                <w:rFonts w:hint="eastAsia" w:ascii="Times New Roman" w:hAnsi="Times New Roman" w:eastAsia="宋体" w:cs="Times New Roman"/>
                <w:color w:val="auto"/>
                <w:sz w:val="21"/>
                <w:lang w:val="en-US" w:eastAsia="zh-CN"/>
              </w:rPr>
            </w:pPr>
          </w:p>
        </w:tc>
      </w:tr>
      <w:tr w14:paraId="57D21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3E40E10C">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18</w:t>
            </w:r>
          </w:p>
        </w:tc>
        <w:tc>
          <w:tcPr>
            <w:tcW w:w="882" w:type="dxa"/>
            <w:vMerge w:val="continue"/>
            <w:vAlign w:val="center"/>
          </w:tcPr>
          <w:p w14:paraId="7711084D">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3EE74D05">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工业酒精泵</w:t>
            </w:r>
          </w:p>
        </w:tc>
        <w:tc>
          <w:tcPr>
            <w:tcW w:w="1173" w:type="dxa"/>
            <w:vAlign w:val="center"/>
          </w:tcPr>
          <w:p w14:paraId="5513DE2F">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P522</w:t>
            </w:r>
          </w:p>
        </w:tc>
        <w:tc>
          <w:tcPr>
            <w:tcW w:w="1042" w:type="dxa"/>
            <w:vAlign w:val="center"/>
          </w:tcPr>
          <w:p w14:paraId="016B946E">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51AC6F71">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005734CB">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461B6FAF">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6403E3D1">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10CCE0A8">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AE172F2">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60C47089">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5658CA73">
            <w:pPr>
              <w:spacing w:line="240" w:lineRule="auto"/>
              <w:jc w:val="center"/>
              <w:rPr>
                <w:rFonts w:hint="eastAsia" w:ascii="Times New Roman" w:hAnsi="Times New Roman" w:eastAsia="宋体" w:cs="Times New Roman"/>
                <w:color w:val="auto"/>
                <w:sz w:val="21"/>
                <w:lang w:val="en-US" w:eastAsia="zh-CN"/>
              </w:rPr>
            </w:pPr>
          </w:p>
        </w:tc>
      </w:tr>
      <w:tr w14:paraId="280FC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2EC4087E">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19</w:t>
            </w:r>
          </w:p>
        </w:tc>
        <w:tc>
          <w:tcPr>
            <w:tcW w:w="882" w:type="dxa"/>
            <w:vMerge w:val="continue"/>
            <w:vAlign w:val="center"/>
          </w:tcPr>
          <w:p w14:paraId="53738AA0">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339F20DC">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精塔A废水泵</w:t>
            </w:r>
          </w:p>
        </w:tc>
        <w:tc>
          <w:tcPr>
            <w:tcW w:w="1173" w:type="dxa"/>
            <w:vAlign w:val="center"/>
          </w:tcPr>
          <w:p w14:paraId="750E5F43">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P514A/B</w:t>
            </w:r>
          </w:p>
        </w:tc>
        <w:tc>
          <w:tcPr>
            <w:tcW w:w="1042" w:type="dxa"/>
            <w:vAlign w:val="center"/>
          </w:tcPr>
          <w:p w14:paraId="2A68AFC2">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45D39A25">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6D5EC9EA">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49088296">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4C05DBD0">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87CB40C">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25720C3D">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71924E0A">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59BBACD0">
            <w:pPr>
              <w:spacing w:line="240" w:lineRule="auto"/>
              <w:jc w:val="center"/>
              <w:rPr>
                <w:rFonts w:hint="eastAsia" w:ascii="Times New Roman" w:hAnsi="Times New Roman" w:eastAsia="宋体" w:cs="Times New Roman"/>
                <w:color w:val="auto"/>
                <w:sz w:val="21"/>
                <w:lang w:val="en-US" w:eastAsia="zh-CN"/>
              </w:rPr>
            </w:pPr>
          </w:p>
        </w:tc>
      </w:tr>
      <w:tr w14:paraId="57E5E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02C188E1">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20</w:t>
            </w:r>
          </w:p>
        </w:tc>
        <w:tc>
          <w:tcPr>
            <w:tcW w:w="882" w:type="dxa"/>
            <w:vMerge w:val="continue"/>
            <w:vAlign w:val="center"/>
          </w:tcPr>
          <w:p w14:paraId="419364E9">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52DE38C6">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精塔B废水泵</w:t>
            </w:r>
          </w:p>
        </w:tc>
        <w:tc>
          <w:tcPr>
            <w:tcW w:w="1173" w:type="dxa"/>
            <w:vAlign w:val="center"/>
          </w:tcPr>
          <w:p w14:paraId="4794B339">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P511A/B</w:t>
            </w:r>
          </w:p>
        </w:tc>
        <w:tc>
          <w:tcPr>
            <w:tcW w:w="1042" w:type="dxa"/>
            <w:vAlign w:val="center"/>
          </w:tcPr>
          <w:p w14:paraId="5A69DA2E">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00AA2C8A">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61705676">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3C54D5FA">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27FA555A">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5D223300">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3E298955">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32734141">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3D909EEA">
            <w:pPr>
              <w:spacing w:line="240" w:lineRule="auto"/>
              <w:jc w:val="center"/>
              <w:rPr>
                <w:rFonts w:hint="eastAsia" w:ascii="Times New Roman" w:hAnsi="Times New Roman" w:eastAsia="宋体" w:cs="Times New Roman"/>
                <w:color w:val="auto"/>
                <w:sz w:val="21"/>
                <w:lang w:val="en-US" w:eastAsia="zh-CN"/>
              </w:rPr>
            </w:pPr>
          </w:p>
        </w:tc>
      </w:tr>
      <w:tr w14:paraId="3FAF7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207051D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21</w:t>
            </w:r>
          </w:p>
        </w:tc>
        <w:tc>
          <w:tcPr>
            <w:tcW w:w="882" w:type="dxa"/>
            <w:vMerge w:val="continue"/>
            <w:vAlign w:val="center"/>
          </w:tcPr>
          <w:p w14:paraId="27CCCDF4">
            <w:pPr>
              <w:spacing w:line="240" w:lineRule="auto"/>
              <w:jc w:val="center"/>
              <w:rPr>
                <w:rFonts w:hint="eastAsia" w:ascii="Times New Roman" w:hAnsi="Times New Roman" w:eastAsia="宋体" w:cs="Times New Roman"/>
                <w:color w:val="auto"/>
                <w:sz w:val="21"/>
                <w:lang w:val="en-US" w:eastAsia="zh-CN"/>
              </w:rPr>
            </w:pPr>
          </w:p>
        </w:tc>
        <w:tc>
          <w:tcPr>
            <w:tcW w:w="1748" w:type="dxa"/>
            <w:vAlign w:val="center"/>
          </w:tcPr>
          <w:p w14:paraId="4136997C">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无水原料泵</w:t>
            </w:r>
          </w:p>
        </w:tc>
        <w:tc>
          <w:tcPr>
            <w:tcW w:w="1173" w:type="dxa"/>
            <w:vAlign w:val="center"/>
          </w:tcPr>
          <w:p w14:paraId="23330149">
            <w:pPr>
              <w:spacing w:line="240" w:lineRule="auto"/>
              <w:jc w:val="center"/>
              <w:rPr>
                <w:rFonts w:hint="default" w:ascii="Times New Roman" w:hAnsi="Times New Roman" w:eastAsia="宋体" w:cs="Times New Roman"/>
                <w:color w:val="auto"/>
                <w:sz w:val="21"/>
                <w:lang w:val="en-US" w:eastAsia="zh-CN"/>
              </w:rPr>
            </w:pPr>
            <w:r>
              <w:rPr>
                <w:rFonts w:hint="default" w:ascii="Times New Roman" w:hAnsi="Times New Roman" w:eastAsia="宋体" w:cs="Times New Roman"/>
                <w:color w:val="auto"/>
                <w:sz w:val="21"/>
              </w:rPr>
              <w:t>P604A/B</w:t>
            </w:r>
          </w:p>
        </w:tc>
        <w:tc>
          <w:tcPr>
            <w:tcW w:w="1042" w:type="dxa"/>
            <w:vAlign w:val="center"/>
          </w:tcPr>
          <w:p w14:paraId="38022AE9">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0B596F34">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33A389B2">
            <w:pPr>
              <w:spacing w:line="240" w:lineRule="auto"/>
              <w:jc w:val="center"/>
              <w:rPr>
                <w:rFonts w:hint="default" w:ascii="Times New Roman" w:hAnsi="Times New Roman" w:eastAsia="宋体" w:cs="Times New Roman"/>
                <w:color w:val="auto"/>
                <w:sz w:val="21"/>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2C0CE0A5">
            <w:pPr>
              <w:spacing w:line="240" w:lineRule="auto"/>
              <w:jc w:val="center"/>
              <w:rPr>
                <w:rFonts w:hint="default" w:ascii="Times New Roman" w:hAnsi="Times New Roman" w:eastAsia="宋体" w:cs="Times New Roman"/>
                <w:color w:val="auto"/>
                <w:sz w:val="21"/>
              </w:rPr>
            </w:pPr>
          </w:p>
        </w:tc>
        <w:tc>
          <w:tcPr>
            <w:tcW w:w="1561" w:type="dxa"/>
            <w:vMerge w:val="continue"/>
            <w:vAlign w:val="center"/>
          </w:tcPr>
          <w:p w14:paraId="493D374B">
            <w:pPr>
              <w:spacing w:line="240" w:lineRule="auto"/>
              <w:jc w:val="center"/>
              <w:rPr>
                <w:rFonts w:hint="default" w:ascii="Times New Roman" w:hAnsi="Times New Roman" w:eastAsia="宋体" w:cs="Times New Roman"/>
                <w:color w:val="auto"/>
                <w:sz w:val="21"/>
              </w:rPr>
            </w:pPr>
          </w:p>
        </w:tc>
        <w:tc>
          <w:tcPr>
            <w:tcW w:w="894" w:type="dxa"/>
            <w:vMerge w:val="continue"/>
            <w:vAlign w:val="center"/>
          </w:tcPr>
          <w:p w14:paraId="0C542949">
            <w:pPr>
              <w:spacing w:line="240" w:lineRule="auto"/>
              <w:jc w:val="center"/>
              <w:rPr>
                <w:rFonts w:hint="default" w:ascii="Times New Roman" w:hAnsi="Times New Roman" w:eastAsia="宋体" w:cs="Times New Roman"/>
                <w:color w:val="auto"/>
                <w:sz w:val="21"/>
              </w:rPr>
            </w:pPr>
          </w:p>
        </w:tc>
        <w:tc>
          <w:tcPr>
            <w:tcW w:w="989" w:type="dxa"/>
            <w:vMerge w:val="continue"/>
            <w:vAlign w:val="center"/>
          </w:tcPr>
          <w:p w14:paraId="748FA2FF">
            <w:pPr>
              <w:spacing w:line="240" w:lineRule="auto"/>
              <w:jc w:val="center"/>
              <w:rPr>
                <w:rFonts w:hint="default" w:ascii="Times New Roman" w:hAnsi="Times New Roman" w:eastAsia="宋体" w:cs="Times New Roman"/>
                <w:color w:val="auto"/>
                <w:sz w:val="21"/>
              </w:rPr>
            </w:pPr>
          </w:p>
        </w:tc>
        <w:tc>
          <w:tcPr>
            <w:tcW w:w="1022" w:type="dxa"/>
            <w:vMerge w:val="continue"/>
            <w:vAlign w:val="center"/>
          </w:tcPr>
          <w:p w14:paraId="271AEFE3">
            <w:pPr>
              <w:spacing w:line="240" w:lineRule="auto"/>
              <w:jc w:val="center"/>
              <w:rPr>
                <w:rFonts w:hint="eastAsia" w:ascii="Times New Roman" w:hAnsi="Times New Roman" w:eastAsia="宋体" w:cs="Times New Roman"/>
                <w:color w:val="auto"/>
                <w:sz w:val="21"/>
                <w:lang w:val="en-US" w:eastAsia="zh-CN"/>
              </w:rPr>
            </w:pPr>
          </w:p>
        </w:tc>
        <w:tc>
          <w:tcPr>
            <w:tcW w:w="966" w:type="dxa"/>
            <w:vMerge w:val="continue"/>
            <w:vAlign w:val="center"/>
          </w:tcPr>
          <w:p w14:paraId="0D6461CD">
            <w:pPr>
              <w:spacing w:line="240" w:lineRule="auto"/>
              <w:jc w:val="center"/>
              <w:rPr>
                <w:rFonts w:hint="eastAsia" w:ascii="Times New Roman" w:hAnsi="Times New Roman" w:eastAsia="宋体" w:cs="Times New Roman"/>
                <w:color w:val="auto"/>
                <w:sz w:val="21"/>
                <w:lang w:val="en-US" w:eastAsia="zh-CN"/>
              </w:rPr>
            </w:pPr>
          </w:p>
        </w:tc>
      </w:tr>
      <w:tr w14:paraId="6894F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46624936">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22</w:t>
            </w:r>
          </w:p>
        </w:tc>
        <w:tc>
          <w:tcPr>
            <w:tcW w:w="882" w:type="dxa"/>
            <w:vMerge w:val="restart"/>
            <w:vAlign w:val="center"/>
          </w:tcPr>
          <w:p w14:paraId="33092D80">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污水处理站房</w:t>
            </w:r>
          </w:p>
        </w:tc>
        <w:tc>
          <w:tcPr>
            <w:tcW w:w="1748" w:type="dxa"/>
            <w:vAlign w:val="center"/>
          </w:tcPr>
          <w:p w14:paraId="0FB6EE09">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提升水泵</w:t>
            </w:r>
          </w:p>
        </w:tc>
        <w:tc>
          <w:tcPr>
            <w:tcW w:w="1173" w:type="dxa"/>
            <w:vAlign w:val="center"/>
          </w:tcPr>
          <w:p w14:paraId="3211C4ED">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D1000-313</w:t>
            </w:r>
          </w:p>
        </w:tc>
        <w:tc>
          <w:tcPr>
            <w:tcW w:w="1042" w:type="dxa"/>
            <w:vAlign w:val="center"/>
          </w:tcPr>
          <w:p w14:paraId="081E585C">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00285EF5">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2ACE97CC">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中间</w:t>
            </w:r>
          </w:p>
        </w:tc>
        <w:tc>
          <w:tcPr>
            <w:tcW w:w="1021" w:type="dxa"/>
            <w:vMerge w:val="restart"/>
            <w:vAlign w:val="center"/>
          </w:tcPr>
          <w:p w14:paraId="2D45B239">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声屏障-1(有窗户)：4.90</w:t>
            </w:r>
          </w:p>
          <w:p w14:paraId="0A49C92E">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声屏障-2：19.50</w:t>
            </w:r>
          </w:p>
          <w:p w14:paraId="6677C976">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声屏障-3：6.40</w:t>
            </w:r>
          </w:p>
          <w:p w14:paraId="08488766">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声屏障-4：29.50</w:t>
            </w:r>
          </w:p>
        </w:tc>
        <w:tc>
          <w:tcPr>
            <w:tcW w:w="1561" w:type="dxa"/>
            <w:vMerge w:val="restart"/>
            <w:vAlign w:val="center"/>
          </w:tcPr>
          <w:p w14:paraId="5386BF1E">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声屏障-1(有窗户)：116.08</w:t>
            </w:r>
          </w:p>
          <w:p w14:paraId="39162C1B">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声屏障-2：116.04</w:t>
            </w:r>
          </w:p>
          <w:p w14:paraId="7B51CA43">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声屏障-3：116.06</w:t>
            </w:r>
          </w:p>
          <w:p w14:paraId="1938FFD3">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声屏障-4：116.04</w:t>
            </w:r>
          </w:p>
        </w:tc>
        <w:tc>
          <w:tcPr>
            <w:tcW w:w="894" w:type="dxa"/>
            <w:vMerge w:val="restart"/>
            <w:vAlign w:val="center"/>
          </w:tcPr>
          <w:p w14:paraId="59D8B845">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20</w:t>
            </w:r>
          </w:p>
        </w:tc>
        <w:tc>
          <w:tcPr>
            <w:tcW w:w="989" w:type="dxa"/>
            <w:vMerge w:val="restart"/>
            <w:vAlign w:val="center"/>
          </w:tcPr>
          <w:p w14:paraId="03975632">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声屏障-1(有窗户)：16.00</w:t>
            </w:r>
          </w:p>
          <w:p w14:paraId="212C75A2">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声屏障-2：41.00</w:t>
            </w:r>
          </w:p>
          <w:p w14:paraId="79C1AB1B">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声屏障-3：41.00</w:t>
            </w:r>
          </w:p>
          <w:p w14:paraId="67193C9B">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声屏障-4：41.00</w:t>
            </w:r>
          </w:p>
        </w:tc>
        <w:tc>
          <w:tcPr>
            <w:tcW w:w="1022" w:type="dxa"/>
            <w:vMerge w:val="restart"/>
            <w:vAlign w:val="center"/>
          </w:tcPr>
          <w:p w14:paraId="2544096A">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声屏障-1(有窗户)：100.08</w:t>
            </w:r>
          </w:p>
          <w:p w14:paraId="383C7568">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声屏障-2：75.04</w:t>
            </w:r>
          </w:p>
          <w:p w14:paraId="28603A72">
            <w:pPr>
              <w:spacing w:line="240" w:lineRule="auto"/>
              <w:jc w:val="center"/>
              <w:rPr>
                <w:rFonts w:hint="eastAsia" w:ascii="Times New Roman" w:hAnsi="Times New Roman" w:eastAsia="宋体" w:cs="Times New Roman"/>
                <w:color w:val="auto"/>
                <w:sz w:val="21"/>
                <w:lang w:val="en-US" w:eastAsia="zh-Hans"/>
              </w:rPr>
            </w:pPr>
            <w:r>
              <w:rPr>
                <w:rFonts w:hint="eastAsia" w:ascii="Times New Roman" w:hAnsi="Times New Roman" w:eastAsia="宋体" w:cs="Times New Roman"/>
                <w:color w:val="auto"/>
                <w:sz w:val="21"/>
                <w:lang w:val="en-US" w:eastAsia="zh-Hans"/>
              </w:rPr>
              <w:t>声屏障-3：75.06</w:t>
            </w:r>
          </w:p>
          <w:p w14:paraId="18CD4A1F">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Hans"/>
              </w:rPr>
              <w:t>声屏障-4：75.04</w:t>
            </w:r>
          </w:p>
        </w:tc>
        <w:tc>
          <w:tcPr>
            <w:tcW w:w="966" w:type="dxa"/>
            <w:vMerge w:val="restart"/>
            <w:vAlign w:val="center"/>
          </w:tcPr>
          <w:p w14:paraId="643FE66F">
            <w:pPr>
              <w:spacing w:line="36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p w14:paraId="46DAC167">
            <w:pPr>
              <w:spacing w:line="360" w:lineRule="auto"/>
              <w:jc w:val="center"/>
              <w:rPr>
                <w:rFonts w:hint="default" w:ascii="Times New Roman" w:hAnsi="Times New Roman" w:eastAsia="宋体" w:cs="Times New Roman"/>
                <w:color w:val="auto"/>
                <w:sz w:val="21"/>
                <w:lang w:val="en-US" w:eastAsia="zh-CN"/>
              </w:rPr>
            </w:pPr>
          </w:p>
        </w:tc>
      </w:tr>
      <w:tr w14:paraId="133E8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668" w:type="dxa"/>
            <w:vAlign w:val="center"/>
          </w:tcPr>
          <w:p w14:paraId="350046D5">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23</w:t>
            </w:r>
          </w:p>
        </w:tc>
        <w:tc>
          <w:tcPr>
            <w:tcW w:w="882" w:type="dxa"/>
            <w:vMerge w:val="continue"/>
            <w:vAlign w:val="center"/>
          </w:tcPr>
          <w:p w14:paraId="659FC6B4">
            <w:pPr>
              <w:spacing w:line="240" w:lineRule="auto"/>
              <w:jc w:val="center"/>
              <w:rPr>
                <w:rFonts w:hint="default" w:ascii="Times New Roman" w:hAnsi="Times New Roman" w:eastAsia="宋体" w:cs="Times New Roman"/>
                <w:color w:val="auto"/>
                <w:sz w:val="21"/>
              </w:rPr>
            </w:pPr>
          </w:p>
        </w:tc>
        <w:tc>
          <w:tcPr>
            <w:tcW w:w="1748" w:type="dxa"/>
            <w:vAlign w:val="center"/>
          </w:tcPr>
          <w:p w14:paraId="046D2A20">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回流泵</w:t>
            </w:r>
          </w:p>
        </w:tc>
        <w:tc>
          <w:tcPr>
            <w:tcW w:w="1173" w:type="dxa"/>
            <w:vAlign w:val="center"/>
          </w:tcPr>
          <w:p w14:paraId="3F3E00DB">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F351</w:t>
            </w:r>
          </w:p>
        </w:tc>
        <w:tc>
          <w:tcPr>
            <w:tcW w:w="1042" w:type="dxa"/>
            <w:vAlign w:val="center"/>
          </w:tcPr>
          <w:p w14:paraId="76A39273">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75-90</w:t>
            </w:r>
          </w:p>
        </w:tc>
        <w:tc>
          <w:tcPr>
            <w:tcW w:w="1173" w:type="dxa"/>
            <w:vAlign w:val="top"/>
          </w:tcPr>
          <w:p w14:paraId="3A08055C">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1992FECC">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209E87CA">
            <w:pPr>
              <w:spacing w:line="240" w:lineRule="auto"/>
              <w:jc w:val="center"/>
              <w:rPr>
                <w:rFonts w:hint="default" w:ascii="Times New Roman" w:hAnsi="Times New Roman" w:eastAsia="宋体" w:cs="Times New Roman"/>
                <w:color w:val="auto"/>
                <w:sz w:val="21"/>
                <w:lang w:val="en-US" w:eastAsia="zh-CN"/>
              </w:rPr>
            </w:pPr>
          </w:p>
        </w:tc>
        <w:tc>
          <w:tcPr>
            <w:tcW w:w="1561" w:type="dxa"/>
            <w:vMerge w:val="continue"/>
            <w:vAlign w:val="center"/>
          </w:tcPr>
          <w:p w14:paraId="5941DD3C">
            <w:pPr>
              <w:spacing w:line="240" w:lineRule="auto"/>
              <w:jc w:val="center"/>
              <w:rPr>
                <w:rFonts w:hint="default" w:ascii="Times New Roman" w:hAnsi="Times New Roman" w:eastAsia="宋体" w:cs="Times New Roman"/>
                <w:color w:val="auto"/>
                <w:sz w:val="21"/>
                <w:lang w:val="en-US" w:eastAsia="zh-CN"/>
              </w:rPr>
            </w:pPr>
          </w:p>
        </w:tc>
        <w:tc>
          <w:tcPr>
            <w:tcW w:w="894" w:type="dxa"/>
            <w:vMerge w:val="continue"/>
            <w:vAlign w:val="center"/>
          </w:tcPr>
          <w:p w14:paraId="1883A12F">
            <w:pPr>
              <w:spacing w:line="240" w:lineRule="auto"/>
              <w:jc w:val="center"/>
              <w:rPr>
                <w:rFonts w:hint="default" w:ascii="Times New Roman" w:hAnsi="Times New Roman" w:eastAsia="宋体" w:cs="Times New Roman"/>
                <w:color w:val="auto"/>
                <w:sz w:val="21"/>
                <w:lang w:val="en-US" w:eastAsia="zh-CN"/>
              </w:rPr>
            </w:pPr>
          </w:p>
        </w:tc>
        <w:tc>
          <w:tcPr>
            <w:tcW w:w="989" w:type="dxa"/>
            <w:vMerge w:val="continue"/>
            <w:vAlign w:val="center"/>
          </w:tcPr>
          <w:p w14:paraId="504245A4">
            <w:pPr>
              <w:spacing w:line="240" w:lineRule="auto"/>
              <w:jc w:val="center"/>
              <w:rPr>
                <w:rFonts w:hint="default" w:ascii="Times New Roman" w:hAnsi="Times New Roman" w:eastAsia="宋体" w:cs="Times New Roman"/>
                <w:color w:val="auto"/>
                <w:sz w:val="21"/>
                <w:lang w:val="en-US" w:eastAsia="zh-CN"/>
              </w:rPr>
            </w:pPr>
          </w:p>
        </w:tc>
        <w:tc>
          <w:tcPr>
            <w:tcW w:w="1022" w:type="dxa"/>
            <w:vMerge w:val="continue"/>
            <w:vAlign w:val="center"/>
          </w:tcPr>
          <w:p w14:paraId="1C5927D7">
            <w:pPr>
              <w:spacing w:line="240" w:lineRule="auto"/>
              <w:jc w:val="center"/>
              <w:rPr>
                <w:rFonts w:hint="default" w:ascii="Times New Roman" w:hAnsi="Times New Roman" w:eastAsia="宋体" w:cs="Times New Roman"/>
                <w:color w:val="auto"/>
                <w:sz w:val="21"/>
                <w:lang w:val="en-US" w:eastAsia="zh-CN"/>
              </w:rPr>
            </w:pPr>
          </w:p>
        </w:tc>
        <w:tc>
          <w:tcPr>
            <w:tcW w:w="966" w:type="dxa"/>
            <w:vMerge w:val="continue"/>
            <w:vAlign w:val="center"/>
          </w:tcPr>
          <w:p w14:paraId="2ABF2844">
            <w:pPr>
              <w:spacing w:line="240" w:lineRule="auto"/>
              <w:jc w:val="center"/>
              <w:rPr>
                <w:rFonts w:hint="default" w:ascii="Times New Roman" w:hAnsi="Times New Roman" w:eastAsia="宋体" w:cs="Times New Roman"/>
                <w:color w:val="auto"/>
                <w:sz w:val="21"/>
                <w:lang w:val="en-US" w:eastAsia="zh-CN"/>
              </w:rPr>
            </w:pPr>
          </w:p>
        </w:tc>
      </w:tr>
      <w:tr w14:paraId="0F74D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668" w:type="dxa"/>
            <w:vAlign w:val="center"/>
          </w:tcPr>
          <w:p w14:paraId="4D452D1E">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24</w:t>
            </w:r>
          </w:p>
        </w:tc>
        <w:tc>
          <w:tcPr>
            <w:tcW w:w="882" w:type="dxa"/>
            <w:vMerge w:val="continue"/>
            <w:vAlign w:val="center"/>
          </w:tcPr>
          <w:p w14:paraId="0FD2F84F">
            <w:pPr>
              <w:spacing w:line="240" w:lineRule="auto"/>
              <w:jc w:val="center"/>
              <w:rPr>
                <w:rFonts w:hint="default" w:ascii="Times New Roman" w:hAnsi="Times New Roman" w:eastAsia="宋体" w:cs="Times New Roman"/>
                <w:color w:val="auto"/>
                <w:sz w:val="21"/>
              </w:rPr>
            </w:pPr>
          </w:p>
        </w:tc>
        <w:tc>
          <w:tcPr>
            <w:tcW w:w="1748" w:type="dxa"/>
            <w:vAlign w:val="center"/>
          </w:tcPr>
          <w:p w14:paraId="287011FB">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鼓风机</w:t>
            </w:r>
          </w:p>
        </w:tc>
        <w:tc>
          <w:tcPr>
            <w:tcW w:w="1173" w:type="dxa"/>
            <w:vAlign w:val="center"/>
          </w:tcPr>
          <w:p w14:paraId="674ED022">
            <w:pPr>
              <w:spacing w:line="240" w:lineRule="auto"/>
              <w:jc w:val="center"/>
              <w:rPr>
                <w:rFonts w:hint="default"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DK1000</w:t>
            </w:r>
          </w:p>
        </w:tc>
        <w:tc>
          <w:tcPr>
            <w:tcW w:w="1042" w:type="dxa"/>
            <w:vAlign w:val="center"/>
          </w:tcPr>
          <w:p w14:paraId="287AA9C0">
            <w:pPr>
              <w:spacing w:line="240" w:lineRule="auto"/>
              <w:jc w:val="center"/>
              <w:rPr>
                <w:rFonts w:hint="default" w:ascii="Times New Roman" w:hAnsi="Times New Roman" w:eastAsia="宋体" w:cs="Times New Roman"/>
                <w:color w:val="auto"/>
                <w:sz w:val="21"/>
              </w:rPr>
            </w:pPr>
            <w:r>
              <w:rPr>
                <w:rFonts w:hint="default" w:ascii="Times New Roman" w:hAnsi="Times New Roman" w:eastAsia="宋体" w:cs="Times New Roman"/>
                <w:color w:val="auto"/>
                <w:sz w:val="21"/>
              </w:rPr>
              <w:t>70-90</w:t>
            </w:r>
          </w:p>
        </w:tc>
        <w:tc>
          <w:tcPr>
            <w:tcW w:w="1173" w:type="dxa"/>
            <w:vAlign w:val="center"/>
          </w:tcPr>
          <w:p w14:paraId="2A9300CD">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基础减振、车间封闭</w:t>
            </w:r>
          </w:p>
        </w:tc>
        <w:tc>
          <w:tcPr>
            <w:tcW w:w="915" w:type="dxa"/>
            <w:vAlign w:val="center"/>
          </w:tcPr>
          <w:p w14:paraId="422BE5A9">
            <w:pPr>
              <w:spacing w:line="240" w:lineRule="auto"/>
              <w:jc w:val="center"/>
              <w:rPr>
                <w:rFonts w:hint="eastAsia" w:ascii="Times New Roman" w:hAnsi="Times New Roman" w:eastAsia="宋体" w:cs="Times New Roman"/>
                <w:color w:val="auto"/>
                <w:sz w:val="21"/>
                <w:lang w:val="en-US" w:eastAsia="zh-CN"/>
              </w:rPr>
            </w:pPr>
            <w:r>
              <w:rPr>
                <w:rFonts w:hint="eastAsia" w:ascii="Times New Roman" w:hAnsi="Times New Roman" w:eastAsia="宋体" w:cs="Times New Roman"/>
                <w:color w:val="auto"/>
                <w:sz w:val="21"/>
                <w:lang w:val="en-US" w:eastAsia="zh-CN"/>
              </w:rPr>
              <w:t>中间</w:t>
            </w:r>
          </w:p>
        </w:tc>
        <w:tc>
          <w:tcPr>
            <w:tcW w:w="1021" w:type="dxa"/>
            <w:vMerge w:val="continue"/>
            <w:vAlign w:val="center"/>
          </w:tcPr>
          <w:p w14:paraId="24B93DD1">
            <w:pPr>
              <w:spacing w:line="240" w:lineRule="auto"/>
              <w:jc w:val="center"/>
              <w:rPr>
                <w:rFonts w:hint="default" w:ascii="Times New Roman" w:hAnsi="Times New Roman" w:eastAsia="宋体" w:cs="Times New Roman"/>
                <w:color w:val="auto"/>
                <w:sz w:val="21"/>
                <w:lang w:val="en-US" w:eastAsia="zh-CN"/>
              </w:rPr>
            </w:pPr>
          </w:p>
        </w:tc>
        <w:tc>
          <w:tcPr>
            <w:tcW w:w="1561" w:type="dxa"/>
            <w:vMerge w:val="continue"/>
            <w:vAlign w:val="center"/>
          </w:tcPr>
          <w:p w14:paraId="00B9338A">
            <w:pPr>
              <w:spacing w:line="240" w:lineRule="auto"/>
              <w:jc w:val="center"/>
              <w:rPr>
                <w:rFonts w:hint="default" w:ascii="Times New Roman" w:hAnsi="Times New Roman" w:eastAsia="宋体" w:cs="Times New Roman"/>
                <w:color w:val="auto"/>
                <w:sz w:val="21"/>
                <w:lang w:val="en-US" w:eastAsia="zh-CN"/>
              </w:rPr>
            </w:pPr>
          </w:p>
        </w:tc>
        <w:tc>
          <w:tcPr>
            <w:tcW w:w="894" w:type="dxa"/>
            <w:vMerge w:val="continue"/>
            <w:vAlign w:val="center"/>
          </w:tcPr>
          <w:p w14:paraId="074CB950">
            <w:pPr>
              <w:spacing w:line="240" w:lineRule="auto"/>
              <w:jc w:val="center"/>
              <w:rPr>
                <w:rFonts w:hint="default" w:ascii="Times New Roman" w:hAnsi="Times New Roman" w:eastAsia="宋体" w:cs="Times New Roman"/>
                <w:color w:val="auto"/>
                <w:sz w:val="21"/>
                <w:lang w:val="en-US" w:eastAsia="zh-CN"/>
              </w:rPr>
            </w:pPr>
          </w:p>
        </w:tc>
        <w:tc>
          <w:tcPr>
            <w:tcW w:w="989" w:type="dxa"/>
            <w:vMerge w:val="continue"/>
            <w:vAlign w:val="center"/>
          </w:tcPr>
          <w:p w14:paraId="42E260FC">
            <w:pPr>
              <w:spacing w:line="240" w:lineRule="auto"/>
              <w:jc w:val="center"/>
              <w:rPr>
                <w:rFonts w:hint="default" w:ascii="Times New Roman" w:hAnsi="Times New Roman" w:eastAsia="宋体" w:cs="Times New Roman"/>
                <w:color w:val="auto"/>
                <w:sz w:val="21"/>
                <w:lang w:val="en-US" w:eastAsia="zh-CN"/>
              </w:rPr>
            </w:pPr>
          </w:p>
        </w:tc>
        <w:tc>
          <w:tcPr>
            <w:tcW w:w="1022" w:type="dxa"/>
            <w:vMerge w:val="continue"/>
            <w:vAlign w:val="center"/>
          </w:tcPr>
          <w:p w14:paraId="04892D38">
            <w:pPr>
              <w:spacing w:line="240" w:lineRule="auto"/>
              <w:jc w:val="center"/>
              <w:rPr>
                <w:rFonts w:hint="default" w:ascii="Times New Roman" w:hAnsi="Times New Roman" w:eastAsia="宋体" w:cs="Times New Roman"/>
                <w:color w:val="auto"/>
                <w:sz w:val="21"/>
                <w:lang w:val="en-US" w:eastAsia="zh-CN"/>
              </w:rPr>
            </w:pPr>
          </w:p>
        </w:tc>
        <w:tc>
          <w:tcPr>
            <w:tcW w:w="966" w:type="dxa"/>
            <w:vMerge w:val="continue"/>
            <w:vAlign w:val="center"/>
          </w:tcPr>
          <w:p w14:paraId="29C7F90F">
            <w:pPr>
              <w:spacing w:line="240" w:lineRule="auto"/>
              <w:jc w:val="center"/>
              <w:rPr>
                <w:rFonts w:hint="default" w:ascii="Times New Roman" w:hAnsi="Times New Roman" w:eastAsia="宋体" w:cs="Times New Roman"/>
                <w:color w:val="auto"/>
                <w:sz w:val="21"/>
                <w:lang w:val="en-US" w:eastAsia="zh-CN"/>
              </w:rPr>
            </w:pPr>
          </w:p>
        </w:tc>
      </w:tr>
    </w:tbl>
    <w:p w14:paraId="648F7F7B">
      <w:pPr>
        <w:sectPr>
          <w:footerReference r:id="rId14" w:type="default"/>
          <w:pgSz w:w="16839" w:h="11906" w:orient="landscape"/>
          <w:pgMar w:top="1786" w:right="1283" w:bottom="1735" w:left="1226" w:header="1048" w:footer="1015" w:gutter="0"/>
          <w:pgBorders>
            <w:top w:val="none" w:sz="0" w:space="0"/>
            <w:left w:val="none" w:sz="0" w:space="0"/>
            <w:bottom w:val="none" w:sz="0" w:space="0"/>
            <w:right w:val="none" w:sz="0" w:space="0"/>
          </w:pgBorders>
          <w:cols w:space="0" w:num="1"/>
          <w:rtlGutter w:val="0"/>
          <w:docGrid w:linePitch="0" w:charSpace="0"/>
        </w:sectPr>
      </w:pPr>
    </w:p>
    <w:p w14:paraId="407ECE58">
      <w:pPr>
        <w:pStyle w:val="5"/>
        <w:spacing w:before="120"/>
        <w:rPr>
          <w:rFonts w:eastAsia="宋体"/>
        </w:rPr>
      </w:pPr>
      <w:r>
        <w:rPr>
          <w:rFonts w:eastAsia="宋体"/>
        </w:rPr>
        <w:t>5.2.3.2评价标准</w:t>
      </w:r>
    </w:p>
    <w:p w14:paraId="7EBC872A">
      <w:pPr>
        <w:pStyle w:val="14"/>
        <w:spacing w:line="360" w:lineRule="auto"/>
        <w:ind w:firstLine="480"/>
        <w:rPr>
          <w:sz w:val="24"/>
          <w:szCs w:val="24"/>
        </w:rPr>
      </w:pPr>
      <w:r>
        <w:rPr>
          <w:sz w:val="24"/>
          <w:szCs w:val="24"/>
        </w:rPr>
        <w:t>本次声环境影响预测评价参照标准执行《工业企业厂界环境噪声排放标准》（GB12348-2008）表1中厂界外声环境功能类别“</w:t>
      </w:r>
      <w:r>
        <w:rPr>
          <w:rFonts w:hint="eastAsia"/>
          <w:sz w:val="24"/>
          <w:szCs w:val="24"/>
          <w:lang w:eastAsia="zh-CN"/>
        </w:rPr>
        <w:t>3类</w:t>
      </w:r>
      <w:r>
        <w:rPr>
          <w:sz w:val="24"/>
          <w:szCs w:val="24"/>
        </w:rPr>
        <w:t>”功能区环境噪声排放限值（昼间≤</w:t>
      </w:r>
      <w:r>
        <w:rPr>
          <w:rFonts w:hint="eastAsia"/>
          <w:sz w:val="24"/>
          <w:szCs w:val="24"/>
        </w:rPr>
        <w:t>6</w:t>
      </w:r>
      <w:r>
        <w:rPr>
          <w:rFonts w:hint="eastAsia"/>
          <w:sz w:val="24"/>
          <w:szCs w:val="24"/>
          <w:lang w:val="en-US" w:eastAsia="zh-CN"/>
        </w:rPr>
        <w:t>5</w:t>
      </w:r>
      <w:r>
        <w:rPr>
          <w:sz w:val="24"/>
          <w:szCs w:val="24"/>
        </w:rPr>
        <w:t>dB，夜间≤</w:t>
      </w:r>
      <w:r>
        <w:rPr>
          <w:rFonts w:hint="eastAsia"/>
          <w:sz w:val="24"/>
          <w:szCs w:val="24"/>
        </w:rPr>
        <w:t>5</w:t>
      </w:r>
      <w:r>
        <w:rPr>
          <w:rFonts w:hint="eastAsia"/>
          <w:sz w:val="24"/>
          <w:szCs w:val="24"/>
          <w:lang w:val="en-US" w:eastAsia="zh-CN"/>
        </w:rPr>
        <w:t>5</w:t>
      </w:r>
      <w:r>
        <w:rPr>
          <w:sz w:val="24"/>
          <w:szCs w:val="24"/>
        </w:rPr>
        <w:t>dB）。</w:t>
      </w:r>
    </w:p>
    <w:p w14:paraId="6E39A952">
      <w:pPr>
        <w:pStyle w:val="5"/>
      </w:pPr>
      <w:r>
        <w:t>5.2.3.3预测因子与范围</w:t>
      </w:r>
    </w:p>
    <w:p w14:paraId="340633A1">
      <w:pPr>
        <w:spacing w:line="360" w:lineRule="auto"/>
        <w:ind w:firstLine="480"/>
      </w:pPr>
      <w:r>
        <w:t>（1）预测因子</w:t>
      </w:r>
    </w:p>
    <w:p w14:paraId="6503027E">
      <w:pPr>
        <w:spacing w:line="360" w:lineRule="auto"/>
        <w:ind w:firstLine="480"/>
        <w:rPr>
          <w:sz w:val="21"/>
          <w:szCs w:val="21"/>
        </w:rPr>
      </w:pPr>
      <w:r>
        <w:t>昼间噪声值L</w:t>
      </w:r>
      <w:r>
        <w:rPr>
          <w:vertAlign w:val="subscript"/>
        </w:rPr>
        <w:t>d</w:t>
      </w:r>
      <w:r>
        <w:t>、夜间噪声值L</w:t>
      </w:r>
      <w:r>
        <w:rPr>
          <w:vertAlign w:val="subscript"/>
        </w:rPr>
        <w:t>n</w:t>
      </w:r>
      <w:r>
        <w:t>。</w:t>
      </w:r>
    </w:p>
    <w:p w14:paraId="73BB1FF1">
      <w:pPr>
        <w:spacing w:line="360" w:lineRule="auto"/>
        <w:ind w:firstLine="480"/>
      </w:pPr>
      <w:r>
        <w:t>（2）预测范围</w:t>
      </w:r>
    </w:p>
    <w:p w14:paraId="6277EAB8">
      <w:pPr>
        <w:spacing w:line="360" w:lineRule="auto"/>
        <w:ind w:firstLine="480"/>
      </w:pPr>
      <w:r>
        <w:t>建设项目场界外1m处。</w:t>
      </w:r>
    </w:p>
    <w:p w14:paraId="4F365274">
      <w:pPr>
        <w:pStyle w:val="5"/>
      </w:pPr>
      <w:r>
        <w:t>5.2.3.4</w:t>
      </w:r>
      <w:bookmarkEnd w:id="360"/>
      <w:bookmarkEnd w:id="361"/>
      <w:bookmarkEnd w:id="362"/>
      <w:bookmarkEnd w:id="363"/>
      <w:bookmarkEnd w:id="364"/>
      <w:bookmarkEnd w:id="365"/>
      <w:bookmarkEnd w:id="366"/>
      <w:bookmarkEnd w:id="367"/>
      <w:r>
        <w:t>噪声预测模式</w:t>
      </w:r>
    </w:p>
    <w:p w14:paraId="029B8E43">
      <w:pPr>
        <w:spacing w:line="360" w:lineRule="auto"/>
        <w:ind w:firstLine="480" w:firstLineChars="200"/>
      </w:pPr>
      <w:r>
        <w:t>根据《环境影响评价技术导则 声环境》</w:t>
      </w:r>
      <w:r>
        <w:rPr>
          <w:rFonts w:hint="eastAsia"/>
        </w:rPr>
        <w:t>（HJ2.4-2021）</w:t>
      </w:r>
      <w:r>
        <w:t>中附录A推荐的计算模式：</w:t>
      </w:r>
    </w:p>
    <w:p w14:paraId="592C615C">
      <w:pPr>
        <w:spacing w:line="360" w:lineRule="auto"/>
        <w:ind w:firstLine="480" w:firstLineChars="200"/>
      </w:pPr>
      <w:r>
        <w:rPr>
          <w:rFonts w:hint="eastAsia"/>
          <w:lang w:eastAsia="zh-CN"/>
        </w:rPr>
        <w:t>本项目</w:t>
      </w:r>
      <w:r>
        <w:t>噪声源主要是室内声源。一般来讲，进行环境噪声预测时所使用的噪声源都可按点声源处理。</w:t>
      </w:r>
    </w:p>
    <w:p w14:paraId="4BC21A6F">
      <w:pPr>
        <w:spacing w:line="360" w:lineRule="auto"/>
        <w:ind w:firstLine="480" w:firstLineChars="200"/>
      </w:pPr>
      <w:r>
        <w:t>①室内声源等效室外声源的计算方法：</w:t>
      </w:r>
    </w:p>
    <w:p w14:paraId="307B488B">
      <w:pPr>
        <w:spacing w:line="360" w:lineRule="auto"/>
        <w:ind w:firstLine="200"/>
        <w:jc w:val="center"/>
      </w:pPr>
      <w:r>
        <w:rPr>
          <w:sz w:val="20"/>
        </w:rPr>
        <w:object>
          <v:shape id="_x0000_i1027" o:spt="75" alt=" " type="#_x0000_t75" style="height:31.25pt;width:148.75pt;" o:ole="t" fillcolor="#FFFFFF" filled="t" o:preferrelative="t" stroked="f" coordsize="21600,21600">
            <v:path/>
            <v:fill on="t" color2="#FFFFFF" focussize="0,0"/>
            <v:stroke on="f"/>
            <v:imagedata r:id="rId96" o:title=" "/>
            <o:lock v:ext="edit" aspectratio="t"/>
            <w10:wrap type="none"/>
            <w10:anchorlock/>
          </v:shape>
          <o:OLEObject Type="Embed" ProgID="Equation.3" ShapeID="_x0000_i1027" DrawAspect="Content" ObjectID="_1468075732" r:id="rId95">
            <o:LockedField>false</o:LockedField>
          </o:OLEObject>
        </w:object>
      </w:r>
    </w:p>
    <w:p w14:paraId="07E051DD">
      <w:pPr>
        <w:spacing w:line="360" w:lineRule="auto"/>
        <w:ind w:firstLine="200"/>
      </w:pPr>
      <w:r>
        <w:t>式中：L</w:t>
      </w:r>
      <w:r>
        <w:rPr>
          <w:vertAlign w:val="subscript"/>
        </w:rPr>
        <w:t>pi</w:t>
      </w:r>
      <w:r>
        <w:t xml:space="preserve"> — 某个室内声源在靠近围护结构处的声压级，dB；</w:t>
      </w:r>
    </w:p>
    <w:p w14:paraId="2ACBDE5B">
      <w:pPr>
        <w:spacing w:line="360" w:lineRule="auto"/>
        <w:ind w:firstLine="960"/>
      </w:pPr>
      <w:r>
        <w:t>L</w:t>
      </w:r>
      <w:r>
        <w:rPr>
          <w:vertAlign w:val="subscript"/>
        </w:rPr>
        <w:t>w</w:t>
      </w:r>
      <w:r>
        <w:t xml:space="preserve"> — 某个声源的声功率级，dB；</w:t>
      </w:r>
    </w:p>
    <w:p w14:paraId="2C0924B4">
      <w:pPr>
        <w:spacing w:line="360" w:lineRule="auto"/>
        <w:ind w:firstLine="960"/>
      </w:pPr>
      <w:r>
        <w:t>r  — 室内某个声源与靠近围护结构处的距离，m；</w:t>
      </w:r>
    </w:p>
    <w:p w14:paraId="49CA929F">
      <w:pPr>
        <w:spacing w:line="360" w:lineRule="auto"/>
        <w:ind w:firstLine="960"/>
      </w:pPr>
      <w:r>
        <w:t>Q — 方向性因子；通常对无指向性声源，当声源放在房间中心时，Q=1；当放在一面墙的中心时，Q=2；当放在两面墙夹角处时，Q=4；当放在三面墙夹角处时，Q=8；</w:t>
      </w:r>
    </w:p>
    <w:p w14:paraId="4AE8CA19">
      <w:pPr>
        <w:spacing w:line="360" w:lineRule="auto"/>
        <w:ind w:firstLine="720"/>
      </w:pPr>
      <w:r>
        <w:t>R — 房间常数，按下式计算：</w:t>
      </w:r>
    </w:p>
    <w:p w14:paraId="5EDAC56F">
      <w:pPr>
        <w:spacing w:line="360" w:lineRule="auto"/>
        <w:ind w:firstLine="120"/>
        <w:jc w:val="center"/>
      </w:pPr>
      <w:r>
        <w:rPr>
          <w:sz w:val="20"/>
        </w:rPr>
        <w:object>
          <v:shape id="_x0000_i1028" o:spt="75" alt=" " type="#_x0000_t75" style="height:35.3pt;width:50.25pt;" o:ole="t" fillcolor="#FFFFFF" filled="t" o:preferrelative="t" stroked="f" coordsize="21600,21600">
            <v:path/>
            <v:fill on="t" color2="#FFFFFF" focussize="0,0"/>
            <v:stroke on="f"/>
            <v:imagedata r:id="rId98" o:title=" "/>
            <o:lock v:ext="edit" aspectratio="t"/>
            <w10:wrap type="none"/>
            <w10:anchorlock/>
          </v:shape>
          <o:OLEObject Type="Embed" ProgID="Equation.3" ShapeID="_x0000_i1028" DrawAspect="Content" ObjectID="_1468075733" r:id="rId97">
            <o:LockedField>false</o:LockedField>
          </o:OLEObject>
        </w:object>
      </w:r>
    </w:p>
    <w:p w14:paraId="4E7A15AD">
      <w:pPr>
        <w:spacing w:line="360" w:lineRule="auto"/>
        <w:ind w:firstLine="200"/>
        <w:jc w:val="center"/>
      </w:pPr>
      <w:r>
        <w:t xml:space="preserve"> </w:t>
      </w:r>
      <w:r>
        <w:rPr>
          <w:sz w:val="20"/>
        </w:rPr>
        <w:object>
          <v:shape id="_x0000_i1029" o:spt="75" alt=" " type="#_x0000_t75" style="height:24.45pt;width:59.1pt;" o:ole="t" fillcolor="#FFFFFF" filled="t" o:preferrelative="t" stroked="f" coordsize="21600,21600">
            <v:path/>
            <v:fill on="t" color2="#FFFFFF" focussize="0,0"/>
            <v:stroke on="f"/>
            <v:imagedata r:id="rId100" o:title=" "/>
            <o:lock v:ext="edit" aspectratio="t"/>
            <w10:wrap type="none"/>
            <w10:anchorlock/>
          </v:shape>
          <o:OLEObject Type="Embed" ProgID="Equation.3" ShapeID="_x0000_i1029" DrawAspect="Content" ObjectID="_1468075734" r:id="rId99">
            <o:LockedField>false</o:LockedField>
          </o:OLEObject>
        </w:object>
      </w:r>
      <w:r>
        <w:rPr>
          <w:sz w:val="20"/>
        </w:rPr>
        <w:object>
          <v:shape id="_x0000_i1030" o:spt="75" alt=" " type="#_x0000_t75" style="height:17pt;width:8.85pt;" o:ole="t" fillcolor="#FFFFFF" filled="t" o:preferrelative="t" stroked="f" coordsize="21600,21600">
            <v:path/>
            <v:fill on="t" color2="#FFFFFF" focussize="0,0"/>
            <v:stroke on="f"/>
            <v:imagedata r:id="rId102" o:title=" "/>
            <o:lock v:ext="edit" aspectratio="t"/>
            <w10:wrap type="none"/>
            <w10:anchorlock/>
          </v:shape>
          <o:OLEObject Type="Embed" ProgID="Equation.3" ShapeID="_x0000_i1030" DrawAspect="Content" ObjectID="_1468075735" r:id="rId101">
            <o:LockedField>false</o:LockedField>
          </o:OLEObject>
        </w:object>
      </w:r>
    </w:p>
    <w:p w14:paraId="4CF71902">
      <w:pPr>
        <w:spacing w:line="360" w:lineRule="auto"/>
        <w:ind w:firstLine="1080"/>
      </w:pPr>
      <w:r>
        <w:t>α— 平均吸声系数，取0.1。</w:t>
      </w:r>
    </w:p>
    <w:p w14:paraId="613FDECA">
      <w:pPr>
        <w:spacing w:line="360" w:lineRule="auto"/>
        <w:ind w:left="480"/>
      </w:pPr>
      <w:r>
        <w:t>②室内所有声源在靠近围护结构处的合成声压级（L</w:t>
      </w:r>
      <w:r>
        <w:rPr>
          <w:vertAlign w:val="subscript"/>
        </w:rPr>
        <w:t>1</w:t>
      </w:r>
      <w:r>
        <w:t>）</w:t>
      </w:r>
    </w:p>
    <w:p w14:paraId="5DA0ADD7">
      <w:pPr>
        <w:spacing w:line="360" w:lineRule="auto"/>
        <w:ind w:firstLine="200"/>
        <w:jc w:val="center"/>
      </w:pPr>
      <w:r>
        <w:rPr>
          <w:sz w:val="20"/>
        </w:rPr>
        <w:object>
          <v:shape id="_x0000_i1031" o:spt="75" alt=" " type="#_x0000_t75" style="height:33.95pt;width:108pt;" o:ole="t" fillcolor="#FFFFFF" filled="t" o:preferrelative="t" stroked="f" coordsize="21600,21600">
            <v:path/>
            <v:fill on="t" color2="#FFFFFF" focussize="0,0"/>
            <v:stroke on="f"/>
            <v:imagedata r:id="rId104" o:title=" "/>
            <o:lock v:ext="edit" aspectratio="t"/>
            <w10:wrap type="none"/>
            <w10:anchorlock/>
          </v:shape>
          <o:OLEObject Type="Embed" ProgID="Equation.3" ShapeID="_x0000_i1031" DrawAspect="Content" ObjectID="_1468075736" r:id="rId103">
            <o:LockedField>false</o:LockedField>
          </o:OLEObject>
        </w:object>
      </w:r>
    </w:p>
    <w:p w14:paraId="457C6915">
      <w:pPr>
        <w:tabs>
          <w:tab w:val="left" w:pos="920"/>
        </w:tabs>
        <w:spacing w:line="360" w:lineRule="auto"/>
        <w:ind w:firstLine="240"/>
      </w:pPr>
      <w:r>
        <w:t>③外靠近围护结构处的声压级（</w:t>
      </w:r>
      <w:r>
        <w:rPr>
          <w:rFonts w:hint="eastAsia"/>
          <w:lang w:eastAsia="zh-CN"/>
        </w:rPr>
        <w:t>12</w:t>
      </w:r>
      <w:r>
        <w:t>）</w:t>
      </w:r>
    </w:p>
    <w:p w14:paraId="691899DD">
      <w:pPr>
        <w:spacing w:line="360" w:lineRule="auto"/>
        <w:ind w:firstLine="200"/>
        <w:jc w:val="center"/>
      </w:pPr>
      <w:r>
        <w:rPr>
          <w:rFonts w:hint="eastAsia"/>
          <w:i/>
          <w:lang w:eastAsia="zh-CN"/>
        </w:rPr>
        <w:t>12</w:t>
      </w:r>
      <w:r>
        <w:rPr>
          <w:i/>
        </w:rPr>
        <w:t xml:space="preserve"> = L</w:t>
      </w:r>
      <w:r>
        <w:rPr>
          <w:i/>
          <w:vertAlign w:val="subscript"/>
        </w:rPr>
        <w:t>1</w:t>
      </w:r>
      <w:r>
        <w:rPr>
          <w:i/>
        </w:rPr>
        <w:t xml:space="preserve"> - </w:t>
      </w:r>
      <w:r>
        <w:t>（</w:t>
      </w:r>
      <w:r>
        <w:rPr>
          <w:i/>
        </w:rPr>
        <w:t>TL+6</w:t>
      </w:r>
      <w:r>
        <w:t>）</w:t>
      </w:r>
    </w:p>
    <w:p w14:paraId="42C971E7">
      <w:pPr>
        <w:spacing w:line="360" w:lineRule="auto"/>
        <w:ind w:firstLine="480"/>
      </w:pPr>
      <w:r>
        <w:t>式中：TL—隔墙的传输损失，按下式计算：</w:t>
      </w:r>
    </w:p>
    <w:p w14:paraId="5673F369">
      <w:pPr>
        <w:spacing w:line="360" w:lineRule="auto"/>
        <w:ind w:firstLine="200"/>
        <w:jc w:val="center"/>
      </w:pPr>
      <w:r>
        <w:rPr>
          <w:sz w:val="20"/>
        </w:rPr>
        <w:object>
          <v:shape id="_x0000_i1032" o:spt="75" alt=" " type="#_x0000_t75" style="height:38.05pt;width:105.3pt;" o:ole="t" fillcolor="#FFFFFF" filled="t" o:preferrelative="t" stroked="f" coordsize="21600,21600">
            <v:path/>
            <v:fill on="t" color2="#FFFFFF" focussize="0,0"/>
            <v:stroke on="f"/>
            <v:imagedata r:id="rId106" o:title=" "/>
            <o:lock v:ext="edit" aspectratio="t"/>
            <w10:wrap type="none"/>
            <w10:anchorlock/>
          </v:shape>
          <o:OLEObject Type="Embed" ProgID="Equation.3" ShapeID="_x0000_i1032" DrawAspect="Content" ObjectID="_1468075737" r:id="rId105">
            <o:LockedField>false</o:LockedField>
          </o:OLEObject>
        </w:object>
      </w:r>
    </w:p>
    <w:p w14:paraId="71787CE1">
      <w:pPr>
        <w:tabs>
          <w:tab w:val="left" w:pos="2100"/>
          <w:tab w:val="left" w:pos="7516"/>
        </w:tabs>
        <w:spacing w:line="360" w:lineRule="auto"/>
        <w:ind w:firstLine="1200"/>
      </w:pPr>
      <w:r>
        <w:t>τ</w:t>
      </w:r>
      <w:r>
        <w:rPr>
          <w:vertAlign w:val="subscript"/>
        </w:rPr>
        <w:t xml:space="preserve">k </w:t>
      </w:r>
      <w:r>
        <w:t>— 围护结构的透声系数。</w:t>
      </w:r>
    </w:p>
    <w:p w14:paraId="7D77ECC0">
      <w:pPr>
        <w:spacing w:line="360" w:lineRule="auto"/>
        <w:ind w:firstLine="485"/>
      </w:pPr>
      <w:r>
        <w:t>④将室外声级</w:t>
      </w:r>
      <w:r>
        <w:rPr>
          <w:rFonts w:hint="eastAsia"/>
          <w:lang w:eastAsia="zh-CN"/>
        </w:rPr>
        <w:t>12</w:t>
      </w:r>
      <w:r>
        <w:t>和透声面积换算成等效的室外声源，公式如下：</w:t>
      </w:r>
    </w:p>
    <w:p w14:paraId="15C51076">
      <w:pPr>
        <w:spacing w:line="360" w:lineRule="auto"/>
        <w:ind w:firstLine="200"/>
        <w:jc w:val="center"/>
      </w:pPr>
      <w:r>
        <w:rPr>
          <w:i/>
        </w:rPr>
        <w:t>L</w:t>
      </w:r>
      <w:r>
        <w:rPr>
          <w:i/>
          <w:vertAlign w:val="subscript"/>
        </w:rPr>
        <w:t xml:space="preserve">w2 </w:t>
      </w:r>
      <w:r>
        <w:t>=</w:t>
      </w:r>
      <w:r>
        <w:rPr>
          <w:i/>
        </w:rPr>
        <w:t xml:space="preserve"> </w:t>
      </w:r>
      <w:r>
        <w:rPr>
          <w:rFonts w:hint="eastAsia"/>
          <w:i/>
          <w:lang w:eastAsia="zh-CN"/>
        </w:rPr>
        <w:t>12</w:t>
      </w:r>
      <w:r>
        <w:rPr>
          <w:i/>
        </w:rPr>
        <w:t xml:space="preserve"> + </w:t>
      </w:r>
      <w:r>
        <w:t>10</w:t>
      </w:r>
      <w:r>
        <w:rPr>
          <w:i/>
        </w:rPr>
        <w:t>logS</w:t>
      </w:r>
    </w:p>
    <w:p w14:paraId="31BF8904">
      <w:pPr>
        <w:spacing w:line="360" w:lineRule="auto"/>
        <w:ind w:firstLine="480"/>
      </w:pPr>
      <w:r>
        <w:t>式中：S为透声面积，m</w:t>
      </w:r>
      <w:r>
        <w:rPr>
          <w:vertAlign w:val="superscript"/>
        </w:rPr>
        <w:t>2</w:t>
      </w:r>
      <w:r>
        <w:t>。</w:t>
      </w:r>
    </w:p>
    <w:p w14:paraId="349B3BF4">
      <w:pPr>
        <w:tabs>
          <w:tab w:val="left" w:pos="920"/>
        </w:tabs>
        <w:spacing w:line="360" w:lineRule="auto"/>
        <w:ind w:firstLine="240"/>
      </w:pPr>
      <w:r>
        <w:t>⑤计算等效室外声源传播到预测点的声压级（L</w:t>
      </w:r>
      <w:r>
        <w:rPr>
          <w:vertAlign w:val="subscript"/>
        </w:rPr>
        <w:t>i</w:t>
      </w:r>
      <w:r>
        <w:t>）</w:t>
      </w:r>
    </w:p>
    <w:p w14:paraId="48E1D2B1">
      <w:pPr>
        <w:spacing w:line="360" w:lineRule="auto"/>
        <w:ind w:firstLine="200"/>
        <w:jc w:val="center"/>
        <w:rPr>
          <w:i/>
        </w:rPr>
      </w:pPr>
      <w:r>
        <w:rPr>
          <w:i/>
        </w:rPr>
        <w:t>L</w:t>
      </w:r>
      <w:r>
        <w:rPr>
          <w:i/>
          <w:vertAlign w:val="subscript"/>
        </w:rPr>
        <w:t>i</w:t>
      </w:r>
      <w:r>
        <w:rPr>
          <w:i/>
        </w:rPr>
        <w:t>= L（r</w:t>
      </w:r>
      <w:r>
        <w:rPr>
          <w:i/>
          <w:vertAlign w:val="subscript"/>
        </w:rPr>
        <w:t>0</w:t>
      </w:r>
      <w:r>
        <w:rPr>
          <w:i/>
        </w:rPr>
        <w:t>）- （A</w:t>
      </w:r>
      <w:r>
        <w:rPr>
          <w:i/>
          <w:vertAlign w:val="subscript"/>
        </w:rPr>
        <w:t>div</w:t>
      </w:r>
      <w:r>
        <w:rPr>
          <w:i/>
        </w:rPr>
        <w:t xml:space="preserve"> + A</w:t>
      </w:r>
      <w:r>
        <w:rPr>
          <w:i/>
          <w:vertAlign w:val="subscript"/>
        </w:rPr>
        <w:t>bar</w:t>
      </w:r>
      <w:r>
        <w:rPr>
          <w:i/>
        </w:rPr>
        <w:t xml:space="preserve"> + A</w:t>
      </w:r>
      <w:r>
        <w:rPr>
          <w:i/>
          <w:vertAlign w:val="subscript"/>
        </w:rPr>
        <w:t>atm</w:t>
      </w:r>
      <w:r>
        <w:rPr>
          <w:i/>
        </w:rPr>
        <w:t xml:space="preserve"> + A</w:t>
      </w:r>
      <w:r>
        <w:rPr>
          <w:i/>
          <w:vertAlign w:val="subscript"/>
        </w:rPr>
        <w:t>exc</w:t>
      </w:r>
      <w:r>
        <w:rPr>
          <w:i/>
        </w:rPr>
        <w:t>）</w:t>
      </w:r>
    </w:p>
    <w:p w14:paraId="429A6D6F">
      <w:pPr>
        <w:spacing w:line="360" w:lineRule="auto"/>
        <w:ind w:firstLine="2040"/>
        <w:rPr>
          <w:i/>
        </w:rPr>
      </w:pPr>
      <w:r>
        <w:rPr>
          <w:i/>
        </w:rPr>
        <w:t>L（r</w:t>
      </w:r>
      <w:r>
        <w:rPr>
          <w:i/>
          <w:vertAlign w:val="subscript"/>
        </w:rPr>
        <w:t>0</w:t>
      </w:r>
      <w:r>
        <w:rPr>
          <w:i/>
        </w:rPr>
        <w:t>）=L</w:t>
      </w:r>
      <w:r>
        <w:rPr>
          <w:i/>
          <w:vertAlign w:val="subscript"/>
        </w:rPr>
        <w:t>W2</w:t>
      </w:r>
      <w:r>
        <w:rPr>
          <w:i/>
        </w:rPr>
        <w:t xml:space="preserve"> – </w:t>
      </w:r>
      <w:r>
        <w:t>20</w:t>
      </w:r>
      <w:r>
        <w:rPr>
          <w:i/>
        </w:rPr>
        <w:t>logr</w:t>
      </w:r>
      <w:r>
        <w:rPr>
          <w:i/>
          <w:vertAlign w:val="subscript"/>
        </w:rPr>
        <w:t>0</w:t>
      </w:r>
      <w:r>
        <w:rPr>
          <w:i/>
        </w:rPr>
        <w:t xml:space="preserve"> –</w:t>
      </w:r>
      <w:r>
        <w:t xml:space="preserve"> 8</w:t>
      </w:r>
    </w:p>
    <w:p w14:paraId="347728C6">
      <w:pPr>
        <w:spacing w:line="360" w:lineRule="auto"/>
        <w:ind w:firstLine="2040"/>
      </w:pPr>
      <w:r>
        <w:rPr>
          <w:i/>
        </w:rPr>
        <w:t>A</w:t>
      </w:r>
      <w:r>
        <w:rPr>
          <w:i/>
          <w:vertAlign w:val="subscript"/>
        </w:rPr>
        <w:t>div</w:t>
      </w:r>
      <w:r>
        <w:t xml:space="preserve">  = 20</w:t>
      </w:r>
      <w:r>
        <w:rPr>
          <w:i/>
        </w:rPr>
        <w:t>log（r/r</w:t>
      </w:r>
      <w:r>
        <w:rPr>
          <w:i/>
          <w:vertAlign w:val="subscript"/>
        </w:rPr>
        <w:t>0</w:t>
      </w:r>
      <w:r>
        <w:rPr>
          <w:i/>
        </w:rPr>
        <w:t>）</w:t>
      </w:r>
    </w:p>
    <w:p w14:paraId="1169C13F">
      <w:pPr>
        <w:spacing w:line="360" w:lineRule="auto"/>
        <w:ind w:firstLine="480"/>
      </w:pPr>
      <w:r>
        <w:t>式中：L</w:t>
      </w:r>
      <w:r>
        <w:rPr>
          <w:vertAlign w:val="subscript"/>
        </w:rPr>
        <w:t>i</w:t>
      </w:r>
      <w:r>
        <w:t>—等效室外声源在预测点的声压级；</w:t>
      </w:r>
    </w:p>
    <w:p w14:paraId="1EDA8459">
      <w:pPr>
        <w:spacing w:line="360" w:lineRule="auto"/>
        <w:ind w:firstLine="1200"/>
      </w:pPr>
      <w:r>
        <w:t>L（r</w:t>
      </w:r>
      <w:r>
        <w:rPr>
          <w:vertAlign w:val="subscript"/>
        </w:rPr>
        <w:t>0</w:t>
      </w:r>
      <w:r>
        <w:t>）— 等效室外声源在参考位置r</w:t>
      </w:r>
      <w:r>
        <w:rPr>
          <w:vertAlign w:val="subscript"/>
        </w:rPr>
        <w:t>0</w:t>
      </w:r>
      <w:r>
        <w:t>处的声压级；</w:t>
      </w:r>
    </w:p>
    <w:p w14:paraId="083075BF">
      <w:pPr>
        <w:spacing w:line="360" w:lineRule="auto"/>
        <w:ind w:firstLine="1200"/>
      </w:pPr>
      <w:r>
        <w:t>A</w:t>
      </w:r>
      <w:r>
        <w:rPr>
          <w:vertAlign w:val="subscript"/>
        </w:rPr>
        <w:t>div</w:t>
      </w:r>
      <w:r>
        <w:t xml:space="preserve"> — 声波几何发散引起的衰减量；</w:t>
      </w:r>
    </w:p>
    <w:p w14:paraId="38EBC56D">
      <w:pPr>
        <w:spacing w:line="360" w:lineRule="auto"/>
        <w:ind w:firstLine="1200"/>
      </w:pPr>
      <w:r>
        <w:t>A</w:t>
      </w:r>
      <w:r>
        <w:rPr>
          <w:vertAlign w:val="subscript"/>
        </w:rPr>
        <w:t xml:space="preserve">bar  </w:t>
      </w:r>
      <w:r>
        <w:t>— 遮挡物引起的衰减量；</w:t>
      </w:r>
    </w:p>
    <w:p w14:paraId="4FFCC59E">
      <w:pPr>
        <w:spacing w:line="360" w:lineRule="auto"/>
        <w:ind w:firstLine="1200"/>
      </w:pPr>
      <w:r>
        <w:t>A</w:t>
      </w:r>
      <w:r>
        <w:rPr>
          <w:vertAlign w:val="subscript"/>
        </w:rPr>
        <w:t>atm</w:t>
      </w:r>
      <w:r>
        <w:t xml:space="preserve"> — 空气吸收引起的衰减量；</w:t>
      </w:r>
    </w:p>
    <w:p w14:paraId="6C36B8F5">
      <w:pPr>
        <w:spacing w:line="360" w:lineRule="auto"/>
        <w:ind w:firstLine="1200"/>
      </w:pPr>
      <w:r>
        <w:t>A</w:t>
      </w:r>
      <w:r>
        <w:rPr>
          <w:vertAlign w:val="subscript"/>
        </w:rPr>
        <w:t xml:space="preserve">exc </w:t>
      </w:r>
      <w:r>
        <w:t xml:space="preserve"> — 附加衰减量。</w:t>
      </w:r>
    </w:p>
    <w:p w14:paraId="74C1CFFC">
      <w:pPr>
        <w:spacing w:line="360" w:lineRule="auto"/>
        <w:ind w:firstLine="480"/>
      </w:pPr>
      <w:r>
        <w:t>根据本评价的实际情况，后三项在计算中予以忽略，仅考虑几何发散。</w:t>
      </w:r>
    </w:p>
    <w:p w14:paraId="35F31176">
      <w:pPr>
        <w:pStyle w:val="20"/>
        <w:spacing w:line="360" w:lineRule="auto"/>
        <w:ind w:firstLine="480"/>
        <w:rPr>
          <w:sz w:val="24"/>
          <w:szCs w:val="24"/>
        </w:rPr>
      </w:pPr>
      <w:r>
        <w:rPr>
          <w:sz w:val="24"/>
          <w:szCs w:val="24"/>
        </w:rPr>
        <w:t>⑥ 计算各等效室外声源在预测点产生的等效声级贡献值（L</w:t>
      </w:r>
      <w:r>
        <w:rPr>
          <w:sz w:val="24"/>
          <w:szCs w:val="24"/>
          <w:vertAlign w:val="subscript"/>
        </w:rPr>
        <w:t>eqg</w:t>
      </w:r>
      <w:r>
        <w:rPr>
          <w:sz w:val="24"/>
          <w:szCs w:val="24"/>
        </w:rPr>
        <w:t>）</w:t>
      </w:r>
    </w:p>
    <w:p w14:paraId="78EFA5CA">
      <w:pPr>
        <w:spacing w:line="360" w:lineRule="auto"/>
        <w:ind w:firstLine="200"/>
        <w:jc w:val="center"/>
      </w:pPr>
      <w:r>
        <w:rPr>
          <w:sz w:val="20"/>
        </w:rPr>
        <w:object>
          <v:shape id="_x0000_i1033" o:spt="75" alt=" " type="#_x0000_t75" style="height:40.75pt;width:190.85pt;" o:ole="t" fillcolor="#FFFFFF" filled="t" o:preferrelative="t" stroked="f" coordsize="21600,21600">
            <v:path/>
            <v:fill on="t" color2="#FFFFFF" focussize="0,0"/>
            <v:stroke on="f"/>
            <v:imagedata r:id="rId108" o:title=" "/>
            <o:lock v:ext="edit" aspectratio="t"/>
            <w10:wrap type="none"/>
            <w10:anchorlock/>
          </v:shape>
          <o:OLEObject Type="Embed" ProgID="Equation.3" ShapeID="_x0000_i1033" DrawAspect="Content" ObjectID="_1468075738" r:id="rId107">
            <o:LockedField>false</o:LockedField>
          </o:OLEObject>
        </w:object>
      </w:r>
    </w:p>
    <w:p w14:paraId="66BE5FF1">
      <w:pPr>
        <w:spacing w:line="360" w:lineRule="auto"/>
        <w:ind w:firstLine="480"/>
      </w:pPr>
      <w:r>
        <w:t>式中：L</w:t>
      </w:r>
      <w:r>
        <w:rPr>
          <w:vertAlign w:val="subscript"/>
        </w:rPr>
        <w:t>eqg</w:t>
      </w:r>
      <w:r>
        <w:t>—室外声源在预测点产生的等效声级贡献值，dB；</w:t>
      </w:r>
    </w:p>
    <w:p w14:paraId="79C42DE4">
      <w:pPr>
        <w:spacing w:line="360" w:lineRule="auto"/>
        <w:ind w:firstLine="1200"/>
      </w:pPr>
      <w:r>
        <w:t>n—等效室外声源个数。</w:t>
      </w:r>
    </w:p>
    <w:p w14:paraId="3F026110">
      <w:pPr>
        <w:spacing w:line="360" w:lineRule="auto"/>
        <w:ind w:firstLine="1200"/>
      </w:pPr>
      <w:r>
        <w:t>T—预测计算的时间段，S；</w:t>
      </w:r>
    </w:p>
    <w:p w14:paraId="6AE7EA34">
      <w:pPr>
        <w:spacing w:line="360" w:lineRule="auto"/>
        <w:ind w:firstLine="1200"/>
      </w:pPr>
      <w:r>
        <w:t>ti—i声源在T时段的运行时间，S。</w:t>
      </w:r>
    </w:p>
    <w:p w14:paraId="4BB01961">
      <w:pPr>
        <w:pStyle w:val="5"/>
      </w:pPr>
      <w:r>
        <w:t>5.2.3.5噪声预测结果</w:t>
      </w:r>
    </w:p>
    <w:p w14:paraId="01DA6AD7">
      <w:pPr>
        <w:numPr>
          <w:ilvl w:val="0"/>
          <w:numId w:val="0"/>
        </w:numPr>
        <w:spacing w:line="360" w:lineRule="auto"/>
        <w:ind w:firstLine="480" w:firstLineChars="200"/>
      </w:pPr>
      <w:r>
        <w:rPr>
          <w:rFonts w:hint="eastAsia"/>
          <w:lang w:val="en-US" w:eastAsia="zh-CN"/>
        </w:rPr>
        <w:t>本项目</w:t>
      </w:r>
      <w:r>
        <w:t>噪声预测结果见表5.2-</w:t>
      </w:r>
      <w:r>
        <w:rPr>
          <w:rFonts w:hint="eastAsia"/>
          <w:lang w:val="en-US" w:eastAsia="zh-CN"/>
        </w:rPr>
        <w:t>22</w:t>
      </w:r>
      <w:r>
        <w:t>。</w:t>
      </w:r>
    </w:p>
    <w:p w14:paraId="373D1370">
      <w:pPr>
        <w:spacing w:line="360" w:lineRule="auto"/>
        <w:jc w:val="center"/>
        <w:rPr>
          <w:b/>
        </w:rPr>
      </w:pPr>
    </w:p>
    <w:p w14:paraId="05EF15E7">
      <w:pPr>
        <w:spacing w:line="360" w:lineRule="auto"/>
        <w:jc w:val="center"/>
        <w:rPr>
          <w:b/>
        </w:rPr>
      </w:pPr>
      <w:r>
        <w:rPr>
          <w:b/>
        </w:rPr>
        <w:t>表5.2-</w:t>
      </w:r>
      <w:r>
        <w:rPr>
          <w:rFonts w:hint="eastAsia"/>
          <w:b/>
          <w:lang w:val="en-US" w:eastAsia="zh-CN"/>
        </w:rPr>
        <w:t>22</w:t>
      </w:r>
      <w:r>
        <w:rPr>
          <w:b/>
        </w:rPr>
        <w:t xml:space="preserve">  场界噪声预测结果（贡献值）   </w:t>
      </w:r>
      <w:r>
        <w:rPr>
          <w:b/>
          <w:sz w:val="18"/>
          <w:szCs w:val="18"/>
        </w:rPr>
        <w:t>单位：dB(A)</w:t>
      </w:r>
    </w:p>
    <w:tbl>
      <w:tblPr>
        <w:tblStyle w:val="53"/>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61"/>
        <w:gridCol w:w="3206"/>
        <w:gridCol w:w="1165"/>
        <w:gridCol w:w="1008"/>
        <w:gridCol w:w="1010"/>
        <w:gridCol w:w="1150"/>
        <w:gridCol w:w="1239"/>
      </w:tblGrid>
      <w:tr w14:paraId="441AA1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jc w:val="center"/>
        </w:trPr>
        <w:tc>
          <w:tcPr>
            <w:tcW w:w="250" w:type="pct"/>
            <w:vMerge w:val="restart"/>
            <w:tcBorders>
              <w:tl2br w:val="nil"/>
              <w:tr2bl w:val="nil"/>
            </w:tcBorders>
            <w:vAlign w:val="center"/>
          </w:tcPr>
          <w:p w14:paraId="03D9549D">
            <w:pPr>
              <w:snapToGrid w:val="0"/>
              <w:spacing w:line="360" w:lineRule="exact"/>
              <w:jc w:val="center"/>
              <w:rPr>
                <w:b/>
                <w:bCs/>
                <w:sz w:val="21"/>
                <w:szCs w:val="21"/>
              </w:rPr>
            </w:pPr>
            <w:r>
              <w:rPr>
                <w:b/>
                <w:bCs/>
                <w:sz w:val="21"/>
                <w:szCs w:val="21"/>
              </w:rPr>
              <w:t>序号</w:t>
            </w:r>
          </w:p>
        </w:tc>
        <w:tc>
          <w:tcPr>
            <w:tcW w:w="1734" w:type="pct"/>
            <w:vMerge w:val="restart"/>
            <w:tcBorders>
              <w:tl2br w:val="nil"/>
              <w:tr2bl w:val="nil"/>
            </w:tcBorders>
            <w:vAlign w:val="center"/>
          </w:tcPr>
          <w:p w14:paraId="7644D5B5">
            <w:pPr>
              <w:snapToGrid w:val="0"/>
              <w:spacing w:line="360" w:lineRule="exact"/>
              <w:jc w:val="center"/>
              <w:rPr>
                <w:b/>
                <w:bCs/>
                <w:sz w:val="21"/>
                <w:szCs w:val="21"/>
              </w:rPr>
            </w:pPr>
            <w:r>
              <w:rPr>
                <w:b/>
                <w:bCs/>
                <w:sz w:val="21"/>
                <w:szCs w:val="21"/>
              </w:rPr>
              <w:t>监测位置</w:t>
            </w:r>
          </w:p>
        </w:tc>
        <w:tc>
          <w:tcPr>
            <w:tcW w:w="630" w:type="pct"/>
            <w:vMerge w:val="restart"/>
            <w:tcBorders>
              <w:tl2br w:val="nil"/>
              <w:tr2bl w:val="nil"/>
            </w:tcBorders>
            <w:vAlign w:val="center"/>
          </w:tcPr>
          <w:p w14:paraId="0D166B29">
            <w:pPr>
              <w:snapToGrid w:val="0"/>
              <w:spacing w:line="360" w:lineRule="exact"/>
              <w:jc w:val="center"/>
              <w:rPr>
                <w:b/>
                <w:bCs/>
                <w:sz w:val="21"/>
                <w:szCs w:val="21"/>
              </w:rPr>
            </w:pPr>
            <w:r>
              <w:rPr>
                <w:b/>
                <w:bCs/>
                <w:sz w:val="21"/>
                <w:szCs w:val="21"/>
              </w:rPr>
              <w:t>贡献值</w:t>
            </w:r>
          </w:p>
        </w:tc>
        <w:tc>
          <w:tcPr>
            <w:tcW w:w="1091" w:type="pct"/>
            <w:gridSpan w:val="2"/>
            <w:tcBorders>
              <w:tl2br w:val="nil"/>
              <w:tr2bl w:val="nil"/>
            </w:tcBorders>
            <w:vAlign w:val="center"/>
          </w:tcPr>
          <w:p w14:paraId="5237A0BB">
            <w:pPr>
              <w:snapToGrid w:val="0"/>
              <w:spacing w:line="360" w:lineRule="exact"/>
              <w:jc w:val="center"/>
              <w:rPr>
                <w:b/>
                <w:bCs/>
                <w:sz w:val="21"/>
                <w:szCs w:val="21"/>
              </w:rPr>
            </w:pPr>
            <w:r>
              <w:rPr>
                <w:b/>
                <w:bCs/>
                <w:sz w:val="21"/>
                <w:szCs w:val="21"/>
              </w:rPr>
              <w:t>背景值</w:t>
            </w:r>
          </w:p>
        </w:tc>
        <w:tc>
          <w:tcPr>
            <w:tcW w:w="1292" w:type="pct"/>
            <w:gridSpan w:val="2"/>
            <w:tcBorders>
              <w:tl2br w:val="nil"/>
              <w:tr2bl w:val="nil"/>
            </w:tcBorders>
            <w:vAlign w:val="center"/>
          </w:tcPr>
          <w:p w14:paraId="3BFCA773">
            <w:pPr>
              <w:snapToGrid w:val="0"/>
              <w:spacing w:line="360" w:lineRule="exact"/>
              <w:jc w:val="center"/>
              <w:rPr>
                <w:b/>
                <w:bCs/>
                <w:sz w:val="21"/>
                <w:szCs w:val="21"/>
              </w:rPr>
            </w:pPr>
            <w:r>
              <w:rPr>
                <w:b/>
                <w:bCs/>
                <w:sz w:val="21"/>
                <w:szCs w:val="21"/>
              </w:rPr>
              <w:t>预测值</w:t>
            </w:r>
          </w:p>
        </w:tc>
      </w:tr>
      <w:tr w14:paraId="2F0BA9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jc w:val="center"/>
        </w:trPr>
        <w:tc>
          <w:tcPr>
            <w:tcW w:w="250" w:type="pct"/>
            <w:vMerge w:val="continue"/>
            <w:tcBorders>
              <w:tl2br w:val="nil"/>
              <w:tr2bl w:val="nil"/>
            </w:tcBorders>
            <w:vAlign w:val="center"/>
          </w:tcPr>
          <w:p w14:paraId="2215F2C0">
            <w:pPr>
              <w:snapToGrid w:val="0"/>
              <w:spacing w:line="360" w:lineRule="exact"/>
              <w:jc w:val="center"/>
              <w:rPr>
                <w:b/>
                <w:bCs/>
                <w:sz w:val="21"/>
                <w:szCs w:val="21"/>
              </w:rPr>
            </w:pPr>
          </w:p>
        </w:tc>
        <w:tc>
          <w:tcPr>
            <w:tcW w:w="1734" w:type="pct"/>
            <w:vMerge w:val="continue"/>
            <w:tcBorders>
              <w:tl2br w:val="nil"/>
              <w:tr2bl w:val="nil"/>
            </w:tcBorders>
            <w:vAlign w:val="center"/>
          </w:tcPr>
          <w:p w14:paraId="0EBA2960">
            <w:pPr>
              <w:snapToGrid w:val="0"/>
              <w:spacing w:line="360" w:lineRule="exact"/>
              <w:jc w:val="center"/>
              <w:rPr>
                <w:b/>
                <w:bCs/>
                <w:sz w:val="21"/>
                <w:szCs w:val="21"/>
              </w:rPr>
            </w:pPr>
          </w:p>
        </w:tc>
        <w:tc>
          <w:tcPr>
            <w:tcW w:w="630" w:type="pct"/>
            <w:vMerge w:val="continue"/>
            <w:tcBorders>
              <w:tl2br w:val="nil"/>
              <w:tr2bl w:val="nil"/>
            </w:tcBorders>
            <w:vAlign w:val="center"/>
          </w:tcPr>
          <w:p w14:paraId="6BCD0059">
            <w:pPr>
              <w:snapToGrid w:val="0"/>
              <w:spacing w:line="360" w:lineRule="exact"/>
              <w:jc w:val="center"/>
              <w:rPr>
                <w:b/>
                <w:bCs/>
                <w:sz w:val="21"/>
                <w:szCs w:val="21"/>
              </w:rPr>
            </w:pPr>
          </w:p>
        </w:tc>
        <w:tc>
          <w:tcPr>
            <w:tcW w:w="545" w:type="pct"/>
            <w:tcBorders>
              <w:tl2br w:val="nil"/>
              <w:tr2bl w:val="nil"/>
            </w:tcBorders>
            <w:vAlign w:val="center"/>
          </w:tcPr>
          <w:p w14:paraId="1462F7E7">
            <w:pPr>
              <w:jc w:val="center"/>
              <w:rPr>
                <w:sz w:val="21"/>
                <w:szCs w:val="21"/>
              </w:rPr>
            </w:pPr>
            <w:r>
              <w:rPr>
                <w:b/>
                <w:bCs/>
                <w:sz w:val="21"/>
                <w:szCs w:val="21"/>
              </w:rPr>
              <w:t>昼间</w:t>
            </w:r>
          </w:p>
        </w:tc>
        <w:tc>
          <w:tcPr>
            <w:tcW w:w="546" w:type="pct"/>
            <w:tcBorders>
              <w:tl2br w:val="nil"/>
              <w:tr2bl w:val="nil"/>
            </w:tcBorders>
            <w:vAlign w:val="center"/>
          </w:tcPr>
          <w:p w14:paraId="2613EA94">
            <w:pPr>
              <w:snapToGrid w:val="0"/>
              <w:spacing w:line="360" w:lineRule="exact"/>
              <w:jc w:val="center"/>
              <w:rPr>
                <w:b/>
                <w:bCs/>
                <w:sz w:val="21"/>
                <w:szCs w:val="21"/>
              </w:rPr>
            </w:pPr>
            <w:r>
              <w:rPr>
                <w:b/>
                <w:bCs/>
                <w:sz w:val="21"/>
                <w:szCs w:val="21"/>
              </w:rPr>
              <w:t>夜间</w:t>
            </w:r>
          </w:p>
        </w:tc>
        <w:tc>
          <w:tcPr>
            <w:tcW w:w="622" w:type="pct"/>
            <w:tcBorders>
              <w:tl2br w:val="nil"/>
              <w:tr2bl w:val="nil"/>
            </w:tcBorders>
            <w:vAlign w:val="center"/>
          </w:tcPr>
          <w:p w14:paraId="57A0B1CA">
            <w:pPr>
              <w:jc w:val="center"/>
              <w:rPr>
                <w:sz w:val="21"/>
                <w:szCs w:val="21"/>
              </w:rPr>
            </w:pPr>
            <w:r>
              <w:rPr>
                <w:b/>
                <w:bCs/>
                <w:sz w:val="21"/>
                <w:szCs w:val="21"/>
              </w:rPr>
              <w:t>昼间</w:t>
            </w:r>
          </w:p>
        </w:tc>
        <w:tc>
          <w:tcPr>
            <w:tcW w:w="670" w:type="pct"/>
            <w:tcBorders>
              <w:tl2br w:val="nil"/>
              <w:tr2bl w:val="nil"/>
            </w:tcBorders>
            <w:vAlign w:val="center"/>
          </w:tcPr>
          <w:p w14:paraId="1D2DF483">
            <w:pPr>
              <w:snapToGrid w:val="0"/>
              <w:spacing w:line="360" w:lineRule="exact"/>
              <w:jc w:val="center"/>
              <w:rPr>
                <w:b/>
                <w:bCs/>
                <w:sz w:val="21"/>
                <w:szCs w:val="21"/>
              </w:rPr>
            </w:pPr>
            <w:r>
              <w:rPr>
                <w:b/>
                <w:bCs/>
                <w:sz w:val="21"/>
                <w:szCs w:val="21"/>
              </w:rPr>
              <w:t>夜间</w:t>
            </w:r>
          </w:p>
        </w:tc>
      </w:tr>
      <w:tr w14:paraId="746B12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250" w:type="pct"/>
            <w:tcBorders>
              <w:tl2br w:val="nil"/>
              <w:tr2bl w:val="nil"/>
            </w:tcBorders>
            <w:vAlign w:val="center"/>
          </w:tcPr>
          <w:p w14:paraId="18FC8DA3">
            <w:pPr>
              <w:snapToGrid w:val="0"/>
              <w:spacing w:line="360" w:lineRule="exact"/>
              <w:jc w:val="center"/>
              <w:rPr>
                <w:sz w:val="21"/>
                <w:szCs w:val="21"/>
              </w:rPr>
            </w:pPr>
            <w:r>
              <w:rPr>
                <w:sz w:val="21"/>
                <w:szCs w:val="21"/>
              </w:rPr>
              <w:t>1</w:t>
            </w:r>
          </w:p>
        </w:tc>
        <w:tc>
          <w:tcPr>
            <w:tcW w:w="2956" w:type="dxa"/>
            <w:tcBorders>
              <w:tl2br w:val="nil"/>
              <w:tr2bl w:val="nil"/>
            </w:tcBorders>
            <w:vAlign w:val="center"/>
          </w:tcPr>
          <w:p w14:paraId="2209E333">
            <w:pPr>
              <w:jc w:val="center"/>
              <w:rPr>
                <w:sz w:val="21"/>
                <w:szCs w:val="21"/>
              </w:rPr>
            </w:pPr>
            <w:r>
              <w:rPr>
                <w:sz w:val="21"/>
                <w:szCs w:val="21"/>
              </w:rPr>
              <w:t>1#厂界</w:t>
            </w:r>
            <w:r>
              <w:rPr>
                <w:rFonts w:hint="eastAsia"/>
                <w:sz w:val="21"/>
                <w:szCs w:val="21"/>
              </w:rPr>
              <w:t>东</w:t>
            </w:r>
            <w:r>
              <w:rPr>
                <w:sz w:val="21"/>
                <w:szCs w:val="21"/>
              </w:rPr>
              <w:t>侧</w:t>
            </w:r>
          </w:p>
        </w:tc>
        <w:tc>
          <w:tcPr>
            <w:tcW w:w="630" w:type="pct"/>
            <w:tcBorders>
              <w:tl2br w:val="nil"/>
              <w:tr2bl w:val="nil"/>
            </w:tcBorders>
            <w:vAlign w:val="center"/>
          </w:tcPr>
          <w:p w14:paraId="2ADAB692">
            <w:pPr>
              <w:snapToGrid w:val="0"/>
              <w:spacing w:line="360" w:lineRule="exact"/>
              <w:jc w:val="center"/>
              <w:rPr>
                <w:sz w:val="21"/>
                <w:szCs w:val="21"/>
              </w:rPr>
            </w:pPr>
            <w:r>
              <w:rPr>
                <w:rFonts w:hint="eastAsia"/>
                <w:sz w:val="21"/>
                <w:szCs w:val="21"/>
                <w:lang w:val="en-US" w:eastAsia="zh-CN"/>
              </w:rPr>
              <w:t>29</w:t>
            </w:r>
            <w:r>
              <w:rPr>
                <w:sz w:val="21"/>
                <w:szCs w:val="21"/>
              </w:rPr>
              <w:t>.31</w:t>
            </w:r>
          </w:p>
        </w:tc>
        <w:tc>
          <w:tcPr>
            <w:tcW w:w="929" w:type="dxa"/>
            <w:tcBorders>
              <w:tl2br w:val="nil"/>
              <w:tr2bl w:val="nil"/>
            </w:tcBorders>
            <w:vAlign w:val="center"/>
          </w:tcPr>
          <w:p w14:paraId="41E24F0A">
            <w:pPr>
              <w:jc w:val="center"/>
              <w:rPr>
                <w:sz w:val="21"/>
                <w:szCs w:val="21"/>
              </w:rPr>
            </w:pPr>
            <w:r>
              <w:rPr>
                <w:rFonts w:hint="eastAsia"/>
                <w:sz w:val="21"/>
                <w:szCs w:val="21"/>
                <w:lang w:val="en-US" w:eastAsia="zh-CN"/>
              </w:rPr>
              <w:t>54.3</w:t>
            </w:r>
          </w:p>
        </w:tc>
        <w:tc>
          <w:tcPr>
            <w:tcW w:w="931" w:type="dxa"/>
            <w:tcBorders>
              <w:tl2br w:val="nil"/>
              <w:tr2bl w:val="nil"/>
            </w:tcBorders>
            <w:vAlign w:val="center"/>
          </w:tcPr>
          <w:p w14:paraId="2361146D">
            <w:pPr>
              <w:jc w:val="center"/>
              <w:rPr>
                <w:sz w:val="21"/>
                <w:szCs w:val="21"/>
              </w:rPr>
            </w:pPr>
            <w:r>
              <w:rPr>
                <w:rFonts w:hint="eastAsia"/>
                <w:sz w:val="21"/>
                <w:szCs w:val="21"/>
                <w:lang w:val="en-US" w:eastAsia="zh-CN"/>
              </w:rPr>
              <w:t>44.7</w:t>
            </w:r>
          </w:p>
        </w:tc>
        <w:tc>
          <w:tcPr>
            <w:tcW w:w="622" w:type="pct"/>
            <w:tcBorders>
              <w:tl2br w:val="nil"/>
              <w:tr2bl w:val="nil"/>
            </w:tcBorders>
            <w:vAlign w:val="center"/>
          </w:tcPr>
          <w:p w14:paraId="20C997C4">
            <w:pPr>
              <w:snapToGrid w:val="0"/>
              <w:spacing w:line="360" w:lineRule="exact"/>
              <w:jc w:val="center"/>
              <w:rPr>
                <w:rFonts w:hint="default" w:eastAsia="宋体"/>
                <w:color w:val="auto"/>
                <w:sz w:val="21"/>
                <w:szCs w:val="21"/>
                <w:lang w:val="en-US" w:eastAsia="zh-CN"/>
              </w:rPr>
            </w:pPr>
            <w:r>
              <w:rPr>
                <w:color w:val="auto"/>
                <w:sz w:val="21"/>
                <w:szCs w:val="21"/>
              </w:rPr>
              <w:t>5</w:t>
            </w:r>
            <w:r>
              <w:rPr>
                <w:rFonts w:hint="eastAsia"/>
                <w:color w:val="auto"/>
                <w:sz w:val="21"/>
                <w:szCs w:val="21"/>
                <w:lang w:val="en-US" w:eastAsia="zh-CN"/>
              </w:rPr>
              <w:t>4.31</w:t>
            </w:r>
          </w:p>
        </w:tc>
        <w:tc>
          <w:tcPr>
            <w:tcW w:w="670" w:type="pct"/>
            <w:tcBorders>
              <w:tl2br w:val="nil"/>
              <w:tr2bl w:val="nil"/>
            </w:tcBorders>
            <w:vAlign w:val="center"/>
          </w:tcPr>
          <w:p w14:paraId="58EE3B8E">
            <w:pPr>
              <w:snapToGrid w:val="0"/>
              <w:spacing w:line="360" w:lineRule="exact"/>
              <w:jc w:val="center"/>
              <w:rPr>
                <w:rFonts w:hint="default" w:eastAsia="宋体"/>
                <w:color w:val="auto"/>
                <w:sz w:val="21"/>
                <w:szCs w:val="21"/>
                <w:lang w:val="en-US" w:eastAsia="zh-CN"/>
              </w:rPr>
            </w:pPr>
            <w:r>
              <w:rPr>
                <w:color w:val="auto"/>
                <w:sz w:val="21"/>
                <w:szCs w:val="21"/>
              </w:rPr>
              <w:t>44.</w:t>
            </w:r>
            <w:r>
              <w:rPr>
                <w:rFonts w:hint="eastAsia"/>
                <w:color w:val="auto"/>
                <w:sz w:val="21"/>
                <w:szCs w:val="21"/>
                <w:lang w:val="en-US" w:eastAsia="zh-CN"/>
              </w:rPr>
              <w:t>82</w:t>
            </w:r>
          </w:p>
        </w:tc>
      </w:tr>
      <w:tr w14:paraId="2303A5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6" w:hRule="atLeast"/>
          <w:jc w:val="center"/>
        </w:trPr>
        <w:tc>
          <w:tcPr>
            <w:tcW w:w="250" w:type="pct"/>
            <w:tcBorders>
              <w:tl2br w:val="nil"/>
              <w:tr2bl w:val="nil"/>
            </w:tcBorders>
            <w:vAlign w:val="center"/>
          </w:tcPr>
          <w:p w14:paraId="4E83F983">
            <w:pPr>
              <w:snapToGrid w:val="0"/>
              <w:spacing w:line="360" w:lineRule="exact"/>
              <w:jc w:val="center"/>
              <w:rPr>
                <w:rFonts w:hint="eastAsia" w:eastAsia="宋体"/>
                <w:sz w:val="21"/>
                <w:szCs w:val="21"/>
                <w:lang w:eastAsia="zh-CN"/>
              </w:rPr>
            </w:pPr>
            <w:r>
              <w:rPr>
                <w:rFonts w:hint="eastAsia"/>
                <w:sz w:val="21"/>
                <w:szCs w:val="21"/>
                <w:lang w:val="en-US" w:eastAsia="zh-CN"/>
              </w:rPr>
              <w:t>2</w:t>
            </w:r>
          </w:p>
        </w:tc>
        <w:tc>
          <w:tcPr>
            <w:tcW w:w="2956" w:type="dxa"/>
            <w:tcBorders>
              <w:tl2br w:val="nil"/>
              <w:tr2bl w:val="nil"/>
            </w:tcBorders>
            <w:vAlign w:val="center"/>
          </w:tcPr>
          <w:p w14:paraId="5558093C">
            <w:pPr>
              <w:jc w:val="center"/>
              <w:rPr>
                <w:sz w:val="21"/>
                <w:szCs w:val="21"/>
              </w:rPr>
            </w:pPr>
            <w:r>
              <w:rPr>
                <w:sz w:val="21"/>
                <w:szCs w:val="21"/>
              </w:rPr>
              <w:t>2#厂界南侧</w:t>
            </w:r>
          </w:p>
        </w:tc>
        <w:tc>
          <w:tcPr>
            <w:tcW w:w="630" w:type="pct"/>
            <w:tcBorders>
              <w:tl2br w:val="nil"/>
              <w:tr2bl w:val="nil"/>
            </w:tcBorders>
            <w:vAlign w:val="center"/>
          </w:tcPr>
          <w:p w14:paraId="5041CA6D">
            <w:pPr>
              <w:snapToGrid w:val="0"/>
              <w:spacing w:line="360" w:lineRule="exact"/>
              <w:jc w:val="center"/>
              <w:rPr>
                <w:sz w:val="21"/>
                <w:szCs w:val="21"/>
              </w:rPr>
            </w:pPr>
            <w:r>
              <w:rPr>
                <w:rFonts w:hint="eastAsia"/>
                <w:sz w:val="21"/>
                <w:szCs w:val="21"/>
                <w:lang w:val="en-US" w:eastAsia="zh-CN"/>
              </w:rPr>
              <w:t>36</w:t>
            </w:r>
            <w:r>
              <w:rPr>
                <w:sz w:val="21"/>
                <w:szCs w:val="21"/>
              </w:rPr>
              <w:t>.74</w:t>
            </w:r>
          </w:p>
        </w:tc>
        <w:tc>
          <w:tcPr>
            <w:tcW w:w="929" w:type="dxa"/>
            <w:tcBorders>
              <w:tl2br w:val="nil"/>
              <w:tr2bl w:val="nil"/>
            </w:tcBorders>
            <w:vAlign w:val="center"/>
          </w:tcPr>
          <w:p w14:paraId="4C469674">
            <w:pPr>
              <w:jc w:val="center"/>
              <w:rPr>
                <w:sz w:val="21"/>
                <w:szCs w:val="21"/>
              </w:rPr>
            </w:pPr>
            <w:r>
              <w:rPr>
                <w:rFonts w:hint="eastAsia"/>
                <w:sz w:val="21"/>
                <w:szCs w:val="21"/>
                <w:lang w:val="en-US" w:eastAsia="zh-CN"/>
              </w:rPr>
              <w:t>55.8</w:t>
            </w:r>
          </w:p>
        </w:tc>
        <w:tc>
          <w:tcPr>
            <w:tcW w:w="931" w:type="dxa"/>
            <w:tcBorders>
              <w:tl2br w:val="nil"/>
              <w:tr2bl w:val="nil"/>
            </w:tcBorders>
            <w:vAlign w:val="center"/>
          </w:tcPr>
          <w:p w14:paraId="019423BF">
            <w:pPr>
              <w:jc w:val="center"/>
              <w:rPr>
                <w:sz w:val="21"/>
                <w:szCs w:val="21"/>
              </w:rPr>
            </w:pPr>
            <w:r>
              <w:rPr>
                <w:rFonts w:hint="eastAsia"/>
                <w:sz w:val="21"/>
                <w:szCs w:val="21"/>
                <w:lang w:val="en-US" w:eastAsia="zh-CN"/>
              </w:rPr>
              <w:t>45.8</w:t>
            </w:r>
          </w:p>
        </w:tc>
        <w:tc>
          <w:tcPr>
            <w:tcW w:w="622" w:type="pct"/>
            <w:tcBorders>
              <w:tl2br w:val="nil"/>
              <w:tr2bl w:val="nil"/>
            </w:tcBorders>
            <w:vAlign w:val="center"/>
          </w:tcPr>
          <w:p w14:paraId="78798B5E">
            <w:pPr>
              <w:snapToGrid w:val="0"/>
              <w:spacing w:line="360" w:lineRule="exact"/>
              <w:jc w:val="center"/>
              <w:rPr>
                <w:rFonts w:hint="default" w:eastAsia="宋体"/>
                <w:color w:val="auto"/>
                <w:sz w:val="21"/>
                <w:szCs w:val="21"/>
                <w:lang w:val="en-US" w:eastAsia="zh-CN"/>
              </w:rPr>
            </w:pPr>
            <w:r>
              <w:rPr>
                <w:color w:val="auto"/>
                <w:sz w:val="21"/>
                <w:szCs w:val="21"/>
              </w:rPr>
              <w:t>5</w:t>
            </w:r>
            <w:r>
              <w:rPr>
                <w:rFonts w:hint="eastAsia"/>
                <w:color w:val="auto"/>
                <w:sz w:val="21"/>
                <w:szCs w:val="21"/>
                <w:lang w:val="en-US" w:eastAsia="zh-CN"/>
              </w:rPr>
              <w:t>5.85</w:t>
            </w:r>
          </w:p>
        </w:tc>
        <w:tc>
          <w:tcPr>
            <w:tcW w:w="670" w:type="pct"/>
            <w:tcBorders>
              <w:tl2br w:val="nil"/>
              <w:tr2bl w:val="nil"/>
            </w:tcBorders>
            <w:vAlign w:val="center"/>
          </w:tcPr>
          <w:p w14:paraId="76AF52DB">
            <w:pPr>
              <w:snapToGrid w:val="0"/>
              <w:spacing w:line="360" w:lineRule="exact"/>
              <w:jc w:val="center"/>
              <w:rPr>
                <w:rFonts w:hint="default" w:eastAsia="宋体"/>
                <w:color w:val="auto"/>
                <w:sz w:val="21"/>
                <w:szCs w:val="21"/>
                <w:lang w:val="en-US" w:eastAsia="zh-CN"/>
              </w:rPr>
            </w:pPr>
            <w:r>
              <w:rPr>
                <w:color w:val="auto"/>
                <w:sz w:val="21"/>
                <w:szCs w:val="21"/>
              </w:rPr>
              <w:t>4</w:t>
            </w:r>
            <w:r>
              <w:rPr>
                <w:rFonts w:hint="eastAsia"/>
                <w:color w:val="auto"/>
                <w:sz w:val="21"/>
                <w:szCs w:val="21"/>
                <w:lang w:val="en-US" w:eastAsia="zh-CN"/>
              </w:rPr>
              <w:t>6.31</w:t>
            </w:r>
          </w:p>
        </w:tc>
      </w:tr>
      <w:tr w14:paraId="311305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6" w:hRule="atLeast"/>
          <w:jc w:val="center"/>
        </w:trPr>
        <w:tc>
          <w:tcPr>
            <w:tcW w:w="250" w:type="pct"/>
            <w:tcBorders>
              <w:tl2br w:val="nil"/>
              <w:tr2bl w:val="nil"/>
            </w:tcBorders>
            <w:vAlign w:val="center"/>
          </w:tcPr>
          <w:p w14:paraId="2BB51DC1">
            <w:pPr>
              <w:snapToGrid w:val="0"/>
              <w:spacing w:line="360" w:lineRule="exact"/>
              <w:jc w:val="center"/>
              <w:rPr>
                <w:rFonts w:hint="eastAsia" w:eastAsia="宋体"/>
                <w:sz w:val="21"/>
                <w:szCs w:val="21"/>
                <w:lang w:eastAsia="zh-CN"/>
              </w:rPr>
            </w:pPr>
            <w:r>
              <w:rPr>
                <w:rFonts w:hint="eastAsia"/>
                <w:sz w:val="21"/>
                <w:szCs w:val="21"/>
                <w:lang w:val="en-US" w:eastAsia="zh-CN"/>
              </w:rPr>
              <w:t>3</w:t>
            </w:r>
          </w:p>
        </w:tc>
        <w:tc>
          <w:tcPr>
            <w:tcW w:w="2956" w:type="dxa"/>
            <w:tcBorders>
              <w:tl2br w:val="nil"/>
              <w:tr2bl w:val="nil"/>
            </w:tcBorders>
            <w:vAlign w:val="center"/>
          </w:tcPr>
          <w:p w14:paraId="6590420C">
            <w:pPr>
              <w:jc w:val="center"/>
              <w:rPr>
                <w:sz w:val="21"/>
                <w:szCs w:val="21"/>
              </w:rPr>
            </w:pPr>
            <w:r>
              <w:rPr>
                <w:sz w:val="21"/>
                <w:szCs w:val="21"/>
              </w:rPr>
              <w:t>3#厂界</w:t>
            </w:r>
            <w:r>
              <w:rPr>
                <w:rFonts w:hint="eastAsia"/>
                <w:sz w:val="21"/>
                <w:szCs w:val="21"/>
              </w:rPr>
              <w:t>西</w:t>
            </w:r>
            <w:r>
              <w:rPr>
                <w:sz w:val="21"/>
                <w:szCs w:val="21"/>
              </w:rPr>
              <w:t>侧</w:t>
            </w:r>
          </w:p>
        </w:tc>
        <w:tc>
          <w:tcPr>
            <w:tcW w:w="630" w:type="pct"/>
            <w:tcBorders>
              <w:tl2br w:val="nil"/>
              <w:tr2bl w:val="nil"/>
            </w:tcBorders>
            <w:vAlign w:val="center"/>
          </w:tcPr>
          <w:p w14:paraId="70F1C1BD">
            <w:pPr>
              <w:snapToGrid w:val="0"/>
              <w:spacing w:line="360" w:lineRule="exact"/>
              <w:jc w:val="center"/>
              <w:rPr>
                <w:sz w:val="21"/>
                <w:szCs w:val="21"/>
              </w:rPr>
            </w:pPr>
            <w:r>
              <w:rPr>
                <w:rFonts w:hint="eastAsia"/>
                <w:sz w:val="21"/>
                <w:szCs w:val="21"/>
                <w:lang w:val="en-US" w:eastAsia="zh-CN"/>
              </w:rPr>
              <w:t>32</w:t>
            </w:r>
            <w:r>
              <w:rPr>
                <w:sz w:val="21"/>
                <w:szCs w:val="21"/>
              </w:rPr>
              <w:t>.49</w:t>
            </w:r>
          </w:p>
        </w:tc>
        <w:tc>
          <w:tcPr>
            <w:tcW w:w="929" w:type="dxa"/>
            <w:tcBorders>
              <w:tl2br w:val="nil"/>
              <w:tr2bl w:val="nil"/>
            </w:tcBorders>
            <w:vAlign w:val="center"/>
          </w:tcPr>
          <w:p w14:paraId="4B946130">
            <w:pPr>
              <w:jc w:val="center"/>
              <w:rPr>
                <w:sz w:val="21"/>
                <w:szCs w:val="21"/>
              </w:rPr>
            </w:pPr>
            <w:r>
              <w:rPr>
                <w:rFonts w:hint="eastAsia"/>
                <w:sz w:val="21"/>
                <w:szCs w:val="21"/>
                <w:lang w:val="en-US" w:eastAsia="zh-CN"/>
              </w:rPr>
              <w:t>56.6</w:t>
            </w:r>
          </w:p>
        </w:tc>
        <w:tc>
          <w:tcPr>
            <w:tcW w:w="931" w:type="dxa"/>
            <w:tcBorders>
              <w:tl2br w:val="nil"/>
              <w:tr2bl w:val="nil"/>
            </w:tcBorders>
            <w:vAlign w:val="center"/>
          </w:tcPr>
          <w:p w14:paraId="047EA2C5">
            <w:pPr>
              <w:jc w:val="center"/>
              <w:rPr>
                <w:sz w:val="21"/>
                <w:szCs w:val="21"/>
              </w:rPr>
            </w:pPr>
            <w:r>
              <w:rPr>
                <w:rFonts w:hint="eastAsia"/>
                <w:sz w:val="21"/>
                <w:szCs w:val="21"/>
                <w:lang w:val="en-US" w:eastAsia="zh-CN"/>
              </w:rPr>
              <w:t>46.1</w:t>
            </w:r>
          </w:p>
        </w:tc>
        <w:tc>
          <w:tcPr>
            <w:tcW w:w="622" w:type="pct"/>
            <w:tcBorders>
              <w:tl2br w:val="nil"/>
              <w:tr2bl w:val="nil"/>
            </w:tcBorders>
            <w:vAlign w:val="center"/>
          </w:tcPr>
          <w:p w14:paraId="1B3C4857">
            <w:pPr>
              <w:snapToGrid w:val="0"/>
              <w:spacing w:line="360" w:lineRule="exact"/>
              <w:jc w:val="center"/>
              <w:rPr>
                <w:rFonts w:hint="default" w:eastAsia="宋体"/>
                <w:color w:val="auto"/>
                <w:sz w:val="21"/>
                <w:szCs w:val="21"/>
                <w:lang w:val="en-US" w:eastAsia="zh-CN"/>
              </w:rPr>
            </w:pPr>
            <w:r>
              <w:rPr>
                <w:color w:val="auto"/>
                <w:sz w:val="21"/>
                <w:szCs w:val="21"/>
              </w:rPr>
              <w:t>5</w:t>
            </w:r>
            <w:r>
              <w:rPr>
                <w:rFonts w:hint="eastAsia"/>
                <w:color w:val="auto"/>
                <w:sz w:val="21"/>
                <w:szCs w:val="21"/>
                <w:lang w:val="en-US" w:eastAsia="zh-CN"/>
              </w:rPr>
              <w:t>6.62</w:t>
            </w:r>
          </w:p>
        </w:tc>
        <w:tc>
          <w:tcPr>
            <w:tcW w:w="670" w:type="pct"/>
            <w:tcBorders>
              <w:tl2br w:val="nil"/>
              <w:tr2bl w:val="nil"/>
            </w:tcBorders>
            <w:vAlign w:val="center"/>
          </w:tcPr>
          <w:p w14:paraId="5E84BD26">
            <w:pPr>
              <w:snapToGrid w:val="0"/>
              <w:spacing w:line="360" w:lineRule="exact"/>
              <w:jc w:val="center"/>
              <w:rPr>
                <w:rFonts w:hint="default" w:eastAsia="宋体"/>
                <w:color w:val="auto"/>
                <w:sz w:val="21"/>
                <w:szCs w:val="21"/>
                <w:lang w:val="en-US" w:eastAsia="zh-CN"/>
              </w:rPr>
            </w:pPr>
            <w:r>
              <w:rPr>
                <w:color w:val="auto"/>
                <w:sz w:val="21"/>
                <w:szCs w:val="21"/>
              </w:rPr>
              <w:t>4</w:t>
            </w:r>
            <w:r>
              <w:rPr>
                <w:rFonts w:hint="eastAsia"/>
                <w:color w:val="auto"/>
                <w:sz w:val="21"/>
                <w:szCs w:val="21"/>
                <w:lang w:val="en-US" w:eastAsia="zh-CN"/>
              </w:rPr>
              <w:t>6.29</w:t>
            </w:r>
          </w:p>
        </w:tc>
      </w:tr>
      <w:tr w14:paraId="2AD64D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6" w:hRule="atLeast"/>
          <w:jc w:val="center"/>
        </w:trPr>
        <w:tc>
          <w:tcPr>
            <w:tcW w:w="250" w:type="pct"/>
            <w:tcBorders>
              <w:tl2br w:val="nil"/>
              <w:tr2bl w:val="nil"/>
            </w:tcBorders>
            <w:vAlign w:val="center"/>
          </w:tcPr>
          <w:p w14:paraId="5B32C9BF">
            <w:pPr>
              <w:snapToGrid w:val="0"/>
              <w:spacing w:line="360" w:lineRule="exact"/>
              <w:jc w:val="center"/>
              <w:rPr>
                <w:rFonts w:hint="eastAsia" w:eastAsia="宋体"/>
                <w:sz w:val="21"/>
                <w:szCs w:val="21"/>
                <w:lang w:eastAsia="zh-CN"/>
              </w:rPr>
            </w:pPr>
            <w:r>
              <w:rPr>
                <w:rFonts w:hint="eastAsia"/>
                <w:sz w:val="21"/>
                <w:szCs w:val="21"/>
                <w:lang w:val="en-US" w:eastAsia="zh-CN"/>
              </w:rPr>
              <w:t>4</w:t>
            </w:r>
          </w:p>
        </w:tc>
        <w:tc>
          <w:tcPr>
            <w:tcW w:w="2956" w:type="dxa"/>
            <w:tcBorders>
              <w:tl2br w:val="nil"/>
              <w:tr2bl w:val="nil"/>
            </w:tcBorders>
            <w:vAlign w:val="center"/>
          </w:tcPr>
          <w:p w14:paraId="368553D4">
            <w:pPr>
              <w:jc w:val="center"/>
              <w:rPr>
                <w:sz w:val="21"/>
                <w:szCs w:val="21"/>
              </w:rPr>
            </w:pPr>
            <w:r>
              <w:rPr>
                <w:sz w:val="21"/>
                <w:szCs w:val="21"/>
              </w:rPr>
              <w:t>4#厂界</w:t>
            </w:r>
            <w:r>
              <w:rPr>
                <w:rFonts w:hint="eastAsia"/>
                <w:sz w:val="21"/>
                <w:szCs w:val="21"/>
              </w:rPr>
              <w:t>北</w:t>
            </w:r>
            <w:r>
              <w:rPr>
                <w:sz w:val="21"/>
                <w:szCs w:val="21"/>
              </w:rPr>
              <w:t>侧</w:t>
            </w:r>
          </w:p>
        </w:tc>
        <w:tc>
          <w:tcPr>
            <w:tcW w:w="630" w:type="pct"/>
            <w:tcBorders>
              <w:tl2br w:val="nil"/>
              <w:tr2bl w:val="nil"/>
            </w:tcBorders>
            <w:vAlign w:val="center"/>
          </w:tcPr>
          <w:p w14:paraId="28461681">
            <w:pPr>
              <w:jc w:val="center"/>
              <w:rPr>
                <w:sz w:val="21"/>
                <w:szCs w:val="21"/>
              </w:rPr>
            </w:pPr>
            <w:r>
              <w:rPr>
                <w:sz w:val="21"/>
                <w:szCs w:val="21"/>
                <w:lang w:bidi="ar"/>
              </w:rPr>
              <w:t>2</w:t>
            </w:r>
            <w:r>
              <w:rPr>
                <w:rFonts w:hint="eastAsia"/>
                <w:sz w:val="21"/>
                <w:szCs w:val="21"/>
                <w:lang w:val="en-US" w:eastAsia="zh-CN" w:bidi="ar"/>
              </w:rPr>
              <w:t>7</w:t>
            </w:r>
            <w:r>
              <w:rPr>
                <w:sz w:val="21"/>
                <w:szCs w:val="21"/>
                <w:lang w:bidi="ar"/>
              </w:rPr>
              <w:t>.69</w:t>
            </w:r>
          </w:p>
        </w:tc>
        <w:tc>
          <w:tcPr>
            <w:tcW w:w="929" w:type="dxa"/>
            <w:tcBorders>
              <w:tl2br w:val="nil"/>
              <w:tr2bl w:val="nil"/>
            </w:tcBorders>
            <w:vAlign w:val="center"/>
          </w:tcPr>
          <w:p w14:paraId="522E4B00">
            <w:pPr>
              <w:jc w:val="center"/>
              <w:rPr>
                <w:sz w:val="21"/>
                <w:szCs w:val="21"/>
              </w:rPr>
            </w:pPr>
            <w:r>
              <w:rPr>
                <w:rFonts w:hint="eastAsia"/>
                <w:sz w:val="21"/>
                <w:szCs w:val="21"/>
                <w:lang w:val="en-US" w:eastAsia="zh-CN"/>
              </w:rPr>
              <w:t>51.9</w:t>
            </w:r>
          </w:p>
        </w:tc>
        <w:tc>
          <w:tcPr>
            <w:tcW w:w="931" w:type="dxa"/>
            <w:tcBorders>
              <w:tl2br w:val="nil"/>
              <w:tr2bl w:val="nil"/>
            </w:tcBorders>
            <w:vAlign w:val="center"/>
          </w:tcPr>
          <w:p w14:paraId="5B0A5F09">
            <w:pPr>
              <w:jc w:val="center"/>
              <w:rPr>
                <w:sz w:val="21"/>
                <w:szCs w:val="21"/>
              </w:rPr>
            </w:pPr>
            <w:r>
              <w:rPr>
                <w:rFonts w:hint="eastAsia"/>
                <w:sz w:val="21"/>
                <w:szCs w:val="21"/>
                <w:lang w:val="en-US" w:eastAsia="zh-CN"/>
              </w:rPr>
              <w:t>42.9</w:t>
            </w:r>
          </w:p>
        </w:tc>
        <w:tc>
          <w:tcPr>
            <w:tcW w:w="622" w:type="pct"/>
            <w:tcBorders>
              <w:tl2br w:val="nil"/>
              <w:tr2bl w:val="nil"/>
            </w:tcBorders>
            <w:vAlign w:val="center"/>
          </w:tcPr>
          <w:p w14:paraId="571CBDFB">
            <w:pPr>
              <w:jc w:val="center"/>
              <w:rPr>
                <w:rFonts w:hint="default" w:eastAsia="宋体"/>
                <w:color w:val="auto"/>
                <w:sz w:val="21"/>
                <w:szCs w:val="21"/>
                <w:lang w:val="en-US" w:eastAsia="zh-CN"/>
              </w:rPr>
            </w:pPr>
            <w:r>
              <w:rPr>
                <w:color w:val="auto"/>
                <w:sz w:val="21"/>
                <w:szCs w:val="21"/>
                <w:lang w:bidi="ar"/>
              </w:rPr>
              <w:t>5</w:t>
            </w:r>
            <w:r>
              <w:rPr>
                <w:rFonts w:hint="eastAsia"/>
                <w:color w:val="auto"/>
                <w:sz w:val="21"/>
                <w:szCs w:val="21"/>
                <w:lang w:val="en-US" w:eastAsia="zh-CN" w:bidi="ar"/>
              </w:rPr>
              <w:t>1.92</w:t>
            </w:r>
          </w:p>
        </w:tc>
        <w:tc>
          <w:tcPr>
            <w:tcW w:w="670" w:type="pct"/>
            <w:tcBorders>
              <w:tl2br w:val="nil"/>
              <w:tr2bl w:val="nil"/>
            </w:tcBorders>
            <w:vAlign w:val="center"/>
          </w:tcPr>
          <w:p w14:paraId="7B002639">
            <w:pPr>
              <w:jc w:val="center"/>
              <w:rPr>
                <w:rFonts w:hint="default" w:eastAsia="宋体"/>
                <w:color w:val="auto"/>
                <w:sz w:val="21"/>
                <w:szCs w:val="21"/>
                <w:lang w:val="en-US" w:eastAsia="zh-CN"/>
              </w:rPr>
            </w:pPr>
            <w:r>
              <w:rPr>
                <w:color w:val="auto"/>
                <w:sz w:val="21"/>
                <w:szCs w:val="21"/>
                <w:lang w:bidi="ar"/>
              </w:rPr>
              <w:t>4</w:t>
            </w:r>
            <w:r>
              <w:rPr>
                <w:rFonts w:hint="eastAsia"/>
                <w:color w:val="auto"/>
                <w:sz w:val="21"/>
                <w:szCs w:val="21"/>
                <w:lang w:val="en-US" w:eastAsia="zh-CN" w:bidi="ar"/>
              </w:rPr>
              <w:t>3.03</w:t>
            </w:r>
          </w:p>
        </w:tc>
      </w:tr>
      <w:tr w14:paraId="59450B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2" w:hRule="atLeast"/>
          <w:jc w:val="center"/>
        </w:trPr>
        <w:tc>
          <w:tcPr>
            <w:tcW w:w="250" w:type="pct"/>
            <w:tcBorders>
              <w:tl2br w:val="nil"/>
              <w:tr2bl w:val="nil"/>
            </w:tcBorders>
            <w:vAlign w:val="center"/>
          </w:tcPr>
          <w:p w14:paraId="3CCE68F1">
            <w:pPr>
              <w:snapToGrid w:val="0"/>
              <w:spacing w:line="360" w:lineRule="exact"/>
              <w:jc w:val="center"/>
              <w:rPr>
                <w:rFonts w:hint="eastAsia" w:eastAsia="宋体"/>
                <w:sz w:val="21"/>
                <w:szCs w:val="21"/>
                <w:lang w:eastAsia="zh-CN"/>
              </w:rPr>
            </w:pPr>
            <w:r>
              <w:rPr>
                <w:rFonts w:hint="eastAsia"/>
                <w:sz w:val="21"/>
                <w:szCs w:val="21"/>
                <w:lang w:val="en-US" w:eastAsia="zh-CN"/>
              </w:rPr>
              <w:t>5</w:t>
            </w:r>
          </w:p>
        </w:tc>
        <w:tc>
          <w:tcPr>
            <w:tcW w:w="2956" w:type="dxa"/>
            <w:tcBorders>
              <w:tl2br w:val="nil"/>
              <w:tr2bl w:val="nil"/>
            </w:tcBorders>
            <w:vAlign w:val="center"/>
          </w:tcPr>
          <w:p w14:paraId="5D84E251">
            <w:pPr>
              <w:jc w:val="center"/>
              <w:rPr>
                <w:sz w:val="21"/>
                <w:szCs w:val="21"/>
              </w:rPr>
            </w:pPr>
            <w:r>
              <w:rPr>
                <w:sz w:val="21"/>
                <w:szCs w:val="21"/>
              </w:rPr>
              <w:t>5#</w:t>
            </w:r>
            <w:r>
              <w:rPr>
                <w:rFonts w:hint="eastAsia"/>
                <w:sz w:val="21"/>
                <w:szCs w:val="21"/>
                <w:lang w:val="en-US" w:eastAsia="zh-CN"/>
              </w:rPr>
              <w:t>厂区外东北侧居民区</w:t>
            </w:r>
          </w:p>
        </w:tc>
        <w:tc>
          <w:tcPr>
            <w:tcW w:w="630" w:type="pct"/>
            <w:tcBorders>
              <w:tl2br w:val="nil"/>
              <w:tr2bl w:val="nil"/>
            </w:tcBorders>
            <w:vAlign w:val="center"/>
          </w:tcPr>
          <w:p w14:paraId="629A8C0F">
            <w:pPr>
              <w:jc w:val="center"/>
              <w:rPr>
                <w:sz w:val="21"/>
                <w:szCs w:val="21"/>
              </w:rPr>
            </w:pPr>
            <w:r>
              <w:rPr>
                <w:sz w:val="21"/>
                <w:szCs w:val="21"/>
                <w:lang w:bidi="ar"/>
              </w:rPr>
              <w:t>2</w:t>
            </w:r>
            <w:r>
              <w:rPr>
                <w:rFonts w:hint="eastAsia"/>
                <w:sz w:val="21"/>
                <w:szCs w:val="21"/>
                <w:lang w:val="en-US" w:eastAsia="zh-CN" w:bidi="ar"/>
              </w:rPr>
              <w:t>8</w:t>
            </w:r>
            <w:r>
              <w:rPr>
                <w:sz w:val="21"/>
                <w:szCs w:val="21"/>
                <w:lang w:bidi="ar"/>
              </w:rPr>
              <w:t>.89</w:t>
            </w:r>
          </w:p>
        </w:tc>
        <w:tc>
          <w:tcPr>
            <w:tcW w:w="929" w:type="dxa"/>
            <w:tcBorders>
              <w:tl2br w:val="nil"/>
              <w:tr2bl w:val="nil"/>
            </w:tcBorders>
            <w:vAlign w:val="center"/>
          </w:tcPr>
          <w:p w14:paraId="34793EE3">
            <w:pPr>
              <w:jc w:val="center"/>
              <w:rPr>
                <w:sz w:val="21"/>
                <w:szCs w:val="21"/>
              </w:rPr>
            </w:pPr>
            <w:r>
              <w:rPr>
                <w:rFonts w:hint="eastAsia"/>
                <w:sz w:val="21"/>
                <w:szCs w:val="21"/>
                <w:lang w:val="en-US" w:eastAsia="zh-CN"/>
              </w:rPr>
              <w:t>49.6</w:t>
            </w:r>
          </w:p>
        </w:tc>
        <w:tc>
          <w:tcPr>
            <w:tcW w:w="931" w:type="dxa"/>
            <w:tcBorders>
              <w:tl2br w:val="nil"/>
              <w:tr2bl w:val="nil"/>
            </w:tcBorders>
            <w:vAlign w:val="center"/>
          </w:tcPr>
          <w:p w14:paraId="7054F9AE">
            <w:pPr>
              <w:jc w:val="center"/>
              <w:rPr>
                <w:sz w:val="21"/>
                <w:szCs w:val="21"/>
              </w:rPr>
            </w:pPr>
            <w:r>
              <w:rPr>
                <w:rFonts w:hint="eastAsia"/>
                <w:sz w:val="21"/>
                <w:szCs w:val="21"/>
                <w:lang w:val="en-US" w:eastAsia="zh-CN"/>
              </w:rPr>
              <w:t>41.5</w:t>
            </w:r>
          </w:p>
        </w:tc>
        <w:tc>
          <w:tcPr>
            <w:tcW w:w="622" w:type="pct"/>
            <w:tcBorders>
              <w:tl2br w:val="nil"/>
              <w:tr2bl w:val="nil"/>
            </w:tcBorders>
            <w:vAlign w:val="center"/>
          </w:tcPr>
          <w:p w14:paraId="33C92492">
            <w:pPr>
              <w:jc w:val="center"/>
              <w:rPr>
                <w:rFonts w:hint="default" w:eastAsia="宋体"/>
                <w:color w:val="auto"/>
                <w:sz w:val="21"/>
                <w:szCs w:val="21"/>
                <w:lang w:val="en-US" w:eastAsia="zh-CN"/>
              </w:rPr>
            </w:pPr>
            <w:r>
              <w:rPr>
                <w:rFonts w:hint="eastAsia"/>
                <w:color w:val="auto"/>
                <w:sz w:val="21"/>
                <w:szCs w:val="21"/>
                <w:lang w:val="en-US" w:eastAsia="zh-CN" w:bidi="ar"/>
              </w:rPr>
              <w:t>49.64</w:t>
            </w:r>
          </w:p>
        </w:tc>
        <w:tc>
          <w:tcPr>
            <w:tcW w:w="670" w:type="pct"/>
            <w:tcBorders>
              <w:tl2br w:val="nil"/>
              <w:tr2bl w:val="nil"/>
            </w:tcBorders>
            <w:vAlign w:val="center"/>
          </w:tcPr>
          <w:p w14:paraId="3235451E">
            <w:pPr>
              <w:jc w:val="center"/>
              <w:rPr>
                <w:rFonts w:hint="default" w:eastAsia="宋体"/>
                <w:color w:val="auto"/>
                <w:sz w:val="21"/>
                <w:szCs w:val="21"/>
                <w:lang w:val="en-US" w:eastAsia="zh-CN"/>
              </w:rPr>
            </w:pPr>
            <w:r>
              <w:rPr>
                <w:color w:val="auto"/>
                <w:sz w:val="21"/>
                <w:szCs w:val="21"/>
                <w:lang w:bidi="ar"/>
              </w:rPr>
              <w:t>4</w:t>
            </w:r>
            <w:r>
              <w:rPr>
                <w:rFonts w:hint="eastAsia"/>
                <w:color w:val="auto"/>
                <w:sz w:val="21"/>
                <w:szCs w:val="21"/>
                <w:lang w:val="en-US" w:eastAsia="zh-CN" w:bidi="ar"/>
              </w:rPr>
              <w:t>1.73</w:t>
            </w:r>
          </w:p>
        </w:tc>
      </w:tr>
      <w:tr w14:paraId="7BF4C9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6" w:hRule="atLeast"/>
          <w:jc w:val="center"/>
        </w:trPr>
        <w:tc>
          <w:tcPr>
            <w:tcW w:w="250" w:type="pct"/>
            <w:tcBorders>
              <w:tl2br w:val="nil"/>
              <w:tr2bl w:val="nil"/>
            </w:tcBorders>
            <w:vAlign w:val="center"/>
          </w:tcPr>
          <w:p w14:paraId="01EF2746">
            <w:pPr>
              <w:snapToGrid w:val="0"/>
              <w:spacing w:line="360" w:lineRule="exact"/>
              <w:jc w:val="center"/>
              <w:rPr>
                <w:rFonts w:hint="eastAsia" w:eastAsia="宋体"/>
                <w:sz w:val="21"/>
                <w:szCs w:val="21"/>
                <w:lang w:eastAsia="zh-CN"/>
              </w:rPr>
            </w:pPr>
            <w:r>
              <w:rPr>
                <w:rFonts w:hint="eastAsia"/>
                <w:sz w:val="21"/>
                <w:szCs w:val="21"/>
                <w:lang w:val="en-US" w:eastAsia="zh-CN"/>
              </w:rPr>
              <w:t>6</w:t>
            </w:r>
          </w:p>
        </w:tc>
        <w:tc>
          <w:tcPr>
            <w:tcW w:w="2956" w:type="dxa"/>
            <w:tcBorders>
              <w:tl2br w:val="nil"/>
              <w:tr2bl w:val="nil"/>
            </w:tcBorders>
            <w:vAlign w:val="center"/>
          </w:tcPr>
          <w:p w14:paraId="70EE3453">
            <w:pPr>
              <w:jc w:val="center"/>
              <w:rPr>
                <w:sz w:val="21"/>
                <w:szCs w:val="21"/>
              </w:rPr>
            </w:pPr>
            <w:r>
              <w:rPr>
                <w:sz w:val="21"/>
                <w:szCs w:val="21"/>
              </w:rPr>
              <w:t>6#</w:t>
            </w:r>
            <w:r>
              <w:rPr>
                <w:rFonts w:hint="eastAsia"/>
                <w:sz w:val="21"/>
                <w:szCs w:val="21"/>
                <w:lang w:val="en-US" w:eastAsia="zh-CN"/>
              </w:rPr>
              <w:t>厂区外东南侧居民区</w:t>
            </w:r>
          </w:p>
        </w:tc>
        <w:tc>
          <w:tcPr>
            <w:tcW w:w="630" w:type="pct"/>
            <w:tcBorders>
              <w:tl2br w:val="nil"/>
              <w:tr2bl w:val="nil"/>
            </w:tcBorders>
            <w:vAlign w:val="center"/>
          </w:tcPr>
          <w:p w14:paraId="4D738D86">
            <w:pPr>
              <w:jc w:val="center"/>
              <w:rPr>
                <w:sz w:val="21"/>
                <w:szCs w:val="21"/>
              </w:rPr>
            </w:pPr>
            <w:r>
              <w:rPr>
                <w:rFonts w:hint="eastAsia"/>
                <w:sz w:val="21"/>
                <w:szCs w:val="21"/>
                <w:lang w:val="en-US" w:eastAsia="zh-CN" w:bidi="ar"/>
              </w:rPr>
              <w:t>30</w:t>
            </w:r>
            <w:r>
              <w:rPr>
                <w:sz w:val="21"/>
                <w:szCs w:val="21"/>
                <w:lang w:bidi="ar"/>
              </w:rPr>
              <w:t>.24</w:t>
            </w:r>
          </w:p>
        </w:tc>
        <w:tc>
          <w:tcPr>
            <w:tcW w:w="929" w:type="dxa"/>
            <w:tcBorders>
              <w:tl2br w:val="nil"/>
              <w:tr2bl w:val="nil"/>
            </w:tcBorders>
            <w:vAlign w:val="center"/>
          </w:tcPr>
          <w:p w14:paraId="1FCC7C17">
            <w:pPr>
              <w:jc w:val="center"/>
              <w:rPr>
                <w:sz w:val="21"/>
                <w:szCs w:val="21"/>
              </w:rPr>
            </w:pPr>
            <w:r>
              <w:rPr>
                <w:rFonts w:hint="eastAsia"/>
                <w:sz w:val="21"/>
                <w:szCs w:val="21"/>
                <w:lang w:val="en-US" w:eastAsia="zh-CN"/>
              </w:rPr>
              <w:t>52.7</w:t>
            </w:r>
          </w:p>
        </w:tc>
        <w:tc>
          <w:tcPr>
            <w:tcW w:w="931" w:type="dxa"/>
            <w:tcBorders>
              <w:tl2br w:val="nil"/>
              <w:tr2bl w:val="nil"/>
            </w:tcBorders>
            <w:vAlign w:val="center"/>
          </w:tcPr>
          <w:p w14:paraId="3411BA93">
            <w:pPr>
              <w:jc w:val="center"/>
              <w:rPr>
                <w:sz w:val="21"/>
                <w:szCs w:val="21"/>
              </w:rPr>
            </w:pPr>
            <w:r>
              <w:rPr>
                <w:rFonts w:hint="eastAsia"/>
                <w:sz w:val="21"/>
                <w:szCs w:val="21"/>
                <w:lang w:val="en-US" w:eastAsia="zh-CN"/>
              </w:rPr>
              <w:t>43.4</w:t>
            </w:r>
          </w:p>
        </w:tc>
        <w:tc>
          <w:tcPr>
            <w:tcW w:w="622" w:type="pct"/>
            <w:tcBorders>
              <w:tl2br w:val="nil"/>
              <w:tr2bl w:val="nil"/>
            </w:tcBorders>
            <w:vAlign w:val="center"/>
          </w:tcPr>
          <w:p w14:paraId="28300524">
            <w:pPr>
              <w:jc w:val="center"/>
              <w:rPr>
                <w:rFonts w:hint="default" w:eastAsia="宋体"/>
                <w:color w:val="auto"/>
                <w:sz w:val="21"/>
                <w:szCs w:val="21"/>
                <w:lang w:val="en-US" w:eastAsia="zh-CN"/>
              </w:rPr>
            </w:pPr>
            <w:r>
              <w:rPr>
                <w:rFonts w:hint="eastAsia"/>
                <w:color w:val="auto"/>
                <w:sz w:val="21"/>
                <w:szCs w:val="21"/>
                <w:lang w:val="en-US" w:eastAsia="zh-CN" w:bidi="ar"/>
              </w:rPr>
              <w:t>52.72</w:t>
            </w:r>
          </w:p>
        </w:tc>
        <w:tc>
          <w:tcPr>
            <w:tcW w:w="670" w:type="pct"/>
            <w:tcBorders>
              <w:tl2br w:val="nil"/>
              <w:tr2bl w:val="nil"/>
            </w:tcBorders>
            <w:vAlign w:val="center"/>
          </w:tcPr>
          <w:p w14:paraId="3974510C">
            <w:pPr>
              <w:jc w:val="center"/>
              <w:rPr>
                <w:rFonts w:hint="default" w:eastAsia="宋体"/>
                <w:color w:val="auto"/>
                <w:sz w:val="21"/>
                <w:szCs w:val="21"/>
                <w:lang w:val="en-US" w:eastAsia="zh-CN"/>
              </w:rPr>
            </w:pPr>
            <w:r>
              <w:rPr>
                <w:color w:val="auto"/>
                <w:sz w:val="21"/>
                <w:szCs w:val="21"/>
                <w:lang w:bidi="ar"/>
              </w:rPr>
              <w:t>43.</w:t>
            </w:r>
            <w:r>
              <w:rPr>
                <w:rFonts w:hint="eastAsia"/>
                <w:color w:val="auto"/>
                <w:sz w:val="21"/>
                <w:szCs w:val="21"/>
                <w:lang w:val="en-US" w:eastAsia="zh-CN" w:bidi="ar"/>
              </w:rPr>
              <w:t>60</w:t>
            </w:r>
          </w:p>
        </w:tc>
      </w:tr>
    </w:tbl>
    <w:p w14:paraId="212B4205">
      <w:pPr>
        <w:spacing w:line="360" w:lineRule="auto"/>
        <w:ind w:firstLine="480" w:firstLineChars="200"/>
        <w:jc w:val="left"/>
        <w:rPr>
          <w:szCs w:val="32"/>
        </w:rPr>
      </w:pPr>
      <w:r>
        <w:rPr>
          <w:szCs w:val="32"/>
        </w:rPr>
        <w:t>从表5.2-</w:t>
      </w:r>
      <w:r>
        <w:rPr>
          <w:rFonts w:hint="eastAsia"/>
          <w:szCs w:val="32"/>
          <w:lang w:val="en-US" w:eastAsia="zh-CN"/>
        </w:rPr>
        <w:t>10</w:t>
      </w:r>
      <w:r>
        <w:rPr>
          <w:szCs w:val="32"/>
        </w:rPr>
        <w:t>中可以看出，</w:t>
      </w:r>
      <w:r>
        <w:rPr>
          <w:rFonts w:hint="eastAsia"/>
          <w:szCs w:val="32"/>
          <w:lang w:val="en-US" w:eastAsia="zh-CN"/>
        </w:rPr>
        <w:t>本项目</w:t>
      </w:r>
      <w:r>
        <w:rPr>
          <w:szCs w:val="32"/>
        </w:rPr>
        <w:t>噪声源对场界贡献值在2</w:t>
      </w:r>
      <w:r>
        <w:rPr>
          <w:rFonts w:hint="eastAsia"/>
          <w:szCs w:val="32"/>
          <w:lang w:val="en-US" w:eastAsia="zh-CN"/>
        </w:rPr>
        <w:t>7.69</w:t>
      </w:r>
      <w:r>
        <w:rPr>
          <w:szCs w:val="32"/>
        </w:rPr>
        <w:t>~3</w:t>
      </w:r>
      <w:r>
        <w:rPr>
          <w:rFonts w:hint="eastAsia"/>
          <w:szCs w:val="32"/>
          <w:lang w:val="en-US" w:eastAsia="zh-CN"/>
        </w:rPr>
        <w:t>6.74</w:t>
      </w:r>
      <w:r>
        <w:rPr>
          <w:szCs w:val="32"/>
        </w:rPr>
        <w:t>dB(A)之间，</w:t>
      </w:r>
      <w:r>
        <w:rPr>
          <w:rFonts w:hint="eastAsia"/>
          <w:szCs w:val="32"/>
          <w:lang w:val="en-US" w:eastAsia="zh-CN"/>
        </w:rPr>
        <w:t>预测</w:t>
      </w:r>
      <w:r>
        <w:rPr>
          <w:szCs w:val="32"/>
        </w:rPr>
        <w:t>值</w:t>
      </w:r>
      <w:r>
        <w:rPr>
          <w:rFonts w:hint="eastAsia"/>
          <w:szCs w:val="32"/>
          <w:lang w:val="en-US" w:eastAsia="zh-CN"/>
        </w:rPr>
        <w:t>昼间</w:t>
      </w:r>
      <w:r>
        <w:rPr>
          <w:szCs w:val="32"/>
        </w:rPr>
        <w:t>在</w:t>
      </w:r>
      <w:r>
        <w:rPr>
          <w:rFonts w:hint="eastAsia"/>
          <w:szCs w:val="32"/>
          <w:lang w:val="en-US" w:eastAsia="zh-CN"/>
        </w:rPr>
        <w:t>51.92</w:t>
      </w:r>
      <w:r>
        <w:rPr>
          <w:szCs w:val="32"/>
        </w:rPr>
        <w:t>~</w:t>
      </w:r>
      <w:r>
        <w:rPr>
          <w:rFonts w:hint="eastAsia"/>
          <w:szCs w:val="32"/>
          <w:lang w:val="en-US" w:eastAsia="zh-CN"/>
        </w:rPr>
        <w:t>56.62</w:t>
      </w:r>
      <w:r>
        <w:rPr>
          <w:szCs w:val="32"/>
        </w:rPr>
        <w:t>dB(A)之间，</w:t>
      </w:r>
      <w:r>
        <w:rPr>
          <w:rFonts w:hint="eastAsia"/>
          <w:szCs w:val="32"/>
          <w:lang w:val="en-US" w:eastAsia="zh-CN"/>
        </w:rPr>
        <w:t>夜间在43.03</w:t>
      </w:r>
      <w:r>
        <w:rPr>
          <w:szCs w:val="32"/>
        </w:rPr>
        <w:t>~</w:t>
      </w:r>
      <w:r>
        <w:rPr>
          <w:rFonts w:hint="eastAsia"/>
          <w:szCs w:val="32"/>
          <w:lang w:val="en-US" w:eastAsia="zh-CN"/>
        </w:rPr>
        <w:t>46.31</w:t>
      </w:r>
      <w:r>
        <w:rPr>
          <w:szCs w:val="32"/>
        </w:rPr>
        <w:t>dB(A)之间，</w:t>
      </w:r>
      <w:r>
        <w:t>项目厂界噪声满足《工业企业厂界环境噪声排放标准》（GB12348-2008）中的</w:t>
      </w:r>
      <w:r>
        <w:rPr>
          <w:rFonts w:hint="eastAsia"/>
          <w:lang w:eastAsia="zh-CN"/>
        </w:rPr>
        <w:t>3类</w:t>
      </w:r>
      <w:r>
        <w:t>标准</w:t>
      </w:r>
      <w:r>
        <w:rPr>
          <w:szCs w:val="32"/>
        </w:rPr>
        <w:t>。</w:t>
      </w:r>
    </w:p>
    <w:p w14:paraId="4920C31D">
      <w:pPr>
        <w:spacing w:line="360" w:lineRule="auto"/>
        <w:ind w:firstLine="480" w:firstLineChars="200"/>
        <w:jc w:val="left"/>
      </w:pPr>
      <w:r>
        <w:rPr>
          <w:rFonts w:hint="eastAsia"/>
          <w:szCs w:val="32"/>
          <w:lang w:eastAsia="zh-CN"/>
        </w:rPr>
        <w:t>本项目</w:t>
      </w:r>
      <w:r>
        <w:rPr>
          <w:szCs w:val="32"/>
        </w:rPr>
        <w:t>噪声经降噪、隔声和距离衰减后，</w:t>
      </w:r>
      <w:r>
        <w:rPr>
          <w:rFonts w:hint="eastAsia"/>
          <w:szCs w:val="21"/>
          <w:lang w:val="en-US" w:eastAsia="zh-CN"/>
        </w:rPr>
        <w:t>东北侧</w:t>
      </w:r>
      <w:r>
        <w:rPr>
          <w:szCs w:val="21"/>
        </w:rPr>
        <w:t>的</w:t>
      </w:r>
      <w:r>
        <w:rPr>
          <w:rFonts w:hint="eastAsia"/>
          <w:szCs w:val="21"/>
          <w:lang w:val="en-US" w:eastAsia="zh-CN"/>
        </w:rPr>
        <w:t>居民区</w:t>
      </w:r>
      <w:r>
        <w:rPr>
          <w:szCs w:val="32"/>
        </w:rPr>
        <w:t>噪声昼间预测值为</w:t>
      </w:r>
      <w:r>
        <w:rPr>
          <w:rFonts w:hint="eastAsia"/>
          <w:szCs w:val="32"/>
          <w:lang w:val="en-US" w:eastAsia="zh-CN"/>
        </w:rPr>
        <w:t>49.64</w:t>
      </w:r>
      <w:r>
        <w:rPr>
          <w:szCs w:val="32"/>
        </w:rPr>
        <w:t>dB(A)，夜间预测值为</w:t>
      </w:r>
      <w:r>
        <w:rPr>
          <w:rFonts w:hint="eastAsia"/>
          <w:szCs w:val="32"/>
          <w:lang w:val="en-US" w:eastAsia="zh-CN"/>
        </w:rPr>
        <w:t>41.73</w:t>
      </w:r>
      <w:r>
        <w:rPr>
          <w:szCs w:val="32"/>
        </w:rPr>
        <w:t>dB(A)</w:t>
      </w:r>
      <w:r>
        <w:rPr>
          <w:rFonts w:hint="eastAsia"/>
          <w:szCs w:val="32"/>
        </w:rPr>
        <w:t>；</w:t>
      </w:r>
      <w:r>
        <w:rPr>
          <w:rFonts w:hint="eastAsia"/>
          <w:szCs w:val="32"/>
          <w:lang w:val="en-US" w:eastAsia="zh-CN"/>
        </w:rPr>
        <w:t>东南侧</w:t>
      </w:r>
      <w:r>
        <w:rPr>
          <w:szCs w:val="21"/>
        </w:rPr>
        <w:t>处</w:t>
      </w:r>
      <w:r>
        <w:rPr>
          <w:rFonts w:hint="eastAsia"/>
          <w:szCs w:val="21"/>
          <w:lang w:val="en-US" w:eastAsia="zh-CN"/>
        </w:rPr>
        <w:t>居民区</w:t>
      </w:r>
      <w:r>
        <w:rPr>
          <w:szCs w:val="21"/>
        </w:rPr>
        <w:t>的</w:t>
      </w:r>
      <w:r>
        <w:rPr>
          <w:szCs w:val="32"/>
        </w:rPr>
        <w:t>噪声昼间预测值为</w:t>
      </w:r>
      <w:r>
        <w:rPr>
          <w:rFonts w:hint="eastAsia"/>
          <w:szCs w:val="32"/>
          <w:lang w:val="en-US" w:eastAsia="zh-CN"/>
        </w:rPr>
        <w:t>52.72</w:t>
      </w:r>
      <w:r>
        <w:rPr>
          <w:szCs w:val="32"/>
        </w:rPr>
        <w:t>dB(A)，夜间预测值为</w:t>
      </w:r>
      <w:r>
        <w:rPr>
          <w:rFonts w:hint="eastAsia"/>
          <w:szCs w:val="32"/>
          <w:lang w:val="en-US" w:eastAsia="zh-CN"/>
        </w:rPr>
        <w:t>43.60</w:t>
      </w:r>
      <w:r>
        <w:rPr>
          <w:szCs w:val="32"/>
        </w:rPr>
        <w:t>dB(A)</w:t>
      </w:r>
      <w:r>
        <w:rPr>
          <w:rFonts w:hint="eastAsia"/>
          <w:szCs w:val="32"/>
        </w:rPr>
        <w:t>；</w:t>
      </w:r>
      <w:r>
        <w:rPr>
          <w:rFonts w:hint="eastAsia"/>
          <w:szCs w:val="21"/>
          <w:lang w:val="en-US" w:eastAsia="zh-CN"/>
        </w:rPr>
        <w:t>东北侧的居民区</w:t>
      </w:r>
      <w:r>
        <w:rPr>
          <w:rFonts w:hint="eastAsia"/>
          <w:szCs w:val="21"/>
        </w:rPr>
        <w:t>和</w:t>
      </w:r>
      <w:r>
        <w:rPr>
          <w:rFonts w:hint="eastAsia"/>
          <w:szCs w:val="21"/>
          <w:lang w:val="en-US" w:eastAsia="zh-CN"/>
        </w:rPr>
        <w:t>东南侧的居民区</w:t>
      </w:r>
      <w:r>
        <w:rPr>
          <w:szCs w:val="21"/>
        </w:rPr>
        <w:t>声环境质量</w:t>
      </w:r>
      <w:r>
        <w:t>可以满足《声环境质量标准》（GB3096-2008）中的</w:t>
      </w:r>
      <w:r>
        <w:rPr>
          <w:rFonts w:hint="eastAsia"/>
          <w:lang w:val="en-US" w:eastAsia="zh-CN"/>
        </w:rPr>
        <w:t>1</w:t>
      </w:r>
      <w:r>
        <w:rPr>
          <w:rFonts w:hint="eastAsia"/>
          <w:lang w:eastAsia="zh-CN"/>
        </w:rPr>
        <w:t>类</w:t>
      </w:r>
      <w:r>
        <w:t>标准：昼间</w:t>
      </w:r>
      <w:r>
        <w:rPr>
          <w:rFonts w:hint="eastAsia"/>
          <w:lang w:val="en-US" w:eastAsia="zh-CN"/>
        </w:rPr>
        <w:t>55</w:t>
      </w:r>
      <w:r>
        <w:t>dB(A)，夜间</w:t>
      </w:r>
      <w:r>
        <w:rPr>
          <w:rFonts w:hint="eastAsia"/>
          <w:lang w:val="en-US" w:eastAsia="zh-CN"/>
        </w:rPr>
        <w:t>45</w:t>
      </w:r>
      <w:r>
        <w:t>dB(A)。</w:t>
      </w:r>
      <w:r>
        <w:rPr>
          <w:szCs w:val="32"/>
        </w:rPr>
        <w:t>因此项目投产后对周围声环境影响较小。</w:t>
      </w:r>
    </w:p>
    <w:p w14:paraId="365E9C72">
      <w:pPr>
        <w:pStyle w:val="4"/>
      </w:pPr>
      <w:bookmarkStart w:id="368" w:name="_Toc27630"/>
      <w:r>
        <w:t>5.2.4固体废物影响评价</w:t>
      </w:r>
    </w:p>
    <w:p w14:paraId="7DE3594C">
      <w:pPr>
        <w:spacing w:line="360" w:lineRule="auto"/>
        <w:ind w:firstLine="480" w:firstLineChars="200"/>
        <w:jc w:val="left"/>
      </w:pPr>
      <w:r>
        <w:t>由工程分析可知，</w:t>
      </w:r>
      <w:r>
        <w:rPr>
          <w:rFonts w:hint="eastAsia"/>
          <w:lang w:eastAsia="zh-CN" w:bidi="ar"/>
        </w:rPr>
        <w:t>本项目</w:t>
      </w:r>
      <w:r>
        <w:rPr>
          <w:lang w:bidi="ar"/>
        </w:rPr>
        <w:t>运行期间产生的固体废物为</w:t>
      </w:r>
      <w:r>
        <w:rPr>
          <w:rFonts w:ascii="Times New Roman" w:hAnsi="Times New Roman" w:eastAsia="宋体" w:cs="Times New Roman"/>
          <w:snapToGrid w:val="0"/>
          <w:color w:val="auto"/>
          <w:sz w:val="24"/>
          <w:szCs w:val="24"/>
          <w:lang w:val="en-US" w:eastAsia="zh-CN" w:bidi="ar-SA"/>
        </w:rPr>
        <w:t>污水处理站污泥</w:t>
      </w:r>
      <w:r>
        <w:rPr>
          <w:rFonts w:hint="eastAsia" w:cs="Times New Roman"/>
          <w:snapToGrid w:val="0"/>
          <w:color w:val="auto"/>
          <w:sz w:val="24"/>
          <w:szCs w:val="24"/>
          <w:lang w:val="en-US" w:eastAsia="zh-CN" w:bidi="ar-SA"/>
        </w:rPr>
        <w:t>、</w:t>
      </w:r>
      <w:r>
        <w:rPr>
          <w:rFonts w:hint="eastAsia" w:ascii="Times New Roman" w:hAnsi="Times New Roman" w:eastAsia="宋体" w:cs="Times New Roman"/>
          <w:snapToGrid w:val="0"/>
          <w:color w:val="auto"/>
          <w:sz w:val="24"/>
          <w:szCs w:val="24"/>
          <w:lang w:val="en-US" w:eastAsia="zh-CN" w:bidi="ar-SA"/>
        </w:rPr>
        <w:t>污水处理站恶臭吸附过程中产生的废活性炭</w:t>
      </w:r>
      <w:r>
        <w:rPr>
          <w:rFonts w:ascii="Times New Roman" w:hAnsi="Times New Roman" w:eastAsia="宋体" w:cs="Times New Roman"/>
          <w:snapToGrid w:val="0"/>
          <w:color w:val="auto"/>
          <w:sz w:val="24"/>
          <w:szCs w:val="24"/>
          <w:lang w:val="en-US" w:eastAsia="zh-CN" w:bidi="ar-SA"/>
        </w:rPr>
        <w:t>。</w:t>
      </w:r>
      <w:r>
        <w:rPr>
          <w:lang w:bidi="ar"/>
        </w:rPr>
        <w:t xml:space="preserve"> </w:t>
      </w:r>
    </w:p>
    <w:p w14:paraId="626C5977">
      <w:pPr>
        <w:spacing w:line="360" w:lineRule="auto"/>
        <w:ind w:firstLine="482" w:firstLineChars="200"/>
        <w:jc w:val="center"/>
      </w:pPr>
      <w:r>
        <w:rPr>
          <w:b/>
          <w:bCs/>
        </w:rPr>
        <w:t>表</w:t>
      </w:r>
      <w:r>
        <w:rPr>
          <w:rFonts w:hint="eastAsia"/>
          <w:b/>
          <w:bCs/>
          <w:lang w:val="en-US" w:eastAsia="zh-CN"/>
        </w:rPr>
        <w:t>5.2</w:t>
      </w:r>
      <w:r>
        <w:rPr>
          <w:b/>
          <w:bCs/>
        </w:rPr>
        <w:t>-</w:t>
      </w:r>
      <w:r>
        <w:rPr>
          <w:rFonts w:hint="eastAsia"/>
          <w:b/>
          <w:bCs/>
          <w:lang w:val="en-US" w:eastAsia="zh-CN"/>
        </w:rPr>
        <w:t>23</w:t>
      </w:r>
      <w:r>
        <w:t xml:space="preserve">  </w:t>
      </w:r>
      <w:r>
        <w:rPr>
          <w:rFonts w:hint="eastAsia"/>
          <w:b/>
          <w:lang w:eastAsia="zh-CN" w:bidi="ar"/>
        </w:rPr>
        <w:t>本项目</w:t>
      </w:r>
      <w:r>
        <w:rPr>
          <w:b/>
          <w:lang w:bidi="ar"/>
        </w:rPr>
        <w:t>固体废物污染物</w:t>
      </w:r>
      <w:r>
        <w:rPr>
          <w:rFonts w:hint="eastAsia"/>
          <w:b/>
          <w:lang w:val="en-US" w:eastAsia="zh-CN" w:bidi="ar"/>
        </w:rPr>
        <w:t>处置</w:t>
      </w:r>
      <w:r>
        <w:rPr>
          <w:b/>
          <w:lang w:bidi="ar"/>
        </w:rPr>
        <w:t>一览表</w:t>
      </w:r>
    </w:p>
    <w:tbl>
      <w:tblPr>
        <w:tblStyle w:val="54"/>
        <w:tblW w:w="504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786"/>
        <w:gridCol w:w="700"/>
        <w:gridCol w:w="679"/>
        <w:gridCol w:w="679"/>
        <w:gridCol w:w="1099"/>
        <w:gridCol w:w="1784"/>
        <w:gridCol w:w="1107"/>
        <w:gridCol w:w="1739"/>
      </w:tblGrid>
      <w:tr w14:paraId="7772A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restart"/>
            <w:tcBorders>
              <w:tl2br w:val="nil"/>
              <w:tr2bl w:val="nil"/>
            </w:tcBorders>
            <w:vAlign w:val="center"/>
          </w:tcPr>
          <w:p w14:paraId="1D31D974">
            <w:pPr>
              <w:jc w:val="center"/>
              <w:rPr>
                <w:b/>
                <w:bCs/>
                <w:color w:val="auto"/>
                <w:sz w:val="21"/>
                <w:szCs w:val="21"/>
              </w:rPr>
            </w:pPr>
            <w:r>
              <w:rPr>
                <w:b/>
                <w:bCs/>
                <w:color w:val="auto"/>
                <w:sz w:val="21"/>
                <w:szCs w:val="21"/>
              </w:rPr>
              <w:t>工序/生产线</w:t>
            </w:r>
          </w:p>
        </w:tc>
        <w:tc>
          <w:tcPr>
            <w:tcW w:w="421" w:type="pct"/>
            <w:vMerge w:val="restart"/>
            <w:tcBorders>
              <w:tl2br w:val="nil"/>
              <w:tr2bl w:val="nil"/>
            </w:tcBorders>
            <w:vAlign w:val="center"/>
          </w:tcPr>
          <w:p w14:paraId="67B6782E">
            <w:pPr>
              <w:jc w:val="center"/>
              <w:rPr>
                <w:b/>
                <w:bCs/>
                <w:color w:val="auto"/>
                <w:sz w:val="21"/>
                <w:szCs w:val="21"/>
              </w:rPr>
            </w:pPr>
            <w:r>
              <w:rPr>
                <w:b/>
                <w:bCs/>
                <w:color w:val="auto"/>
                <w:sz w:val="21"/>
                <w:szCs w:val="21"/>
              </w:rPr>
              <w:t>装置</w:t>
            </w:r>
          </w:p>
        </w:tc>
        <w:tc>
          <w:tcPr>
            <w:tcW w:w="375" w:type="pct"/>
            <w:vMerge w:val="restart"/>
            <w:tcBorders>
              <w:tl2br w:val="nil"/>
              <w:tr2bl w:val="nil"/>
            </w:tcBorders>
            <w:vAlign w:val="center"/>
          </w:tcPr>
          <w:p w14:paraId="0E373F10">
            <w:pPr>
              <w:jc w:val="center"/>
              <w:rPr>
                <w:b/>
                <w:bCs/>
                <w:color w:val="auto"/>
                <w:sz w:val="21"/>
                <w:szCs w:val="21"/>
              </w:rPr>
            </w:pPr>
            <w:r>
              <w:rPr>
                <w:b/>
                <w:bCs/>
                <w:color w:val="auto"/>
                <w:sz w:val="21"/>
                <w:szCs w:val="21"/>
              </w:rPr>
              <w:t>固体废物名称</w:t>
            </w:r>
          </w:p>
        </w:tc>
        <w:tc>
          <w:tcPr>
            <w:tcW w:w="364" w:type="pct"/>
            <w:vMerge w:val="restart"/>
            <w:tcBorders>
              <w:tl2br w:val="nil"/>
              <w:tr2bl w:val="nil"/>
            </w:tcBorders>
            <w:vAlign w:val="center"/>
          </w:tcPr>
          <w:p w14:paraId="0E2C7F27">
            <w:pPr>
              <w:jc w:val="center"/>
              <w:rPr>
                <w:b/>
                <w:bCs/>
                <w:color w:val="auto"/>
                <w:sz w:val="21"/>
                <w:szCs w:val="21"/>
              </w:rPr>
            </w:pPr>
            <w:r>
              <w:rPr>
                <w:b/>
                <w:bCs/>
                <w:color w:val="auto"/>
                <w:sz w:val="21"/>
                <w:szCs w:val="21"/>
              </w:rPr>
              <w:t>固废属性</w:t>
            </w:r>
          </w:p>
        </w:tc>
        <w:tc>
          <w:tcPr>
            <w:tcW w:w="953" w:type="pct"/>
            <w:gridSpan w:val="2"/>
            <w:tcBorders>
              <w:tl2br w:val="nil"/>
              <w:tr2bl w:val="nil"/>
            </w:tcBorders>
            <w:vAlign w:val="center"/>
          </w:tcPr>
          <w:p w14:paraId="299E02F7">
            <w:pPr>
              <w:jc w:val="center"/>
              <w:rPr>
                <w:b/>
                <w:bCs/>
                <w:color w:val="auto"/>
                <w:sz w:val="21"/>
                <w:szCs w:val="21"/>
              </w:rPr>
            </w:pPr>
            <w:r>
              <w:rPr>
                <w:b/>
                <w:bCs/>
                <w:color w:val="auto"/>
                <w:sz w:val="21"/>
                <w:szCs w:val="21"/>
              </w:rPr>
              <w:t>产生量</w:t>
            </w:r>
          </w:p>
        </w:tc>
        <w:tc>
          <w:tcPr>
            <w:tcW w:w="1549" w:type="pct"/>
            <w:gridSpan w:val="2"/>
            <w:tcBorders>
              <w:tl2br w:val="nil"/>
              <w:tr2bl w:val="nil"/>
            </w:tcBorders>
            <w:vAlign w:val="center"/>
          </w:tcPr>
          <w:p w14:paraId="39703AC8">
            <w:pPr>
              <w:jc w:val="center"/>
              <w:rPr>
                <w:b/>
                <w:bCs/>
                <w:color w:val="auto"/>
                <w:sz w:val="21"/>
                <w:szCs w:val="21"/>
              </w:rPr>
            </w:pPr>
            <w:r>
              <w:rPr>
                <w:b/>
                <w:bCs/>
                <w:color w:val="auto"/>
                <w:sz w:val="21"/>
                <w:szCs w:val="21"/>
              </w:rPr>
              <w:t>处置措施</w:t>
            </w:r>
          </w:p>
        </w:tc>
        <w:tc>
          <w:tcPr>
            <w:tcW w:w="932" w:type="pct"/>
            <w:vMerge w:val="restart"/>
            <w:tcBorders>
              <w:tl2br w:val="nil"/>
              <w:tr2bl w:val="nil"/>
            </w:tcBorders>
            <w:vAlign w:val="center"/>
          </w:tcPr>
          <w:p w14:paraId="701A2143">
            <w:pPr>
              <w:jc w:val="center"/>
              <w:rPr>
                <w:b/>
                <w:bCs/>
                <w:color w:val="auto"/>
                <w:sz w:val="21"/>
                <w:szCs w:val="21"/>
              </w:rPr>
            </w:pPr>
            <w:r>
              <w:rPr>
                <w:b/>
                <w:bCs/>
                <w:color w:val="auto"/>
                <w:sz w:val="21"/>
                <w:szCs w:val="21"/>
              </w:rPr>
              <w:t>处置去向</w:t>
            </w:r>
          </w:p>
        </w:tc>
      </w:tr>
      <w:tr w14:paraId="4D208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tcBorders>
              <w:tl2br w:val="nil"/>
              <w:tr2bl w:val="nil"/>
            </w:tcBorders>
            <w:vAlign w:val="center"/>
          </w:tcPr>
          <w:p w14:paraId="506B73F0">
            <w:pPr>
              <w:jc w:val="center"/>
              <w:rPr>
                <w:color w:val="auto"/>
                <w:sz w:val="21"/>
                <w:szCs w:val="21"/>
              </w:rPr>
            </w:pPr>
          </w:p>
        </w:tc>
        <w:tc>
          <w:tcPr>
            <w:tcW w:w="421" w:type="pct"/>
            <w:vMerge w:val="continue"/>
            <w:tcBorders>
              <w:tl2br w:val="nil"/>
              <w:tr2bl w:val="nil"/>
            </w:tcBorders>
            <w:vAlign w:val="center"/>
          </w:tcPr>
          <w:p w14:paraId="189E4C3B">
            <w:pPr>
              <w:jc w:val="center"/>
              <w:rPr>
                <w:color w:val="auto"/>
                <w:sz w:val="21"/>
                <w:szCs w:val="21"/>
              </w:rPr>
            </w:pPr>
          </w:p>
        </w:tc>
        <w:tc>
          <w:tcPr>
            <w:tcW w:w="375" w:type="pct"/>
            <w:vMerge w:val="continue"/>
            <w:tcBorders>
              <w:tl2br w:val="nil"/>
              <w:tr2bl w:val="nil"/>
            </w:tcBorders>
            <w:vAlign w:val="center"/>
          </w:tcPr>
          <w:p w14:paraId="2C944AEF">
            <w:pPr>
              <w:jc w:val="center"/>
              <w:rPr>
                <w:color w:val="auto"/>
                <w:sz w:val="21"/>
                <w:szCs w:val="21"/>
              </w:rPr>
            </w:pPr>
          </w:p>
        </w:tc>
        <w:tc>
          <w:tcPr>
            <w:tcW w:w="364" w:type="pct"/>
            <w:vMerge w:val="continue"/>
            <w:tcBorders>
              <w:tl2br w:val="nil"/>
              <w:tr2bl w:val="nil"/>
            </w:tcBorders>
            <w:vAlign w:val="center"/>
          </w:tcPr>
          <w:p w14:paraId="5D82393F">
            <w:pPr>
              <w:jc w:val="center"/>
              <w:rPr>
                <w:color w:val="auto"/>
                <w:sz w:val="21"/>
                <w:szCs w:val="21"/>
              </w:rPr>
            </w:pPr>
          </w:p>
        </w:tc>
        <w:tc>
          <w:tcPr>
            <w:tcW w:w="364" w:type="pct"/>
            <w:tcBorders>
              <w:tl2br w:val="nil"/>
              <w:tr2bl w:val="nil"/>
            </w:tcBorders>
            <w:vAlign w:val="center"/>
          </w:tcPr>
          <w:p w14:paraId="15FE9BDD">
            <w:pPr>
              <w:jc w:val="center"/>
              <w:rPr>
                <w:b/>
                <w:bCs/>
                <w:color w:val="auto"/>
                <w:sz w:val="21"/>
                <w:szCs w:val="21"/>
              </w:rPr>
            </w:pPr>
            <w:r>
              <w:rPr>
                <w:b/>
                <w:bCs/>
                <w:color w:val="auto"/>
                <w:sz w:val="21"/>
                <w:szCs w:val="21"/>
              </w:rPr>
              <w:t>核算方法</w:t>
            </w:r>
          </w:p>
        </w:tc>
        <w:tc>
          <w:tcPr>
            <w:tcW w:w="589" w:type="pct"/>
            <w:tcBorders>
              <w:tl2br w:val="nil"/>
              <w:tr2bl w:val="nil"/>
            </w:tcBorders>
            <w:vAlign w:val="center"/>
          </w:tcPr>
          <w:p w14:paraId="7826D7A7">
            <w:pPr>
              <w:jc w:val="center"/>
              <w:rPr>
                <w:b/>
                <w:bCs/>
                <w:color w:val="auto"/>
                <w:sz w:val="21"/>
                <w:szCs w:val="21"/>
              </w:rPr>
            </w:pPr>
            <w:r>
              <w:rPr>
                <w:b/>
                <w:bCs/>
                <w:color w:val="auto"/>
                <w:sz w:val="21"/>
                <w:szCs w:val="21"/>
              </w:rPr>
              <w:t>产生量（t/a）</w:t>
            </w:r>
          </w:p>
        </w:tc>
        <w:tc>
          <w:tcPr>
            <w:tcW w:w="956" w:type="pct"/>
            <w:tcBorders>
              <w:tl2br w:val="nil"/>
              <w:tr2bl w:val="nil"/>
            </w:tcBorders>
            <w:vAlign w:val="center"/>
          </w:tcPr>
          <w:p w14:paraId="09CAE2CC">
            <w:pPr>
              <w:jc w:val="center"/>
              <w:rPr>
                <w:b/>
                <w:bCs/>
                <w:color w:val="auto"/>
                <w:sz w:val="21"/>
                <w:szCs w:val="21"/>
              </w:rPr>
            </w:pPr>
            <w:r>
              <w:rPr>
                <w:b/>
                <w:bCs/>
                <w:color w:val="auto"/>
                <w:sz w:val="21"/>
                <w:szCs w:val="21"/>
              </w:rPr>
              <w:t>工艺</w:t>
            </w:r>
          </w:p>
        </w:tc>
        <w:tc>
          <w:tcPr>
            <w:tcW w:w="593" w:type="pct"/>
            <w:tcBorders>
              <w:tl2br w:val="nil"/>
              <w:tr2bl w:val="nil"/>
            </w:tcBorders>
            <w:vAlign w:val="center"/>
          </w:tcPr>
          <w:p w14:paraId="31EEB4CA">
            <w:pPr>
              <w:jc w:val="center"/>
              <w:rPr>
                <w:b/>
                <w:bCs/>
                <w:color w:val="auto"/>
                <w:sz w:val="21"/>
                <w:szCs w:val="21"/>
              </w:rPr>
            </w:pPr>
            <w:r>
              <w:rPr>
                <w:b/>
                <w:bCs/>
                <w:color w:val="auto"/>
                <w:sz w:val="21"/>
                <w:szCs w:val="21"/>
              </w:rPr>
              <w:t>处置量（t/a）</w:t>
            </w:r>
          </w:p>
        </w:tc>
        <w:tc>
          <w:tcPr>
            <w:tcW w:w="932" w:type="pct"/>
            <w:vMerge w:val="continue"/>
            <w:tcBorders>
              <w:tl2br w:val="nil"/>
              <w:tr2bl w:val="nil"/>
            </w:tcBorders>
            <w:vAlign w:val="center"/>
          </w:tcPr>
          <w:p w14:paraId="706713A0">
            <w:pPr>
              <w:jc w:val="center"/>
              <w:rPr>
                <w:color w:val="auto"/>
                <w:sz w:val="21"/>
                <w:szCs w:val="21"/>
              </w:rPr>
            </w:pPr>
          </w:p>
        </w:tc>
      </w:tr>
      <w:tr w14:paraId="5B8FC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403" w:type="pct"/>
            <w:tcBorders>
              <w:tl2br w:val="nil"/>
              <w:tr2bl w:val="nil"/>
            </w:tcBorders>
            <w:vAlign w:val="center"/>
          </w:tcPr>
          <w:p w14:paraId="0D1FBADF">
            <w:pPr>
              <w:jc w:val="center"/>
              <w:rPr>
                <w:rFonts w:hint="eastAsia" w:eastAsia="宋体"/>
                <w:color w:val="auto"/>
                <w:sz w:val="21"/>
                <w:szCs w:val="21"/>
                <w:lang w:eastAsia="zh-CN"/>
              </w:rPr>
            </w:pPr>
            <w:r>
              <w:rPr>
                <w:rFonts w:hint="eastAsia"/>
                <w:color w:val="auto"/>
                <w:sz w:val="21"/>
                <w:szCs w:val="21"/>
                <w:lang w:val="en-US" w:eastAsia="zh-CN"/>
              </w:rPr>
              <w:t>污水处理</w:t>
            </w:r>
          </w:p>
        </w:tc>
        <w:tc>
          <w:tcPr>
            <w:tcW w:w="421" w:type="pct"/>
            <w:tcBorders>
              <w:tl2br w:val="nil"/>
              <w:tr2bl w:val="nil"/>
            </w:tcBorders>
            <w:vAlign w:val="center"/>
          </w:tcPr>
          <w:p w14:paraId="76120F1D">
            <w:pPr>
              <w:jc w:val="center"/>
              <w:rPr>
                <w:rFonts w:hint="default" w:eastAsia="宋体"/>
                <w:color w:val="auto"/>
                <w:sz w:val="21"/>
                <w:szCs w:val="21"/>
                <w:lang w:val="en-US" w:eastAsia="zh-CN"/>
              </w:rPr>
            </w:pPr>
            <w:r>
              <w:rPr>
                <w:rFonts w:hint="eastAsia"/>
                <w:color w:val="auto"/>
                <w:sz w:val="21"/>
                <w:szCs w:val="21"/>
                <w:lang w:val="en-US" w:eastAsia="zh-CN"/>
              </w:rPr>
              <w:t>污水处理站</w:t>
            </w:r>
          </w:p>
        </w:tc>
        <w:tc>
          <w:tcPr>
            <w:tcW w:w="375" w:type="pct"/>
            <w:tcBorders>
              <w:tl2br w:val="nil"/>
              <w:tr2bl w:val="nil"/>
            </w:tcBorders>
            <w:vAlign w:val="center"/>
          </w:tcPr>
          <w:p w14:paraId="7444B284">
            <w:pPr>
              <w:jc w:val="center"/>
              <w:rPr>
                <w:rFonts w:hint="eastAsia" w:eastAsia="宋体"/>
                <w:color w:val="auto"/>
                <w:sz w:val="21"/>
                <w:szCs w:val="21"/>
                <w:lang w:eastAsia="zh-CN"/>
              </w:rPr>
            </w:pPr>
            <w:r>
              <w:rPr>
                <w:rFonts w:hint="eastAsia"/>
                <w:color w:val="auto"/>
                <w:sz w:val="21"/>
                <w:szCs w:val="21"/>
                <w:lang w:val="en-US" w:eastAsia="zh-CN"/>
              </w:rPr>
              <w:t>污泥</w:t>
            </w:r>
          </w:p>
        </w:tc>
        <w:tc>
          <w:tcPr>
            <w:tcW w:w="364" w:type="pct"/>
            <w:tcBorders>
              <w:tl2br w:val="nil"/>
              <w:tr2bl w:val="nil"/>
            </w:tcBorders>
            <w:vAlign w:val="center"/>
          </w:tcPr>
          <w:p w14:paraId="1047DA5E">
            <w:pPr>
              <w:jc w:val="center"/>
              <w:rPr>
                <w:color w:val="auto"/>
                <w:sz w:val="21"/>
                <w:szCs w:val="21"/>
              </w:rPr>
            </w:pPr>
            <w:r>
              <w:rPr>
                <w:color w:val="auto"/>
                <w:sz w:val="21"/>
                <w:szCs w:val="21"/>
              </w:rPr>
              <w:t>一般固废</w:t>
            </w:r>
          </w:p>
        </w:tc>
        <w:tc>
          <w:tcPr>
            <w:tcW w:w="364" w:type="pct"/>
            <w:vMerge w:val="restart"/>
            <w:tcBorders>
              <w:tl2br w:val="nil"/>
              <w:tr2bl w:val="nil"/>
            </w:tcBorders>
            <w:vAlign w:val="center"/>
          </w:tcPr>
          <w:p w14:paraId="0C1973E8">
            <w:pPr>
              <w:jc w:val="center"/>
              <w:rPr>
                <w:color w:val="auto"/>
                <w:sz w:val="21"/>
                <w:szCs w:val="21"/>
              </w:rPr>
            </w:pPr>
            <w:r>
              <w:rPr>
                <w:color w:val="auto"/>
                <w:sz w:val="21"/>
                <w:szCs w:val="21"/>
              </w:rPr>
              <w:t>物料衡算法</w:t>
            </w:r>
          </w:p>
        </w:tc>
        <w:tc>
          <w:tcPr>
            <w:tcW w:w="589" w:type="pct"/>
            <w:tcBorders>
              <w:tl2br w:val="nil"/>
              <w:tr2bl w:val="nil"/>
            </w:tcBorders>
            <w:vAlign w:val="center"/>
          </w:tcPr>
          <w:p w14:paraId="7A64F7DA">
            <w:pPr>
              <w:jc w:val="center"/>
              <w:rPr>
                <w:rFonts w:hint="default" w:eastAsia="宋体"/>
                <w:color w:val="auto"/>
                <w:sz w:val="21"/>
                <w:szCs w:val="21"/>
                <w:lang w:val="en-US" w:eastAsia="zh-CN"/>
              </w:rPr>
            </w:pPr>
            <w:r>
              <w:rPr>
                <w:rFonts w:hint="eastAsia"/>
                <w:color w:val="auto"/>
                <w:sz w:val="21"/>
                <w:szCs w:val="21"/>
                <w:lang w:val="en-US" w:eastAsia="zh-CN"/>
              </w:rPr>
              <w:t>390.9</w:t>
            </w:r>
          </w:p>
        </w:tc>
        <w:tc>
          <w:tcPr>
            <w:tcW w:w="956" w:type="pct"/>
            <w:tcBorders>
              <w:tl2br w:val="nil"/>
              <w:tr2bl w:val="nil"/>
            </w:tcBorders>
            <w:vAlign w:val="center"/>
          </w:tcPr>
          <w:p w14:paraId="7A959F52">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掺混入燃煤进入锅炉燃烧</w:t>
            </w:r>
          </w:p>
        </w:tc>
        <w:tc>
          <w:tcPr>
            <w:tcW w:w="593" w:type="pct"/>
            <w:tcBorders>
              <w:tl2br w:val="nil"/>
              <w:tr2bl w:val="nil"/>
            </w:tcBorders>
            <w:vAlign w:val="center"/>
          </w:tcPr>
          <w:p w14:paraId="3C4174EB">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390.9</w:t>
            </w:r>
          </w:p>
        </w:tc>
        <w:tc>
          <w:tcPr>
            <w:tcW w:w="932" w:type="pct"/>
            <w:tcBorders>
              <w:tl2br w:val="nil"/>
              <w:tr2bl w:val="nil"/>
            </w:tcBorders>
            <w:vAlign w:val="center"/>
          </w:tcPr>
          <w:p w14:paraId="4693BEC9">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掺混入燃煤进入锅炉燃烧</w:t>
            </w:r>
          </w:p>
        </w:tc>
      </w:tr>
      <w:tr w14:paraId="0F3CD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tcBorders>
              <w:tl2br w:val="nil"/>
              <w:tr2bl w:val="nil"/>
            </w:tcBorders>
            <w:vAlign w:val="center"/>
          </w:tcPr>
          <w:p w14:paraId="782361FF">
            <w:pPr>
              <w:jc w:val="center"/>
              <w:rPr>
                <w:rFonts w:hint="eastAsia" w:eastAsia="宋体"/>
                <w:color w:val="auto"/>
                <w:sz w:val="21"/>
                <w:szCs w:val="21"/>
                <w:lang w:eastAsia="zh-CN"/>
              </w:rPr>
            </w:pPr>
            <w:r>
              <w:rPr>
                <w:rFonts w:hint="eastAsia"/>
                <w:color w:val="auto"/>
                <w:sz w:val="21"/>
                <w:szCs w:val="21"/>
                <w:lang w:val="en-US" w:eastAsia="zh-CN"/>
              </w:rPr>
              <w:t>污水处理站</w:t>
            </w:r>
          </w:p>
        </w:tc>
        <w:tc>
          <w:tcPr>
            <w:tcW w:w="421" w:type="pct"/>
            <w:tcBorders>
              <w:tl2br w:val="nil"/>
              <w:tr2bl w:val="nil"/>
            </w:tcBorders>
            <w:vAlign w:val="center"/>
          </w:tcPr>
          <w:p w14:paraId="65797788">
            <w:pPr>
              <w:jc w:val="center"/>
              <w:rPr>
                <w:color w:val="auto"/>
                <w:sz w:val="21"/>
                <w:szCs w:val="21"/>
              </w:rPr>
            </w:pPr>
            <w:r>
              <w:rPr>
                <w:rFonts w:hint="eastAsia"/>
                <w:color w:val="auto"/>
                <w:sz w:val="21"/>
                <w:szCs w:val="21"/>
                <w:lang w:val="en-US" w:eastAsia="zh-CN"/>
              </w:rPr>
              <w:t>废气处理</w:t>
            </w:r>
            <w:r>
              <w:rPr>
                <w:color w:val="auto"/>
                <w:sz w:val="21"/>
                <w:szCs w:val="21"/>
              </w:rPr>
              <w:t>系统</w:t>
            </w:r>
          </w:p>
        </w:tc>
        <w:tc>
          <w:tcPr>
            <w:tcW w:w="375" w:type="pct"/>
            <w:tcBorders>
              <w:tl2br w:val="nil"/>
              <w:tr2bl w:val="nil"/>
            </w:tcBorders>
            <w:vAlign w:val="center"/>
          </w:tcPr>
          <w:p w14:paraId="77F94F04">
            <w:pPr>
              <w:jc w:val="center"/>
              <w:rPr>
                <w:rFonts w:hint="eastAsia" w:eastAsia="宋体"/>
                <w:color w:val="auto"/>
                <w:sz w:val="21"/>
                <w:szCs w:val="21"/>
                <w:lang w:eastAsia="zh-CN"/>
              </w:rPr>
            </w:pPr>
            <w:r>
              <w:rPr>
                <w:color w:val="auto"/>
                <w:sz w:val="21"/>
                <w:szCs w:val="21"/>
              </w:rPr>
              <w:t>废</w:t>
            </w:r>
            <w:r>
              <w:rPr>
                <w:rFonts w:hint="eastAsia"/>
                <w:color w:val="auto"/>
                <w:sz w:val="21"/>
                <w:szCs w:val="21"/>
                <w:lang w:val="en-US" w:eastAsia="zh-CN"/>
              </w:rPr>
              <w:t>活性炭</w:t>
            </w:r>
          </w:p>
        </w:tc>
        <w:tc>
          <w:tcPr>
            <w:tcW w:w="364" w:type="pct"/>
            <w:tcBorders>
              <w:tl2br w:val="nil"/>
              <w:tr2bl w:val="nil"/>
            </w:tcBorders>
            <w:vAlign w:val="center"/>
          </w:tcPr>
          <w:p w14:paraId="47016596">
            <w:pPr>
              <w:jc w:val="center"/>
              <w:rPr>
                <w:color w:val="auto"/>
                <w:sz w:val="21"/>
                <w:szCs w:val="21"/>
              </w:rPr>
            </w:pPr>
            <w:r>
              <w:rPr>
                <w:color w:val="auto"/>
                <w:sz w:val="21"/>
                <w:szCs w:val="21"/>
              </w:rPr>
              <w:t>一般固废</w:t>
            </w:r>
          </w:p>
        </w:tc>
        <w:tc>
          <w:tcPr>
            <w:tcW w:w="364" w:type="pct"/>
            <w:vMerge w:val="continue"/>
            <w:tcBorders>
              <w:tl2br w:val="nil"/>
              <w:tr2bl w:val="nil"/>
            </w:tcBorders>
            <w:vAlign w:val="center"/>
          </w:tcPr>
          <w:p w14:paraId="268399BF">
            <w:pPr>
              <w:jc w:val="center"/>
              <w:rPr>
                <w:color w:val="auto"/>
                <w:sz w:val="21"/>
                <w:szCs w:val="21"/>
              </w:rPr>
            </w:pPr>
          </w:p>
        </w:tc>
        <w:tc>
          <w:tcPr>
            <w:tcW w:w="589" w:type="pct"/>
            <w:tcBorders>
              <w:tl2br w:val="nil"/>
              <w:tr2bl w:val="nil"/>
            </w:tcBorders>
            <w:vAlign w:val="center"/>
          </w:tcPr>
          <w:p w14:paraId="0AF1475B">
            <w:pPr>
              <w:jc w:val="center"/>
              <w:rPr>
                <w:color w:val="auto"/>
                <w:sz w:val="21"/>
                <w:szCs w:val="21"/>
              </w:rPr>
            </w:pPr>
            <w:r>
              <w:rPr>
                <w:color w:val="auto"/>
                <w:sz w:val="21"/>
                <w:szCs w:val="21"/>
              </w:rPr>
              <w:t>1</w:t>
            </w:r>
          </w:p>
        </w:tc>
        <w:tc>
          <w:tcPr>
            <w:tcW w:w="956" w:type="pct"/>
            <w:tcBorders>
              <w:tl2br w:val="nil"/>
              <w:tr2bl w:val="nil"/>
            </w:tcBorders>
            <w:vAlign w:val="center"/>
          </w:tcPr>
          <w:p w14:paraId="2242D82E">
            <w:pPr>
              <w:jc w:val="center"/>
              <w:rPr>
                <w:color w:val="auto"/>
                <w:sz w:val="21"/>
                <w:szCs w:val="21"/>
              </w:rPr>
            </w:pPr>
            <w:r>
              <w:rPr>
                <w:rFonts w:hint="eastAsia"/>
                <w:color w:val="auto"/>
                <w:sz w:val="21"/>
                <w:szCs w:val="21"/>
              </w:rPr>
              <w:t>由厂家回收</w:t>
            </w:r>
          </w:p>
        </w:tc>
        <w:tc>
          <w:tcPr>
            <w:tcW w:w="593" w:type="pct"/>
            <w:tcBorders>
              <w:tl2br w:val="nil"/>
              <w:tr2bl w:val="nil"/>
            </w:tcBorders>
            <w:vAlign w:val="center"/>
          </w:tcPr>
          <w:p w14:paraId="1EA9DD43">
            <w:pPr>
              <w:jc w:val="center"/>
              <w:rPr>
                <w:color w:val="auto"/>
                <w:sz w:val="21"/>
                <w:szCs w:val="21"/>
              </w:rPr>
            </w:pPr>
            <w:r>
              <w:rPr>
                <w:color w:val="auto"/>
                <w:sz w:val="21"/>
                <w:szCs w:val="21"/>
              </w:rPr>
              <w:t>1</w:t>
            </w:r>
          </w:p>
        </w:tc>
        <w:tc>
          <w:tcPr>
            <w:tcW w:w="932" w:type="pct"/>
            <w:tcBorders>
              <w:tl2br w:val="nil"/>
              <w:tr2bl w:val="nil"/>
            </w:tcBorders>
            <w:vAlign w:val="center"/>
          </w:tcPr>
          <w:p w14:paraId="69675740">
            <w:pPr>
              <w:jc w:val="center"/>
              <w:rPr>
                <w:color w:val="auto"/>
                <w:sz w:val="21"/>
                <w:szCs w:val="21"/>
              </w:rPr>
            </w:pPr>
            <w:r>
              <w:rPr>
                <w:rFonts w:hint="eastAsia"/>
                <w:color w:val="auto"/>
                <w:sz w:val="21"/>
                <w:szCs w:val="21"/>
              </w:rPr>
              <w:t>由厂家回收</w:t>
            </w:r>
          </w:p>
        </w:tc>
      </w:tr>
    </w:tbl>
    <w:p w14:paraId="722D0A92">
      <w:pPr>
        <w:spacing w:line="360" w:lineRule="auto"/>
        <w:ind w:firstLine="480" w:firstLineChars="200"/>
        <w:jc w:val="left"/>
        <w:rPr>
          <w:rFonts w:hint="eastAsia"/>
          <w:szCs w:val="32"/>
        </w:rPr>
      </w:pPr>
      <w:r>
        <w:rPr>
          <w:rFonts w:hint="eastAsia"/>
          <w:szCs w:val="32"/>
        </w:rPr>
        <w:t>综上所述，</w:t>
      </w:r>
      <w:r>
        <w:rPr>
          <w:rFonts w:hint="eastAsia"/>
          <w:szCs w:val="32"/>
          <w:lang w:eastAsia="zh-CN"/>
        </w:rPr>
        <w:t>本项目</w:t>
      </w:r>
      <w:r>
        <w:rPr>
          <w:rFonts w:hint="eastAsia"/>
          <w:szCs w:val="32"/>
        </w:rPr>
        <w:t>产生的固体废物均得到妥善处置，不会对周围环境产生影响。</w:t>
      </w:r>
    </w:p>
    <w:p w14:paraId="2DE9D8D3">
      <w:pPr>
        <w:pStyle w:val="4"/>
        <w:spacing w:before="60" w:after="60" w:line="440" w:lineRule="exact"/>
        <w:rPr>
          <w:b w:val="0"/>
          <w:szCs w:val="28"/>
        </w:rPr>
      </w:pPr>
      <w:r>
        <w:rPr>
          <w:rStyle w:val="79"/>
          <w:b/>
          <w:color w:val="auto"/>
        </w:rPr>
        <w:t>5.2.5</w:t>
      </w:r>
      <w:r>
        <w:rPr>
          <w:b w:val="0"/>
          <w:szCs w:val="28"/>
        </w:rPr>
        <w:t>地下水环境影响</w:t>
      </w:r>
      <w:r>
        <w:rPr>
          <w:rFonts w:hint="eastAsia"/>
          <w:b w:val="0"/>
          <w:szCs w:val="28"/>
        </w:rPr>
        <w:t>评价</w:t>
      </w:r>
    </w:p>
    <w:p w14:paraId="46AA4D7F">
      <w:pPr>
        <w:spacing w:line="360" w:lineRule="auto"/>
        <w:ind w:firstLine="480" w:firstLineChars="200"/>
        <w:jc w:val="left"/>
        <w:rPr>
          <w:rFonts w:hint="eastAsia"/>
          <w:szCs w:val="32"/>
        </w:rPr>
      </w:pPr>
      <w:r>
        <w:rPr>
          <w:rFonts w:hint="eastAsia"/>
          <w:szCs w:val="32"/>
        </w:rPr>
        <w:t>本项目评价等级为三级，根据《环境影响评价技术导则—地下水环境》（HJ610-2016），本次预测采用解析法进行地下水影响分析与评价。</w:t>
      </w:r>
    </w:p>
    <w:p w14:paraId="5CEA4147">
      <w:pPr>
        <w:spacing w:line="360" w:lineRule="auto"/>
        <w:ind w:firstLine="480" w:firstLineChars="200"/>
        <w:jc w:val="left"/>
        <w:rPr>
          <w:rFonts w:hint="eastAsia"/>
          <w:szCs w:val="32"/>
        </w:rPr>
      </w:pPr>
      <w:r>
        <w:rPr>
          <w:rFonts w:hint="eastAsia"/>
          <w:szCs w:val="32"/>
        </w:rPr>
        <w:t>正常情况下，项目严格按照报告中提出的“源头控制、分区防控、污染监控、应急响应”原则，采取地下防渗措施，物料输送管道采用“可视化”设计，厂区地面进行硬化的基础上，一般情况下污水不会渗漏并进入地下，对地下水不会造成污染。考虑到</w:t>
      </w:r>
      <w:r>
        <w:rPr>
          <w:rFonts w:hint="eastAsia"/>
          <w:szCs w:val="32"/>
          <w:lang w:eastAsia="zh-CN"/>
        </w:rPr>
        <w:t>事故状态</w:t>
      </w:r>
      <w:r>
        <w:rPr>
          <w:rFonts w:hint="eastAsia"/>
          <w:szCs w:val="32"/>
        </w:rPr>
        <w:t>下，建设项目的工艺设备或地下水环境保护措施因系统老化、腐蚀等原因不能正常运行或保护效果达不到设计要求时的运行状况，导致污水或物料“跑冒滴漏”对第四系松散岩类孔隙潜水的影响。预测情况如下：</w:t>
      </w:r>
    </w:p>
    <w:p w14:paraId="1A5638F4">
      <w:pPr>
        <w:spacing w:line="360" w:lineRule="auto"/>
        <w:ind w:firstLine="480" w:firstLineChars="200"/>
        <w:jc w:val="left"/>
        <w:rPr>
          <w:rFonts w:hint="eastAsia"/>
          <w:szCs w:val="32"/>
        </w:rPr>
      </w:pPr>
      <w:r>
        <w:rPr>
          <w:rFonts w:hint="eastAsia"/>
          <w:szCs w:val="32"/>
        </w:rPr>
        <w:t>（1）预测源强：</w:t>
      </w:r>
    </w:p>
    <w:p w14:paraId="5E3430F7">
      <w:pPr>
        <w:spacing w:line="360" w:lineRule="auto"/>
        <w:ind w:firstLine="480" w:firstLineChars="200"/>
        <w:jc w:val="left"/>
        <w:rPr>
          <w:rFonts w:hint="eastAsia"/>
          <w:szCs w:val="32"/>
        </w:rPr>
      </w:pPr>
      <w:r>
        <w:rPr>
          <w:rFonts w:hint="eastAsia"/>
          <w:szCs w:val="32"/>
        </w:rPr>
        <w:t>根据《给水排水构筑物工程施工及验收规范》（GB50141 -2009），水池渗水量计算应按池壁（不含内隔墙）和池底的浸湿面积计算；钢筋混凝土结构水池渗水量不得超过2L/m2·d，事故状况按10倍漏损率渗漏量计算。污水处理设施入水COD浓度为14000mg/L，氨氮浓度为20mg/L。</w:t>
      </w:r>
    </w:p>
    <w:p w14:paraId="7C48A079">
      <w:pPr>
        <w:spacing w:line="360" w:lineRule="auto"/>
        <w:ind w:firstLine="480" w:firstLineChars="200"/>
        <w:jc w:val="left"/>
        <w:rPr>
          <w:rFonts w:hint="eastAsia"/>
          <w:szCs w:val="32"/>
        </w:rPr>
      </w:pPr>
      <w:r>
        <w:rPr>
          <w:rFonts w:hint="eastAsia"/>
          <w:szCs w:val="32"/>
        </w:rPr>
        <w:t>（2）污染源概化：考虑最不利情况下，跑冒滴漏未被发现，污染源概化为点源连续排放源。</w:t>
      </w:r>
    </w:p>
    <w:p w14:paraId="029F0FB0">
      <w:pPr>
        <w:spacing w:line="360" w:lineRule="auto"/>
        <w:ind w:firstLine="480" w:firstLineChars="200"/>
        <w:jc w:val="left"/>
        <w:rPr>
          <w:rFonts w:hint="eastAsia"/>
          <w:szCs w:val="32"/>
        </w:rPr>
      </w:pPr>
      <w:r>
        <w:rPr>
          <w:rFonts w:hint="eastAsia"/>
          <w:szCs w:val="32"/>
        </w:rPr>
        <w:t>（3）预测模式及参数确定：</w:t>
      </w:r>
    </w:p>
    <w:p w14:paraId="6E03DA7C">
      <w:pPr>
        <w:spacing w:line="360" w:lineRule="auto"/>
        <w:ind w:firstLine="480" w:firstLineChars="200"/>
        <w:jc w:val="left"/>
        <w:rPr>
          <w:rFonts w:hint="eastAsia"/>
          <w:szCs w:val="32"/>
        </w:rPr>
      </w:pPr>
      <w:r>
        <w:rPr>
          <w:rFonts w:hint="eastAsia"/>
          <w:szCs w:val="32"/>
        </w:rPr>
        <w:t>预测模型选择《环境影响评价技术导则地下水环境》（HJ 610－2016）一维稳定流动一维水动力弥散连续注入点源公式。</w:t>
      </w:r>
    </w:p>
    <w:p w14:paraId="65009035">
      <w:pPr>
        <w:spacing w:line="360" w:lineRule="auto"/>
        <w:ind w:firstLine="480" w:firstLineChars="200"/>
        <w:rPr>
          <w:rFonts w:ascii="Times New Roman" w:hAnsi="Times New Roman" w:cs="Times New Roman"/>
          <w:lang w:bidi="ar"/>
        </w:rPr>
      </w:pPr>
      <w:r>
        <w:rPr>
          <w:rFonts w:ascii="Times New Roman" w:hAnsi="Times New Roman" w:cs="Times New Roman"/>
          <w:lang w:bidi="ar"/>
        </w:rPr>
        <w:drawing>
          <wp:inline distT="0" distB="0" distL="114300" distR="114300">
            <wp:extent cx="2639060" cy="624205"/>
            <wp:effectExtent l="0" t="0" r="8890" b="4445"/>
            <wp:docPr id="3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29"/>
                    <pic:cNvPicPr>
                      <a:picLocks noChangeAspect="1"/>
                    </pic:cNvPicPr>
                  </pic:nvPicPr>
                  <pic:blipFill>
                    <a:blip r:embed="rId109"/>
                    <a:stretch>
                      <a:fillRect/>
                    </a:stretch>
                  </pic:blipFill>
                  <pic:spPr>
                    <a:xfrm>
                      <a:off x="0" y="0"/>
                      <a:ext cx="2639060" cy="624205"/>
                    </a:xfrm>
                    <a:prstGeom prst="rect">
                      <a:avLst/>
                    </a:prstGeom>
                    <a:noFill/>
                    <a:ln>
                      <a:noFill/>
                    </a:ln>
                  </pic:spPr>
                </pic:pic>
              </a:graphicData>
            </a:graphic>
          </wp:inline>
        </w:drawing>
      </w:r>
    </w:p>
    <w:p w14:paraId="0F02FB4D">
      <w:pPr>
        <w:spacing w:line="360" w:lineRule="auto"/>
        <w:ind w:firstLine="480" w:firstLineChars="200"/>
        <w:rPr>
          <w:rFonts w:ascii="Times New Roman" w:hAnsi="Times New Roman" w:cs="Times New Roman"/>
          <w:lang w:bidi="ar"/>
        </w:rPr>
      </w:pPr>
      <w:r>
        <w:rPr>
          <w:rFonts w:hint="eastAsia" w:ascii="Times New Roman" w:hAnsi="Times New Roman" w:cs="Times New Roman"/>
          <w:lang w:bidi="ar"/>
        </w:rPr>
        <w:t>式中：</w:t>
      </w:r>
    </w:p>
    <w:p w14:paraId="21C9A0D0">
      <w:pPr>
        <w:spacing w:line="360" w:lineRule="auto"/>
        <w:ind w:firstLine="480" w:firstLineChars="200"/>
        <w:jc w:val="left"/>
        <w:rPr>
          <w:rFonts w:hint="eastAsia"/>
          <w:szCs w:val="32"/>
        </w:rPr>
      </w:pPr>
      <w:r>
        <w:rPr>
          <w:rFonts w:hint="eastAsia"/>
          <w:szCs w:val="32"/>
        </w:rPr>
        <w:t>x——计算点处的位置坐标；</w:t>
      </w:r>
    </w:p>
    <w:p w14:paraId="561408D3">
      <w:pPr>
        <w:spacing w:line="360" w:lineRule="auto"/>
        <w:ind w:firstLine="480" w:firstLineChars="200"/>
        <w:jc w:val="left"/>
        <w:rPr>
          <w:rFonts w:hint="eastAsia"/>
          <w:szCs w:val="32"/>
        </w:rPr>
      </w:pPr>
      <w:r>
        <w:rPr>
          <w:rFonts w:hint="eastAsia"/>
          <w:szCs w:val="32"/>
        </w:rPr>
        <w:t>t——时间，d；</w:t>
      </w:r>
    </w:p>
    <w:p w14:paraId="79FCC201">
      <w:pPr>
        <w:spacing w:line="360" w:lineRule="auto"/>
        <w:ind w:firstLine="480" w:firstLineChars="200"/>
        <w:jc w:val="left"/>
        <w:rPr>
          <w:rFonts w:hint="eastAsia"/>
          <w:szCs w:val="32"/>
        </w:rPr>
      </w:pPr>
      <w:r>
        <w:rPr>
          <w:rFonts w:hint="eastAsia"/>
          <w:szCs w:val="32"/>
        </w:rPr>
        <w:t>C——t时刻点x处的示踪剂浓度，g/L；</w:t>
      </w:r>
    </w:p>
    <w:p w14:paraId="30E9AC58">
      <w:pPr>
        <w:spacing w:line="360" w:lineRule="auto"/>
        <w:ind w:firstLine="480" w:firstLineChars="200"/>
        <w:jc w:val="left"/>
        <w:rPr>
          <w:rFonts w:hint="eastAsia"/>
          <w:szCs w:val="32"/>
        </w:rPr>
      </w:pPr>
      <w:r>
        <w:rPr>
          <w:rFonts w:hint="eastAsia"/>
          <w:szCs w:val="32"/>
        </w:rPr>
        <w:t>C0——注入的示踪剂浓度，g/L；</w:t>
      </w:r>
    </w:p>
    <w:p w14:paraId="0D00EBA4">
      <w:pPr>
        <w:spacing w:line="360" w:lineRule="auto"/>
        <w:ind w:firstLine="480" w:firstLineChars="200"/>
        <w:jc w:val="left"/>
        <w:rPr>
          <w:rFonts w:hint="eastAsia"/>
          <w:szCs w:val="32"/>
        </w:rPr>
      </w:pPr>
      <w:r>
        <w:rPr>
          <w:rFonts w:hint="eastAsia"/>
          <w:szCs w:val="32"/>
        </w:rPr>
        <w:t>u——水流速度，m/d；</w:t>
      </w:r>
    </w:p>
    <w:p w14:paraId="75BA51BD">
      <w:pPr>
        <w:spacing w:line="360" w:lineRule="auto"/>
        <w:ind w:firstLine="480" w:firstLineChars="200"/>
        <w:jc w:val="left"/>
        <w:rPr>
          <w:rFonts w:hint="eastAsia"/>
          <w:szCs w:val="32"/>
        </w:rPr>
      </w:pPr>
      <w:r>
        <w:rPr>
          <w:rFonts w:hint="eastAsia"/>
          <w:szCs w:val="32"/>
        </w:rPr>
        <w:t>DL——纵向弥散系数，m2/d；</w:t>
      </w:r>
    </w:p>
    <w:p w14:paraId="59C4FFFA">
      <w:pPr>
        <w:spacing w:line="360" w:lineRule="auto"/>
        <w:ind w:firstLine="480" w:firstLineChars="200"/>
        <w:jc w:val="left"/>
        <w:rPr>
          <w:rFonts w:hint="eastAsia"/>
          <w:szCs w:val="32"/>
        </w:rPr>
      </w:pPr>
      <w:r>
        <w:rPr>
          <w:rFonts w:hint="eastAsia"/>
          <w:szCs w:val="32"/>
        </w:rPr>
        <w:t>erfc()——余误差函数。</w:t>
      </w:r>
    </w:p>
    <w:p w14:paraId="4477F052">
      <w:pPr>
        <w:spacing w:line="360" w:lineRule="auto"/>
        <w:ind w:firstLine="480" w:firstLineChars="200"/>
        <w:jc w:val="left"/>
        <w:rPr>
          <w:rFonts w:hint="eastAsia"/>
          <w:szCs w:val="32"/>
        </w:rPr>
      </w:pPr>
      <w:r>
        <w:rPr>
          <w:rFonts w:hint="eastAsia"/>
          <w:szCs w:val="32"/>
        </w:rPr>
        <w:t>由于水动力弥散尺度效应的存在，难以通过野外或室内弥散试验获得真实的弥散度。因此，参考前人的研究成果，确定潜水含水层的纵向弥散系数为0.2m2/d、水流速度为0.08m/d。</w:t>
      </w:r>
    </w:p>
    <w:p w14:paraId="0F06C840">
      <w:pPr>
        <w:spacing w:line="360" w:lineRule="auto"/>
        <w:ind w:firstLine="480" w:firstLineChars="200"/>
        <w:jc w:val="left"/>
        <w:rPr>
          <w:rFonts w:hint="eastAsia"/>
          <w:szCs w:val="32"/>
        </w:rPr>
      </w:pPr>
      <w:r>
        <w:rPr>
          <w:rFonts w:hint="eastAsia"/>
          <w:szCs w:val="32"/>
        </w:rPr>
        <w:t>（4）预测结果及分析</w:t>
      </w:r>
    </w:p>
    <w:p w14:paraId="7EF621E5">
      <w:pPr>
        <w:spacing w:line="360" w:lineRule="auto"/>
        <w:ind w:firstLine="480" w:firstLineChars="200"/>
        <w:jc w:val="left"/>
        <w:rPr>
          <w:rFonts w:hint="eastAsia"/>
          <w:szCs w:val="32"/>
        </w:rPr>
      </w:pPr>
      <w:r>
        <w:rPr>
          <w:rFonts w:hint="eastAsia"/>
          <w:szCs w:val="32"/>
        </w:rPr>
        <w:t>为分析污染物进入含水层后的污染程度和影响距离，选定污染物的标准值和检出限作为划分依据。当预测结果小于检出限时则视同对地下水环境几乎没有影响，超过检出限的范围视为污染影响区，超过标准值的为超标范围。污染物氨氮在《地下水质量标准》（GB/T14848-93）中Ⅲ类标准值为0.2mg/L，污染物COD在《地下水质量标准》（GB/T14848-93）中无标准，根据《环境影响评价技术导则地下水环境》（HJ 610－2016）要求，《地下水质量标准》（GB/T14848-93）中</w:t>
      </w:r>
      <w:r>
        <w:rPr>
          <w:rFonts w:hint="eastAsia"/>
          <w:szCs w:val="32"/>
        </w:rPr>
        <w:fldChar w:fldCharType="begin"/>
      </w:r>
      <w:r>
        <w:rPr>
          <w:rFonts w:hint="eastAsia"/>
          <w:szCs w:val="32"/>
        </w:rPr>
        <w:instrText xml:space="preserve"> = 3 \* ROMAN \* MERGEFORMAT </w:instrText>
      </w:r>
      <w:r>
        <w:rPr>
          <w:rFonts w:hint="eastAsia"/>
          <w:szCs w:val="32"/>
        </w:rPr>
        <w:fldChar w:fldCharType="separate"/>
      </w:r>
      <w:r>
        <w:rPr>
          <w:rFonts w:hint="eastAsia"/>
          <w:szCs w:val="32"/>
        </w:rPr>
        <w:t>III</w:t>
      </w:r>
      <w:r>
        <w:rPr>
          <w:rFonts w:hint="eastAsia"/>
          <w:szCs w:val="32"/>
        </w:rPr>
        <w:fldChar w:fldCharType="end"/>
      </w:r>
      <w:r>
        <w:rPr>
          <w:rFonts w:hint="eastAsia"/>
          <w:szCs w:val="32"/>
        </w:rPr>
        <w:t>类水体“以人体健康基准值为依据。主要适用于集中式生活饮用水水源及工、农业用水”，对应《地表水质量标准》（GB3838-2002）中</w:t>
      </w:r>
      <w:r>
        <w:rPr>
          <w:rFonts w:hint="eastAsia"/>
          <w:szCs w:val="32"/>
        </w:rPr>
        <w:fldChar w:fldCharType="begin"/>
      </w:r>
      <w:r>
        <w:rPr>
          <w:rFonts w:hint="eastAsia"/>
          <w:szCs w:val="32"/>
        </w:rPr>
        <w:instrText xml:space="preserve"> = 2 \* ROMAN \* MERGEFORMAT </w:instrText>
      </w:r>
      <w:r>
        <w:rPr>
          <w:rFonts w:hint="eastAsia"/>
          <w:szCs w:val="32"/>
        </w:rPr>
        <w:fldChar w:fldCharType="separate"/>
      </w:r>
      <w:r>
        <w:rPr>
          <w:rFonts w:hint="eastAsia"/>
          <w:szCs w:val="32"/>
        </w:rPr>
        <w:t>II</w:t>
      </w:r>
      <w:r>
        <w:rPr>
          <w:rFonts w:hint="eastAsia"/>
          <w:szCs w:val="32"/>
        </w:rPr>
        <w:fldChar w:fldCharType="end"/>
      </w:r>
      <w:r>
        <w:rPr>
          <w:rFonts w:hint="eastAsia"/>
          <w:szCs w:val="32"/>
        </w:rPr>
        <w:t>类水体“主要适用于集中式生活饮用水地表水源地一级保护区、珍惜水生生物栖息地、鱼虾类产卵场、仔稚幼鱼的索饵场等”，故本项目COD评价标准参照《地表水质量标准》（GB3838-2002）中</w:t>
      </w:r>
      <w:r>
        <w:rPr>
          <w:rFonts w:hint="eastAsia"/>
          <w:szCs w:val="32"/>
        </w:rPr>
        <w:fldChar w:fldCharType="begin"/>
      </w:r>
      <w:r>
        <w:rPr>
          <w:rFonts w:hint="eastAsia"/>
          <w:szCs w:val="32"/>
        </w:rPr>
        <w:instrText xml:space="preserve"> = 2 \* ROMAN \* MERGEFORMAT </w:instrText>
      </w:r>
      <w:r>
        <w:rPr>
          <w:rFonts w:hint="eastAsia"/>
          <w:szCs w:val="32"/>
        </w:rPr>
        <w:fldChar w:fldCharType="separate"/>
      </w:r>
      <w:r>
        <w:rPr>
          <w:rFonts w:hint="eastAsia"/>
          <w:szCs w:val="32"/>
        </w:rPr>
        <w:t>II</w:t>
      </w:r>
      <w:r>
        <w:rPr>
          <w:rFonts w:hint="eastAsia"/>
          <w:szCs w:val="32"/>
        </w:rPr>
        <w:fldChar w:fldCharType="end"/>
      </w:r>
      <w:r>
        <w:rPr>
          <w:rFonts w:hint="eastAsia"/>
          <w:szCs w:val="32"/>
        </w:rPr>
        <w:t>类水体标准限值15mg/L。COD、氨氮标准，标准值及检出限统计见表5.2-</w:t>
      </w:r>
      <w:r>
        <w:rPr>
          <w:rFonts w:hint="eastAsia"/>
          <w:szCs w:val="32"/>
          <w:lang w:val="en-US" w:eastAsia="zh-CN"/>
        </w:rPr>
        <w:t>24</w:t>
      </w:r>
      <w:r>
        <w:rPr>
          <w:rFonts w:hint="eastAsia"/>
          <w:szCs w:val="32"/>
        </w:rPr>
        <w:t>。</w:t>
      </w:r>
    </w:p>
    <w:p w14:paraId="2C0AAF26">
      <w:pPr>
        <w:spacing w:line="360" w:lineRule="auto"/>
        <w:jc w:val="center"/>
        <w:rPr>
          <w:b/>
        </w:rPr>
      </w:pPr>
      <w:r>
        <w:rPr>
          <w:rFonts w:hint="eastAsia"/>
          <w:b/>
        </w:rPr>
        <w:t>表5.2-</w:t>
      </w:r>
      <w:r>
        <w:rPr>
          <w:rFonts w:hint="eastAsia"/>
          <w:b/>
          <w:lang w:val="en-US" w:eastAsia="zh-CN"/>
        </w:rPr>
        <w:t>24</w:t>
      </w:r>
      <w:r>
        <w:rPr>
          <w:rFonts w:hint="eastAsia"/>
          <w:b/>
        </w:rPr>
        <w:t xml:space="preserve">  特征污染物的标准值和检出限值</w:t>
      </w:r>
    </w:p>
    <w:tbl>
      <w:tblPr>
        <w:tblStyle w:val="53"/>
        <w:tblW w:w="876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21"/>
        <w:gridCol w:w="1799"/>
        <w:gridCol w:w="1799"/>
        <w:gridCol w:w="1797"/>
        <w:gridCol w:w="1650"/>
      </w:tblGrid>
      <w:tr w14:paraId="34A99C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jc w:val="center"/>
        </w:trPr>
        <w:tc>
          <w:tcPr>
            <w:tcW w:w="1721" w:type="dxa"/>
            <w:vAlign w:val="center"/>
          </w:tcPr>
          <w:p w14:paraId="480D379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模拟预测因子</w:t>
            </w:r>
          </w:p>
        </w:tc>
        <w:tc>
          <w:tcPr>
            <w:tcW w:w="1799" w:type="dxa"/>
            <w:vAlign w:val="center"/>
          </w:tcPr>
          <w:p w14:paraId="20C1ABA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分析方法</w:t>
            </w:r>
          </w:p>
        </w:tc>
        <w:tc>
          <w:tcPr>
            <w:tcW w:w="1799" w:type="dxa"/>
            <w:vAlign w:val="center"/>
          </w:tcPr>
          <w:p w14:paraId="36BA921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方法依据</w:t>
            </w:r>
          </w:p>
        </w:tc>
        <w:tc>
          <w:tcPr>
            <w:tcW w:w="1797" w:type="dxa"/>
            <w:vAlign w:val="center"/>
          </w:tcPr>
          <w:p w14:paraId="293EB40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检出限（mg/L）</w:t>
            </w:r>
          </w:p>
        </w:tc>
        <w:tc>
          <w:tcPr>
            <w:tcW w:w="1650" w:type="dxa"/>
            <w:vAlign w:val="center"/>
          </w:tcPr>
          <w:p w14:paraId="31060CB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标准限（mg/L)</w:t>
            </w:r>
          </w:p>
        </w:tc>
      </w:tr>
      <w:tr w14:paraId="47751F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jc w:val="center"/>
        </w:trPr>
        <w:tc>
          <w:tcPr>
            <w:tcW w:w="1721" w:type="dxa"/>
            <w:vAlign w:val="center"/>
          </w:tcPr>
          <w:p w14:paraId="055A9A6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COD</w:t>
            </w:r>
          </w:p>
        </w:tc>
        <w:tc>
          <w:tcPr>
            <w:tcW w:w="1799" w:type="dxa"/>
            <w:vAlign w:val="center"/>
          </w:tcPr>
          <w:p w14:paraId="13AC3EB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重铬酸盐法</w:t>
            </w:r>
          </w:p>
        </w:tc>
        <w:tc>
          <w:tcPr>
            <w:tcW w:w="1799" w:type="dxa"/>
            <w:vAlign w:val="center"/>
          </w:tcPr>
          <w:p w14:paraId="00E3718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GB11914-1989</w:t>
            </w:r>
          </w:p>
        </w:tc>
        <w:tc>
          <w:tcPr>
            <w:tcW w:w="1797" w:type="dxa"/>
            <w:vAlign w:val="center"/>
          </w:tcPr>
          <w:p w14:paraId="346E013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650" w:type="dxa"/>
            <w:vAlign w:val="center"/>
          </w:tcPr>
          <w:p w14:paraId="2A62C4E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r>
      <w:tr w14:paraId="304245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33" w:hRule="atLeast"/>
          <w:jc w:val="center"/>
        </w:trPr>
        <w:tc>
          <w:tcPr>
            <w:tcW w:w="1721" w:type="dxa"/>
            <w:vAlign w:val="center"/>
          </w:tcPr>
          <w:p w14:paraId="7770EDF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氨氮</w:t>
            </w:r>
          </w:p>
        </w:tc>
        <w:tc>
          <w:tcPr>
            <w:tcW w:w="1799" w:type="dxa"/>
            <w:vAlign w:val="center"/>
          </w:tcPr>
          <w:p w14:paraId="72B4441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水杨酸分光光度法</w:t>
            </w:r>
          </w:p>
        </w:tc>
        <w:tc>
          <w:tcPr>
            <w:tcW w:w="1799" w:type="dxa"/>
            <w:vAlign w:val="center"/>
          </w:tcPr>
          <w:p w14:paraId="6BC631B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HJ536-2009</w:t>
            </w:r>
          </w:p>
        </w:tc>
        <w:tc>
          <w:tcPr>
            <w:tcW w:w="1797" w:type="dxa"/>
            <w:vAlign w:val="center"/>
          </w:tcPr>
          <w:p w14:paraId="328AFB1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0.01</w:t>
            </w:r>
          </w:p>
        </w:tc>
        <w:tc>
          <w:tcPr>
            <w:tcW w:w="1650" w:type="dxa"/>
            <w:vAlign w:val="center"/>
          </w:tcPr>
          <w:p w14:paraId="055005E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0.2</w:t>
            </w:r>
          </w:p>
        </w:tc>
      </w:tr>
    </w:tbl>
    <w:p w14:paraId="60D5E907">
      <w:pPr>
        <w:spacing w:line="360" w:lineRule="auto"/>
        <w:ind w:firstLine="480" w:firstLineChars="200"/>
        <w:jc w:val="left"/>
        <w:rPr>
          <w:rFonts w:hint="eastAsia"/>
          <w:szCs w:val="32"/>
        </w:rPr>
      </w:pPr>
      <w:r>
        <w:rPr>
          <w:rFonts w:hint="eastAsia"/>
          <w:szCs w:val="32"/>
        </w:rPr>
        <w:t>本评价以保守估计为原则，假定在泄漏废水直接进入浅层地下水情形下进行预测，预测结果见图5.2-</w:t>
      </w:r>
      <w:r>
        <w:rPr>
          <w:rFonts w:hint="eastAsia"/>
          <w:szCs w:val="32"/>
          <w:lang w:val="en-US" w:eastAsia="zh-CN"/>
        </w:rPr>
        <w:t>7</w:t>
      </w:r>
      <w:r>
        <w:rPr>
          <w:rFonts w:hint="eastAsia"/>
          <w:szCs w:val="32"/>
        </w:rPr>
        <w:t>，图5.2-</w:t>
      </w:r>
      <w:r>
        <w:rPr>
          <w:rFonts w:hint="eastAsia"/>
          <w:szCs w:val="32"/>
          <w:lang w:val="en-US" w:eastAsia="zh-CN"/>
        </w:rPr>
        <w:t>8</w:t>
      </w:r>
      <w:r>
        <w:rPr>
          <w:rFonts w:hint="eastAsia"/>
          <w:szCs w:val="32"/>
        </w:rPr>
        <w:t>和表5.2-</w:t>
      </w:r>
      <w:r>
        <w:rPr>
          <w:rFonts w:hint="eastAsia"/>
          <w:szCs w:val="32"/>
          <w:lang w:val="en-US" w:eastAsia="zh-CN"/>
        </w:rPr>
        <w:t>25</w:t>
      </w:r>
      <w:r>
        <w:rPr>
          <w:rFonts w:hint="eastAsia"/>
          <w:szCs w:val="32"/>
        </w:rPr>
        <w:t>。</w:t>
      </w:r>
    </w:p>
    <w:p w14:paraId="132AB414">
      <w:pPr>
        <w:spacing w:line="360" w:lineRule="auto"/>
        <w:jc w:val="center"/>
        <w:rPr>
          <w:rFonts w:hint="eastAsia"/>
          <w:b/>
        </w:rPr>
      </w:pPr>
      <w:r>
        <w:rPr>
          <w:rFonts w:hint="eastAsia"/>
          <w:b/>
        </w:rPr>
        <w:t>表5.2-</w:t>
      </w:r>
      <w:r>
        <w:rPr>
          <w:rFonts w:hint="eastAsia"/>
          <w:b/>
          <w:lang w:val="en-US" w:eastAsia="zh-CN"/>
        </w:rPr>
        <w:t>25</w:t>
      </w:r>
      <w:r>
        <w:rPr>
          <w:rFonts w:hint="eastAsia"/>
          <w:b/>
        </w:rPr>
        <w:t xml:space="preserve"> 事故状况下沿潜水水流方向COD、氨氮预测结果</w:t>
      </w:r>
    </w:p>
    <w:tbl>
      <w:tblPr>
        <w:tblStyle w:val="53"/>
        <w:tblW w:w="88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4"/>
        <w:gridCol w:w="2685"/>
        <w:gridCol w:w="1905"/>
        <w:gridCol w:w="2056"/>
      </w:tblGrid>
      <w:tr w14:paraId="5D303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4879" w:type="dxa"/>
            <w:gridSpan w:val="2"/>
            <w:vAlign w:val="center"/>
          </w:tcPr>
          <w:p w14:paraId="7232669A">
            <w:pPr>
              <w:pStyle w:val="100"/>
              <w:spacing w:line="276"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 xml:space="preserve">                               时间(d)</w:t>
            </w:r>
          </w:p>
          <w:p w14:paraId="4B30655E">
            <w:pPr>
              <w:pStyle w:val="100"/>
              <w:spacing w:line="276" w:lineRule="auto"/>
              <w:ind w:left="-2" w:leftChars="-1" w:firstLine="210" w:firstLineChars="100"/>
              <w:rPr>
                <w:rFonts w:hint="default" w:ascii="Times New Roman" w:hAnsi="Times New Roman" w:cs="Times New Roman"/>
                <w:sz w:val="21"/>
                <w:szCs w:val="21"/>
              </w:rPr>
            </w:pPr>
            <w:r>
              <w:rPr>
                <w:rFonts w:hint="default" w:ascii="Times New Roman" w:hAnsi="Times New Roman" w:cs="Times New Roman"/>
                <w:sz w:val="21"/>
                <w:szCs w:val="21"/>
              </w:rPr>
              <w:t>项目</w:t>
            </w:r>
          </w:p>
        </w:tc>
        <w:tc>
          <w:tcPr>
            <w:tcW w:w="1905" w:type="dxa"/>
            <w:vAlign w:val="center"/>
          </w:tcPr>
          <w:p w14:paraId="4816EC70">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2056" w:type="dxa"/>
            <w:vAlign w:val="center"/>
          </w:tcPr>
          <w:p w14:paraId="5357814C">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1000</w:t>
            </w:r>
          </w:p>
        </w:tc>
      </w:tr>
      <w:tr w14:paraId="4BAAF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194" w:type="dxa"/>
            <w:vMerge w:val="restart"/>
            <w:vAlign w:val="center"/>
          </w:tcPr>
          <w:p w14:paraId="00845CC5">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sz w:val="21"/>
                <w:szCs w:val="21"/>
              </w:rPr>
              <w:t>COD在潜水含水层预测结果</w:t>
            </w:r>
          </w:p>
        </w:tc>
        <w:tc>
          <w:tcPr>
            <w:tcW w:w="2685" w:type="dxa"/>
            <w:vAlign w:val="center"/>
          </w:tcPr>
          <w:p w14:paraId="14A69EEA">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超标距离(m)</w:t>
            </w:r>
          </w:p>
        </w:tc>
        <w:tc>
          <w:tcPr>
            <w:tcW w:w="1905" w:type="dxa"/>
            <w:vAlign w:val="center"/>
          </w:tcPr>
          <w:p w14:paraId="0678CD92">
            <w:pPr>
              <w:pStyle w:val="100"/>
              <w:spacing w:line="240" w:lineRule="auto"/>
              <w:ind w:firstLine="0" w:firstLineChars="0"/>
              <w:jc w:val="center"/>
              <w:rPr>
                <w:rFonts w:hint="default" w:ascii="Times New Roman" w:hAnsi="Times New Roman" w:cs="Times New Roman"/>
                <w:sz w:val="21"/>
                <w:szCs w:val="21"/>
                <w:highlight w:val="yellow"/>
              </w:rPr>
            </w:pPr>
            <w:r>
              <w:rPr>
                <w:rFonts w:hint="default" w:ascii="Times New Roman" w:hAnsi="Times New Roman" w:cs="Times New Roman"/>
                <w:sz w:val="21"/>
                <w:szCs w:val="21"/>
              </w:rPr>
              <w:t>28</w:t>
            </w:r>
          </w:p>
        </w:tc>
        <w:tc>
          <w:tcPr>
            <w:tcW w:w="2056" w:type="dxa"/>
            <w:vAlign w:val="center"/>
          </w:tcPr>
          <w:p w14:paraId="6A377447">
            <w:pPr>
              <w:pStyle w:val="100"/>
              <w:spacing w:line="240" w:lineRule="auto"/>
              <w:ind w:firstLine="0" w:firstLineChars="0"/>
              <w:jc w:val="center"/>
              <w:rPr>
                <w:rFonts w:hint="default" w:ascii="Times New Roman" w:hAnsi="Times New Roman" w:cs="Times New Roman"/>
                <w:sz w:val="21"/>
                <w:szCs w:val="21"/>
                <w:highlight w:val="yellow"/>
              </w:rPr>
            </w:pPr>
            <w:r>
              <w:rPr>
                <w:rFonts w:hint="default" w:ascii="Times New Roman" w:hAnsi="Times New Roman" w:cs="Times New Roman"/>
                <w:sz w:val="21"/>
                <w:szCs w:val="21"/>
              </w:rPr>
              <w:t>141</w:t>
            </w:r>
          </w:p>
        </w:tc>
      </w:tr>
      <w:tr w14:paraId="37225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2194" w:type="dxa"/>
            <w:vMerge w:val="continue"/>
            <w:vAlign w:val="center"/>
          </w:tcPr>
          <w:p w14:paraId="02C28B3E">
            <w:pPr>
              <w:widowControl/>
              <w:jc w:val="left"/>
              <w:rPr>
                <w:rFonts w:hint="default" w:ascii="Times New Roman" w:hAnsi="Times New Roman" w:cs="Times New Roman"/>
                <w:color w:val="000000"/>
                <w:sz w:val="21"/>
                <w:szCs w:val="21"/>
              </w:rPr>
            </w:pPr>
          </w:p>
        </w:tc>
        <w:tc>
          <w:tcPr>
            <w:tcW w:w="2685" w:type="dxa"/>
            <w:vAlign w:val="center"/>
          </w:tcPr>
          <w:p w14:paraId="631AE0AF">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影响距离(m)</w:t>
            </w:r>
          </w:p>
        </w:tc>
        <w:tc>
          <w:tcPr>
            <w:tcW w:w="1905" w:type="dxa"/>
            <w:vAlign w:val="center"/>
          </w:tcPr>
          <w:p w14:paraId="4AA3FCC1">
            <w:pPr>
              <w:pStyle w:val="100"/>
              <w:spacing w:line="240" w:lineRule="auto"/>
              <w:ind w:firstLine="0" w:firstLineChars="0"/>
              <w:jc w:val="center"/>
              <w:rPr>
                <w:rFonts w:hint="default" w:ascii="Times New Roman" w:hAnsi="Times New Roman" w:cs="Times New Roman"/>
                <w:sz w:val="21"/>
                <w:szCs w:val="21"/>
                <w:highlight w:val="yellow"/>
              </w:rPr>
            </w:pPr>
            <w:r>
              <w:rPr>
                <w:rFonts w:hint="default" w:ascii="Times New Roman" w:hAnsi="Times New Roman" w:cs="Times New Roman"/>
                <w:sz w:val="21"/>
                <w:szCs w:val="21"/>
              </w:rPr>
              <w:t>29</w:t>
            </w:r>
          </w:p>
        </w:tc>
        <w:tc>
          <w:tcPr>
            <w:tcW w:w="2056" w:type="dxa"/>
            <w:vAlign w:val="center"/>
          </w:tcPr>
          <w:p w14:paraId="57E4FA91">
            <w:pPr>
              <w:pStyle w:val="100"/>
              <w:spacing w:line="240" w:lineRule="auto"/>
              <w:ind w:firstLine="0" w:firstLineChars="0"/>
              <w:jc w:val="center"/>
              <w:rPr>
                <w:rFonts w:hint="default" w:ascii="Times New Roman" w:hAnsi="Times New Roman" w:cs="Times New Roman"/>
                <w:sz w:val="21"/>
                <w:szCs w:val="21"/>
                <w:highlight w:val="yellow"/>
              </w:rPr>
            </w:pPr>
            <w:r>
              <w:rPr>
                <w:rFonts w:hint="default" w:ascii="Times New Roman" w:hAnsi="Times New Roman" w:cs="Times New Roman"/>
                <w:sz w:val="21"/>
                <w:szCs w:val="21"/>
              </w:rPr>
              <w:t>143</w:t>
            </w:r>
          </w:p>
        </w:tc>
      </w:tr>
      <w:tr w14:paraId="14430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2194" w:type="dxa"/>
            <w:vMerge w:val="restart"/>
            <w:vAlign w:val="center"/>
          </w:tcPr>
          <w:p w14:paraId="530B5B72">
            <w:pPr>
              <w:adjustRightInd w:val="0"/>
              <w:snapToGrid w:val="0"/>
              <w:jc w:val="center"/>
              <w:rPr>
                <w:rFonts w:hint="default" w:ascii="Times New Roman" w:hAnsi="Times New Roman" w:cs="Times New Roman"/>
                <w:color w:val="000000"/>
                <w:sz w:val="21"/>
                <w:szCs w:val="21"/>
              </w:rPr>
            </w:pPr>
            <w:r>
              <w:rPr>
                <w:rFonts w:hint="default" w:ascii="Times New Roman" w:hAnsi="Times New Roman" w:cs="Times New Roman"/>
                <w:sz w:val="21"/>
                <w:szCs w:val="21"/>
              </w:rPr>
              <w:t>氨氮在潜水含水层预测结果</w:t>
            </w:r>
          </w:p>
        </w:tc>
        <w:tc>
          <w:tcPr>
            <w:tcW w:w="2685" w:type="dxa"/>
            <w:vAlign w:val="center"/>
          </w:tcPr>
          <w:p w14:paraId="66941980">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超标距离(m)</w:t>
            </w:r>
          </w:p>
        </w:tc>
        <w:tc>
          <w:tcPr>
            <w:tcW w:w="1905" w:type="dxa"/>
            <w:vAlign w:val="center"/>
          </w:tcPr>
          <w:p w14:paraId="0B690088">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21</w:t>
            </w:r>
          </w:p>
        </w:tc>
        <w:tc>
          <w:tcPr>
            <w:tcW w:w="2056" w:type="dxa"/>
            <w:vAlign w:val="center"/>
          </w:tcPr>
          <w:p w14:paraId="3AA360A2">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119</w:t>
            </w:r>
          </w:p>
        </w:tc>
      </w:tr>
      <w:tr w14:paraId="3D512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2194" w:type="dxa"/>
            <w:vMerge w:val="continue"/>
            <w:vAlign w:val="center"/>
          </w:tcPr>
          <w:p w14:paraId="6D56DA58">
            <w:pPr>
              <w:widowControl/>
              <w:jc w:val="left"/>
              <w:rPr>
                <w:rFonts w:hint="default" w:ascii="Times New Roman" w:hAnsi="Times New Roman" w:cs="Times New Roman"/>
                <w:color w:val="000000"/>
                <w:sz w:val="21"/>
                <w:szCs w:val="21"/>
              </w:rPr>
            </w:pPr>
          </w:p>
        </w:tc>
        <w:tc>
          <w:tcPr>
            <w:tcW w:w="2685" w:type="dxa"/>
            <w:vAlign w:val="center"/>
          </w:tcPr>
          <w:p w14:paraId="5AFDBF47">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影响距离(m)</w:t>
            </w:r>
          </w:p>
        </w:tc>
        <w:tc>
          <w:tcPr>
            <w:tcW w:w="1905" w:type="dxa"/>
            <w:vAlign w:val="center"/>
          </w:tcPr>
          <w:p w14:paraId="77B5630D">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29</w:t>
            </w:r>
          </w:p>
        </w:tc>
        <w:tc>
          <w:tcPr>
            <w:tcW w:w="2056" w:type="dxa"/>
            <w:vAlign w:val="center"/>
          </w:tcPr>
          <w:p w14:paraId="005DD3E2">
            <w:pPr>
              <w:pStyle w:val="10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145</w:t>
            </w:r>
          </w:p>
        </w:tc>
      </w:tr>
    </w:tbl>
    <w:p w14:paraId="5B1C52AC">
      <w:pPr>
        <w:pStyle w:val="42"/>
      </w:pPr>
    </w:p>
    <w:p w14:paraId="6027805C">
      <w:pPr>
        <w:pStyle w:val="42"/>
      </w:pPr>
      <w:r>
        <w:drawing>
          <wp:inline distT="0" distB="0" distL="114300" distR="114300">
            <wp:extent cx="5564505" cy="2565400"/>
            <wp:effectExtent l="0" t="0" r="17145" b="6350"/>
            <wp:docPr id="359" name="图片 30" descr="QQ截图2017093016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0" descr="QQ截图20170930165204"/>
                    <pic:cNvPicPr>
                      <a:picLocks noChangeAspect="1"/>
                    </pic:cNvPicPr>
                  </pic:nvPicPr>
                  <pic:blipFill>
                    <a:blip r:embed="rId110"/>
                    <a:stretch>
                      <a:fillRect/>
                    </a:stretch>
                  </pic:blipFill>
                  <pic:spPr>
                    <a:xfrm>
                      <a:off x="0" y="0"/>
                      <a:ext cx="5564505" cy="2565400"/>
                    </a:xfrm>
                    <a:prstGeom prst="rect">
                      <a:avLst/>
                    </a:prstGeom>
                    <a:noFill/>
                    <a:ln>
                      <a:noFill/>
                    </a:ln>
                  </pic:spPr>
                </pic:pic>
              </a:graphicData>
            </a:graphic>
          </wp:inline>
        </w:drawing>
      </w:r>
    </w:p>
    <w:p w14:paraId="117A14E1">
      <w:pPr>
        <w:spacing w:line="360" w:lineRule="auto"/>
        <w:jc w:val="center"/>
        <w:rPr>
          <w:rFonts w:hint="eastAsia"/>
          <w:b/>
        </w:rPr>
      </w:pPr>
      <w:r>
        <w:rPr>
          <w:rFonts w:hint="eastAsia"/>
          <w:b/>
        </w:rPr>
        <w:t>图5.2-</w:t>
      </w:r>
      <w:r>
        <w:rPr>
          <w:rFonts w:hint="eastAsia"/>
          <w:b/>
          <w:lang w:val="en-US" w:eastAsia="zh-CN"/>
        </w:rPr>
        <w:t>7</w:t>
      </w:r>
      <w:r>
        <w:rPr>
          <w:rFonts w:hint="eastAsia"/>
          <w:b/>
        </w:rPr>
        <w:t xml:space="preserve"> COD预测结果图</w:t>
      </w:r>
    </w:p>
    <w:p w14:paraId="7ADE6AA0">
      <w:pPr>
        <w:pStyle w:val="42"/>
      </w:pPr>
      <w:r>
        <w:drawing>
          <wp:inline distT="0" distB="0" distL="114300" distR="114300">
            <wp:extent cx="5564505" cy="2574290"/>
            <wp:effectExtent l="0" t="0" r="17145" b="16510"/>
            <wp:docPr id="357" name="图片 31" descr="QQ截图2017093016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1" descr="QQ截图20170930165322"/>
                    <pic:cNvPicPr>
                      <a:picLocks noChangeAspect="1"/>
                    </pic:cNvPicPr>
                  </pic:nvPicPr>
                  <pic:blipFill>
                    <a:blip r:embed="rId111"/>
                    <a:stretch>
                      <a:fillRect/>
                    </a:stretch>
                  </pic:blipFill>
                  <pic:spPr>
                    <a:xfrm>
                      <a:off x="0" y="0"/>
                      <a:ext cx="5564505" cy="2574290"/>
                    </a:xfrm>
                    <a:prstGeom prst="rect">
                      <a:avLst/>
                    </a:prstGeom>
                    <a:noFill/>
                    <a:ln>
                      <a:noFill/>
                    </a:ln>
                  </pic:spPr>
                </pic:pic>
              </a:graphicData>
            </a:graphic>
          </wp:inline>
        </w:drawing>
      </w:r>
    </w:p>
    <w:p w14:paraId="79E7AA8A">
      <w:pPr>
        <w:spacing w:line="360" w:lineRule="auto"/>
        <w:jc w:val="center"/>
        <w:rPr>
          <w:rFonts w:hint="eastAsia"/>
          <w:b/>
        </w:rPr>
      </w:pPr>
      <w:r>
        <w:rPr>
          <w:rFonts w:hint="eastAsia"/>
          <w:b/>
        </w:rPr>
        <w:t>图5.2-</w:t>
      </w:r>
      <w:r>
        <w:rPr>
          <w:rFonts w:hint="eastAsia"/>
          <w:b/>
          <w:lang w:val="en-US" w:eastAsia="zh-CN"/>
        </w:rPr>
        <w:t>8</w:t>
      </w:r>
      <w:r>
        <w:rPr>
          <w:rFonts w:hint="eastAsia"/>
          <w:b/>
        </w:rPr>
        <w:t xml:space="preserve"> 氨氮预测结果图</w:t>
      </w:r>
    </w:p>
    <w:p w14:paraId="756FAB28">
      <w:pPr>
        <w:spacing w:line="360" w:lineRule="auto"/>
        <w:ind w:firstLine="480" w:firstLineChars="200"/>
        <w:jc w:val="left"/>
        <w:rPr>
          <w:rFonts w:hint="eastAsia"/>
          <w:szCs w:val="32"/>
        </w:rPr>
      </w:pPr>
      <w:r>
        <w:rPr>
          <w:rFonts w:hint="eastAsia"/>
          <w:szCs w:val="32"/>
        </w:rPr>
        <w:t>由预测结果可知，当</w:t>
      </w:r>
      <w:r>
        <w:rPr>
          <w:rFonts w:hint="eastAsia"/>
          <w:szCs w:val="32"/>
          <w:lang w:eastAsia="zh-CN"/>
        </w:rPr>
        <w:t>事故状态</w:t>
      </w:r>
      <w:r>
        <w:rPr>
          <w:rFonts w:hint="eastAsia"/>
          <w:szCs w:val="32"/>
        </w:rPr>
        <w:t>下污水处理设施调节池发生因老化腐蚀造成跑冒滴漏，污水直接进入潜水含水层，造成地下水污染，污染程度与含水层的渗透性能、源强浓度、污水泄漏时间等有关。污染物渗漏到达潜水含水层后，逐渐向下游迁移，影响范围逐渐扩大，COD100d超标距离达28m，最大影响距离29m；1000d超标距离141m，最大影响距离143m；氨氮100d超标距离达21m，最大影响距离29m；1000d超标距离119m，最大影响距离145m</w:t>
      </w:r>
      <w:r>
        <w:rPr>
          <w:rFonts w:hint="eastAsia"/>
          <w:szCs w:val="32"/>
          <w:lang w:eastAsia="zh-CN"/>
        </w:rPr>
        <w:t>，</w:t>
      </w:r>
      <w:r>
        <w:rPr>
          <w:rFonts w:hint="eastAsia"/>
          <w:szCs w:val="32"/>
          <w:lang w:val="en-US" w:eastAsia="zh-CN"/>
        </w:rPr>
        <w:t>上述距离均位于厂区内。</w:t>
      </w:r>
    </w:p>
    <w:p w14:paraId="45F86A53">
      <w:pPr>
        <w:spacing w:line="360" w:lineRule="auto"/>
        <w:ind w:firstLine="480" w:firstLineChars="200"/>
        <w:jc w:val="left"/>
        <w:rPr>
          <w:rFonts w:hint="eastAsia"/>
          <w:szCs w:val="32"/>
        </w:rPr>
      </w:pPr>
      <w:r>
        <w:rPr>
          <w:rFonts w:hint="eastAsia"/>
          <w:szCs w:val="32"/>
        </w:rPr>
        <w:t>本项目应建立地下水环境监测管理体系，以便及时发现问题，采取措施，根据《环境影响评价技术导则地下水环境》（HJ 610－2016），三级评价的建设项目跟踪监测点数量要求一般不少于一个，应至少在建设项目场地下游布置一个，根据预测结果，项目建成后污染物若泄漏，综合COD、氨氮两种污染物超标和影响距离，并当地地下水流向为东北向西南，故</w:t>
      </w:r>
      <w:r>
        <w:rPr>
          <w:rFonts w:hint="eastAsia"/>
          <w:szCs w:val="32"/>
          <w:lang w:val="en-US" w:eastAsia="zh-CN"/>
        </w:rPr>
        <w:t>本项目结合原有</w:t>
      </w:r>
      <w:r>
        <w:rPr>
          <w:rFonts w:hint="eastAsia"/>
          <w:szCs w:val="32"/>
        </w:rPr>
        <w:t>项目</w:t>
      </w:r>
      <w:r>
        <w:rPr>
          <w:rFonts w:hint="eastAsia"/>
          <w:szCs w:val="32"/>
          <w:lang w:eastAsia="zh-CN"/>
        </w:rPr>
        <w:t>设置一个地下水监测井，该</w:t>
      </w:r>
      <w:r>
        <w:rPr>
          <w:rFonts w:hint="eastAsia"/>
          <w:szCs w:val="32"/>
        </w:rPr>
        <w:t>地下水监测井设置在调节池西南29m处。</w:t>
      </w:r>
    </w:p>
    <w:p w14:paraId="7C3E3D6B">
      <w:pPr>
        <w:spacing w:line="360" w:lineRule="auto"/>
        <w:ind w:firstLine="480" w:firstLineChars="200"/>
        <w:jc w:val="left"/>
        <w:rPr>
          <w:rFonts w:hint="eastAsia"/>
          <w:szCs w:val="32"/>
        </w:rPr>
      </w:pPr>
      <w:r>
        <w:rPr>
          <w:rFonts w:hint="eastAsia"/>
          <w:szCs w:val="32"/>
        </w:rPr>
        <w:t>综上所述，项目开工建设期做好防渗工作，避免事故状态产生，并建立地下水环境监测管理体系，以便及时发现问题，采取措施，项目建成后不会对当地地下水产生影响。</w:t>
      </w:r>
    </w:p>
    <w:p w14:paraId="6CA2C06E">
      <w:pPr>
        <w:pStyle w:val="4"/>
      </w:pPr>
      <w:r>
        <w:t>5.2.6生态环境影响分析</w:t>
      </w:r>
    </w:p>
    <w:p w14:paraId="0323292E">
      <w:pPr>
        <w:pStyle w:val="18"/>
        <w:spacing w:line="360" w:lineRule="auto"/>
        <w:ind w:firstLine="480" w:firstLineChars="200"/>
        <w:rPr>
          <w:rFonts w:hint="default" w:ascii="Times New Roman" w:hAnsi="Times New Roman" w:eastAsia="宋体" w:cs="Times New Roman"/>
          <w:sz w:val="24"/>
          <w:szCs w:val="32"/>
          <w:lang w:val="en-US" w:eastAsia="zh-CN" w:bidi="ar-SA"/>
        </w:rPr>
      </w:pPr>
      <w:r>
        <w:rPr>
          <w:rFonts w:hint="eastAsia" w:ascii="Times New Roman" w:hAnsi="Times New Roman" w:eastAsia="宋体" w:cs="Times New Roman"/>
          <w:sz w:val="24"/>
          <w:szCs w:val="32"/>
          <w:lang w:val="en-US" w:eastAsia="zh-CN" w:bidi="ar-SA"/>
        </w:rPr>
        <w:t>扩建项本项目位于</w:t>
      </w:r>
      <w:r>
        <w:rPr>
          <w:rFonts w:hint="eastAsia" w:eastAsia="宋体" w:cs="Times New Roman"/>
          <w:sz w:val="24"/>
          <w:szCs w:val="32"/>
          <w:lang w:val="en-US" w:eastAsia="zh-CN" w:bidi="ar-SA"/>
        </w:rPr>
        <w:t>黑龙江鸿展生物科技股份有限公司</w:t>
      </w:r>
      <w:r>
        <w:rPr>
          <w:rFonts w:hint="eastAsia" w:ascii="Times New Roman" w:hAnsi="Times New Roman" w:eastAsia="宋体" w:cs="Times New Roman"/>
          <w:sz w:val="24"/>
          <w:szCs w:val="32"/>
          <w:lang w:val="en-US" w:eastAsia="zh-CN" w:bidi="ar-SA"/>
        </w:rPr>
        <w:t>院内，占地均为建设用地，施工期已经结束，项目运营期加强厂区绿化，不会对生态环境产生明显影响。</w:t>
      </w:r>
    </w:p>
    <w:p w14:paraId="5FA74A42">
      <w:pPr>
        <w:pStyle w:val="4"/>
        <w:rPr>
          <w:szCs w:val="28"/>
          <w:lang w:bidi="ar"/>
        </w:rPr>
      </w:pPr>
      <w:r>
        <w:t>5.2.7土壤环境影响分析</w:t>
      </w:r>
    </w:p>
    <w:bookmarkEnd w:id="368"/>
    <w:p w14:paraId="6F81DE5E">
      <w:pPr>
        <w:pStyle w:val="5"/>
        <w:rPr>
          <w:rFonts w:hint="eastAsia" w:eastAsia="宋体"/>
        </w:rPr>
      </w:pPr>
      <w:bookmarkStart w:id="369" w:name="_Toc28292"/>
      <w:bookmarkStart w:id="370" w:name="_Toc1863"/>
      <w:bookmarkStart w:id="371" w:name="_Toc21477"/>
      <w:bookmarkStart w:id="372" w:name="_Toc201249436"/>
      <w:r>
        <w:rPr>
          <w:rFonts w:hint="eastAsia" w:eastAsia="宋体"/>
        </w:rPr>
        <w:t>5.2.6.1土壤环境污染途径</w:t>
      </w:r>
    </w:p>
    <w:p w14:paraId="5B3C16FB">
      <w:pPr>
        <w:spacing w:line="360" w:lineRule="auto"/>
        <w:ind w:firstLine="480" w:firstLineChars="200"/>
        <w:jc w:val="left"/>
        <w:rPr>
          <w:rFonts w:hint="eastAsia"/>
          <w:szCs w:val="32"/>
        </w:rPr>
      </w:pPr>
      <w:r>
        <w:rPr>
          <w:rFonts w:hint="eastAsia"/>
          <w:szCs w:val="32"/>
        </w:rPr>
        <w:t>土壤污染是指人类活动所产生的物质（污染物），通过各种途径进入土壤，其数量和速度超过了土壤的容纳能力和净化速度的现象。土壤污染可使土壤的性质、组成及形状发生变化，使污染物质的积累过程逐渐占据优势，破坏土壤的自然动态平衡，从而导致土壤自然正常功能失调，土壤质量恶化，影响作物的生长发育，以致造成产量和质量的下降，并可通过食物链危害生物和人类的健康。</w:t>
      </w:r>
    </w:p>
    <w:p w14:paraId="1BB876DA">
      <w:pPr>
        <w:spacing w:line="360" w:lineRule="auto"/>
        <w:ind w:firstLine="480" w:firstLineChars="200"/>
        <w:jc w:val="left"/>
        <w:rPr>
          <w:rFonts w:hint="eastAsia"/>
          <w:szCs w:val="32"/>
        </w:rPr>
      </w:pPr>
      <w:r>
        <w:rPr>
          <w:rFonts w:hint="eastAsia"/>
          <w:szCs w:val="32"/>
        </w:rPr>
        <w:t>污染物可以通过多种途径进入土壤，主要类型有以下三种：</w:t>
      </w:r>
    </w:p>
    <w:p w14:paraId="1557C696">
      <w:pPr>
        <w:spacing w:line="360" w:lineRule="auto"/>
        <w:ind w:firstLine="480" w:firstLineChars="200"/>
        <w:jc w:val="left"/>
        <w:rPr>
          <w:rFonts w:hint="eastAsia"/>
          <w:szCs w:val="32"/>
        </w:rPr>
      </w:pPr>
      <w:r>
        <w:rPr>
          <w:rFonts w:hint="eastAsia"/>
          <w:szCs w:val="32"/>
        </w:rPr>
        <w:t>（1）大气污染型：污染物来源于被污染的大气，主要集中在土壤表层，主要污染物是大气中的二氧化硫、氮氧化物和颗粒物等，它们降落到地表可引起土壤酸化，破坏土壤肥力与生态系统的平衡；各种大气飘尘（包括重金属、非金属有毒有害物质及放射性散落物等）降落地面，也会造成土壤的多种污染。</w:t>
      </w:r>
    </w:p>
    <w:p w14:paraId="43D6030C">
      <w:pPr>
        <w:spacing w:line="360" w:lineRule="auto"/>
        <w:ind w:firstLine="480" w:firstLineChars="200"/>
        <w:jc w:val="left"/>
        <w:rPr>
          <w:rFonts w:hint="eastAsia"/>
          <w:szCs w:val="32"/>
        </w:rPr>
      </w:pPr>
      <w:r>
        <w:rPr>
          <w:rFonts w:hint="eastAsia"/>
          <w:szCs w:val="32"/>
        </w:rPr>
        <w:t>（2）水污染型：废水在厂区内暂存或处置过程防渗措施不当或事故状态下未经处理直接排入外环境，致使土壤受到无机盐、有机物的污染等。</w:t>
      </w:r>
    </w:p>
    <w:p w14:paraId="37B7305F">
      <w:pPr>
        <w:spacing w:line="360" w:lineRule="auto"/>
        <w:ind w:firstLine="480" w:firstLineChars="200"/>
        <w:jc w:val="left"/>
        <w:rPr>
          <w:rFonts w:hint="eastAsia"/>
          <w:szCs w:val="32"/>
        </w:rPr>
      </w:pPr>
      <w:r>
        <w:rPr>
          <w:rFonts w:hint="eastAsia"/>
          <w:szCs w:val="32"/>
        </w:rPr>
        <w:t>（3）固体废物污染型：固废在厂区内堆存过程本身含水或受雨水淋洗，地面未采取防渗措施或事故状态下，导致固废中的有害物质转移至土壤中，或固体物料、废物在厂区内堆存过程产生的扬尘通过扩散直接或间接影响土壤。</w:t>
      </w:r>
    </w:p>
    <w:p w14:paraId="166DD0BE">
      <w:pPr>
        <w:pStyle w:val="5"/>
        <w:rPr>
          <w:rFonts w:hint="eastAsia" w:eastAsia="宋体"/>
        </w:rPr>
      </w:pPr>
      <w:r>
        <w:rPr>
          <w:rFonts w:hint="eastAsia" w:eastAsia="宋体"/>
        </w:rPr>
        <w:t>5.2.6.2土壤环境影响评价</w:t>
      </w:r>
    </w:p>
    <w:p w14:paraId="1D5F6C99">
      <w:pPr>
        <w:spacing w:line="360" w:lineRule="auto"/>
        <w:ind w:firstLine="480" w:firstLineChars="200"/>
        <w:jc w:val="left"/>
        <w:rPr>
          <w:rFonts w:hint="eastAsia"/>
          <w:szCs w:val="32"/>
        </w:rPr>
      </w:pPr>
      <w:r>
        <w:rPr>
          <w:rFonts w:hint="eastAsia"/>
          <w:szCs w:val="32"/>
        </w:rPr>
        <w:t>本次环评参照《环境影响评价技术导则 土壤环境》（HJ964-2018），根据区域土壤性质及项目污染物特点，对项目区域土壤进行环境影响预测分析。</w:t>
      </w:r>
    </w:p>
    <w:p w14:paraId="2FD802FF">
      <w:pPr>
        <w:spacing w:line="360" w:lineRule="auto"/>
        <w:ind w:firstLine="480" w:firstLineChars="200"/>
        <w:jc w:val="left"/>
        <w:rPr>
          <w:rFonts w:hint="eastAsia"/>
          <w:szCs w:val="32"/>
        </w:rPr>
      </w:pPr>
      <w:r>
        <w:rPr>
          <w:rFonts w:hint="eastAsia"/>
          <w:szCs w:val="32"/>
        </w:rPr>
        <w:t>（1）项目区土壤理化特性调查</w:t>
      </w:r>
    </w:p>
    <w:p w14:paraId="512F7427">
      <w:pPr>
        <w:spacing w:line="360" w:lineRule="auto"/>
        <w:ind w:firstLine="480" w:firstLineChars="200"/>
        <w:jc w:val="left"/>
        <w:rPr>
          <w:rFonts w:hint="eastAsia"/>
          <w:szCs w:val="32"/>
        </w:rPr>
      </w:pPr>
      <w:r>
        <w:rPr>
          <w:rFonts w:hint="eastAsia"/>
          <w:szCs w:val="32"/>
        </w:rPr>
        <w:t>本项目土壤理化性质调查见表</w:t>
      </w:r>
      <w:r>
        <w:rPr>
          <w:rFonts w:hint="eastAsia"/>
          <w:szCs w:val="32"/>
          <w:lang w:val="en-US" w:eastAsia="zh-CN"/>
        </w:rPr>
        <w:t>5.2-26</w:t>
      </w:r>
      <w:r>
        <w:rPr>
          <w:rFonts w:hint="eastAsia"/>
          <w:szCs w:val="32"/>
        </w:rPr>
        <w:t>。</w:t>
      </w:r>
    </w:p>
    <w:p w14:paraId="34F6D1CC">
      <w:pPr>
        <w:spacing w:line="360" w:lineRule="auto"/>
        <w:jc w:val="center"/>
        <w:rPr>
          <w:rFonts w:hint="eastAsia"/>
          <w:b/>
        </w:rPr>
      </w:pPr>
      <w:r>
        <w:rPr>
          <w:rFonts w:hint="eastAsia"/>
          <w:b/>
        </w:rPr>
        <w:t>表5</w:t>
      </w:r>
      <w:r>
        <w:rPr>
          <w:rFonts w:hint="eastAsia"/>
          <w:b/>
          <w:lang w:val="en-US" w:eastAsia="zh-CN"/>
        </w:rPr>
        <w:t>.</w:t>
      </w:r>
      <w:r>
        <w:rPr>
          <w:rFonts w:hint="eastAsia"/>
          <w:b/>
        </w:rPr>
        <w:t>2-</w:t>
      </w:r>
      <w:r>
        <w:rPr>
          <w:rFonts w:hint="eastAsia"/>
          <w:b/>
          <w:lang w:val="en-US" w:eastAsia="zh-CN"/>
        </w:rPr>
        <w:t>26</w:t>
      </w:r>
      <w:r>
        <w:rPr>
          <w:rFonts w:hint="eastAsia"/>
          <w:b/>
        </w:rPr>
        <w:t xml:space="preserve"> 土壤理化性质调查</w:t>
      </w:r>
    </w:p>
    <w:tbl>
      <w:tblPr>
        <w:tblStyle w:val="53"/>
        <w:tblW w:w="4792"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3542"/>
        <w:gridCol w:w="5316"/>
      </w:tblGrid>
      <w:tr w14:paraId="7E9FBE7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7" w:hRule="atLeast"/>
          <w:tblHeader/>
          <w:jc w:val="center"/>
        </w:trPr>
        <w:tc>
          <w:tcPr>
            <w:tcW w:w="1999" w:type="pct"/>
            <w:vMerge w:val="restart"/>
            <w:vAlign w:val="center"/>
          </w:tcPr>
          <w:p w14:paraId="32CA4865">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样品标识</w:t>
            </w:r>
          </w:p>
        </w:tc>
        <w:tc>
          <w:tcPr>
            <w:tcW w:w="3000" w:type="pct"/>
            <w:vAlign w:val="center"/>
          </w:tcPr>
          <w:p w14:paraId="3E0E180D">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1#表层样（东经124.61367110，北纬48.21900920）</w:t>
            </w:r>
          </w:p>
        </w:tc>
      </w:tr>
      <w:tr w14:paraId="34EB3E9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Merge w:val="continue"/>
            <w:vAlign w:val="center"/>
          </w:tcPr>
          <w:p w14:paraId="7F43DC08">
            <w:pPr>
              <w:spacing w:line="420" w:lineRule="exact"/>
              <w:jc w:val="center"/>
              <w:rPr>
                <w:rFonts w:hint="default" w:ascii="Times New Roman" w:hAnsi="Times New Roman" w:eastAsia="宋体" w:cs="Times New Roman"/>
                <w:sz w:val="21"/>
                <w:szCs w:val="21"/>
              </w:rPr>
            </w:pPr>
          </w:p>
        </w:tc>
        <w:tc>
          <w:tcPr>
            <w:tcW w:w="3000" w:type="pct"/>
            <w:vAlign w:val="center"/>
          </w:tcPr>
          <w:p w14:paraId="346EC36A">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w:t>
            </w:r>
            <w:r>
              <w:rPr>
                <w:rFonts w:hint="eastAsia" w:cs="Times New Roman"/>
                <w:sz w:val="21"/>
                <w:szCs w:val="21"/>
                <w:lang w:val="en-US" w:eastAsia="zh-CN"/>
              </w:rPr>
              <w:t>2</w:t>
            </w:r>
            <w:r>
              <w:rPr>
                <w:rFonts w:hint="default" w:ascii="Times New Roman" w:hAnsi="Times New Roman" w:eastAsia="宋体" w:cs="Times New Roman"/>
                <w:sz w:val="21"/>
                <w:szCs w:val="21"/>
              </w:rPr>
              <w:t>m</w:t>
            </w:r>
          </w:p>
        </w:tc>
      </w:tr>
      <w:tr w14:paraId="7E12F4D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49C95C89">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颜色</w:t>
            </w:r>
          </w:p>
        </w:tc>
        <w:tc>
          <w:tcPr>
            <w:tcW w:w="3000" w:type="pct"/>
            <w:vAlign w:val="center"/>
          </w:tcPr>
          <w:p w14:paraId="509FC347">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黑褐色</w:t>
            </w:r>
          </w:p>
        </w:tc>
      </w:tr>
      <w:tr w14:paraId="13F99E9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05C064A0">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质地</w:t>
            </w:r>
          </w:p>
        </w:tc>
        <w:tc>
          <w:tcPr>
            <w:tcW w:w="3000" w:type="pct"/>
            <w:vAlign w:val="center"/>
          </w:tcPr>
          <w:p w14:paraId="344AF0B5">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微潮轻壤土</w:t>
            </w:r>
          </w:p>
        </w:tc>
      </w:tr>
      <w:tr w14:paraId="125324C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17A56AE6">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其他异物</w:t>
            </w:r>
          </w:p>
        </w:tc>
        <w:tc>
          <w:tcPr>
            <w:tcW w:w="3000" w:type="pct"/>
            <w:vAlign w:val="center"/>
          </w:tcPr>
          <w:p w14:paraId="598A0EB0">
            <w:pPr>
              <w:widowControl/>
              <w:spacing w:line="420" w:lineRule="exact"/>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少量植物根系</w:t>
            </w:r>
          </w:p>
        </w:tc>
      </w:tr>
      <w:tr w14:paraId="04C4825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33A52B9B">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pH（无量纲）</w:t>
            </w:r>
          </w:p>
        </w:tc>
        <w:tc>
          <w:tcPr>
            <w:tcW w:w="3000" w:type="pct"/>
            <w:vAlign w:val="center"/>
          </w:tcPr>
          <w:p w14:paraId="3F3DBCE9">
            <w:pPr>
              <w:spacing w:line="42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8.26</w:t>
            </w:r>
          </w:p>
        </w:tc>
      </w:tr>
      <w:tr w14:paraId="58FE0A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43D7D2AD">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砂砾含量（%）</w:t>
            </w:r>
          </w:p>
        </w:tc>
        <w:tc>
          <w:tcPr>
            <w:tcW w:w="3000" w:type="pct"/>
            <w:vAlign w:val="center"/>
          </w:tcPr>
          <w:p w14:paraId="58FD0FAA">
            <w:pPr>
              <w:widowControl/>
              <w:spacing w:line="420" w:lineRule="exact"/>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r>
      <w:tr w14:paraId="68FFD08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541E8EFC">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容重（g/cm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c>
          <w:tcPr>
            <w:tcW w:w="3000" w:type="pct"/>
            <w:vAlign w:val="center"/>
          </w:tcPr>
          <w:p w14:paraId="1E48457D">
            <w:pPr>
              <w:widowControl/>
              <w:spacing w:line="420" w:lineRule="exact"/>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1.09</w:t>
            </w:r>
          </w:p>
        </w:tc>
      </w:tr>
      <w:tr w14:paraId="28E9C16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37BA5BBA">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孔隙度（%）</w:t>
            </w:r>
          </w:p>
        </w:tc>
        <w:tc>
          <w:tcPr>
            <w:tcW w:w="3000" w:type="pct"/>
            <w:vAlign w:val="center"/>
          </w:tcPr>
          <w:p w14:paraId="24B9C518">
            <w:pPr>
              <w:widowControl/>
              <w:spacing w:line="420" w:lineRule="exact"/>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42.5</w:t>
            </w:r>
          </w:p>
        </w:tc>
      </w:tr>
      <w:tr w14:paraId="6799A47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4071CA35">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氧化还原电位（mV）</w:t>
            </w:r>
          </w:p>
        </w:tc>
        <w:tc>
          <w:tcPr>
            <w:tcW w:w="3000" w:type="pct"/>
            <w:vAlign w:val="center"/>
          </w:tcPr>
          <w:p w14:paraId="03F3DFB3">
            <w:pPr>
              <w:widowControl/>
              <w:spacing w:line="420" w:lineRule="exact"/>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414</w:t>
            </w:r>
          </w:p>
        </w:tc>
      </w:tr>
      <w:tr w14:paraId="6B63118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7" w:hRule="atLeast"/>
          <w:tblHeader/>
          <w:jc w:val="center"/>
        </w:trPr>
        <w:tc>
          <w:tcPr>
            <w:tcW w:w="1999" w:type="pct"/>
            <w:vAlign w:val="center"/>
          </w:tcPr>
          <w:p w14:paraId="7C2B5CA6">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阳离子交换量（cmol+/kg）</w:t>
            </w:r>
          </w:p>
        </w:tc>
        <w:tc>
          <w:tcPr>
            <w:tcW w:w="3000" w:type="pct"/>
            <w:vAlign w:val="center"/>
          </w:tcPr>
          <w:p w14:paraId="383AACE9">
            <w:pPr>
              <w:widowControl/>
              <w:spacing w:line="420" w:lineRule="exact"/>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26.2</w:t>
            </w:r>
          </w:p>
        </w:tc>
      </w:tr>
      <w:tr w14:paraId="4059E6C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67" w:hRule="atLeast"/>
          <w:tblHeader/>
          <w:jc w:val="center"/>
        </w:trPr>
        <w:tc>
          <w:tcPr>
            <w:tcW w:w="1999" w:type="pct"/>
            <w:vAlign w:val="center"/>
          </w:tcPr>
          <w:p w14:paraId="6B6E1229">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饱和导水率（cm/s）</w:t>
            </w:r>
          </w:p>
        </w:tc>
        <w:tc>
          <w:tcPr>
            <w:tcW w:w="3000" w:type="pct"/>
            <w:vAlign w:val="center"/>
          </w:tcPr>
          <w:p w14:paraId="5FED9D71">
            <w:pPr>
              <w:widowControl/>
              <w:spacing w:line="420" w:lineRule="exact"/>
              <w:jc w:val="center"/>
              <w:textAlignment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0.136</w:t>
            </w:r>
          </w:p>
        </w:tc>
      </w:tr>
    </w:tbl>
    <w:p w14:paraId="25482CB3">
      <w:pPr>
        <w:spacing w:line="360" w:lineRule="auto"/>
        <w:ind w:firstLine="480" w:firstLineChars="200"/>
        <w:jc w:val="left"/>
        <w:rPr>
          <w:rFonts w:hint="eastAsia"/>
          <w:szCs w:val="32"/>
        </w:rPr>
      </w:pPr>
      <w:r>
        <w:rPr>
          <w:rFonts w:hint="eastAsia"/>
          <w:szCs w:val="32"/>
        </w:rPr>
        <w:t>（2）土壤环境影响源调查</w:t>
      </w:r>
    </w:p>
    <w:p w14:paraId="5E21378D">
      <w:pPr>
        <w:spacing w:line="360" w:lineRule="auto"/>
        <w:ind w:firstLine="480" w:firstLineChars="200"/>
        <w:jc w:val="left"/>
        <w:rPr>
          <w:rFonts w:hint="eastAsia"/>
          <w:szCs w:val="32"/>
        </w:rPr>
      </w:pPr>
      <w:r>
        <w:rPr>
          <w:rFonts w:hint="eastAsia"/>
          <w:szCs w:val="32"/>
          <w:lang w:val="en-US" w:eastAsia="zh-CN"/>
        </w:rPr>
        <w:t>本项目</w:t>
      </w:r>
      <w:r>
        <w:rPr>
          <w:rFonts w:hint="eastAsia"/>
          <w:szCs w:val="32"/>
        </w:rPr>
        <w:t>属于“因人为因素导致某种物质进入土壤环境，引起土壤物理、化学、生物等方面特性改变，导致土壤质量恶化的过程或状态”，属于污染影响型建设项目。本次环评重点针对运营期的环境影响进行识别。</w:t>
      </w:r>
    </w:p>
    <w:p w14:paraId="36F64272">
      <w:pPr>
        <w:spacing w:line="360" w:lineRule="auto"/>
        <w:ind w:firstLine="480" w:firstLineChars="200"/>
        <w:jc w:val="left"/>
        <w:rPr>
          <w:rFonts w:hint="eastAsia"/>
          <w:szCs w:val="32"/>
        </w:rPr>
      </w:pPr>
      <w:r>
        <w:rPr>
          <w:rFonts w:hint="eastAsia"/>
          <w:szCs w:val="32"/>
        </w:rPr>
        <w:t>本项目土壤环境影响类型与影响途径识别见下表。</w:t>
      </w:r>
    </w:p>
    <w:p w14:paraId="7D7A67B2">
      <w:pPr>
        <w:spacing w:line="360" w:lineRule="auto"/>
        <w:jc w:val="center"/>
        <w:rPr>
          <w:rFonts w:hint="eastAsia"/>
          <w:b/>
        </w:rPr>
      </w:pPr>
      <w:r>
        <w:rPr>
          <w:rFonts w:hint="eastAsia"/>
          <w:b/>
        </w:rPr>
        <w:t>表5</w:t>
      </w:r>
      <w:r>
        <w:rPr>
          <w:rFonts w:hint="eastAsia"/>
          <w:b/>
          <w:lang w:val="en-US" w:eastAsia="zh-CN"/>
        </w:rPr>
        <w:t>.2-27</w:t>
      </w:r>
      <w:r>
        <w:rPr>
          <w:rFonts w:hint="eastAsia"/>
          <w:b/>
        </w:rPr>
        <w:t xml:space="preserve"> 建设项目土壤环境影响类型与影响途径表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7"/>
        <w:gridCol w:w="1028"/>
        <w:gridCol w:w="1028"/>
        <w:gridCol w:w="1028"/>
        <w:gridCol w:w="1028"/>
        <w:gridCol w:w="1028"/>
        <w:gridCol w:w="1028"/>
        <w:gridCol w:w="1028"/>
        <w:gridCol w:w="1020"/>
      </w:tblGrid>
      <w:tr w14:paraId="3DC64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vMerge w:val="restart"/>
            <w:shd w:val="clear" w:color="auto" w:fill="auto"/>
            <w:vAlign w:val="center"/>
          </w:tcPr>
          <w:p w14:paraId="55A9084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不同时段</w:t>
            </w:r>
          </w:p>
        </w:tc>
        <w:tc>
          <w:tcPr>
            <w:tcW w:w="2222" w:type="pct"/>
            <w:gridSpan w:val="4"/>
            <w:shd w:val="clear" w:color="auto" w:fill="auto"/>
            <w:vAlign w:val="center"/>
          </w:tcPr>
          <w:p w14:paraId="22F986F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污染影响型</w:t>
            </w:r>
          </w:p>
        </w:tc>
        <w:tc>
          <w:tcPr>
            <w:tcW w:w="2222" w:type="pct"/>
            <w:gridSpan w:val="4"/>
            <w:shd w:val="clear" w:color="auto" w:fill="auto"/>
            <w:vAlign w:val="center"/>
          </w:tcPr>
          <w:p w14:paraId="3EC81FB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生态影响型</w:t>
            </w:r>
          </w:p>
        </w:tc>
      </w:tr>
      <w:tr w14:paraId="721ED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vMerge w:val="continue"/>
            <w:shd w:val="clear" w:color="auto" w:fill="auto"/>
            <w:vAlign w:val="center"/>
          </w:tcPr>
          <w:p w14:paraId="323C87AE">
            <w:pPr>
              <w:jc w:val="center"/>
              <w:rPr>
                <w:rFonts w:hint="default" w:ascii="Times New Roman" w:hAnsi="Times New Roman" w:eastAsia="宋体" w:cs="Times New Roman"/>
                <w:color w:val="auto"/>
                <w:sz w:val="21"/>
                <w:szCs w:val="21"/>
                <w:lang w:val="en-US" w:eastAsia="zh-CN"/>
              </w:rPr>
            </w:pPr>
          </w:p>
        </w:tc>
        <w:tc>
          <w:tcPr>
            <w:tcW w:w="556" w:type="pct"/>
            <w:shd w:val="clear" w:color="auto" w:fill="auto"/>
            <w:vAlign w:val="center"/>
          </w:tcPr>
          <w:p w14:paraId="6CA636B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大气沉降</w:t>
            </w:r>
          </w:p>
        </w:tc>
        <w:tc>
          <w:tcPr>
            <w:tcW w:w="556" w:type="pct"/>
            <w:shd w:val="clear" w:color="auto" w:fill="auto"/>
            <w:vAlign w:val="center"/>
          </w:tcPr>
          <w:p w14:paraId="42E397C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地面漫流</w:t>
            </w:r>
          </w:p>
        </w:tc>
        <w:tc>
          <w:tcPr>
            <w:tcW w:w="556" w:type="pct"/>
            <w:shd w:val="clear" w:color="auto" w:fill="auto"/>
            <w:vAlign w:val="center"/>
          </w:tcPr>
          <w:p w14:paraId="4E81EFF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垂直入渗</w:t>
            </w:r>
          </w:p>
        </w:tc>
        <w:tc>
          <w:tcPr>
            <w:tcW w:w="556" w:type="pct"/>
            <w:shd w:val="clear" w:color="auto" w:fill="auto"/>
            <w:vAlign w:val="center"/>
          </w:tcPr>
          <w:p w14:paraId="3CD068D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其他</w:t>
            </w:r>
          </w:p>
        </w:tc>
        <w:tc>
          <w:tcPr>
            <w:tcW w:w="556" w:type="pct"/>
            <w:shd w:val="clear" w:color="auto" w:fill="auto"/>
            <w:vAlign w:val="center"/>
          </w:tcPr>
          <w:p w14:paraId="086924A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盐化</w:t>
            </w:r>
          </w:p>
        </w:tc>
        <w:tc>
          <w:tcPr>
            <w:tcW w:w="556" w:type="pct"/>
            <w:shd w:val="clear" w:color="auto" w:fill="auto"/>
            <w:vAlign w:val="center"/>
          </w:tcPr>
          <w:p w14:paraId="3B17804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碱化</w:t>
            </w:r>
          </w:p>
        </w:tc>
        <w:tc>
          <w:tcPr>
            <w:tcW w:w="556" w:type="pct"/>
            <w:shd w:val="clear" w:color="auto" w:fill="auto"/>
            <w:vAlign w:val="center"/>
          </w:tcPr>
          <w:p w14:paraId="475B83D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酸化</w:t>
            </w:r>
          </w:p>
        </w:tc>
        <w:tc>
          <w:tcPr>
            <w:tcW w:w="556" w:type="pct"/>
            <w:shd w:val="clear" w:color="auto" w:fill="auto"/>
            <w:vAlign w:val="center"/>
          </w:tcPr>
          <w:p w14:paraId="540F8C2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其他</w:t>
            </w:r>
          </w:p>
        </w:tc>
      </w:tr>
      <w:tr w14:paraId="26321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shd w:val="clear" w:color="auto" w:fill="auto"/>
            <w:vAlign w:val="center"/>
          </w:tcPr>
          <w:p w14:paraId="514B9CE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建设期</w:t>
            </w:r>
          </w:p>
        </w:tc>
        <w:tc>
          <w:tcPr>
            <w:tcW w:w="556" w:type="pct"/>
            <w:shd w:val="clear" w:color="auto" w:fill="auto"/>
            <w:vAlign w:val="center"/>
          </w:tcPr>
          <w:p w14:paraId="3E3A693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7A94B74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21B614A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0155802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150EF97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67DC0A3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478E97D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1A57BE8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32A2C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shd w:val="clear" w:color="auto" w:fill="auto"/>
            <w:vAlign w:val="center"/>
          </w:tcPr>
          <w:p w14:paraId="08CDA7A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运营期</w:t>
            </w:r>
          </w:p>
        </w:tc>
        <w:tc>
          <w:tcPr>
            <w:tcW w:w="556" w:type="pct"/>
            <w:shd w:val="clear" w:color="auto" w:fill="auto"/>
            <w:vAlign w:val="center"/>
          </w:tcPr>
          <w:p w14:paraId="53DA073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49F6B6C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5962EFF6">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3AA2F17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3000900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37FCBCD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2F1ECD0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0DB337A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561F3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shd w:val="clear" w:color="auto" w:fill="auto"/>
            <w:vAlign w:val="center"/>
          </w:tcPr>
          <w:p w14:paraId="25CD583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服务期满后</w:t>
            </w:r>
          </w:p>
        </w:tc>
        <w:tc>
          <w:tcPr>
            <w:tcW w:w="556" w:type="pct"/>
            <w:shd w:val="clear" w:color="auto" w:fill="auto"/>
            <w:vAlign w:val="center"/>
          </w:tcPr>
          <w:p w14:paraId="3948F923">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62D4AD7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58BA163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20B1E4A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2FC52E5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35C43EA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72C4EA0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56" w:type="pct"/>
            <w:shd w:val="clear" w:color="auto" w:fill="auto"/>
            <w:vAlign w:val="center"/>
          </w:tcPr>
          <w:p w14:paraId="44A7CDE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56245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9"/>
            <w:shd w:val="clear" w:color="auto" w:fill="auto"/>
            <w:vAlign w:val="center"/>
          </w:tcPr>
          <w:p w14:paraId="047DA8B8">
            <w:pPr>
              <w:spacing w:line="42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注：在可能产生的土壤环境影响类型处打“√”，列表未涵盖的可自行设计。</w:t>
            </w:r>
          </w:p>
        </w:tc>
      </w:tr>
    </w:tbl>
    <w:p w14:paraId="5D7FE5AB">
      <w:pPr>
        <w:spacing w:line="360" w:lineRule="auto"/>
        <w:jc w:val="center"/>
        <w:rPr>
          <w:rFonts w:hint="eastAsia"/>
          <w:b/>
        </w:rPr>
      </w:pPr>
      <w:r>
        <w:rPr>
          <w:rFonts w:hint="eastAsia"/>
          <w:b/>
        </w:rPr>
        <w:t>表5</w:t>
      </w:r>
      <w:r>
        <w:rPr>
          <w:rFonts w:hint="eastAsia"/>
          <w:b/>
          <w:lang w:val="en-US" w:eastAsia="zh-CN"/>
        </w:rPr>
        <w:t>.2-28</w:t>
      </w:r>
      <w:r>
        <w:rPr>
          <w:rFonts w:hint="eastAsia"/>
          <w:b/>
        </w:rPr>
        <w:t xml:space="preserve"> 污染影响型建设项目土壤环境影响源及影响因子识别表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996"/>
        <w:gridCol w:w="1327"/>
        <w:gridCol w:w="1325"/>
        <w:gridCol w:w="3536"/>
        <w:gridCol w:w="1180"/>
        <w:gridCol w:w="879"/>
      </w:tblGrid>
      <w:tr w14:paraId="2CBB642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9" w:type="pct"/>
            <w:shd w:val="clear" w:color="auto" w:fill="auto"/>
            <w:vAlign w:val="center"/>
          </w:tcPr>
          <w:p w14:paraId="790716C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污染源</w:t>
            </w:r>
          </w:p>
        </w:tc>
        <w:tc>
          <w:tcPr>
            <w:tcW w:w="718" w:type="pct"/>
            <w:shd w:val="clear" w:color="auto" w:fill="auto"/>
            <w:vAlign w:val="center"/>
          </w:tcPr>
          <w:p w14:paraId="00556E2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工艺节点</w:t>
            </w:r>
          </w:p>
        </w:tc>
        <w:tc>
          <w:tcPr>
            <w:tcW w:w="717" w:type="pct"/>
            <w:shd w:val="clear" w:color="auto" w:fill="auto"/>
            <w:vAlign w:val="center"/>
          </w:tcPr>
          <w:p w14:paraId="09A25DE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污染途径</w:t>
            </w:r>
          </w:p>
        </w:tc>
        <w:tc>
          <w:tcPr>
            <w:tcW w:w="1913" w:type="pct"/>
            <w:shd w:val="clear" w:color="auto" w:fill="auto"/>
            <w:vAlign w:val="center"/>
          </w:tcPr>
          <w:p w14:paraId="3E53538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全部污染物指标</w:t>
            </w:r>
          </w:p>
        </w:tc>
        <w:tc>
          <w:tcPr>
            <w:tcW w:w="638" w:type="pct"/>
            <w:shd w:val="clear" w:color="auto" w:fill="auto"/>
            <w:vAlign w:val="center"/>
          </w:tcPr>
          <w:p w14:paraId="177C15B7">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特征因子</w:t>
            </w:r>
          </w:p>
        </w:tc>
        <w:tc>
          <w:tcPr>
            <w:tcW w:w="475" w:type="pct"/>
            <w:shd w:val="clear" w:color="auto" w:fill="auto"/>
            <w:vAlign w:val="center"/>
          </w:tcPr>
          <w:p w14:paraId="371EF8D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备注</w:t>
            </w:r>
          </w:p>
        </w:tc>
      </w:tr>
      <w:tr w14:paraId="5E74A57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539" w:type="pct"/>
            <w:shd w:val="clear" w:color="auto" w:fill="auto"/>
            <w:vAlign w:val="center"/>
          </w:tcPr>
          <w:p w14:paraId="67E0AA19">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污水处理区</w:t>
            </w:r>
          </w:p>
        </w:tc>
        <w:tc>
          <w:tcPr>
            <w:tcW w:w="718" w:type="pct"/>
            <w:shd w:val="clear" w:color="auto" w:fill="auto"/>
            <w:vAlign w:val="center"/>
          </w:tcPr>
          <w:p w14:paraId="013EE27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污水处理</w:t>
            </w:r>
          </w:p>
        </w:tc>
        <w:tc>
          <w:tcPr>
            <w:tcW w:w="717" w:type="pct"/>
            <w:shd w:val="clear" w:color="auto" w:fill="auto"/>
            <w:vAlign w:val="center"/>
          </w:tcPr>
          <w:p w14:paraId="576FF905">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地表漫流、垂直入渗</w:t>
            </w:r>
          </w:p>
        </w:tc>
        <w:tc>
          <w:tcPr>
            <w:tcW w:w="1913" w:type="pct"/>
            <w:shd w:val="clear" w:color="auto" w:fill="auto"/>
            <w:vAlign w:val="center"/>
          </w:tcPr>
          <w:p w14:paraId="506B4CD8">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COD、BOD</w:t>
            </w:r>
            <w:r>
              <w:rPr>
                <w:rFonts w:hint="default" w:ascii="Times New Roman" w:hAnsi="Times New Roman" w:eastAsia="宋体" w:cs="Times New Roman"/>
                <w:color w:val="auto"/>
                <w:sz w:val="21"/>
                <w:szCs w:val="21"/>
                <w:vertAlign w:val="subscript"/>
                <w:lang w:val="en-US" w:eastAsia="zh-CN"/>
              </w:rPr>
              <w:t>5</w:t>
            </w:r>
            <w:r>
              <w:rPr>
                <w:rFonts w:hint="default" w:ascii="Times New Roman" w:hAnsi="Times New Roman" w:eastAsia="宋体" w:cs="Times New Roman"/>
                <w:color w:val="auto"/>
                <w:sz w:val="21"/>
                <w:szCs w:val="21"/>
                <w:lang w:val="en-US" w:eastAsia="zh-CN"/>
              </w:rPr>
              <w:t>、氨氮、SS、TN、TP、pH</w:t>
            </w:r>
          </w:p>
        </w:tc>
        <w:tc>
          <w:tcPr>
            <w:tcW w:w="638" w:type="pct"/>
            <w:shd w:val="clear" w:color="auto" w:fill="auto"/>
            <w:vAlign w:val="center"/>
          </w:tcPr>
          <w:p w14:paraId="39D0DEF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75" w:type="pct"/>
            <w:shd w:val="clear" w:color="auto" w:fill="auto"/>
            <w:vAlign w:val="center"/>
          </w:tcPr>
          <w:p w14:paraId="2775410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事故</w:t>
            </w:r>
          </w:p>
        </w:tc>
      </w:tr>
    </w:tbl>
    <w:p w14:paraId="0A70F82B">
      <w:pPr>
        <w:spacing w:line="360" w:lineRule="auto"/>
        <w:ind w:firstLine="480" w:firstLineChars="200"/>
        <w:jc w:val="left"/>
        <w:rPr>
          <w:rFonts w:hint="eastAsia"/>
          <w:szCs w:val="32"/>
        </w:rPr>
      </w:pPr>
      <w:r>
        <w:rPr>
          <w:rFonts w:hint="eastAsia"/>
          <w:szCs w:val="32"/>
        </w:rPr>
        <w:t>（3）土壤环境影响预测评价时段</w:t>
      </w:r>
    </w:p>
    <w:p w14:paraId="14917432">
      <w:pPr>
        <w:spacing w:line="360" w:lineRule="auto"/>
        <w:ind w:firstLine="480" w:firstLineChars="200"/>
        <w:jc w:val="left"/>
        <w:rPr>
          <w:rFonts w:hint="eastAsia"/>
          <w:szCs w:val="32"/>
        </w:rPr>
      </w:pPr>
      <w:r>
        <w:rPr>
          <w:rFonts w:hint="eastAsia"/>
          <w:szCs w:val="32"/>
        </w:rPr>
        <w:t>根据土壤影响途径识别情况可知，本项目土壤环境影响预测评价时段为施工期、运营期。由于其影响途径基本一致，考虑施工期施工时间较短，本次评价主要选取运营期进行预测，对施工期土壤环境影响提出防治要求。</w:t>
      </w:r>
    </w:p>
    <w:p w14:paraId="76C42172">
      <w:pPr>
        <w:spacing w:line="360" w:lineRule="auto"/>
        <w:ind w:firstLine="480" w:firstLineChars="200"/>
        <w:jc w:val="left"/>
        <w:rPr>
          <w:rFonts w:hint="eastAsia"/>
          <w:szCs w:val="32"/>
        </w:rPr>
      </w:pPr>
      <w:r>
        <w:rPr>
          <w:rFonts w:hint="eastAsia"/>
          <w:szCs w:val="32"/>
        </w:rPr>
        <w:t>（4）预测与评价方法</w:t>
      </w:r>
    </w:p>
    <w:p w14:paraId="56D88555">
      <w:pPr>
        <w:spacing w:line="360" w:lineRule="auto"/>
        <w:ind w:firstLine="480" w:firstLineChars="200"/>
        <w:jc w:val="left"/>
        <w:rPr>
          <w:rFonts w:hint="eastAsia"/>
          <w:szCs w:val="32"/>
        </w:rPr>
      </w:pPr>
      <w:r>
        <w:rPr>
          <w:rFonts w:hint="eastAsia"/>
          <w:szCs w:val="32"/>
        </w:rPr>
        <w:t>本项目土壤影响型评价等级为</w:t>
      </w:r>
      <w:r>
        <w:rPr>
          <w:rFonts w:hint="eastAsia"/>
          <w:szCs w:val="32"/>
          <w:lang w:val="en-US" w:eastAsia="zh-CN"/>
        </w:rPr>
        <w:t>三</w:t>
      </w:r>
      <w:r>
        <w:rPr>
          <w:rFonts w:hint="eastAsia"/>
          <w:szCs w:val="32"/>
        </w:rPr>
        <w:t>级，预测方法可采用类比分析。</w:t>
      </w:r>
    </w:p>
    <w:p w14:paraId="42FB15E2">
      <w:pPr>
        <w:spacing w:line="360" w:lineRule="auto"/>
        <w:ind w:firstLine="480" w:firstLineChars="200"/>
        <w:jc w:val="left"/>
        <w:rPr>
          <w:rFonts w:hint="eastAsia"/>
          <w:szCs w:val="32"/>
        </w:rPr>
      </w:pPr>
      <w:r>
        <w:rPr>
          <w:rFonts w:hint="eastAsia"/>
          <w:szCs w:val="32"/>
        </w:rPr>
        <w:t>污水厂建成后对土壤的影响主要是调节池、等池体以及污泥暂存场所因防渗老化、破坏及意外等造成废水渗漏进入土壤造成土壤污染。为了分析本工程对土壤环境的影响，本次评价类比调查项目黑龙江鸿展生物科技股份有限公司内的污水处理站厂区及周边土壤的监测结果。</w:t>
      </w:r>
    </w:p>
    <w:p w14:paraId="379F2BCA">
      <w:pPr>
        <w:spacing w:line="360" w:lineRule="auto"/>
        <w:ind w:firstLine="480" w:firstLineChars="200"/>
        <w:jc w:val="left"/>
        <w:rPr>
          <w:rFonts w:hint="eastAsia"/>
          <w:szCs w:val="32"/>
        </w:rPr>
      </w:pPr>
      <w:r>
        <w:rPr>
          <w:rFonts w:hint="eastAsia"/>
          <w:szCs w:val="32"/>
        </w:rPr>
        <w:t>黑龙江鸿展生物科技股份有限公司配套污水处理站已稳定运行多年，运行过程中未发生池体渗漏等情况，为了了解项目场地内土壤现状情况，在现有厂区周边布置了监测点位，通过对监测结果的分析，现有黑龙江鸿展生物科技股份有限公司污水处理站布设的厂区监测因子均能满足《土壤环境质量 建设用地土壤污染风险管控标准（试行）》（GB36600-2018）第二类用地筛选值的要求。说明污水站在运行过程中对土壤的影响较小，因此，只要项目在做好相应防渗漏措施，加强环境管理的基础上，预计本项目建成后对土壤环境影响不大。</w:t>
      </w:r>
    </w:p>
    <w:p w14:paraId="2C76731A">
      <w:pPr>
        <w:spacing w:line="360" w:lineRule="auto"/>
        <w:ind w:firstLine="480" w:firstLineChars="200"/>
        <w:jc w:val="left"/>
        <w:rPr>
          <w:rFonts w:hint="eastAsia"/>
          <w:szCs w:val="32"/>
        </w:rPr>
      </w:pPr>
      <w:r>
        <w:rPr>
          <w:rFonts w:hint="eastAsia"/>
          <w:szCs w:val="32"/>
        </w:rPr>
        <w:t>在本工程建设过程中，为防止事故状态对土壤的污染，减少项目运行过程中对土壤环境的不利影响，固废严格按要求进行暂存、控制项目“三废”的排放、各构筑物防渗建设等，在采取这些措施的基础上，污水厂建成后对土壤影响较小。</w:t>
      </w:r>
    </w:p>
    <w:p w14:paraId="5D6ED82F">
      <w:pPr>
        <w:spacing w:line="360" w:lineRule="auto"/>
        <w:ind w:firstLine="480" w:firstLineChars="200"/>
        <w:jc w:val="left"/>
        <w:rPr>
          <w:rFonts w:hint="eastAsia"/>
          <w:szCs w:val="32"/>
        </w:rPr>
      </w:pPr>
      <w:r>
        <w:rPr>
          <w:rFonts w:hint="eastAsia"/>
          <w:szCs w:val="32"/>
        </w:rPr>
        <w:t>综上，项目对周围土壤环境影响较小。</w:t>
      </w:r>
    </w:p>
    <w:p w14:paraId="0C5D4A98">
      <w:pPr>
        <w:pStyle w:val="4"/>
      </w:pPr>
      <w:r>
        <w:t>5.2.</w:t>
      </w:r>
      <w:r>
        <w:rPr>
          <w:rFonts w:hint="eastAsia"/>
          <w:lang w:val="en-US" w:eastAsia="zh-CN"/>
        </w:rPr>
        <w:t>8环境风险</w:t>
      </w:r>
      <w:r>
        <w:t>分析</w:t>
      </w:r>
    </w:p>
    <w:p w14:paraId="2B5C5CA5">
      <w:pPr>
        <w:pStyle w:val="5"/>
        <w:rPr>
          <w:rFonts w:hint="default" w:eastAsia="宋体"/>
          <w:lang w:val="en-US" w:eastAsia="zh-CN"/>
        </w:rPr>
      </w:pPr>
      <w:r>
        <w:rPr>
          <w:rFonts w:hint="eastAsia" w:eastAsia="宋体"/>
        </w:rPr>
        <w:t>5.2.</w:t>
      </w:r>
      <w:r>
        <w:rPr>
          <w:rFonts w:hint="eastAsia" w:eastAsia="宋体"/>
          <w:lang w:val="en-US" w:eastAsia="zh-CN"/>
        </w:rPr>
        <w:t>8</w:t>
      </w:r>
      <w:r>
        <w:rPr>
          <w:rFonts w:hint="eastAsia" w:eastAsia="宋体"/>
        </w:rPr>
        <w:t>.1</w:t>
      </w:r>
      <w:r>
        <w:rPr>
          <w:rFonts w:hint="eastAsia" w:eastAsia="宋体"/>
          <w:lang w:val="en-US" w:eastAsia="zh-CN"/>
        </w:rPr>
        <w:t>环境风险</w:t>
      </w:r>
    </w:p>
    <w:p w14:paraId="5C44B7EE">
      <w:pPr>
        <w:spacing w:line="360" w:lineRule="auto"/>
        <w:ind w:firstLine="480" w:firstLineChars="200"/>
        <w:jc w:val="left"/>
        <w:rPr>
          <w:rFonts w:hint="eastAsia"/>
          <w:szCs w:val="32"/>
        </w:rPr>
      </w:pPr>
      <w:r>
        <w:rPr>
          <w:rFonts w:hint="eastAsia"/>
          <w:szCs w:val="32"/>
        </w:rPr>
        <w:t>由风险识别可知，</w:t>
      </w:r>
      <w:r>
        <w:rPr>
          <w:rFonts w:hint="eastAsia"/>
          <w:szCs w:val="32"/>
          <w:lang w:val="en-US" w:eastAsia="zh-CN"/>
        </w:rPr>
        <w:t>本项目</w:t>
      </w:r>
      <w:r>
        <w:rPr>
          <w:rFonts w:hint="eastAsia"/>
          <w:szCs w:val="32"/>
        </w:rPr>
        <w:t>无重大危险源，运营过程中主要环境风险事故源项有：</w:t>
      </w:r>
    </w:p>
    <w:p w14:paraId="446E4ECD">
      <w:pPr>
        <w:spacing w:line="360" w:lineRule="auto"/>
        <w:ind w:firstLine="480" w:firstLineChars="200"/>
        <w:jc w:val="left"/>
        <w:rPr>
          <w:rFonts w:hint="eastAsia"/>
          <w:szCs w:val="32"/>
        </w:rPr>
      </w:pPr>
      <w:r>
        <w:rPr>
          <w:rFonts w:hint="eastAsia"/>
          <w:szCs w:val="32"/>
        </w:rPr>
        <w:t>①在设备故障、突发停电等情况下，污水非正常排放、污泥过量储存发酵放等对周围环境造成的影响。</w:t>
      </w:r>
    </w:p>
    <w:p w14:paraId="1FF0560C">
      <w:pPr>
        <w:spacing w:line="360" w:lineRule="auto"/>
        <w:ind w:firstLine="480" w:firstLineChars="200"/>
        <w:jc w:val="left"/>
        <w:rPr>
          <w:rFonts w:hint="eastAsia"/>
          <w:szCs w:val="32"/>
        </w:rPr>
      </w:pPr>
      <w:r>
        <w:rPr>
          <w:rFonts w:hint="eastAsia"/>
          <w:szCs w:val="32"/>
        </w:rPr>
        <w:t>②在进水水质突变、水量负荷突增等情况下，污水处理效率降低，污水无法达标排放对周围环境造成的影响。</w:t>
      </w:r>
    </w:p>
    <w:p w14:paraId="156FFB79">
      <w:pPr>
        <w:spacing w:line="360" w:lineRule="auto"/>
        <w:ind w:firstLine="480" w:firstLineChars="200"/>
        <w:jc w:val="left"/>
        <w:rPr>
          <w:rFonts w:hint="eastAsia"/>
          <w:szCs w:val="32"/>
        </w:rPr>
      </w:pPr>
      <w:r>
        <w:rPr>
          <w:rFonts w:hint="eastAsia"/>
          <w:szCs w:val="32"/>
        </w:rPr>
        <w:t>（</w:t>
      </w:r>
      <w:r>
        <w:rPr>
          <w:rFonts w:hint="eastAsia"/>
          <w:szCs w:val="32"/>
          <w:lang w:val="en-US" w:eastAsia="zh-CN"/>
        </w:rPr>
        <w:t>1</w:t>
      </w:r>
      <w:r>
        <w:rPr>
          <w:rFonts w:hint="eastAsia"/>
          <w:szCs w:val="32"/>
        </w:rPr>
        <w:t>）污水非正常排放事故影响分析</w:t>
      </w:r>
    </w:p>
    <w:p w14:paraId="03DDEE98">
      <w:pPr>
        <w:spacing w:line="360" w:lineRule="auto"/>
        <w:ind w:firstLine="480" w:firstLineChars="200"/>
        <w:jc w:val="left"/>
        <w:rPr>
          <w:rFonts w:hint="eastAsia"/>
          <w:szCs w:val="32"/>
        </w:rPr>
      </w:pPr>
      <w:r>
        <w:rPr>
          <w:rFonts w:hint="eastAsia"/>
          <w:szCs w:val="32"/>
        </w:rPr>
        <w:t>污水非正常排放主要包括污水处理设备故障、突发停电和人员操作失误等，在上述情况下，污水处理效率降低或未经处理直接排放，会对嫩江水质产生一定的不良影响，进而污染项目所在区域的地下水环境，影响周边居民的正常生产生活。园区污水处理厂需在运营过程中采取切实可行的管理措施将污水非正常排放的风险降至最低。</w:t>
      </w:r>
    </w:p>
    <w:p w14:paraId="6CD43D51">
      <w:pPr>
        <w:spacing w:line="360" w:lineRule="auto"/>
        <w:ind w:firstLine="480" w:firstLineChars="200"/>
        <w:jc w:val="left"/>
        <w:rPr>
          <w:rFonts w:hint="eastAsia"/>
          <w:szCs w:val="32"/>
        </w:rPr>
      </w:pPr>
      <w:r>
        <w:rPr>
          <w:rFonts w:hint="eastAsia"/>
          <w:szCs w:val="32"/>
        </w:rPr>
        <w:t>事故状况下，第一时间关闭进、出水阀门，并通知排水单位停止进行排水，现有废水排入事故池内暂存，防止事故废水流入嫩江，导致对地表水体造成冲击。</w:t>
      </w:r>
      <w:r>
        <w:rPr>
          <w:rFonts w:hint="eastAsia"/>
          <w:szCs w:val="32"/>
          <w:lang w:val="en-US" w:eastAsia="zh-CN"/>
        </w:rPr>
        <w:t>本项目设</w:t>
      </w:r>
      <w:r>
        <w:rPr>
          <w:rFonts w:hint="eastAsia"/>
          <w:szCs w:val="32"/>
        </w:rPr>
        <w:t>事故池</w:t>
      </w:r>
      <w:r>
        <w:rPr>
          <w:rFonts w:hint="eastAsia"/>
          <w:szCs w:val="32"/>
          <w:lang w:val="en-US" w:eastAsia="zh-CN"/>
        </w:rPr>
        <w:t>6</w:t>
      </w:r>
      <w:r>
        <w:rPr>
          <w:rFonts w:hint="eastAsia"/>
          <w:szCs w:val="32"/>
        </w:rPr>
        <w:t>000m3，可以容纳下本项目事故状况下废水暂存需求。</w:t>
      </w:r>
    </w:p>
    <w:p w14:paraId="2C5DE4E5">
      <w:pPr>
        <w:spacing w:line="360" w:lineRule="auto"/>
        <w:ind w:firstLine="480" w:firstLineChars="200"/>
        <w:jc w:val="left"/>
        <w:rPr>
          <w:rFonts w:hint="eastAsia"/>
          <w:szCs w:val="32"/>
        </w:rPr>
      </w:pPr>
      <w:r>
        <w:rPr>
          <w:rFonts w:hint="eastAsia"/>
          <w:szCs w:val="32"/>
        </w:rPr>
        <w:t>（</w:t>
      </w:r>
      <w:r>
        <w:rPr>
          <w:rFonts w:hint="eastAsia"/>
          <w:szCs w:val="32"/>
          <w:lang w:val="en-US" w:eastAsia="zh-CN"/>
        </w:rPr>
        <w:t>2</w:t>
      </w:r>
      <w:r>
        <w:rPr>
          <w:rFonts w:hint="eastAsia"/>
          <w:szCs w:val="32"/>
        </w:rPr>
        <w:t>）污泥发酵事故影响分析</w:t>
      </w:r>
    </w:p>
    <w:p w14:paraId="5D740C66">
      <w:pPr>
        <w:spacing w:line="360" w:lineRule="auto"/>
        <w:ind w:firstLine="480" w:firstLineChars="200"/>
        <w:jc w:val="left"/>
        <w:rPr>
          <w:rFonts w:hint="eastAsia"/>
          <w:szCs w:val="32"/>
        </w:rPr>
      </w:pPr>
      <w:r>
        <w:rPr>
          <w:rFonts w:hint="eastAsia"/>
          <w:szCs w:val="32"/>
        </w:rPr>
        <w:t>污水处理</w:t>
      </w:r>
      <w:r>
        <w:rPr>
          <w:rFonts w:hint="eastAsia"/>
          <w:szCs w:val="32"/>
          <w:lang w:val="en-US" w:eastAsia="zh-CN"/>
        </w:rPr>
        <w:t>站</w:t>
      </w:r>
      <w:r>
        <w:rPr>
          <w:rFonts w:hint="eastAsia"/>
          <w:szCs w:val="32"/>
        </w:rPr>
        <w:t>的污泥中含一定有机物、病原体及其它污染物质，如不进行及时、恰当的处置，将可能散发臭气，对人体健康产生危害。</w:t>
      </w:r>
    </w:p>
    <w:p w14:paraId="6B363F46">
      <w:pPr>
        <w:spacing w:line="360" w:lineRule="auto"/>
        <w:ind w:firstLine="480" w:firstLineChars="200"/>
        <w:jc w:val="left"/>
        <w:rPr>
          <w:rFonts w:hint="eastAsia"/>
          <w:szCs w:val="32"/>
        </w:rPr>
      </w:pPr>
      <w:r>
        <w:rPr>
          <w:rFonts w:hint="eastAsia"/>
          <w:szCs w:val="32"/>
        </w:rPr>
        <w:t>污水处理</w:t>
      </w:r>
      <w:r>
        <w:rPr>
          <w:rFonts w:hint="eastAsia"/>
          <w:szCs w:val="32"/>
          <w:lang w:val="en-US" w:eastAsia="zh-CN"/>
        </w:rPr>
        <w:t>站</w:t>
      </w:r>
      <w:r>
        <w:rPr>
          <w:rFonts w:hint="eastAsia"/>
          <w:szCs w:val="32"/>
        </w:rPr>
        <w:t>运营过程中，如果污泥脱水浓缩设备发生故障或遇突发停电等情况，大量污泥就只能暂时放在贮泥池中。污泥长时间未经处理放置，会引起污泥发酵，出现污泥分层、发泡、散发恶臭气体以及贮泥池爆满外溢等现象，对周边大气环境产生不良影响。因此，污水处理</w:t>
      </w:r>
      <w:r>
        <w:rPr>
          <w:rFonts w:hint="eastAsia"/>
          <w:szCs w:val="32"/>
          <w:lang w:val="en-US" w:eastAsia="zh-CN"/>
        </w:rPr>
        <w:t>站</w:t>
      </w:r>
      <w:r>
        <w:rPr>
          <w:rFonts w:hint="eastAsia"/>
          <w:szCs w:val="32"/>
        </w:rPr>
        <w:t>在运营过程中加强管理、采取各种应急措施，保证污水处理</w:t>
      </w:r>
      <w:r>
        <w:rPr>
          <w:rFonts w:hint="eastAsia"/>
          <w:szCs w:val="32"/>
          <w:lang w:val="en-US" w:eastAsia="zh-CN"/>
        </w:rPr>
        <w:t>站</w:t>
      </w:r>
      <w:r>
        <w:rPr>
          <w:rFonts w:hint="eastAsia"/>
          <w:szCs w:val="32"/>
        </w:rPr>
        <w:t>的污泥及时由接收单位处理，不在厂区内长期堆存，减轻对周围环境的影响。</w:t>
      </w:r>
    </w:p>
    <w:p w14:paraId="6C69F791">
      <w:pPr>
        <w:spacing w:line="360" w:lineRule="auto"/>
        <w:ind w:firstLine="480" w:firstLineChars="200"/>
        <w:jc w:val="left"/>
        <w:rPr>
          <w:rFonts w:hint="eastAsia"/>
          <w:szCs w:val="32"/>
        </w:rPr>
      </w:pPr>
      <w:r>
        <w:rPr>
          <w:rFonts w:hint="eastAsia"/>
          <w:szCs w:val="32"/>
        </w:rPr>
        <w:t>（</w:t>
      </w:r>
      <w:r>
        <w:rPr>
          <w:rFonts w:hint="eastAsia"/>
          <w:szCs w:val="32"/>
          <w:lang w:val="en-US" w:eastAsia="zh-CN"/>
        </w:rPr>
        <w:t>3</w:t>
      </w:r>
      <w:r>
        <w:rPr>
          <w:rFonts w:hint="eastAsia"/>
          <w:szCs w:val="32"/>
        </w:rPr>
        <w:t>）管线泄漏风险事故影响分析</w:t>
      </w:r>
    </w:p>
    <w:p w14:paraId="492B68AE">
      <w:pPr>
        <w:spacing w:line="360" w:lineRule="auto"/>
        <w:ind w:firstLine="480" w:firstLineChars="200"/>
        <w:jc w:val="left"/>
        <w:rPr>
          <w:rFonts w:hint="eastAsia"/>
          <w:szCs w:val="32"/>
        </w:rPr>
      </w:pPr>
      <w:r>
        <w:rPr>
          <w:rFonts w:hint="eastAsia"/>
          <w:szCs w:val="32"/>
        </w:rPr>
        <w:t>各污水处理构筑物通过污水管线连接，污水处理构筑物与污泥处理设施之间通过污泥管线连接。运营过程中，如果管线发生堵塞、破裂或管线连接处发生破损，会造成污水或污泥外泄，污染厂区环境，对地下水环境造成污染。故在设计过程中，选用优质管线，运营期加强管线的维护及保养，尽量降低管线泄漏风险事故的发生，将对环境影响降至最低。</w:t>
      </w:r>
    </w:p>
    <w:p w14:paraId="33EC4E3A">
      <w:pPr>
        <w:pStyle w:val="5"/>
        <w:rPr>
          <w:rFonts w:hint="eastAsia" w:eastAsia="宋体"/>
        </w:rPr>
      </w:pPr>
      <w:r>
        <w:rPr>
          <w:rFonts w:hint="eastAsia" w:eastAsia="宋体"/>
        </w:rPr>
        <w:t>5.2.</w:t>
      </w:r>
      <w:r>
        <w:rPr>
          <w:rFonts w:hint="eastAsia" w:eastAsia="宋体"/>
          <w:lang w:val="en-US" w:eastAsia="zh-CN"/>
        </w:rPr>
        <w:t>8.2</w:t>
      </w:r>
      <w:r>
        <w:rPr>
          <w:rFonts w:hint="eastAsia" w:eastAsia="宋体"/>
        </w:rPr>
        <w:t>突发环境事件应急预案</w:t>
      </w:r>
    </w:p>
    <w:p w14:paraId="32C222A7">
      <w:pPr>
        <w:spacing w:line="360" w:lineRule="auto"/>
        <w:ind w:firstLine="480" w:firstLineChars="200"/>
        <w:jc w:val="left"/>
        <w:rPr>
          <w:rFonts w:hint="eastAsia"/>
          <w:szCs w:val="32"/>
        </w:rPr>
      </w:pPr>
      <w:r>
        <w:rPr>
          <w:rFonts w:hint="eastAsia"/>
          <w:szCs w:val="32"/>
        </w:rPr>
        <w:t>（1）应急预案主要内容</w:t>
      </w:r>
    </w:p>
    <w:p w14:paraId="44431174">
      <w:pPr>
        <w:spacing w:line="360" w:lineRule="auto"/>
        <w:ind w:firstLine="480" w:firstLineChars="200"/>
        <w:jc w:val="left"/>
        <w:rPr>
          <w:rFonts w:hint="eastAsia"/>
          <w:szCs w:val="32"/>
        </w:rPr>
      </w:pPr>
      <w:r>
        <w:rPr>
          <w:rFonts w:hint="eastAsia"/>
          <w:szCs w:val="32"/>
        </w:rPr>
        <w:t>重大事故可能造成人员的严重伤害或丧生和引起财产的损失，它一般要求厂外紧急服务部门帮助进行有效地处理。尽管事故可由许多不同因素引起，如设备故障、人的失误、自然灾害等，但其主要表现形式一般为两种：火灾、爆炸。好的设计、操作、维护和检查可以用来预防事故、减少事故的危险，但不能消除它，即绝对安全是达不到的，因而重大危险控制的重要组成部分是如何降低重大事故后果的影响。</w:t>
      </w:r>
    </w:p>
    <w:p w14:paraId="2B975BD4">
      <w:pPr>
        <w:spacing w:line="360" w:lineRule="auto"/>
        <w:ind w:firstLine="480" w:firstLineChars="200"/>
        <w:jc w:val="left"/>
        <w:rPr>
          <w:rFonts w:hint="eastAsia"/>
          <w:szCs w:val="32"/>
        </w:rPr>
      </w:pPr>
      <w:r>
        <w:rPr>
          <w:rFonts w:hint="eastAsia"/>
          <w:szCs w:val="32"/>
        </w:rPr>
        <w:t>事故应急预案的总目标是：将紧急事故局部化，若可能并予以消除；尽量缩小事故对人和财产的影响。消除事故一定要求操作人员和工厂紧急事故人员迅速行动，并使用消防设备、紧急关闭阀门等。</w:t>
      </w:r>
    </w:p>
    <w:p w14:paraId="25F60AF1">
      <w:pPr>
        <w:spacing w:line="360" w:lineRule="auto"/>
        <w:ind w:firstLine="480" w:firstLineChars="200"/>
        <w:jc w:val="left"/>
        <w:rPr>
          <w:rFonts w:hint="eastAsia"/>
          <w:szCs w:val="32"/>
        </w:rPr>
      </w:pPr>
      <w:r>
        <w:rPr>
          <w:rFonts w:hint="eastAsia"/>
          <w:szCs w:val="32"/>
        </w:rPr>
        <w:t>事故应急救援预案应由管理和操作人员针对装置的具体情况进行编写，为了能在事故发生的初期阶段采取紧急措施，控制事态，把事故损失降低到最小。针对可能出现较大事故，应该制定相应的事故应急预案。</w:t>
      </w:r>
    </w:p>
    <w:p w14:paraId="1795AC83">
      <w:pPr>
        <w:spacing w:line="360" w:lineRule="auto"/>
        <w:ind w:firstLine="480" w:firstLineChars="200"/>
        <w:jc w:val="left"/>
        <w:rPr>
          <w:rFonts w:hint="eastAsia"/>
          <w:szCs w:val="32"/>
        </w:rPr>
      </w:pPr>
      <w:r>
        <w:rPr>
          <w:rFonts w:hint="eastAsia"/>
          <w:szCs w:val="32"/>
        </w:rPr>
        <w:t>根据《建设项目环境风险评价技术导则》，应急预案的主要内容见下表。</w:t>
      </w:r>
    </w:p>
    <w:p w14:paraId="7553A1DD">
      <w:pPr>
        <w:spacing w:line="360" w:lineRule="auto"/>
        <w:jc w:val="center"/>
        <w:rPr>
          <w:rFonts w:hint="eastAsia"/>
          <w:b/>
        </w:rPr>
      </w:pPr>
      <w:r>
        <w:rPr>
          <w:rFonts w:hint="eastAsia"/>
          <w:b/>
        </w:rPr>
        <w:t>表5</w:t>
      </w:r>
      <w:r>
        <w:rPr>
          <w:rFonts w:hint="eastAsia"/>
          <w:b/>
          <w:lang w:val="en-US" w:eastAsia="zh-CN"/>
        </w:rPr>
        <w:t>.2-28</w:t>
      </w:r>
      <w:r>
        <w:rPr>
          <w:rFonts w:hint="eastAsia"/>
          <w:b/>
        </w:rPr>
        <w:t xml:space="preserve"> 应急预案主要内容</w:t>
      </w:r>
    </w:p>
    <w:tbl>
      <w:tblPr>
        <w:tblStyle w:val="53"/>
        <w:tblW w:w="5114" w:type="pct"/>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2708"/>
        <w:gridCol w:w="6069"/>
      </w:tblGrid>
      <w:tr w14:paraId="32295CA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auto" w:sz="4" w:space="0"/>
              <w:left w:val="single" w:color="auto" w:sz="4" w:space="0"/>
              <w:bottom w:val="single" w:color="000000" w:sz="4" w:space="0"/>
              <w:right w:val="single" w:color="000000" w:sz="4" w:space="0"/>
            </w:tcBorders>
            <w:vAlign w:val="center"/>
          </w:tcPr>
          <w:p w14:paraId="51C3135D">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序号</w:t>
            </w:r>
          </w:p>
        </w:tc>
        <w:tc>
          <w:tcPr>
            <w:tcW w:w="1432" w:type="pct"/>
            <w:tcBorders>
              <w:top w:val="single" w:color="auto" w:sz="4" w:space="0"/>
              <w:left w:val="single" w:color="000000" w:sz="4" w:space="0"/>
              <w:bottom w:val="single" w:color="000000" w:sz="4" w:space="0"/>
              <w:right w:val="single" w:color="000000" w:sz="4" w:space="0"/>
            </w:tcBorders>
            <w:vAlign w:val="center"/>
          </w:tcPr>
          <w:p w14:paraId="01268A37">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项目</w:t>
            </w:r>
          </w:p>
        </w:tc>
        <w:tc>
          <w:tcPr>
            <w:tcW w:w="3209" w:type="pct"/>
            <w:tcBorders>
              <w:top w:val="single" w:color="auto" w:sz="4" w:space="0"/>
              <w:left w:val="single" w:color="000000" w:sz="4" w:space="0"/>
              <w:bottom w:val="single" w:color="000000" w:sz="4" w:space="0"/>
              <w:right w:val="single" w:color="auto" w:sz="4" w:space="0"/>
            </w:tcBorders>
            <w:vAlign w:val="center"/>
          </w:tcPr>
          <w:p w14:paraId="6B7B5FB9">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内容及要求</w:t>
            </w:r>
          </w:p>
        </w:tc>
      </w:tr>
      <w:tr w14:paraId="0375BC6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5EE5F41C">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1</w:t>
            </w:r>
          </w:p>
        </w:tc>
        <w:tc>
          <w:tcPr>
            <w:tcW w:w="1432" w:type="pct"/>
            <w:tcBorders>
              <w:top w:val="single" w:color="000000" w:sz="4" w:space="0"/>
              <w:left w:val="single" w:color="000000" w:sz="4" w:space="0"/>
              <w:bottom w:val="single" w:color="000000" w:sz="4" w:space="0"/>
              <w:right w:val="single" w:color="000000" w:sz="4" w:space="0"/>
            </w:tcBorders>
            <w:vAlign w:val="center"/>
          </w:tcPr>
          <w:p w14:paraId="67A0042E">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应急计划区</w:t>
            </w:r>
          </w:p>
        </w:tc>
        <w:tc>
          <w:tcPr>
            <w:tcW w:w="3209" w:type="pct"/>
            <w:tcBorders>
              <w:top w:val="single" w:color="000000" w:sz="4" w:space="0"/>
              <w:left w:val="single" w:color="000000" w:sz="4" w:space="0"/>
              <w:bottom w:val="single" w:color="000000" w:sz="4" w:space="0"/>
              <w:right w:val="single" w:color="auto" w:sz="4" w:space="0"/>
            </w:tcBorders>
            <w:vAlign w:val="center"/>
          </w:tcPr>
          <w:p w14:paraId="4E4D779F">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危险目标：1个药剂储存间</w:t>
            </w:r>
          </w:p>
        </w:tc>
      </w:tr>
      <w:tr w14:paraId="569AD84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6BF4A740">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2</w:t>
            </w:r>
          </w:p>
        </w:tc>
        <w:tc>
          <w:tcPr>
            <w:tcW w:w="1432" w:type="pct"/>
            <w:tcBorders>
              <w:top w:val="single" w:color="000000" w:sz="4" w:space="0"/>
              <w:left w:val="single" w:color="000000" w:sz="4" w:space="0"/>
              <w:bottom w:val="single" w:color="000000" w:sz="4" w:space="0"/>
              <w:right w:val="single" w:color="000000" w:sz="4" w:space="0"/>
            </w:tcBorders>
            <w:vAlign w:val="center"/>
          </w:tcPr>
          <w:p w14:paraId="5F25891A">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应急组织机构、人员</w:t>
            </w:r>
          </w:p>
        </w:tc>
        <w:tc>
          <w:tcPr>
            <w:tcW w:w="3209" w:type="pct"/>
            <w:tcBorders>
              <w:top w:val="single" w:color="000000" w:sz="4" w:space="0"/>
              <w:left w:val="single" w:color="000000" w:sz="4" w:space="0"/>
              <w:bottom w:val="single" w:color="000000" w:sz="4" w:space="0"/>
              <w:right w:val="single" w:color="auto" w:sz="4" w:space="0"/>
            </w:tcBorders>
            <w:vAlign w:val="center"/>
          </w:tcPr>
          <w:p w14:paraId="767492C0">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工厂、地区应急组织机构、人员</w:t>
            </w:r>
          </w:p>
        </w:tc>
      </w:tr>
      <w:tr w14:paraId="35236F7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6F9C8811">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3</w:t>
            </w:r>
          </w:p>
        </w:tc>
        <w:tc>
          <w:tcPr>
            <w:tcW w:w="1432" w:type="pct"/>
            <w:tcBorders>
              <w:top w:val="single" w:color="000000" w:sz="4" w:space="0"/>
              <w:left w:val="single" w:color="000000" w:sz="4" w:space="0"/>
              <w:bottom w:val="single" w:color="000000" w:sz="4" w:space="0"/>
              <w:right w:val="single" w:color="000000" w:sz="4" w:space="0"/>
            </w:tcBorders>
            <w:vAlign w:val="center"/>
          </w:tcPr>
          <w:p w14:paraId="4A918C75">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预案分级响应条件</w:t>
            </w:r>
          </w:p>
        </w:tc>
        <w:tc>
          <w:tcPr>
            <w:tcW w:w="3209" w:type="pct"/>
            <w:tcBorders>
              <w:top w:val="single" w:color="000000" w:sz="4" w:space="0"/>
              <w:left w:val="single" w:color="000000" w:sz="4" w:space="0"/>
              <w:bottom w:val="single" w:color="000000" w:sz="4" w:space="0"/>
              <w:right w:val="single" w:color="auto" w:sz="4" w:space="0"/>
            </w:tcBorders>
            <w:vAlign w:val="center"/>
          </w:tcPr>
          <w:p w14:paraId="6DB4517B">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规定预案的级别及分级响应程序</w:t>
            </w:r>
          </w:p>
        </w:tc>
      </w:tr>
      <w:tr w14:paraId="731F569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2F3E2425">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4</w:t>
            </w:r>
          </w:p>
        </w:tc>
        <w:tc>
          <w:tcPr>
            <w:tcW w:w="1432" w:type="pct"/>
            <w:tcBorders>
              <w:top w:val="single" w:color="000000" w:sz="4" w:space="0"/>
              <w:left w:val="single" w:color="000000" w:sz="4" w:space="0"/>
              <w:bottom w:val="single" w:color="000000" w:sz="4" w:space="0"/>
              <w:right w:val="single" w:color="000000" w:sz="4" w:space="0"/>
            </w:tcBorders>
            <w:vAlign w:val="center"/>
          </w:tcPr>
          <w:p w14:paraId="3BF6FADE">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应急救援保障</w:t>
            </w:r>
          </w:p>
        </w:tc>
        <w:tc>
          <w:tcPr>
            <w:tcW w:w="3209" w:type="pct"/>
            <w:tcBorders>
              <w:top w:val="single" w:color="000000" w:sz="4" w:space="0"/>
              <w:left w:val="single" w:color="000000" w:sz="4" w:space="0"/>
              <w:bottom w:val="single" w:color="000000" w:sz="4" w:space="0"/>
              <w:right w:val="single" w:color="auto" w:sz="4" w:space="0"/>
            </w:tcBorders>
            <w:vAlign w:val="center"/>
          </w:tcPr>
          <w:p w14:paraId="788B3C5C">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应急设施，设备与器材等</w:t>
            </w:r>
          </w:p>
        </w:tc>
      </w:tr>
      <w:tr w14:paraId="7BD2882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74433AF3">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5</w:t>
            </w:r>
          </w:p>
        </w:tc>
        <w:tc>
          <w:tcPr>
            <w:tcW w:w="1432" w:type="pct"/>
            <w:tcBorders>
              <w:top w:val="single" w:color="000000" w:sz="4" w:space="0"/>
              <w:left w:val="single" w:color="000000" w:sz="4" w:space="0"/>
              <w:bottom w:val="single" w:color="000000" w:sz="4" w:space="0"/>
              <w:right w:val="single" w:color="000000" w:sz="4" w:space="0"/>
            </w:tcBorders>
            <w:vAlign w:val="center"/>
          </w:tcPr>
          <w:p w14:paraId="4D73BE3D">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报警、通讯联络方式</w:t>
            </w:r>
          </w:p>
        </w:tc>
        <w:tc>
          <w:tcPr>
            <w:tcW w:w="3209" w:type="pct"/>
            <w:tcBorders>
              <w:top w:val="single" w:color="000000" w:sz="4" w:space="0"/>
              <w:left w:val="single" w:color="000000" w:sz="4" w:space="0"/>
              <w:bottom w:val="single" w:color="000000" w:sz="4" w:space="0"/>
              <w:right w:val="single" w:color="auto" w:sz="4" w:space="0"/>
            </w:tcBorders>
            <w:vAlign w:val="center"/>
          </w:tcPr>
          <w:p w14:paraId="036C065A">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规定应急状态下的报警通讯方式、通知方式和交通保障、管制</w:t>
            </w:r>
          </w:p>
        </w:tc>
      </w:tr>
      <w:tr w14:paraId="7DD7CD3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23BE3664">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6</w:t>
            </w:r>
          </w:p>
        </w:tc>
        <w:tc>
          <w:tcPr>
            <w:tcW w:w="1432" w:type="pct"/>
            <w:tcBorders>
              <w:top w:val="single" w:color="000000" w:sz="4" w:space="0"/>
              <w:left w:val="single" w:color="000000" w:sz="4" w:space="0"/>
              <w:bottom w:val="single" w:color="000000" w:sz="4" w:space="0"/>
              <w:right w:val="single" w:color="000000" w:sz="4" w:space="0"/>
            </w:tcBorders>
            <w:vAlign w:val="center"/>
          </w:tcPr>
          <w:p w14:paraId="70840106">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应急环境监测、抢险、救援及控制措施</w:t>
            </w:r>
          </w:p>
        </w:tc>
        <w:tc>
          <w:tcPr>
            <w:tcW w:w="3209" w:type="pct"/>
            <w:tcBorders>
              <w:top w:val="single" w:color="000000" w:sz="4" w:space="0"/>
              <w:left w:val="single" w:color="000000" w:sz="4" w:space="0"/>
              <w:bottom w:val="single" w:color="000000" w:sz="4" w:space="0"/>
              <w:right w:val="single" w:color="auto" w:sz="4" w:space="0"/>
            </w:tcBorders>
            <w:vAlign w:val="center"/>
          </w:tcPr>
          <w:p w14:paraId="61DD4EC6">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由专业队伍负责对事故现场进行侦察监测，对事故性质、参数与后果进行评估，为指挥部门提供决策依据</w:t>
            </w:r>
          </w:p>
        </w:tc>
      </w:tr>
      <w:tr w14:paraId="712E9F6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6BEBE5E1">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7</w:t>
            </w:r>
          </w:p>
        </w:tc>
        <w:tc>
          <w:tcPr>
            <w:tcW w:w="1432" w:type="pct"/>
            <w:tcBorders>
              <w:top w:val="single" w:color="000000" w:sz="4" w:space="0"/>
              <w:left w:val="single" w:color="000000" w:sz="4" w:space="0"/>
              <w:bottom w:val="single" w:color="000000" w:sz="4" w:space="0"/>
              <w:right w:val="single" w:color="000000" w:sz="4" w:space="0"/>
            </w:tcBorders>
            <w:vAlign w:val="center"/>
          </w:tcPr>
          <w:p w14:paraId="25E0154B">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应急检测、防护措施、除泄漏措施和器材</w:t>
            </w:r>
          </w:p>
        </w:tc>
        <w:tc>
          <w:tcPr>
            <w:tcW w:w="3209" w:type="pct"/>
            <w:tcBorders>
              <w:top w:val="single" w:color="000000" w:sz="4" w:space="0"/>
              <w:left w:val="single" w:color="000000" w:sz="4" w:space="0"/>
              <w:bottom w:val="single" w:color="000000" w:sz="4" w:space="0"/>
              <w:right w:val="single" w:color="auto" w:sz="4" w:space="0"/>
            </w:tcBorders>
            <w:vAlign w:val="center"/>
          </w:tcPr>
          <w:p w14:paraId="54ACB3B2">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事故现场、邻近区域、控制防火区域，控制和清除污染措施及相应设备</w:t>
            </w:r>
          </w:p>
        </w:tc>
      </w:tr>
      <w:tr w14:paraId="3254B6D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7A7DC37D">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8</w:t>
            </w:r>
          </w:p>
        </w:tc>
        <w:tc>
          <w:tcPr>
            <w:tcW w:w="1432" w:type="pct"/>
            <w:tcBorders>
              <w:top w:val="single" w:color="000000" w:sz="4" w:space="0"/>
              <w:left w:val="single" w:color="000000" w:sz="4" w:space="0"/>
              <w:bottom w:val="single" w:color="000000" w:sz="4" w:space="0"/>
              <w:right w:val="single" w:color="000000" w:sz="4" w:space="0"/>
            </w:tcBorders>
            <w:vAlign w:val="center"/>
          </w:tcPr>
          <w:p w14:paraId="4C351149">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人员紧急撤离、疏散，应急剂量控制、撤离组织计划</w:t>
            </w:r>
          </w:p>
        </w:tc>
        <w:tc>
          <w:tcPr>
            <w:tcW w:w="3209" w:type="pct"/>
            <w:tcBorders>
              <w:top w:val="single" w:color="000000" w:sz="4" w:space="0"/>
              <w:left w:val="single" w:color="000000" w:sz="4" w:space="0"/>
              <w:bottom w:val="single" w:color="000000" w:sz="4" w:space="0"/>
              <w:right w:val="single" w:color="auto" w:sz="4" w:space="0"/>
            </w:tcBorders>
            <w:vAlign w:val="center"/>
          </w:tcPr>
          <w:p w14:paraId="3D3229BF">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事故现场、工厂邻近区、受事故影响的区域人员及公众对毒物应急剂量控制规定，撤离组织计划及救护，医疗救护与公众健康</w:t>
            </w:r>
          </w:p>
        </w:tc>
      </w:tr>
      <w:tr w14:paraId="5CF310C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375641FD">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9</w:t>
            </w:r>
          </w:p>
        </w:tc>
        <w:tc>
          <w:tcPr>
            <w:tcW w:w="1432" w:type="pct"/>
            <w:tcBorders>
              <w:top w:val="single" w:color="000000" w:sz="4" w:space="0"/>
              <w:left w:val="single" w:color="000000" w:sz="4" w:space="0"/>
              <w:bottom w:val="single" w:color="000000" w:sz="4" w:space="0"/>
              <w:right w:val="single" w:color="000000" w:sz="4" w:space="0"/>
            </w:tcBorders>
            <w:vAlign w:val="center"/>
          </w:tcPr>
          <w:p w14:paraId="071B7AB4">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事故应急救援关闭程序与恢复措施</w:t>
            </w:r>
          </w:p>
        </w:tc>
        <w:tc>
          <w:tcPr>
            <w:tcW w:w="3209" w:type="pct"/>
            <w:tcBorders>
              <w:top w:val="single" w:color="000000" w:sz="4" w:space="0"/>
              <w:left w:val="single" w:color="000000" w:sz="4" w:space="0"/>
              <w:bottom w:val="single" w:color="000000" w:sz="4" w:space="0"/>
              <w:right w:val="single" w:color="auto" w:sz="4" w:space="0"/>
            </w:tcBorders>
            <w:vAlign w:val="center"/>
          </w:tcPr>
          <w:p w14:paraId="0140DC73">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规定应急状态终止程序事故现场善后处理，恢复措施邻近区域解除事故警戒及善后恢复措施</w:t>
            </w:r>
          </w:p>
        </w:tc>
      </w:tr>
      <w:tr w14:paraId="3DE7CE7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000000" w:sz="4" w:space="0"/>
              <w:right w:val="single" w:color="000000" w:sz="4" w:space="0"/>
            </w:tcBorders>
            <w:vAlign w:val="center"/>
          </w:tcPr>
          <w:p w14:paraId="6EEC095B">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10</w:t>
            </w:r>
          </w:p>
        </w:tc>
        <w:tc>
          <w:tcPr>
            <w:tcW w:w="1432" w:type="pct"/>
            <w:tcBorders>
              <w:top w:val="single" w:color="000000" w:sz="4" w:space="0"/>
              <w:left w:val="single" w:color="000000" w:sz="4" w:space="0"/>
              <w:bottom w:val="single" w:color="000000" w:sz="4" w:space="0"/>
              <w:right w:val="single" w:color="000000" w:sz="4" w:space="0"/>
            </w:tcBorders>
            <w:vAlign w:val="center"/>
          </w:tcPr>
          <w:p w14:paraId="067671ED">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应急培训计划</w:t>
            </w:r>
          </w:p>
        </w:tc>
        <w:tc>
          <w:tcPr>
            <w:tcW w:w="3209" w:type="pct"/>
            <w:tcBorders>
              <w:top w:val="single" w:color="000000" w:sz="4" w:space="0"/>
              <w:left w:val="single" w:color="000000" w:sz="4" w:space="0"/>
              <w:bottom w:val="single" w:color="000000" w:sz="4" w:space="0"/>
              <w:right w:val="single" w:color="auto" w:sz="4" w:space="0"/>
            </w:tcBorders>
            <w:vAlign w:val="center"/>
          </w:tcPr>
          <w:p w14:paraId="63B956B1">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应急计划制定后，平时安排人员培训与演练</w:t>
            </w:r>
          </w:p>
        </w:tc>
      </w:tr>
      <w:tr w14:paraId="0BB5522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tcBorders>
              <w:top w:val="single" w:color="000000" w:sz="4" w:space="0"/>
              <w:left w:val="single" w:color="auto" w:sz="4" w:space="0"/>
              <w:bottom w:val="single" w:color="auto" w:sz="4" w:space="0"/>
              <w:right w:val="single" w:color="000000" w:sz="4" w:space="0"/>
            </w:tcBorders>
            <w:vAlign w:val="center"/>
          </w:tcPr>
          <w:p w14:paraId="2157D8ED">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11</w:t>
            </w:r>
          </w:p>
        </w:tc>
        <w:tc>
          <w:tcPr>
            <w:tcW w:w="1432" w:type="pct"/>
            <w:tcBorders>
              <w:top w:val="single" w:color="000000" w:sz="4" w:space="0"/>
              <w:left w:val="single" w:color="000000" w:sz="4" w:space="0"/>
              <w:bottom w:val="single" w:color="auto" w:sz="4" w:space="0"/>
              <w:right w:val="single" w:color="000000" w:sz="4" w:space="0"/>
            </w:tcBorders>
            <w:vAlign w:val="center"/>
          </w:tcPr>
          <w:p w14:paraId="49202195">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公众教育和信息</w:t>
            </w:r>
          </w:p>
        </w:tc>
        <w:tc>
          <w:tcPr>
            <w:tcW w:w="3209" w:type="pct"/>
            <w:tcBorders>
              <w:top w:val="single" w:color="000000" w:sz="4" w:space="0"/>
              <w:left w:val="single" w:color="000000" w:sz="4" w:space="0"/>
              <w:bottom w:val="single" w:color="auto" w:sz="4" w:space="0"/>
              <w:right w:val="single" w:color="auto" w:sz="4" w:space="0"/>
            </w:tcBorders>
            <w:vAlign w:val="center"/>
          </w:tcPr>
          <w:p w14:paraId="058B34E8">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对工厂邻近地区开展公众教育、培训和发布有关信息</w:t>
            </w:r>
          </w:p>
        </w:tc>
      </w:tr>
    </w:tbl>
    <w:p w14:paraId="3FC331FB">
      <w:pPr>
        <w:spacing w:line="360" w:lineRule="auto"/>
        <w:ind w:firstLine="480" w:firstLineChars="200"/>
        <w:jc w:val="left"/>
        <w:rPr>
          <w:rFonts w:hint="eastAsia"/>
          <w:szCs w:val="32"/>
        </w:rPr>
      </w:pPr>
      <w:r>
        <w:rPr>
          <w:rFonts w:hint="eastAsia"/>
          <w:szCs w:val="32"/>
        </w:rPr>
        <w:t>（2）与园区突发环境事件应急预案联动</w:t>
      </w:r>
    </w:p>
    <w:p w14:paraId="2F865D9A">
      <w:pPr>
        <w:spacing w:line="360" w:lineRule="auto"/>
        <w:ind w:firstLine="480" w:firstLineChars="200"/>
        <w:jc w:val="left"/>
        <w:rPr>
          <w:rFonts w:hint="eastAsia"/>
          <w:szCs w:val="32"/>
        </w:rPr>
      </w:pPr>
      <w:r>
        <w:rPr>
          <w:rFonts w:hint="eastAsia"/>
          <w:szCs w:val="32"/>
        </w:rPr>
        <w:t>建设单位须同所在园区保持良好的沟通渠道。当发生事故时，启动事故应急切断、封堵装置，隔离环境风险区域，减少事故风险扩散范围，紧急疏散撤离厂区内人群至安全区域，同时立即上报园区，与园区突发环境事件应急预案联动。充分发挥信息互通、资源共享的区域联防优势，提高应急响应效率，有效控制环境事件的扩大。确保企业废水、废气得到有效处理，达标排放，废气不得超标排放，废水不能未经过预处理外排或者直排地表水体。</w:t>
      </w:r>
    </w:p>
    <w:p w14:paraId="7AA9BBD9">
      <w:pPr>
        <w:spacing w:line="360" w:lineRule="auto"/>
        <w:ind w:firstLine="480" w:firstLineChars="200"/>
        <w:jc w:val="left"/>
        <w:rPr>
          <w:rFonts w:hint="eastAsia"/>
          <w:szCs w:val="32"/>
        </w:rPr>
      </w:pPr>
      <w:r>
        <w:rPr>
          <w:rFonts w:hint="eastAsia"/>
          <w:szCs w:val="32"/>
        </w:rPr>
        <w:t>建设单位需配合园区，定期的进行应急培训与演习，以达到锻炼和提高队伍应急处置技能和应急反应综合素质，有效降低污染事故对环境的危害，减少事故损失的目的。通过培训使相关人员明确应急处理的责任、任务、程序和掌握应急处理技能。</w:t>
      </w:r>
    </w:p>
    <w:p w14:paraId="0BD5246C">
      <w:pPr>
        <w:pStyle w:val="5"/>
        <w:rPr>
          <w:rFonts w:hint="eastAsia" w:eastAsia="宋体"/>
        </w:rPr>
      </w:pPr>
      <w:r>
        <w:rPr>
          <w:rFonts w:hint="eastAsia" w:eastAsia="宋体"/>
        </w:rPr>
        <w:t>5.2.7.8环境风险结论</w:t>
      </w:r>
    </w:p>
    <w:p w14:paraId="55CC333A">
      <w:pPr>
        <w:spacing w:line="360" w:lineRule="auto"/>
        <w:ind w:firstLine="480" w:firstLineChars="200"/>
        <w:jc w:val="left"/>
        <w:rPr>
          <w:rFonts w:hint="eastAsia"/>
          <w:szCs w:val="32"/>
        </w:rPr>
      </w:pPr>
      <w:r>
        <w:rPr>
          <w:rFonts w:hint="eastAsia"/>
          <w:szCs w:val="32"/>
        </w:rPr>
        <w:t>本项目无重大危险源，主要环境风险为污泥发酵膨胀。项目在运营期认真落实并严格执行本报告书中关于风险防范等方面的措施，并加强风险管理，杜绝违章操作，完善各类安全设备、设施，建立相应的风险管理制度和应急救援预案，严格执行并遵守风险管理制度和安全生产操作规程，将风险水平降至最低。</w:t>
      </w:r>
    </w:p>
    <w:p w14:paraId="20F1D39A">
      <w:pPr>
        <w:spacing w:line="360" w:lineRule="auto"/>
        <w:jc w:val="center"/>
        <w:rPr>
          <w:rFonts w:hint="eastAsia"/>
          <w:b/>
        </w:rPr>
      </w:pPr>
      <w:r>
        <w:rPr>
          <w:rFonts w:hint="eastAsia"/>
          <w:b/>
        </w:rPr>
        <w:t>表5</w:t>
      </w:r>
      <w:r>
        <w:rPr>
          <w:rFonts w:hint="eastAsia"/>
          <w:b/>
          <w:lang w:val="en-US" w:eastAsia="zh-CN"/>
        </w:rPr>
        <w:t>.2-29</w:t>
      </w:r>
      <w:r>
        <w:rPr>
          <w:rFonts w:hint="eastAsia"/>
          <w:b/>
        </w:rPr>
        <w:t xml:space="preserve"> 建设项目环境风险简单分析内容表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108" w:type="dxa"/>
          <w:bottom w:w="0" w:type="dxa"/>
          <w:right w:w="108" w:type="dxa"/>
        </w:tblCellMar>
      </w:tblPr>
      <w:tblGrid>
        <w:gridCol w:w="2176"/>
        <w:gridCol w:w="3713"/>
        <w:gridCol w:w="3354"/>
      </w:tblGrid>
      <w:tr w14:paraId="76C2359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cantSplit/>
          <w:tblHeader/>
          <w:jc w:val="center"/>
        </w:trPr>
        <w:tc>
          <w:tcPr>
            <w:tcW w:w="1177" w:type="pct"/>
            <w:vAlign w:val="center"/>
          </w:tcPr>
          <w:p w14:paraId="35FD0F3A">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建设项目名称</w:t>
            </w:r>
          </w:p>
        </w:tc>
        <w:tc>
          <w:tcPr>
            <w:tcW w:w="3822" w:type="pct"/>
            <w:gridSpan w:val="2"/>
            <w:vAlign w:val="center"/>
          </w:tcPr>
          <w:p w14:paraId="68EAB312">
            <w:pPr>
              <w:jc w:val="center"/>
              <w:rPr>
                <w:rFonts w:hint="default" w:ascii="Times New Roman" w:hAnsi="Times New Roman" w:eastAsia="宋体" w:cs="Times New Roman"/>
                <w:color w:val="auto"/>
                <w:sz w:val="21"/>
                <w:szCs w:val="21"/>
                <w:lang w:val="zh-CN" w:eastAsia="zh-CN"/>
              </w:rPr>
            </w:pPr>
            <w:r>
              <w:rPr>
                <w:rFonts w:hint="eastAsia" w:ascii="Times New Roman" w:hAnsi="Times New Roman" w:eastAsia="宋体" w:cs="Times New Roman"/>
                <w:color w:val="auto"/>
                <w:sz w:val="21"/>
                <w:szCs w:val="21"/>
                <w:lang w:val="zh-CN" w:eastAsia="zh-CN"/>
              </w:rPr>
              <w:t>黑龙江鸿展生物科技股份有限公司年产70万吨医用酒精技术改造项目</w:t>
            </w:r>
          </w:p>
        </w:tc>
      </w:tr>
      <w:tr w14:paraId="369DFD1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cantSplit/>
          <w:tblHeader/>
          <w:jc w:val="center"/>
        </w:trPr>
        <w:tc>
          <w:tcPr>
            <w:tcW w:w="1177" w:type="pct"/>
            <w:vAlign w:val="center"/>
          </w:tcPr>
          <w:p w14:paraId="4845FD7E">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建设地点</w:t>
            </w:r>
          </w:p>
        </w:tc>
        <w:tc>
          <w:tcPr>
            <w:tcW w:w="3822" w:type="pct"/>
            <w:gridSpan w:val="2"/>
            <w:vAlign w:val="center"/>
          </w:tcPr>
          <w:p w14:paraId="79443361">
            <w:pPr>
              <w:jc w:val="center"/>
              <w:rPr>
                <w:rFonts w:hint="default" w:ascii="Times New Roman" w:hAnsi="Times New Roman" w:eastAsia="宋体" w:cs="Times New Roman"/>
                <w:color w:val="auto"/>
                <w:sz w:val="21"/>
                <w:szCs w:val="21"/>
                <w:lang w:val="zh-CN" w:eastAsia="zh-CN"/>
              </w:rPr>
            </w:pPr>
            <w:r>
              <w:rPr>
                <w:rFonts w:hint="eastAsia" w:cs="Times New Roman"/>
                <w:color w:val="auto"/>
                <w:sz w:val="21"/>
                <w:szCs w:val="21"/>
                <w:lang w:val="zh-CN" w:eastAsia="zh-CN"/>
              </w:rPr>
              <w:t>拉哈生物技术与化学制药产业园黑龙江鸿展生物科技股份有限公司院内</w:t>
            </w:r>
          </w:p>
        </w:tc>
      </w:tr>
      <w:tr w14:paraId="05F3292B">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cantSplit/>
          <w:tblHeader/>
          <w:jc w:val="center"/>
        </w:trPr>
        <w:tc>
          <w:tcPr>
            <w:tcW w:w="1177" w:type="pct"/>
            <w:vAlign w:val="center"/>
          </w:tcPr>
          <w:p w14:paraId="3E4988C7">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地理坐标</w:t>
            </w:r>
          </w:p>
        </w:tc>
        <w:tc>
          <w:tcPr>
            <w:tcW w:w="2008" w:type="pct"/>
            <w:vAlign w:val="center"/>
          </w:tcPr>
          <w:p w14:paraId="1EFAA1AD">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124.6</w:t>
            </w:r>
            <w:r>
              <w:rPr>
                <w:rFonts w:hint="eastAsia" w:ascii="Times New Roman" w:hAnsi="Times New Roman" w:eastAsia="宋体" w:cs="Times New Roman"/>
                <w:color w:val="auto"/>
                <w:sz w:val="21"/>
                <w:szCs w:val="21"/>
                <w:lang w:val="en-US" w:eastAsia="zh-CN"/>
              </w:rPr>
              <w:t>1415</w:t>
            </w:r>
            <w:r>
              <w:rPr>
                <w:rFonts w:hint="default" w:ascii="Times New Roman" w:hAnsi="Times New Roman" w:eastAsia="宋体" w:cs="Times New Roman"/>
                <w:color w:val="auto"/>
                <w:sz w:val="21"/>
                <w:szCs w:val="21"/>
                <w:lang w:val="zh-CN" w:eastAsia="zh-CN"/>
              </w:rPr>
              <w:t>°</w:t>
            </w:r>
          </w:p>
        </w:tc>
        <w:tc>
          <w:tcPr>
            <w:tcW w:w="1814" w:type="pct"/>
            <w:vAlign w:val="center"/>
          </w:tcPr>
          <w:p w14:paraId="3833F24B">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48.</w:t>
            </w:r>
            <w:r>
              <w:rPr>
                <w:rFonts w:hint="eastAsia" w:ascii="Times New Roman" w:hAnsi="Times New Roman" w:eastAsia="宋体" w:cs="Times New Roman"/>
                <w:color w:val="auto"/>
                <w:sz w:val="21"/>
                <w:szCs w:val="21"/>
                <w:lang w:val="en-US" w:eastAsia="zh-CN"/>
              </w:rPr>
              <w:t>21637</w:t>
            </w:r>
            <w:r>
              <w:rPr>
                <w:rFonts w:hint="default" w:ascii="Times New Roman" w:hAnsi="Times New Roman" w:eastAsia="宋体" w:cs="Times New Roman"/>
                <w:color w:val="auto"/>
                <w:sz w:val="21"/>
                <w:szCs w:val="21"/>
                <w:lang w:val="zh-CN" w:eastAsia="zh-CN"/>
              </w:rPr>
              <w:t>°</w:t>
            </w:r>
          </w:p>
        </w:tc>
      </w:tr>
      <w:tr w14:paraId="296155E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cantSplit/>
          <w:tblHeader/>
          <w:jc w:val="center"/>
        </w:trPr>
        <w:tc>
          <w:tcPr>
            <w:tcW w:w="1177" w:type="pct"/>
            <w:vAlign w:val="center"/>
          </w:tcPr>
          <w:p w14:paraId="4252DDC6">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主要危险物质及分布</w:t>
            </w:r>
          </w:p>
        </w:tc>
        <w:tc>
          <w:tcPr>
            <w:tcW w:w="3822" w:type="pct"/>
            <w:gridSpan w:val="2"/>
            <w:vAlign w:val="center"/>
          </w:tcPr>
          <w:p w14:paraId="731AC2B0">
            <w:pPr>
              <w:jc w:val="center"/>
              <w:rPr>
                <w:rFonts w:hint="default" w:ascii="Times New Roman" w:hAnsi="Times New Roman" w:eastAsia="宋体" w:cs="Times New Roman"/>
                <w:color w:val="auto"/>
                <w:sz w:val="21"/>
                <w:szCs w:val="21"/>
                <w:lang w:val="zh-CN" w:eastAsia="zh-CN"/>
              </w:rPr>
            </w:pPr>
            <w:r>
              <w:rPr>
                <w:rFonts w:hint="eastAsia" w:cs="Times New Roman"/>
                <w:color w:val="auto"/>
                <w:sz w:val="21"/>
                <w:szCs w:val="21"/>
                <w:lang w:val="en-US" w:eastAsia="zh-CN"/>
              </w:rPr>
              <w:t>本项目</w:t>
            </w:r>
            <w:r>
              <w:rPr>
                <w:rFonts w:hint="default" w:ascii="Times New Roman" w:hAnsi="Times New Roman" w:eastAsia="宋体" w:cs="Times New Roman"/>
                <w:color w:val="auto"/>
                <w:sz w:val="21"/>
                <w:szCs w:val="21"/>
                <w:lang w:val="zh-CN" w:eastAsia="zh-CN"/>
              </w:rPr>
              <w:t>无重大危险源，主要风险物质为化学试剂，位于药剂储存间内。</w:t>
            </w:r>
          </w:p>
        </w:tc>
      </w:tr>
      <w:tr w14:paraId="0A77FE7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cantSplit/>
          <w:tblHeader/>
          <w:jc w:val="center"/>
        </w:trPr>
        <w:tc>
          <w:tcPr>
            <w:tcW w:w="1177" w:type="pct"/>
            <w:vAlign w:val="center"/>
          </w:tcPr>
          <w:p w14:paraId="75A45075">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环境影响途径及危害后果（大气、地表水、地下水等）</w:t>
            </w:r>
          </w:p>
        </w:tc>
        <w:tc>
          <w:tcPr>
            <w:tcW w:w="3822" w:type="pct"/>
            <w:gridSpan w:val="2"/>
            <w:vAlign w:val="center"/>
          </w:tcPr>
          <w:p w14:paraId="2C1A4BDB">
            <w:pPr>
              <w:jc w:val="center"/>
              <w:rPr>
                <w:rFonts w:hint="default" w:ascii="Times New Roman" w:hAnsi="Times New Roman" w:eastAsia="宋体" w:cs="Times New Roman"/>
                <w:color w:val="auto"/>
                <w:sz w:val="21"/>
                <w:szCs w:val="21"/>
                <w:lang w:val="zh-CN" w:eastAsia="zh-CN"/>
              </w:rPr>
            </w:pPr>
            <w:r>
              <w:rPr>
                <w:rFonts w:hint="eastAsia" w:cs="Times New Roman"/>
                <w:color w:val="auto"/>
                <w:sz w:val="21"/>
                <w:szCs w:val="21"/>
                <w:lang w:val="en-US" w:eastAsia="zh-CN"/>
              </w:rPr>
              <w:t>本项目</w:t>
            </w:r>
            <w:r>
              <w:rPr>
                <w:rFonts w:hint="default" w:ascii="Times New Roman" w:hAnsi="Times New Roman" w:eastAsia="宋体" w:cs="Times New Roman"/>
                <w:color w:val="auto"/>
                <w:sz w:val="21"/>
                <w:szCs w:val="21"/>
                <w:lang w:val="zh-CN" w:eastAsia="zh-CN"/>
              </w:rPr>
              <w:t>主要风险为危险化学品的泄漏、污水的非正常排放、污泥发酵膨胀。</w:t>
            </w:r>
          </w:p>
        </w:tc>
      </w:tr>
      <w:tr w14:paraId="6ECC93A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108" w:type="dxa"/>
            <w:bottom w:w="0" w:type="dxa"/>
            <w:right w:w="108" w:type="dxa"/>
          </w:tblCellMar>
        </w:tblPrEx>
        <w:trPr>
          <w:cantSplit/>
          <w:tblHeader/>
          <w:jc w:val="center"/>
        </w:trPr>
        <w:tc>
          <w:tcPr>
            <w:tcW w:w="1177" w:type="pct"/>
            <w:vAlign w:val="center"/>
          </w:tcPr>
          <w:p w14:paraId="0C94CFA9">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风险防范措施要求</w:t>
            </w:r>
          </w:p>
        </w:tc>
        <w:tc>
          <w:tcPr>
            <w:tcW w:w="3822" w:type="pct"/>
            <w:gridSpan w:val="2"/>
            <w:vAlign w:val="center"/>
          </w:tcPr>
          <w:p w14:paraId="180067F8">
            <w:pPr>
              <w:jc w:val="center"/>
              <w:rPr>
                <w:rFonts w:hint="default" w:ascii="Times New Roman" w:hAnsi="Times New Roman" w:eastAsia="宋体" w:cs="Times New Roman"/>
                <w:color w:val="auto"/>
                <w:sz w:val="21"/>
                <w:szCs w:val="21"/>
                <w:lang w:val="zh-CN" w:eastAsia="zh-CN"/>
              </w:rPr>
            </w:pPr>
            <w:r>
              <w:rPr>
                <w:rFonts w:hint="default" w:ascii="Times New Roman" w:hAnsi="Times New Roman" w:eastAsia="宋体" w:cs="Times New Roman"/>
                <w:color w:val="auto"/>
                <w:sz w:val="21"/>
                <w:szCs w:val="21"/>
                <w:lang w:val="zh-CN" w:eastAsia="zh-CN"/>
              </w:rPr>
              <w:t>加强风险管理，杜绝违章操作，完善各类安全设备、设施，建立相应的风险管理制度和应急预案，严格执行并遵守风险管理制度和安全生产操作规程。</w:t>
            </w:r>
          </w:p>
        </w:tc>
      </w:tr>
    </w:tbl>
    <w:p w14:paraId="4977ADC4">
      <w:pPr>
        <w:spacing w:line="360" w:lineRule="auto"/>
        <w:ind w:firstLine="480" w:firstLineChars="200"/>
      </w:pPr>
      <w:r>
        <w:rPr>
          <w:rFonts w:hint="eastAsia"/>
          <w:lang w:val="en-US" w:eastAsia="zh-CN"/>
        </w:rPr>
        <w:br w:type="page"/>
      </w:r>
    </w:p>
    <w:p w14:paraId="1885450C">
      <w:pPr>
        <w:pStyle w:val="2"/>
      </w:pPr>
      <w:bookmarkStart w:id="373" w:name="_Toc23259"/>
      <w:r>
        <w:t>6.环境保护措施及其可行性论证</w:t>
      </w:r>
      <w:bookmarkEnd w:id="369"/>
      <w:bookmarkEnd w:id="370"/>
      <w:bookmarkEnd w:id="371"/>
      <w:bookmarkEnd w:id="373"/>
    </w:p>
    <w:p w14:paraId="5E413883">
      <w:pPr>
        <w:pStyle w:val="3"/>
      </w:pPr>
      <w:bookmarkStart w:id="374" w:name="_Toc30832"/>
      <w:bookmarkStart w:id="375" w:name="_Toc28006"/>
      <w:bookmarkStart w:id="376" w:name="_Toc28694"/>
      <w:bookmarkStart w:id="377" w:name="_Toc20941"/>
      <w:bookmarkStart w:id="378" w:name="_Toc490466510"/>
      <w:bookmarkStart w:id="379" w:name="_Toc460677715"/>
      <w:bookmarkStart w:id="380" w:name="_Toc29291"/>
      <w:bookmarkStart w:id="381" w:name="_Toc28341"/>
      <w:bookmarkStart w:id="382" w:name="_Toc9314"/>
      <w:bookmarkStart w:id="383" w:name="_Toc29438"/>
      <w:bookmarkStart w:id="384" w:name="_Toc6960"/>
      <w:bookmarkStart w:id="385" w:name="_Toc15006"/>
      <w:bookmarkStart w:id="386" w:name="_Toc227836940"/>
      <w:bookmarkStart w:id="387" w:name="_Toc201249417"/>
      <w:bookmarkStart w:id="388" w:name="_Toc30830"/>
      <w:bookmarkStart w:id="389" w:name="_Toc26709"/>
      <w:bookmarkStart w:id="390" w:name="_Toc227836815"/>
      <w:r>
        <w:t>6.1施工期污染防治措施</w:t>
      </w:r>
      <w:bookmarkEnd w:id="374"/>
      <w:bookmarkEnd w:id="375"/>
      <w:bookmarkEnd w:id="376"/>
      <w:bookmarkEnd w:id="377"/>
      <w:bookmarkEnd w:id="378"/>
      <w:bookmarkEnd w:id="379"/>
      <w:bookmarkEnd w:id="380"/>
      <w:bookmarkEnd w:id="381"/>
      <w:bookmarkEnd w:id="382"/>
    </w:p>
    <w:p w14:paraId="17070E5A">
      <w:pPr>
        <w:spacing w:line="360" w:lineRule="auto"/>
        <w:ind w:firstLine="480" w:firstLineChars="200"/>
      </w:pPr>
      <w:bookmarkStart w:id="391" w:name="_Toc2255"/>
      <w:bookmarkStart w:id="392" w:name="_Toc28493"/>
      <w:bookmarkStart w:id="393" w:name="_Toc460677717"/>
      <w:bookmarkStart w:id="394" w:name="_Toc16015"/>
      <w:bookmarkStart w:id="395" w:name="_Toc24597"/>
      <w:bookmarkStart w:id="396" w:name="_Toc25358"/>
      <w:bookmarkStart w:id="397" w:name="_Toc23698"/>
      <w:bookmarkStart w:id="398" w:name="_Toc14082"/>
      <w:bookmarkStart w:id="399" w:name="_Toc24417"/>
      <w:r>
        <w:rPr>
          <w:rFonts w:hint="eastAsia"/>
          <w:lang w:eastAsia="zh-CN"/>
        </w:rPr>
        <w:t>本项目</w:t>
      </w:r>
      <w:r>
        <w:t>属于</w:t>
      </w:r>
      <w:r>
        <w:rPr>
          <w:rFonts w:hint="eastAsia"/>
          <w:lang w:eastAsia="zh-CN"/>
        </w:rPr>
        <w:t>补做环评</w:t>
      </w:r>
      <w:r>
        <w:t>项目，已于20</w:t>
      </w:r>
      <w:r>
        <w:rPr>
          <w:rFonts w:hint="eastAsia"/>
          <w:lang w:val="en-US" w:eastAsia="zh-CN"/>
        </w:rPr>
        <w:t>20</w:t>
      </w:r>
      <w:r>
        <w:t>年10月</w:t>
      </w:r>
      <w:r>
        <w:rPr>
          <w:rFonts w:hint="eastAsia"/>
        </w:rPr>
        <w:t>建设完成，施工期已完成。</w:t>
      </w:r>
    </w:p>
    <w:p w14:paraId="38AE6ED5">
      <w:pPr>
        <w:pStyle w:val="3"/>
      </w:pPr>
      <w:bookmarkStart w:id="400" w:name="_Toc4504"/>
      <w:r>
        <w:t>6.2防沙治沙措施</w:t>
      </w:r>
      <w:bookmarkEnd w:id="391"/>
      <w:bookmarkEnd w:id="392"/>
      <w:bookmarkEnd w:id="393"/>
      <w:bookmarkEnd w:id="394"/>
      <w:bookmarkEnd w:id="395"/>
      <w:bookmarkEnd w:id="396"/>
      <w:bookmarkEnd w:id="397"/>
      <w:bookmarkEnd w:id="398"/>
      <w:bookmarkEnd w:id="399"/>
      <w:bookmarkEnd w:id="400"/>
    </w:p>
    <w:p w14:paraId="3E3CEA0A">
      <w:pPr>
        <w:spacing w:line="360" w:lineRule="auto"/>
        <w:ind w:firstLine="480" w:firstLineChars="200"/>
      </w:pPr>
      <w:r>
        <w:t>根据“关于贯彻落实《沙化土地封禁保护修复制度方案》的实施意见”（黑防沙发[2020] 3号），全面做好防沙治沙项目管理，按照国家林业局印发的《沙化土地封禁保护修复制度方案》相关规定，切实保护、修复和改善我省沙区生态环境，推动防沙治沙事业，迈上新台阶。实施范围：沙化土地所在地区的市、县(市、区)，即齐齐哈尔市龙沙区、建华区、铁锋区、昂昂溪区、富拉尔基区、梅里斯达幹尔族区，龙江县、甘南县、泰来县、富裕县、讷河市，大庆市让胡路区、红岗区、大同区、肇源县、杜尔伯特蒙古族自治县等所辖区域。建设单位要认真落实生态环境、重点增加、恢复和保护林草植被，治理土地沙化和草原退化、沙化、碱化；</w:t>
      </w:r>
      <w:r>
        <w:rPr>
          <w:rFonts w:hint="eastAsia"/>
          <w:lang w:eastAsia="zh-CN"/>
        </w:rPr>
        <w:t>本项目</w:t>
      </w:r>
      <w:r>
        <w:t>位于</w:t>
      </w:r>
      <w:r>
        <w:rPr>
          <w:rFonts w:hint="eastAsia"/>
          <w:lang w:eastAsia="zh-CN"/>
        </w:rPr>
        <w:t>拉哈生物技术与化学制药产业园黑龙江鸿展生物科技股份有限公司院内</w:t>
      </w:r>
      <w:r>
        <w:t>，故本评价要求企业采取以下措施进行防沙治沙：</w:t>
      </w:r>
    </w:p>
    <w:p w14:paraId="0A8261F7">
      <w:pPr>
        <w:spacing w:line="360" w:lineRule="auto"/>
        <w:ind w:firstLine="480" w:firstLineChars="200"/>
      </w:pPr>
      <w:r>
        <w:t>（1）</w:t>
      </w:r>
      <w:r>
        <w:rPr>
          <w:rFonts w:hint="eastAsia"/>
          <w:lang w:eastAsia="zh-CN"/>
        </w:rPr>
        <w:t>本项目</w:t>
      </w:r>
      <w:r>
        <w:rPr>
          <w:rFonts w:hint="eastAsia"/>
          <w:lang w:val="en-US" w:eastAsia="zh-CN"/>
        </w:rPr>
        <w:t>东</w:t>
      </w:r>
      <w:r>
        <w:rPr>
          <w:rFonts w:hint="eastAsia"/>
        </w:rPr>
        <w:t>北侧</w:t>
      </w:r>
      <w:r>
        <w:t>为小区居民，可沿厂区四周围墙内侧及建筑物四周广植草坪、大量绿化，并在办公楼四周种植四季花卉、常绿灌木，以提高厂区的环境质量。锅炉房周围种植草坪和树木，防止风机等产生的噪声对周围居民产生影响。</w:t>
      </w:r>
    </w:p>
    <w:p w14:paraId="4CC4AD5F">
      <w:pPr>
        <w:spacing w:line="360" w:lineRule="auto"/>
        <w:ind w:firstLine="480" w:firstLineChars="200"/>
      </w:pPr>
      <w:r>
        <w:t>（2）</w:t>
      </w:r>
      <w:r>
        <w:rPr>
          <w:rFonts w:hint="eastAsia"/>
          <w:lang w:eastAsia="zh-CN"/>
        </w:rPr>
        <w:t>本项目</w:t>
      </w:r>
      <w:r>
        <w:t>厂区内禁止出现裸露地面，不适宜绿化的位置可对地面进行硬化，防止地面沙化。</w:t>
      </w:r>
    </w:p>
    <w:p w14:paraId="3D3FF990">
      <w:pPr>
        <w:pStyle w:val="42"/>
        <w:spacing w:line="360" w:lineRule="auto"/>
        <w:ind w:left="0" w:firstLine="480" w:firstLineChars="200"/>
      </w:pPr>
      <w:r>
        <w:t>（3）</w:t>
      </w:r>
      <w:r>
        <w:rPr>
          <w:rFonts w:hint="eastAsia"/>
          <w:lang w:eastAsia="zh-CN"/>
        </w:rPr>
        <w:t>本项目</w:t>
      </w:r>
      <w:r>
        <w:t>亦可加强员工培训，普及防沙治沙的重要性、必要性和紧迫性，努力提高员工防沙治沙的意识。</w:t>
      </w:r>
    </w:p>
    <w:p w14:paraId="29BB6567">
      <w:pPr>
        <w:pStyle w:val="3"/>
        <w:rPr>
          <w:b w:val="0"/>
          <w:bCs/>
        </w:rPr>
      </w:pPr>
      <w:bookmarkStart w:id="401" w:name="_Toc27992"/>
      <w:bookmarkStart w:id="402" w:name="_Toc1571"/>
      <w:bookmarkStart w:id="403" w:name="_Toc490466516"/>
      <w:bookmarkStart w:id="404" w:name="_Toc7301"/>
      <w:bookmarkStart w:id="405" w:name="_Toc23063"/>
      <w:bookmarkStart w:id="406" w:name="_Toc32004"/>
      <w:bookmarkStart w:id="407" w:name="_Toc7822"/>
      <w:bookmarkStart w:id="408" w:name="_Toc27066"/>
      <w:r>
        <w:t>6.3 运营期污染物防治措施</w:t>
      </w:r>
      <w:bookmarkEnd w:id="401"/>
      <w:bookmarkEnd w:id="402"/>
      <w:bookmarkEnd w:id="403"/>
      <w:bookmarkEnd w:id="404"/>
      <w:bookmarkEnd w:id="405"/>
      <w:bookmarkEnd w:id="406"/>
      <w:bookmarkEnd w:id="407"/>
      <w:bookmarkEnd w:id="408"/>
    </w:p>
    <w:p w14:paraId="6C483109">
      <w:pPr>
        <w:pStyle w:val="4"/>
        <w:rPr>
          <w:b w:val="0"/>
          <w:bCs/>
          <w:szCs w:val="32"/>
        </w:rPr>
      </w:pPr>
      <w:bookmarkStart w:id="409" w:name="_Toc26382"/>
      <w:bookmarkStart w:id="410" w:name="_Toc490466517"/>
      <w:bookmarkStart w:id="411" w:name="_Toc17053"/>
      <w:r>
        <w:t>6.3.1 废水污染防治措施</w:t>
      </w:r>
      <w:bookmarkEnd w:id="409"/>
      <w:bookmarkEnd w:id="410"/>
      <w:bookmarkEnd w:id="411"/>
    </w:p>
    <w:bookmarkEnd w:id="383"/>
    <w:bookmarkEnd w:id="384"/>
    <w:bookmarkEnd w:id="385"/>
    <w:bookmarkEnd w:id="386"/>
    <w:bookmarkEnd w:id="387"/>
    <w:bookmarkEnd w:id="388"/>
    <w:bookmarkEnd w:id="389"/>
    <w:bookmarkEnd w:id="390"/>
    <w:p w14:paraId="71623C74">
      <w:pPr>
        <w:spacing w:line="360" w:lineRule="auto"/>
        <w:ind w:firstLine="480" w:firstLineChars="200"/>
        <w:rPr>
          <w:rFonts w:hint="eastAsia"/>
        </w:rPr>
      </w:pPr>
      <w:bookmarkStart w:id="412" w:name="_Toc30716"/>
      <w:bookmarkStart w:id="413" w:name="_Toc21634"/>
      <w:bookmarkStart w:id="414" w:name="_Toc404158851"/>
      <w:bookmarkStart w:id="415" w:name="_Toc455954537"/>
      <w:bookmarkStart w:id="416" w:name="_Toc17892"/>
      <w:bookmarkStart w:id="417" w:name="_Toc6687"/>
      <w:bookmarkStart w:id="418" w:name="_Toc29880"/>
      <w:bookmarkStart w:id="419" w:name="_Toc4703"/>
      <w:bookmarkStart w:id="420" w:name="_Toc23896"/>
      <w:r>
        <w:rPr>
          <w:rFonts w:hint="eastAsia"/>
        </w:rPr>
        <w:t>污水处理厂整体工艺流程包括预处理、厌氧处理、好氧处理、沼气处理、污泥处理</w:t>
      </w:r>
      <w:r>
        <w:rPr>
          <w:rFonts w:hint="eastAsia"/>
          <w:lang w:eastAsia="zh-CN"/>
        </w:rPr>
        <w:t>、</w:t>
      </w:r>
      <w:r>
        <w:rPr>
          <w:rFonts w:hint="eastAsia" w:ascii="Times New Roman" w:hAnsi="Times New Roman" w:eastAsia="宋体" w:cs="Times New Roman"/>
          <w:lang w:val="en-US" w:eastAsia="zh-CN"/>
        </w:rPr>
        <w:t>化学品投加系统</w:t>
      </w:r>
      <w:r>
        <w:rPr>
          <w:rFonts w:hint="eastAsia"/>
        </w:rPr>
        <w:t>等。</w:t>
      </w:r>
    </w:p>
    <w:p w14:paraId="04F7AE82">
      <w:pPr>
        <w:spacing w:line="360" w:lineRule="auto"/>
        <w:ind w:firstLine="480" w:firstLineChars="200"/>
        <w:rPr>
          <w:rFonts w:hint="eastAsia"/>
        </w:rPr>
      </w:pPr>
      <w:r>
        <w:rPr>
          <w:rFonts w:hint="eastAsia"/>
          <w:lang w:eastAsia="zh-CN"/>
        </w:rPr>
        <w:t>（</w:t>
      </w:r>
      <w:r>
        <w:rPr>
          <w:rFonts w:hint="eastAsia"/>
          <w:lang w:val="en-US" w:eastAsia="zh-CN"/>
        </w:rPr>
        <w:t>1</w:t>
      </w:r>
      <w:r>
        <w:rPr>
          <w:rFonts w:hint="eastAsia"/>
          <w:lang w:eastAsia="zh-CN"/>
        </w:rPr>
        <w:t>）</w:t>
      </w:r>
      <w:r>
        <w:rPr>
          <w:rFonts w:hint="eastAsia"/>
        </w:rPr>
        <w:t>预处理</w:t>
      </w:r>
    </w:p>
    <w:p w14:paraId="376C2DE8">
      <w:pPr>
        <w:spacing w:line="360" w:lineRule="auto"/>
        <w:ind w:firstLine="480" w:firstLineChars="200"/>
        <w:rPr>
          <w:rFonts w:hint="eastAsia"/>
        </w:rPr>
      </w:pPr>
      <w:r>
        <w:rPr>
          <w:rFonts w:hint="eastAsia"/>
        </w:rPr>
        <w:t>这里的预处理指的是废水的收集，降温，均质均量等物化预处理。</w:t>
      </w:r>
    </w:p>
    <w:p w14:paraId="1D2FA828">
      <w:pPr>
        <w:spacing w:line="360" w:lineRule="auto"/>
        <w:ind w:firstLine="480" w:firstLineChars="200"/>
        <w:rPr>
          <w:rFonts w:hint="eastAsia"/>
        </w:rPr>
      </w:pPr>
      <w:r>
        <w:rPr>
          <w:rFonts w:hint="eastAsia"/>
          <w:lang w:eastAsia="zh-CN"/>
        </w:rPr>
        <w:fldChar w:fldCharType="begin"/>
      </w:r>
      <w:r>
        <w:rPr>
          <w:rFonts w:hint="eastAsia"/>
          <w:lang w:eastAsia="zh-CN"/>
        </w:rPr>
        <w:instrText xml:space="preserve"> = 1 \* GB3 \* MERGEFORMAT </w:instrText>
      </w:r>
      <w:r>
        <w:rPr>
          <w:rFonts w:hint="eastAsia"/>
          <w:lang w:eastAsia="zh-CN"/>
        </w:rPr>
        <w:fldChar w:fldCharType="separate"/>
      </w:r>
      <w:r>
        <w:t>①</w:t>
      </w:r>
      <w:r>
        <w:rPr>
          <w:rFonts w:hint="eastAsia"/>
          <w:lang w:eastAsia="zh-CN"/>
        </w:rPr>
        <w:fldChar w:fldCharType="end"/>
      </w:r>
      <w:r>
        <w:rPr>
          <w:rFonts w:hint="eastAsia"/>
        </w:rPr>
        <w:t>集水池（利旧）</w:t>
      </w:r>
    </w:p>
    <w:p w14:paraId="0CAD1799">
      <w:pPr>
        <w:spacing w:line="360" w:lineRule="auto"/>
        <w:ind w:firstLine="480" w:firstLineChars="200"/>
        <w:rPr>
          <w:rFonts w:hint="eastAsia"/>
        </w:rPr>
      </w:pPr>
      <w:r>
        <w:rPr>
          <w:rFonts w:hint="eastAsia"/>
        </w:rPr>
        <w:t>生产废水经清污分流后自流入集水井。当夏季水温过高时，由设置在集水池中的提升泵提升至调节池顶部的冷却塔进行降温，降温后的污水自流至调节池内。</w:t>
      </w:r>
    </w:p>
    <w:p w14:paraId="08036159">
      <w:pPr>
        <w:spacing w:line="360" w:lineRule="auto"/>
        <w:ind w:firstLine="480" w:firstLineChars="200"/>
        <w:rPr>
          <w:rFonts w:hint="eastAsia"/>
        </w:rPr>
      </w:pPr>
      <w:r>
        <w:rPr>
          <w:rFonts w:hint="eastAsia"/>
        </w:rPr>
        <w:t>集水池有效容积480m</w:t>
      </w:r>
      <w:r>
        <w:rPr>
          <w:rFonts w:hint="eastAsia"/>
          <w:vertAlign w:val="superscript"/>
        </w:rPr>
        <w:t>3</w:t>
      </w:r>
      <w:r>
        <w:rPr>
          <w:rFonts w:hint="eastAsia"/>
        </w:rPr>
        <w:t>。集水池提升泵启停受液位自动控制。</w:t>
      </w:r>
    </w:p>
    <w:p w14:paraId="042B0FCD">
      <w:pPr>
        <w:spacing w:line="360" w:lineRule="auto"/>
        <w:ind w:firstLine="480" w:firstLineChars="200"/>
        <w:rPr>
          <w:rFonts w:hint="eastAsia"/>
        </w:rPr>
      </w:pPr>
      <w:r>
        <w:rPr>
          <w:rFonts w:hint="eastAsia"/>
          <w:lang w:eastAsia="zh-CN"/>
        </w:rPr>
        <w:fldChar w:fldCharType="begin"/>
      </w:r>
      <w:r>
        <w:rPr>
          <w:rFonts w:hint="eastAsia"/>
          <w:lang w:eastAsia="zh-CN"/>
        </w:rPr>
        <w:instrText xml:space="preserve"> = 2 \* GB3 \* MERGEFORMAT </w:instrText>
      </w:r>
      <w:r>
        <w:rPr>
          <w:rFonts w:hint="eastAsia"/>
          <w:lang w:eastAsia="zh-CN"/>
        </w:rPr>
        <w:fldChar w:fldCharType="separate"/>
      </w:r>
      <w:r>
        <w:t>②</w:t>
      </w:r>
      <w:r>
        <w:rPr>
          <w:rFonts w:hint="eastAsia"/>
          <w:lang w:eastAsia="zh-CN"/>
        </w:rPr>
        <w:fldChar w:fldCharType="end"/>
      </w:r>
      <w:r>
        <w:rPr>
          <w:rFonts w:hint="eastAsia"/>
        </w:rPr>
        <w:t>沉淀池</w:t>
      </w:r>
    </w:p>
    <w:p w14:paraId="3D6E6158">
      <w:pPr>
        <w:spacing w:line="360" w:lineRule="auto"/>
        <w:ind w:firstLine="480" w:firstLineChars="200"/>
        <w:rPr>
          <w:rFonts w:hint="eastAsia"/>
        </w:rPr>
      </w:pPr>
      <w:r>
        <w:rPr>
          <w:rFonts w:hint="eastAsia"/>
        </w:rPr>
        <w:t>废水经冷却塔降温后通过水泵压力流入有效容积为400 m</w:t>
      </w:r>
      <w:r>
        <w:rPr>
          <w:rFonts w:hint="eastAsia"/>
          <w:vertAlign w:val="superscript"/>
        </w:rPr>
        <w:t>3</w:t>
      </w:r>
      <w:r>
        <w:rPr>
          <w:rFonts w:hint="eastAsia"/>
        </w:rPr>
        <w:t>的初沉池。在此进行污水中的大的悬浮物的沉积，以保证污水后续污水处理正常运行。</w:t>
      </w:r>
    </w:p>
    <w:p w14:paraId="4D252D0C">
      <w:pPr>
        <w:spacing w:line="360" w:lineRule="auto"/>
        <w:ind w:firstLine="480" w:firstLineChars="200"/>
        <w:rPr>
          <w:rFonts w:hint="eastAsia"/>
        </w:rPr>
      </w:pPr>
      <w:r>
        <w:rPr>
          <w:rFonts w:hint="eastAsia"/>
          <w:lang w:eastAsia="zh-CN"/>
        </w:rPr>
        <w:fldChar w:fldCharType="begin"/>
      </w:r>
      <w:r>
        <w:rPr>
          <w:rFonts w:hint="eastAsia"/>
          <w:lang w:eastAsia="zh-CN"/>
        </w:rPr>
        <w:instrText xml:space="preserve"> = 3 \* GB3 \* MERGEFORMAT </w:instrText>
      </w:r>
      <w:r>
        <w:rPr>
          <w:rFonts w:hint="eastAsia"/>
          <w:lang w:eastAsia="zh-CN"/>
        </w:rPr>
        <w:fldChar w:fldCharType="separate"/>
      </w:r>
      <w:r>
        <w:t>③</w:t>
      </w:r>
      <w:r>
        <w:rPr>
          <w:rFonts w:hint="eastAsia"/>
          <w:lang w:eastAsia="zh-CN"/>
        </w:rPr>
        <w:fldChar w:fldCharType="end"/>
      </w:r>
      <w:r>
        <w:rPr>
          <w:rFonts w:hint="eastAsia"/>
        </w:rPr>
        <w:t>调节池</w:t>
      </w:r>
    </w:p>
    <w:p w14:paraId="29503A74">
      <w:pPr>
        <w:spacing w:line="360" w:lineRule="auto"/>
        <w:ind w:firstLine="480" w:firstLineChars="200"/>
        <w:rPr>
          <w:rFonts w:hint="eastAsia"/>
        </w:rPr>
      </w:pPr>
      <w:r>
        <w:rPr>
          <w:rFonts w:hint="eastAsia"/>
        </w:rPr>
        <w:t>废水经沉淀池沉淀后自流入有效容积为1500 m</w:t>
      </w:r>
      <w:r>
        <w:rPr>
          <w:rFonts w:hint="eastAsia"/>
          <w:vertAlign w:val="superscript"/>
        </w:rPr>
        <w:t>3</w:t>
      </w:r>
      <w:r>
        <w:rPr>
          <w:rFonts w:hint="eastAsia"/>
        </w:rPr>
        <w:t>的调节池。在此进行水量调节和水质的均化，同时废水中的有机污染物也会被酸化菌部分酸化为挥发性脂肪酸。平均停留时间约为5.0h。调节池内配备4台连续运转的潜水搅拌机，以防止固形物的沉淀和优化</w:t>
      </w:r>
      <w:r>
        <w:rPr>
          <w:rFonts w:hint="eastAsia"/>
          <w:lang w:val="en-US" w:eastAsia="zh-CN"/>
        </w:rPr>
        <w:t>p</w:t>
      </w:r>
      <w:r>
        <w:rPr>
          <w:rFonts w:hint="eastAsia"/>
        </w:rPr>
        <w:t>H的控制。</w:t>
      </w:r>
    </w:p>
    <w:p w14:paraId="123E8CDF">
      <w:pPr>
        <w:spacing w:line="360" w:lineRule="auto"/>
        <w:ind w:firstLine="480" w:firstLineChars="200"/>
        <w:rPr>
          <w:rFonts w:hint="eastAsia"/>
        </w:rPr>
      </w:pPr>
      <w:r>
        <w:rPr>
          <w:rFonts w:hint="eastAsia"/>
          <w:lang w:eastAsia="zh-CN"/>
        </w:rPr>
        <w:t>（</w:t>
      </w:r>
      <w:r>
        <w:rPr>
          <w:rFonts w:hint="eastAsia"/>
          <w:lang w:val="en-US" w:eastAsia="zh-CN"/>
        </w:rPr>
        <w:t>2</w:t>
      </w:r>
      <w:r>
        <w:rPr>
          <w:rFonts w:hint="eastAsia"/>
          <w:lang w:eastAsia="zh-CN"/>
        </w:rPr>
        <w:t>）</w:t>
      </w:r>
      <w:r>
        <w:rPr>
          <w:rFonts w:hint="eastAsia"/>
        </w:rPr>
        <w:t>厌氧处理</w:t>
      </w:r>
    </w:p>
    <w:p w14:paraId="645FD101">
      <w:pPr>
        <w:spacing w:line="360" w:lineRule="auto"/>
        <w:ind w:firstLine="480" w:firstLineChars="20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配水池</w:t>
      </w:r>
    </w:p>
    <w:p w14:paraId="7390EE39">
      <w:pPr>
        <w:spacing w:line="360" w:lineRule="auto"/>
        <w:ind w:firstLine="480" w:firstLineChars="200"/>
        <w:rPr>
          <w:rFonts w:hint="eastAsia"/>
        </w:rPr>
      </w:pPr>
      <w:r>
        <w:rPr>
          <w:rFonts w:hint="eastAsia"/>
        </w:rPr>
        <w:t>废水由调节池自流进入配水池。配水池有效容积为420 m3。配水池可以给后续厌氧系统提供稳定均衡的供水。池内温度和PH值将连续监测，并在必要时投加NaOH来自动控制。池内设置蒸汽加热装置，营养盐、氧化钙及微量元素也在此添加。测量循环泵用于</w:t>
      </w:r>
      <w:r>
        <w:rPr>
          <w:rFonts w:hint="eastAsia"/>
          <w:lang w:val="en-US" w:eastAsia="zh-CN"/>
        </w:rPr>
        <w:t>p</w:t>
      </w:r>
      <w:r>
        <w:rPr>
          <w:rFonts w:hint="eastAsia"/>
        </w:rPr>
        <w:t>H值和温度的精确测量。</w:t>
      </w:r>
    </w:p>
    <w:p w14:paraId="6BB8DE85">
      <w:pPr>
        <w:spacing w:line="360" w:lineRule="auto"/>
        <w:ind w:firstLine="480" w:firstLineChars="200"/>
        <w:rPr>
          <w:rFonts w:hint="eastAsia"/>
        </w:rPr>
      </w:pPr>
      <w:r>
        <w:rPr>
          <w:rFonts w:hint="eastAsia"/>
        </w:rPr>
        <w:t>配水池内废水由厌氧提升泵（2台，1用1备）提升至后续厌氧反应器。</w:t>
      </w:r>
    </w:p>
    <w:p w14:paraId="1136DD6C">
      <w:pPr>
        <w:spacing w:line="360" w:lineRule="auto"/>
        <w:ind w:firstLine="480" w:firstLineChars="200"/>
        <w:rPr>
          <w:rFonts w:hint="eastAsia"/>
        </w:rPr>
      </w:pPr>
      <w:r>
        <w:rPr>
          <w:rFonts w:hint="eastAsia"/>
        </w:rPr>
        <w:t>配水池内液位连续监测，并与厌氧提升泵启停连锁。</w:t>
      </w:r>
    </w:p>
    <w:p w14:paraId="53D71FAC">
      <w:pPr>
        <w:spacing w:line="360" w:lineRule="auto"/>
        <w:ind w:firstLine="480" w:firstLineChars="200"/>
        <w:rPr>
          <w:rFonts w:hint="eastAsia"/>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SPIC厌氧反应器</w:t>
      </w:r>
    </w:p>
    <w:p w14:paraId="7979B494">
      <w:pPr>
        <w:spacing w:line="360" w:lineRule="auto"/>
        <w:ind w:firstLine="480" w:firstLineChars="200"/>
        <w:rPr>
          <w:rFonts w:hint="eastAsia"/>
        </w:rPr>
      </w:pPr>
      <w:r>
        <w:rPr>
          <w:rFonts w:hint="eastAsia"/>
        </w:rPr>
        <w:t>废水自配水池泵入SPIC厌氧反应器。SPIC厌氧反应器内通过厌氧微生物的分解作用去除废水中大部分的有机物质。</w:t>
      </w:r>
    </w:p>
    <w:p w14:paraId="5451C897">
      <w:pPr>
        <w:spacing w:line="360" w:lineRule="auto"/>
        <w:ind w:firstLine="480" w:firstLineChars="200"/>
        <w:rPr>
          <w:rFonts w:hint="eastAsia"/>
        </w:rPr>
      </w:pPr>
      <w:r>
        <w:rPr>
          <w:rFonts w:hint="eastAsia"/>
        </w:rPr>
        <w:t>反应器设1台，单座日处理6000 m</w:t>
      </w:r>
      <w:r>
        <w:rPr>
          <w:rFonts w:hint="eastAsia"/>
          <w:vertAlign w:val="superscript"/>
        </w:rPr>
        <w:t>3</w:t>
      </w:r>
      <w:r>
        <w:rPr>
          <w:rFonts w:hint="eastAsia"/>
        </w:rPr>
        <w:t>污水，容积为1852 m</w:t>
      </w:r>
      <w:r>
        <w:rPr>
          <w:rFonts w:hint="eastAsia"/>
          <w:vertAlign w:val="superscript"/>
        </w:rPr>
        <w:t>3</w:t>
      </w:r>
      <w:r>
        <w:rPr>
          <w:rFonts w:hint="eastAsia"/>
        </w:rPr>
        <w:t>（直径Φ=10m，H=24m）。</w:t>
      </w:r>
    </w:p>
    <w:p w14:paraId="24DC3C24">
      <w:pPr>
        <w:spacing w:line="360" w:lineRule="auto"/>
        <w:ind w:firstLine="480" w:firstLineChars="200"/>
        <w:rPr>
          <w:rFonts w:hint="eastAsia"/>
        </w:rPr>
      </w:pPr>
      <w:r>
        <w:rPr>
          <w:rFonts w:hint="eastAsia"/>
        </w:rPr>
        <w:t>厌氧颗粒污泥单罐初次接种量为550-600m3。</w:t>
      </w:r>
    </w:p>
    <w:p w14:paraId="50180B55">
      <w:pPr>
        <w:spacing w:line="360" w:lineRule="auto"/>
        <w:ind w:firstLine="480" w:firstLineChars="200"/>
        <w:rPr>
          <w:rFonts w:hint="eastAsia"/>
        </w:rPr>
      </w:pPr>
      <w:r>
        <w:rPr>
          <w:rFonts w:hint="eastAsia"/>
        </w:rPr>
        <w:t>SPIC厌氧反应器的进水流量由电磁流量计连续监测，手动阀门调节。</w:t>
      </w:r>
    </w:p>
    <w:p w14:paraId="08D31108">
      <w:pPr>
        <w:spacing w:line="360" w:lineRule="auto"/>
        <w:ind w:firstLine="480" w:firstLineChars="200"/>
        <w:rPr>
          <w:rFonts w:hint="eastAsia"/>
        </w:rPr>
      </w:pPr>
      <w:r>
        <w:rPr>
          <w:rFonts w:hint="eastAsia"/>
        </w:rPr>
        <w:t>SPIC厌氧反应器出水的温度和PH连续监测。反应器不同高度上设有取样管。</w:t>
      </w:r>
    </w:p>
    <w:p w14:paraId="2CD3AC06">
      <w:pPr>
        <w:spacing w:line="360" w:lineRule="auto"/>
        <w:ind w:firstLine="480" w:firstLineChars="200"/>
        <w:rPr>
          <w:rFonts w:hint="eastAsia"/>
        </w:rPr>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厌氧污泥池</w:t>
      </w:r>
    </w:p>
    <w:p w14:paraId="529CC126">
      <w:pPr>
        <w:spacing w:line="360" w:lineRule="auto"/>
        <w:ind w:firstLine="480" w:firstLineChars="200"/>
        <w:rPr>
          <w:rFonts w:hint="eastAsia"/>
        </w:rPr>
      </w:pPr>
      <w:r>
        <w:rPr>
          <w:rFonts w:hint="eastAsia"/>
        </w:rPr>
        <w:t>厌氧反应器出水先通过泥水分离器，出水大部分至后续好氧系统进行后续处理。截留污泥进入厌氧污泥池，并通过泵回流至厌氧反应器内部。</w:t>
      </w:r>
    </w:p>
    <w:p w14:paraId="75C12FC0">
      <w:pPr>
        <w:spacing w:line="360" w:lineRule="auto"/>
        <w:ind w:firstLine="480" w:firstLineChars="200"/>
        <w:rPr>
          <w:rFonts w:hint="eastAsia"/>
        </w:rPr>
      </w:pPr>
      <w:r>
        <w:rPr>
          <w:rFonts w:hint="eastAsia"/>
          <w:lang w:eastAsia="zh-CN"/>
        </w:rPr>
        <w:t>（</w:t>
      </w:r>
      <w:r>
        <w:rPr>
          <w:rFonts w:hint="eastAsia"/>
          <w:lang w:val="en-US" w:eastAsia="zh-CN"/>
        </w:rPr>
        <w:t>3</w:t>
      </w:r>
      <w:r>
        <w:rPr>
          <w:rFonts w:hint="eastAsia"/>
          <w:lang w:eastAsia="zh-CN"/>
        </w:rPr>
        <w:t>）</w:t>
      </w:r>
      <w:r>
        <w:rPr>
          <w:rFonts w:hint="eastAsia"/>
        </w:rPr>
        <w:t>好氧处理系统</w:t>
      </w:r>
    </w:p>
    <w:p w14:paraId="1E158F18">
      <w:pPr>
        <w:spacing w:line="360" w:lineRule="auto"/>
        <w:ind w:firstLine="480" w:firstLineChars="200"/>
        <w:rPr>
          <w:rFonts w:hint="eastAsia"/>
        </w:rPr>
      </w:pPr>
      <w:r>
        <w:rPr>
          <w:rFonts w:hint="eastAsia"/>
        </w:rPr>
        <w:t>SPIC厌氧反应器的出水自流进入到好氧处理系统进一步去除可生物降解的有机物。好氧处理系统由两部分组成：厌氧池和生物接触氧化池。</w:t>
      </w:r>
    </w:p>
    <w:p w14:paraId="70A042B5">
      <w:pPr>
        <w:spacing w:line="360" w:lineRule="auto"/>
        <w:ind w:firstLine="480" w:firstLineChars="20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厌氧池</w:t>
      </w:r>
    </w:p>
    <w:p w14:paraId="2D0E73AE">
      <w:pPr>
        <w:spacing w:line="360" w:lineRule="auto"/>
        <w:ind w:firstLine="480" w:firstLineChars="200"/>
        <w:rPr>
          <w:rFonts w:hint="eastAsia"/>
        </w:rPr>
      </w:pPr>
      <w:r>
        <w:rPr>
          <w:rFonts w:hint="eastAsia"/>
        </w:rPr>
        <w:t>厌氧出水重力流入总容积为250m</w:t>
      </w:r>
      <w:r>
        <w:rPr>
          <w:rFonts w:hint="eastAsia"/>
          <w:vertAlign w:val="superscript"/>
        </w:rPr>
        <w:t>3</w:t>
      </w:r>
      <w:r>
        <w:rPr>
          <w:rFonts w:hint="eastAsia"/>
        </w:rPr>
        <w:t>的厌氧池。</w:t>
      </w:r>
    </w:p>
    <w:p w14:paraId="2B36267F">
      <w:pPr>
        <w:spacing w:line="360" w:lineRule="auto"/>
        <w:ind w:firstLine="480" w:firstLineChars="200"/>
        <w:rPr>
          <w:rFonts w:hint="eastAsia"/>
        </w:rPr>
      </w:pPr>
      <w:r>
        <w:rPr>
          <w:rFonts w:hint="eastAsia"/>
        </w:rPr>
        <w:t>设置厌氧池的目的是将活性污泥交替在厌氧以及好氧状态下运行，能使过量积聚磷酸盐的积磷菌占优势生长，使活性污泥含磷量比普通活性污泥高。污泥中积磷菌在厌氧状态下释放磷，在好氧状态下过量地摄取磷。经过排放富磷剩余污泥，其结果与普通活性污泥法相比，可去除污水中更多的磷。</w:t>
      </w:r>
    </w:p>
    <w:p w14:paraId="512B98C1">
      <w:pPr>
        <w:spacing w:line="360" w:lineRule="auto"/>
        <w:ind w:firstLine="480" w:firstLineChars="200"/>
        <w:rPr>
          <w:rFonts w:hint="eastAsia"/>
        </w:rPr>
      </w:pPr>
      <w:r>
        <w:rPr>
          <w:rFonts w:hint="eastAsia"/>
        </w:rPr>
        <w:t>厌氧池内设置潜水搅拌机，增强聚磷菌与污水的传质效果。</w:t>
      </w:r>
    </w:p>
    <w:p w14:paraId="041E7504">
      <w:pPr>
        <w:spacing w:line="360" w:lineRule="auto"/>
        <w:ind w:firstLine="480" w:firstLineChars="200"/>
        <w:rPr>
          <w:rFonts w:hint="eastAsia"/>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好氧活性污泥池</w:t>
      </w:r>
    </w:p>
    <w:p w14:paraId="42B2BAC4">
      <w:pPr>
        <w:spacing w:line="360" w:lineRule="auto"/>
        <w:ind w:firstLine="480" w:firstLineChars="200"/>
        <w:rPr>
          <w:rFonts w:hint="eastAsia"/>
        </w:rPr>
      </w:pPr>
      <w:r>
        <w:rPr>
          <w:rFonts w:hint="eastAsia"/>
        </w:rPr>
        <w:t>厌氧池出水进入好氧活性污泥池，进一步去除水中的悬浮物及有机物质。池底设微孔曝气管。</w:t>
      </w:r>
    </w:p>
    <w:p w14:paraId="32CB3586">
      <w:pPr>
        <w:spacing w:line="360" w:lineRule="auto"/>
        <w:ind w:firstLine="480" w:firstLineChars="200"/>
        <w:rPr>
          <w:rFonts w:hint="eastAsia"/>
        </w:rPr>
      </w:pPr>
      <w:r>
        <w:rPr>
          <w:rFonts w:hint="eastAsia"/>
        </w:rPr>
        <w:t>生物接触氧化池容积2800m</w:t>
      </w:r>
      <w:r>
        <w:rPr>
          <w:rFonts w:hint="eastAsia"/>
          <w:vertAlign w:val="superscript"/>
        </w:rPr>
        <w:t>3</w:t>
      </w:r>
      <w:r>
        <w:rPr>
          <w:rFonts w:hint="eastAsia"/>
        </w:rPr>
        <w:t>。</w:t>
      </w:r>
    </w:p>
    <w:p w14:paraId="56EEEAB8">
      <w:pPr>
        <w:spacing w:line="360" w:lineRule="auto"/>
        <w:ind w:firstLine="480" w:firstLineChars="200"/>
        <w:rPr>
          <w:rFonts w:hint="eastAsia"/>
        </w:rPr>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二沉池</w:t>
      </w:r>
    </w:p>
    <w:p w14:paraId="7282D635">
      <w:pPr>
        <w:spacing w:line="360" w:lineRule="auto"/>
        <w:ind w:firstLine="480" w:firstLineChars="200"/>
        <w:rPr>
          <w:rFonts w:hint="eastAsia"/>
        </w:rPr>
      </w:pPr>
      <w:r>
        <w:rPr>
          <w:rFonts w:hint="eastAsia"/>
        </w:rPr>
        <w:t>好氧活性污泥池出水自流入二沉池。</w:t>
      </w:r>
    </w:p>
    <w:p w14:paraId="5616811B">
      <w:pPr>
        <w:spacing w:line="360" w:lineRule="auto"/>
        <w:ind w:firstLine="480" w:firstLineChars="200"/>
        <w:rPr>
          <w:rFonts w:hint="eastAsia"/>
        </w:rPr>
      </w:pPr>
      <w:r>
        <w:rPr>
          <w:rFonts w:hint="eastAsia"/>
        </w:rPr>
        <w:t>二沉池为幅流式沉淀池，1座，单座直径33m</w:t>
      </w:r>
      <w:r>
        <w:rPr>
          <w:rFonts w:hint="eastAsia"/>
          <w:vertAlign w:val="superscript"/>
        </w:rPr>
        <w:t xml:space="preserve"> 3</w:t>
      </w:r>
      <w:r>
        <w:rPr>
          <w:rFonts w:hint="eastAsia"/>
        </w:rPr>
        <w:t>。</w:t>
      </w:r>
    </w:p>
    <w:p w14:paraId="27E408C1">
      <w:pPr>
        <w:spacing w:line="360" w:lineRule="auto"/>
        <w:ind w:firstLine="480" w:firstLineChars="200"/>
        <w:rPr>
          <w:rFonts w:hint="eastAsia"/>
        </w:rPr>
      </w:pPr>
      <w:r>
        <w:rPr>
          <w:rFonts w:hint="eastAsia"/>
        </w:rPr>
        <w:t>沉淀池上清液达标排放。沉淀污泥回流至厌氧池，剩余部分排放污泥浓缩池。污泥经过浓缩后进入脱水机脱水，渗滤液自流入集水池。</w:t>
      </w:r>
    </w:p>
    <w:p w14:paraId="6344618B">
      <w:pPr>
        <w:numPr>
          <w:ilvl w:val="0"/>
          <w:numId w:val="0"/>
        </w:numPr>
        <w:spacing w:line="360" w:lineRule="auto"/>
        <w:ind w:left="480" w:leftChars="0"/>
        <w:rPr>
          <w:rFonts w:hint="eastAsia"/>
        </w:rPr>
      </w:pPr>
      <w:r>
        <w:rPr>
          <w:rFonts w:hint="eastAsia"/>
          <w:lang w:eastAsia="zh-CN"/>
        </w:rPr>
        <w:t>（</w:t>
      </w:r>
      <w:r>
        <w:rPr>
          <w:rFonts w:hint="eastAsia"/>
          <w:lang w:val="en-US" w:eastAsia="zh-CN"/>
        </w:rPr>
        <w:t>4</w:t>
      </w:r>
      <w:r>
        <w:rPr>
          <w:rFonts w:hint="eastAsia"/>
          <w:lang w:eastAsia="zh-CN"/>
        </w:rPr>
        <w:t>）</w:t>
      </w:r>
      <w:r>
        <w:rPr>
          <w:rFonts w:hint="eastAsia"/>
        </w:rPr>
        <w:t>沼气处理</w:t>
      </w:r>
    </w:p>
    <w:p w14:paraId="732AA80C">
      <w:pPr>
        <w:spacing w:line="360" w:lineRule="auto"/>
        <w:ind w:firstLine="480" w:firstLineChars="200"/>
        <w:rPr>
          <w:rFonts w:hint="eastAsia"/>
        </w:rPr>
      </w:pPr>
      <w:r>
        <w:rPr>
          <w:rFonts w:hint="eastAsia"/>
        </w:rPr>
        <w:t xml:space="preserve"> SPIC厌氧反应器在去除污染物的同时，产生清洁能源——沼气，产生的沼气可根据实际情况利用。沼气的产量取决于降解COD的量。</w:t>
      </w:r>
    </w:p>
    <w:p w14:paraId="76A57C1F">
      <w:pPr>
        <w:spacing w:line="360" w:lineRule="auto"/>
        <w:ind w:firstLine="480" w:firstLineChars="200"/>
        <w:rPr>
          <w:rFonts w:hint="eastAsia"/>
        </w:rPr>
      </w:pPr>
      <w:r>
        <w:rPr>
          <w:rFonts w:hint="eastAsia"/>
        </w:rPr>
        <w:fldChar w:fldCharType="begin"/>
      </w:r>
      <w:r>
        <w:rPr>
          <w:rFonts w:hint="eastAsia"/>
        </w:rPr>
        <w:instrText xml:space="preserve"> = 1 \* GB3 \* MERGEFORMAT </w:instrText>
      </w:r>
      <w:r>
        <w:rPr>
          <w:rFonts w:hint="eastAsia"/>
        </w:rPr>
        <w:fldChar w:fldCharType="separate"/>
      </w:r>
      <w:r>
        <w:t>①</w:t>
      </w:r>
      <w:r>
        <w:rPr>
          <w:rFonts w:hint="eastAsia"/>
        </w:rPr>
        <w:fldChar w:fldCharType="end"/>
      </w:r>
      <w:r>
        <w:rPr>
          <w:rFonts w:hint="eastAsia"/>
        </w:rPr>
        <w:t>沼气流量</w:t>
      </w:r>
    </w:p>
    <w:p w14:paraId="1B8C475B">
      <w:pPr>
        <w:spacing w:line="360" w:lineRule="auto"/>
        <w:ind w:firstLine="480" w:firstLineChars="200"/>
        <w:rPr>
          <w:rFonts w:hint="eastAsia"/>
        </w:rPr>
      </w:pPr>
      <w:r>
        <w:rPr>
          <w:rFonts w:hint="eastAsia"/>
        </w:rPr>
        <w:t>正常状况下，满负荷沼气产量约为6300m</w:t>
      </w:r>
      <w:r>
        <w:rPr>
          <w:rFonts w:hint="eastAsia"/>
          <w:vertAlign w:val="superscript"/>
        </w:rPr>
        <w:t>3</w:t>
      </w:r>
      <w:r>
        <w:rPr>
          <w:rFonts w:hint="eastAsia"/>
        </w:rPr>
        <w:t>/d。</w:t>
      </w:r>
    </w:p>
    <w:p w14:paraId="421DFFF8">
      <w:pPr>
        <w:spacing w:line="360" w:lineRule="auto"/>
        <w:ind w:firstLine="480" w:firstLineChars="200"/>
        <w:rPr>
          <w:rFonts w:hint="eastAsia"/>
        </w:rPr>
      </w:pPr>
      <w:r>
        <w:rPr>
          <w:rFonts w:hint="eastAsia"/>
        </w:rPr>
        <w:fldChar w:fldCharType="begin"/>
      </w:r>
      <w:r>
        <w:rPr>
          <w:rFonts w:hint="eastAsia"/>
        </w:rPr>
        <w:instrText xml:space="preserve"> = 2 \* GB3 \* MERGEFORMAT </w:instrText>
      </w:r>
      <w:r>
        <w:rPr>
          <w:rFonts w:hint="eastAsia"/>
        </w:rPr>
        <w:fldChar w:fldCharType="separate"/>
      </w:r>
      <w:r>
        <w:t>②</w:t>
      </w:r>
      <w:r>
        <w:rPr>
          <w:rFonts w:hint="eastAsia"/>
        </w:rPr>
        <w:fldChar w:fldCharType="end"/>
      </w:r>
      <w:r>
        <w:rPr>
          <w:rFonts w:hint="eastAsia"/>
        </w:rPr>
        <w:t>沼气稳压柜</w:t>
      </w:r>
    </w:p>
    <w:p w14:paraId="6642C6BC">
      <w:pPr>
        <w:spacing w:line="360" w:lineRule="auto"/>
        <w:ind w:firstLine="480" w:firstLineChars="200"/>
        <w:rPr>
          <w:rFonts w:hint="eastAsia"/>
        </w:rPr>
      </w:pPr>
      <w:r>
        <w:rPr>
          <w:rFonts w:hint="eastAsia"/>
        </w:rPr>
        <w:t>沼气稳压柜选用干式双膜球柜。容积200 m</w:t>
      </w:r>
      <w:r>
        <w:rPr>
          <w:rFonts w:hint="eastAsia"/>
          <w:vertAlign w:val="superscript"/>
        </w:rPr>
        <w:t>3</w:t>
      </w:r>
      <w:r>
        <w:rPr>
          <w:rFonts w:hint="eastAsia"/>
        </w:rPr>
        <w:t>，利旧。</w:t>
      </w:r>
    </w:p>
    <w:p w14:paraId="4F1D7068">
      <w:pPr>
        <w:spacing w:line="360" w:lineRule="auto"/>
        <w:ind w:firstLine="480" w:firstLineChars="200"/>
        <w:rPr>
          <w:rFonts w:hint="eastAsia" w:eastAsia="宋体"/>
          <w:lang w:eastAsia="zh-CN"/>
        </w:rPr>
      </w:pPr>
      <w:r>
        <w:rPr>
          <w:rFonts w:hint="eastAsia"/>
        </w:rPr>
        <w:fldChar w:fldCharType="begin"/>
      </w:r>
      <w:r>
        <w:rPr>
          <w:rFonts w:hint="eastAsia"/>
        </w:rPr>
        <w:instrText xml:space="preserve"> = 3 \* GB3 \* MERGEFORMAT </w:instrText>
      </w:r>
      <w:r>
        <w:rPr>
          <w:rFonts w:hint="eastAsia"/>
        </w:rPr>
        <w:fldChar w:fldCharType="separate"/>
      </w:r>
      <w:r>
        <w:t>③</w:t>
      </w:r>
      <w:r>
        <w:rPr>
          <w:rFonts w:hint="eastAsia"/>
        </w:rPr>
        <w:fldChar w:fldCharType="end"/>
      </w:r>
      <w:r>
        <w:rPr>
          <w:rFonts w:hint="eastAsia"/>
        </w:rPr>
        <w:t>沼气</w:t>
      </w:r>
      <w:r>
        <w:rPr>
          <w:rFonts w:hint="eastAsia"/>
          <w:lang w:val="en-US" w:eastAsia="zh-CN"/>
        </w:rPr>
        <w:t>燃烧</w:t>
      </w:r>
    </w:p>
    <w:p w14:paraId="727AC46F">
      <w:pPr>
        <w:spacing w:line="360" w:lineRule="auto"/>
        <w:ind w:firstLine="480" w:firstLineChars="200"/>
        <w:rPr>
          <w:rFonts w:hint="eastAsia"/>
          <w:lang w:val="en-US" w:eastAsia="zh-CN"/>
        </w:rPr>
      </w:pPr>
      <w:r>
        <w:rPr>
          <w:rFonts w:hint="eastAsia"/>
        </w:rPr>
        <w:t>沼气燃烧</w:t>
      </w:r>
      <w:r>
        <w:rPr>
          <w:rFonts w:hint="eastAsia"/>
          <w:lang w:val="en-US" w:eastAsia="zh-CN"/>
        </w:rPr>
        <w:t>方式为火炬燃烧。</w:t>
      </w:r>
    </w:p>
    <w:p w14:paraId="75202621">
      <w:pPr>
        <w:pStyle w:val="20"/>
        <w:rPr>
          <w:rFonts w:hint="eastAsia"/>
          <w:lang w:val="en-US" w:eastAsia="zh-CN"/>
        </w:rPr>
      </w:pPr>
    </w:p>
    <w:p w14:paraId="40C19A81">
      <w:pPr>
        <w:pStyle w:val="27"/>
        <w:rPr>
          <w:rFonts w:hint="eastAsia"/>
          <w:lang w:val="en-US" w:eastAsia="zh-CN"/>
        </w:rPr>
      </w:pPr>
    </w:p>
    <w:p w14:paraId="187842DA">
      <w:pPr>
        <w:rPr>
          <w:rFonts w:hint="eastAsia"/>
        </w:rPr>
      </w:pPr>
    </w:p>
    <w:p w14:paraId="4CAF5677">
      <w:pPr>
        <w:spacing w:line="360" w:lineRule="auto"/>
        <w:rPr>
          <w:b/>
          <w:sz w:val="24"/>
        </w:rPr>
      </w:pPr>
      <w:r>
        <mc:AlternateContent>
          <mc:Choice Requires="wpg">
            <w:drawing>
              <wp:anchor distT="0" distB="0" distL="114300" distR="114300" simplePos="0" relativeHeight="251701248" behindDoc="0" locked="0" layoutInCell="1" allowOverlap="1">
                <wp:simplePos x="0" y="0"/>
                <wp:positionH relativeFrom="column">
                  <wp:posOffset>-228600</wp:posOffset>
                </wp:positionH>
                <wp:positionV relativeFrom="paragraph">
                  <wp:posOffset>300355</wp:posOffset>
                </wp:positionV>
                <wp:extent cx="5791835" cy="993775"/>
                <wp:effectExtent l="0" t="0" r="18415" b="15875"/>
                <wp:wrapTopAndBottom/>
                <wp:docPr id="8" name="组合 8"/>
                <wp:cNvGraphicFramePr/>
                <a:graphic xmlns:a="http://schemas.openxmlformats.org/drawingml/2006/main">
                  <a:graphicData uri="http://schemas.microsoft.com/office/word/2010/wordprocessingGroup">
                    <wpg:wgp>
                      <wpg:cNvGrpSpPr/>
                      <wpg:grpSpPr>
                        <a:xfrm>
                          <a:off x="0" y="0"/>
                          <a:ext cx="5791835" cy="993775"/>
                          <a:chOff x="0" y="0"/>
                          <a:chExt cx="7861" cy="1565"/>
                        </a:xfrm>
                      </wpg:grpSpPr>
                      <wpg:grpSp>
                        <wpg:cNvPr id="9" name="组合 311"/>
                        <wpg:cNvGrpSpPr/>
                        <wpg:grpSpPr>
                          <a:xfrm>
                            <a:off x="0" y="0"/>
                            <a:ext cx="4776" cy="494"/>
                            <a:chOff x="0" y="0"/>
                            <a:chExt cx="4829" cy="442"/>
                          </a:xfrm>
                        </wpg:grpSpPr>
                        <wps:wsp>
                          <wps:cNvPr id="12" name="矩形 304"/>
                          <wps:cNvSpPr/>
                          <wps:spPr>
                            <a:xfrm>
                              <a:off x="3077" y="38"/>
                              <a:ext cx="1753"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9C35C06">
                                <w:pPr>
                                  <w:jc w:val="center"/>
                                </w:pPr>
                                <w:r>
                                  <w:rPr>
                                    <w:rFonts w:hint="eastAsia"/>
                                  </w:rPr>
                                  <w:t>沼气脱硫脱水装置</w:t>
                                </w:r>
                              </w:p>
                            </w:txbxContent>
                          </wps:txbx>
                          <wps:bodyPr upright="1"/>
                        </wps:wsp>
                        <wpg:grpSp>
                          <wpg:cNvPr id="14" name="组合 308"/>
                          <wpg:cNvGrpSpPr/>
                          <wpg:grpSpPr>
                            <a:xfrm>
                              <a:off x="0" y="0"/>
                              <a:ext cx="2488" cy="422"/>
                              <a:chOff x="0" y="0"/>
                              <a:chExt cx="2488" cy="422"/>
                            </a:xfrm>
                          </wpg:grpSpPr>
                          <wps:wsp>
                            <wps:cNvPr id="15" name="矩形 305"/>
                            <wps:cNvSpPr/>
                            <wps:spPr>
                              <a:xfrm>
                                <a:off x="0" y="0"/>
                                <a:ext cx="719" cy="405"/>
                              </a:xfrm>
                              <a:prstGeom prst="rect">
                                <a:avLst/>
                              </a:prstGeom>
                              <a:solidFill>
                                <a:srgbClr val="FFFFFF"/>
                              </a:solidFill>
                              <a:ln>
                                <a:noFill/>
                              </a:ln>
                            </wps:spPr>
                            <wps:txbx>
                              <w:txbxContent>
                                <w:p w14:paraId="4975DE48">
                                  <w:r>
                                    <w:rPr>
                                      <w:rFonts w:hint="eastAsia"/>
                                    </w:rPr>
                                    <w:t>沼气</w:t>
                                  </w:r>
                                </w:p>
                              </w:txbxContent>
                            </wps:txbx>
                            <wps:bodyPr upright="1"/>
                          </wps:wsp>
                          <wps:wsp>
                            <wps:cNvPr id="18" name="矩形 306"/>
                            <wps:cNvSpPr/>
                            <wps:spPr>
                              <a:xfrm>
                                <a:off x="1246" y="18"/>
                                <a:ext cx="1242"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5254E93">
                                  <w:pPr>
                                    <w:jc w:val="center"/>
                                  </w:pPr>
                                  <w:r>
                                    <w:rPr>
                                      <w:rFonts w:hint="eastAsia"/>
                                    </w:rPr>
                                    <w:t>阻火器</w:t>
                                  </w:r>
                                </w:p>
                              </w:txbxContent>
                            </wps:txbx>
                            <wps:bodyPr upright="1"/>
                          </wps:wsp>
                          <wps:wsp>
                            <wps:cNvPr id="19" name="直接连接符 307"/>
                            <wps:cNvCnPr/>
                            <wps:spPr>
                              <a:xfrm>
                                <a:off x="703" y="208"/>
                                <a:ext cx="510" cy="1"/>
                              </a:xfrm>
                              <a:prstGeom prst="line">
                                <a:avLst/>
                              </a:prstGeom>
                              <a:ln w="9525" cap="flat" cmpd="sng">
                                <a:solidFill>
                                  <a:srgbClr val="000000"/>
                                </a:solidFill>
                                <a:prstDash val="solid"/>
                                <a:headEnd type="none" w="med" len="med"/>
                                <a:tailEnd type="triangle" w="med" len="med"/>
                              </a:ln>
                            </wps:spPr>
                            <wps:bodyPr upright="1"/>
                          </wps:wsp>
                        </wpg:grpSp>
                        <wps:wsp>
                          <wps:cNvPr id="20" name="直接连接符 309"/>
                          <wps:cNvCnPr/>
                          <wps:spPr>
                            <a:xfrm>
                              <a:off x="2525" y="229"/>
                              <a:ext cx="510" cy="1"/>
                            </a:xfrm>
                            <a:prstGeom prst="line">
                              <a:avLst/>
                            </a:prstGeom>
                            <a:ln w="9525" cap="flat" cmpd="sng">
                              <a:solidFill>
                                <a:srgbClr val="000000"/>
                              </a:solidFill>
                              <a:prstDash val="solid"/>
                              <a:headEnd type="none" w="med" len="med"/>
                              <a:tailEnd type="triangle" w="med" len="med"/>
                            </a:ln>
                          </wps:spPr>
                          <wps:bodyPr upright="1"/>
                        </wps:wsp>
                      </wpg:grpSp>
                      <wps:wsp>
                        <wps:cNvPr id="21" name="矩形 312"/>
                        <wps:cNvSpPr/>
                        <wps:spPr>
                          <a:xfrm>
                            <a:off x="3372" y="1071"/>
                            <a:ext cx="1034" cy="45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463BAAF">
                              <w:pPr>
                                <w:jc w:val="center"/>
                              </w:pPr>
                              <w:r>
                                <w:rPr>
                                  <w:rFonts w:hint="eastAsia"/>
                                </w:rPr>
                                <w:t>贮气柜</w:t>
                              </w:r>
                            </w:p>
                          </w:txbxContent>
                        </wps:txbx>
                        <wps:bodyPr upright="1"/>
                      </wps:wsp>
                      <wpg:grpSp>
                        <wpg:cNvPr id="22" name="组合 317"/>
                        <wpg:cNvGrpSpPr/>
                        <wpg:grpSpPr>
                          <a:xfrm>
                            <a:off x="4399" y="1087"/>
                            <a:ext cx="3462" cy="478"/>
                            <a:chOff x="0" y="0"/>
                            <a:chExt cx="3501" cy="427"/>
                          </a:xfrm>
                        </wpg:grpSpPr>
                        <wps:wsp>
                          <wps:cNvPr id="23" name="直接连接符 313"/>
                          <wps:cNvCnPr/>
                          <wps:spPr>
                            <a:xfrm>
                              <a:off x="1761" y="228"/>
                              <a:ext cx="510" cy="1"/>
                            </a:xfrm>
                            <a:prstGeom prst="line">
                              <a:avLst/>
                            </a:prstGeom>
                            <a:ln w="9525" cap="flat" cmpd="sng">
                              <a:solidFill>
                                <a:srgbClr val="000000"/>
                              </a:solidFill>
                              <a:prstDash val="solid"/>
                              <a:headEnd type="none" w="med" len="med"/>
                              <a:tailEnd type="triangle" w="med" len="med"/>
                            </a:ln>
                          </wps:spPr>
                          <wps:bodyPr upright="1"/>
                        </wps:wsp>
                        <wps:wsp>
                          <wps:cNvPr id="24" name="矩形 314"/>
                          <wps:cNvSpPr/>
                          <wps:spPr>
                            <a:xfrm>
                              <a:off x="522" y="0"/>
                              <a:ext cx="1271"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BC79603">
                                <w:pPr>
                                  <w:jc w:val="center"/>
                                </w:pPr>
                                <w:r>
                                  <w:rPr>
                                    <w:rFonts w:hint="eastAsia"/>
                                  </w:rPr>
                                  <w:t>阻火器</w:t>
                                </w:r>
                              </w:p>
                            </w:txbxContent>
                          </wps:txbx>
                          <wps:bodyPr upright="1"/>
                        </wps:wsp>
                        <wps:wsp>
                          <wps:cNvPr id="25" name="直接连接符 315"/>
                          <wps:cNvCnPr/>
                          <wps:spPr>
                            <a:xfrm>
                              <a:off x="0" y="214"/>
                              <a:ext cx="510" cy="1"/>
                            </a:xfrm>
                            <a:prstGeom prst="line">
                              <a:avLst/>
                            </a:prstGeom>
                            <a:ln w="9525" cap="flat" cmpd="sng">
                              <a:solidFill>
                                <a:srgbClr val="000000"/>
                              </a:solidFill>
                              <a:prstDash val="solid"/>
                              <a:headEnd type="none" w="med" len="med"/>
                              <a:tailEnd type="triangle" w="med" len="med"/>
                            </a:ln>
                          </wps:spPr>
                          <wps:bodyPr upright="1"/>
                        </wps:wsp>
                        <wps:wsp>
                          <wps:cNvPr id="26" name="矩形 316"/>
                          <wps:cNvSpPr/>
                          <wps:spPr>
                            <a:xfrm>
                              <a:off x="2265" y="23"/>
                              <a:ext cx="1236" cy="4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545ADA2">
                                <w:pPr>
                                  <w:jc w:val="center"/>
                                </w:pPr>
                                <w:r>
                                  <w:rPr>
                                    <w:rFonts w:hint="eastAsia"/>
                                    <w:lang w:val="en-US" w:eastAsia="zh-CN"/>
                                  </w:rPr>
                                  <w:t>火炬</w:t>
                                </w:r>
                                <w:r>
                                  <w:rPr>
                                    <w:rFonts w:hint="eastAsia"/>
                                  </w:rPr>
                                  <w:t>燃烧</w:t>
                                </w:r>
                              </w:p>
                            </w:txbxContent>
                          </wps:txbx>
                          <wps:bodyPr upright="1"/>
                        </wps:wsp>
                      </wpg:grpSp>
                      <wps:wsp>
                        <wps:cNvPr id="28" name="直接连接符 318"/>
                        <wps:cNvCnPr/>
                        <wps:spPr>
                          <a:xfrm>
                            <a:off x="3871" y="488"/>
                            <a:ext cx="1" cy="570"/>
                          </a:xfrm>
                          <a:prstGeom prst="line">
                            <a:avLst/>
                          </a:prstGeom>
                          <a:ln w="9525" cap="flat" cmpd="sng">
                            <a:solidFill>
                              <a:srgbClr val="000000"/>
                            </a:solidFill>
                            <a:prstDash val="solid"/>
                            <a:headEnd type="none" w="med" len="med"/>
                            <a:tailEnd type="triangle" w="med" len="med"/>
                          </a:ln>
                        </wps:spPr>
                        <wps:bodyPr upright="1"/>
                      </wps:wsp>
                      <wps:wsp>
                        <wps:cNvPr id="29" name="直接连接符 319"/>
                        <wps:cNvCnPr/>
                        <wps:spPr>
                          <a:xfrm flipV="1">
                            <a:off x="6408" y="471"/>
                            <a:ext cx="1" cy="874"/>
                          </a:xfrm>
                          <a:prstGeom prst="line">
                            <a:avLst/>
                          </a:prstGeom>
                          <a:ln w="9525" cap="flat" cmpd="sng">
                            <a:solidFill>
                              <a:srgbClr val="000000"/>
                            </a:solidFill>
                            <a:prstDash val="solid"/>
                            <a:headEnd type="none" w="med" len="med"/>
                            <a:tailEnd type="triangle" w="med" len="med"/>
                          </a:ln>
                        </wps:spPr>
                        <wps:bodyPr upright="1"/>
                      </wps:wsp>
                      <wps:wsp>
                        <wps:cNvPr id="31" name="矩形 320"/>
                        <wps:cNvSpPr/>
                        <wps:spPr>
                          <a:xfrm>
                            <a:off x="5702" y="46"/>
                            <a:ext cx="1210" cy="454"/>
                          </a:xfrm>
                          <a:prstGeom prst="rect">
                            <a:avLst/>
                          </a:prstGeom>
                          <a:solidFill>
                            <a:srgbClr val="FFFFFF"/>
                          </a:solidFill>
                          <a:ln>
                            <a:noFill/>
                          </a:ln>
                        </wps:spPr>
                        <wps:txbx>
                          <w:txbxContent>
                            <w:p w14:paraId="2CCBFD09">
                              <w:pPr>
                                <w:jc w:val="center"/>
                              </w:pPr>
                              <w:r>
                                <w:rPr>
                                  <w:rFonts w:hint="eastAsia"/>
                                </w:rPr>
                                <w:t>沼气火炬燃烧</w:t>
                              </w:r>
                            </w:p>
                          </w:txbxContent>
                        </wps:txbx>
                        <wps:bodyPr upright="1"/>
                      </wps:wsp>
                    </wpg:wgp>
                  </a:graphicData>
                </a:graphic>
              </wp:anchor>
            </w:drawing>
          </mc:Choice>
          <mc:Fallback>
            <w:pict>
              <v:group id="_x0000_s1026" o:spid="_x0000_s1026" o:spt="203" style="position:absolute;left:0pt;margin-left:-18pt;margin-top:23.65pt;height:78.25pt;width:456.05pt;mso-wrap-distance-bottom:0pt;mso-wrap-distance-top:0pt;z-index:251701248;mso-width-relative:page;mso-height-relative:page;" coordsize="7861,1565" o:gfxdata="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">
                <o:lock v:ext="edit" aspectratio="f"/>
                <v:group id="组合 311" o:spid="_x0000_s1026" o:spt="203" style="position:absolute;left:0;top:0;height:494;width:4776;" coordsize="4829,442" o:gfxdata="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W/Q36+AAAA2gAAAA8AAAAAAAAAAQAgAAAAIgAAAGRycy9kb3ducmV2Lnht&#10;bFBLAQIUABQAAAAIAIdO4kAzLwWeOwAAADkAAAAVAAAAAAAAAAEAIAAAAA0BAABkcnMvZ3JvdXBz&#10;aGFwZXhtbC54bWxQSwUGAAAAAAYABgBgAQAAygMAAAAA&#10;">
                  <o:lock v:ext="edit" aspectratio="f"/>
                  <v:rect id="矩形 304" o:spid="_x0000_s1026" o:spt="1" style="position:absolute;left:3077;top:38;height:405;width:1753;" fillcolor="#FFFFFF" filled="t" stroked="t" coordsize="21600,21600" o:gfxdata="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gIlf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69C35C06">
                          <w:pPr>
                            <w:jc w:val="center"/>
                          </w:pPr>
                          <w:r>
                            <w:rPr>
                              <w:rFonts w:hint="eastAsia"/>
                            </w:rPr>
                            <w:t>沼气脱硫脱水装置</w:t>
                          </w:r>
                        </w:p>
                      </w:txbxContent>
                    </v:textbox>
                  </v:rect>
                  <v:group id="组合 308" o:spid="_x0000_s1026" o:spt="203" style="position:absolute;left:0;top:0;height:422;width:2488;" coordsize="2488,422" o:gfxdata="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TWXFr0AAADbAAAADwAAAAAAAAABACAAAAAiAAAAZHJzL2Rvd25yZXYueG1s&#10;UEsBAhQAFAAAAAgAh07iQDMvBZ47AAAAOQAAABUAAAAAAAAAAQAgAAAADAEAAGRycy9ncm91cHNo&#10;YXBleG1sLnhtbFBLBQYAAAAABgAGAGABAADJAwAAAAA=&#10;">
                    <o:lock v:ext="edit" aspectratio="f"/>
                    <v:rect id="矩形 305" o:spid="_x0000_s1026" o:spt="1" style="position:absolute;left:0;top:0;height:405;width:719;" fillcolor="#FFFFFF" filled="t" stroked="f" coordsize="21600,21600" o:gfxdata="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qxrsbsAAADb&#10;AAAADwAAAAAAAAABACAAAAAiAAAAZHJzL2Rvd25yZXYueG1sUEsBAhQAFAAAAAgAh07iQDMvBZ47&#10;AAAAOQAAABAAAAAAAAAAAQAgAAAACgEAAGRycy9zaGFwZXhtbC54bWxQSwUGAAAAAAYABgBbAQAA&#10;tAMAAAAA&#10;">
                      <v:fill on="t" focussize="0,0"/>
                      <v:stroke on="f"/>
                      <v:imagedata o:title=""/>
                      <o:lock v:ext="edit" aspectratio="f"/>
                      <v:textbox>
                        <w:txbxContent>
                          <w:p w14:paraId="4975DE48">
                            <w:r>
                              <w:rPr>
                                <w:rFonts w:hint="eastAsia"/>
                              </w:rPr>
                              <w:t>沼气</w:t>
                            </w:r>
                          </w:p>
                        </w:txbxContent>
                      </v:textbox>
                    </v:rect>
                    <v:rect id="矩形 306" o:spid="_x0000_s1026" o:spt="1" style="position:absolute;left:1246;top:18;height:405;width:1242;" fillcolor="#FFFFFF" filled="t" stroked="t" coordsize="21600,21600" o:gfxdata="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vqEp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25254E93">
                            <w:pPr>
                              <w:jc w:val="center"/>
                            </w:pPr>
                            <w:r>
                              <w:rPr>
                                <w:rFonts w:hint="eastAsia"/>
                              </w:rPr>
                              <w:t>阻火器</w:t>
                            </w:r>
                          </w:p>
                        </w:txbxContent>
                      </v:textbox>
                    </v:rect>
                    <v:line id="直接连接符 307" o:spid="_x0000_s1026" o:spt="20" style="position:absolute;left:703;top:208;height:1;width:510;" filled="f" stroked="t" coordsize="21600,21600" o:gfxdata="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k1U2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v:line id="直接连接符 309" o:spid="_x0000_s1026" o:spt="20" style="position:absolute;left:2525;top:229;height:1;width:510;" filled="f" stroked="t" coordsize="21600,21600" o:gfxdata="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FNha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group>
                <v:rect id="矩形 312" o:spid="_x0000_s1026" o:spt="1" style="position:absolute;left:3372;top:1071;height:454;width:1034;" fillcolor="#FFFFFF" filled="t" stroked="t" coordsize="21600,21600" o:gfxdata="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vHG3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463BAAF">
                        <w:pPr>
                          <w:jc w:val="center"/>
                        </w:pPr>
                        <w:r>
                          <w:rPr>
                            <w:rFonts w:hint="eastAsia"/>
                          </w:rPr>
                          <w:t>贮气柜</w:t>
                        </w:r>
                      </w:p>
                    </w:txbxContent>
                  </v:textbox>
                </v:rect>
                <v:group id="组合 317" o:spid="_x0000_s1026" o:spt="203" style="position:absolute;left:4399;top:1087;height:478;width:3462;" coordsize="3501,427" o:gfxdata="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P8YES+AAAA2wAAAA8AAAAAAAAAAQAgAAAAIgAAAGRycy9kb3ducmV2Lnht&#10;bFBLAQIUABQAAAAIAIdO4kAzLwWeOwAAADkAAAAVAAAAAAAAAAEAIAAAAA0BAABkcnMvZ3JvdXBz&#10;aGFwZXhtbC54bWxQSwUGAAAAAAYABgBgAQAAygMAAAAA&#10;">
                  <o:lock v:ext="edit" aspectratio="f"/>
                  <v:line id="直接连接符 313" o:spid="_x0000_s1026" o:spt="20" style="position:absolute;left:1761;top:228;height:1;width:510;" filled="f" stroked="t" coordsize="21600,21600" o:gfxdata="UEsDBAoAAAAAAIdO4kAAAAAAAAAAAAAAAAAEAAAAZHJzL1BLAwQUAAAACACHTuJAVxeoYb8AAADb&#10;AAAADwAAAGRycy9kb3ducmV2LnhtbEWPT2vCQBTE7wW/w/IEb3UTh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XqGG/&#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314" o:spid="_x0000_s1026" o:spt="1" style="position:absolute;left:522;top:0;height:405;width:1271;" fillcolor="#FFFFFF" filled="t" stroked="t" coordsize="21600,21600" o:gfxdata="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y9Iv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BC79603">
                          <w:pPr>
                            <w:jc w:val="center"/>
                          </w:pPr>
                          <w:r>
                            <w:rPr>
                              <w:rFonts w:hint="eastAsia"/>
                            </w:rPr>
                            <w:t>阻火器</w:t>
                          </w:r>
                        </w:p>
                      </w:txbxContent>
                    </v:textbox>
                  </v:rect>
                  <v:line id="直接连接符 315" o:spid="_x0000_s1026" o:spt="20" style="position:absolute;left:0;top:214;height:1;width:510;" filled="f" stroked="t" coordsize="21600,21600" o:gfxdata="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eylY6/&#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316" o:spid="_x0000_s1026" o:spt="1" style="position:absolute;left:2265;top:23;height:405;width:1236;" fillcolor="#FFFFFF" filled="t" stroked="t" coordsize="21600,21600" o:gfxdata="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V6cO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7545ADA2">
                          <w:pPr>
                            <w:jc w:val="center"/>
                          </w:pPr>
                          <w:r>
                            <w:rPr>
                              <w:rFonts w:hint="eastAsia"/>
                              <w:lang w:val="en-US" w:eastAsia="zh-CN"/>
                            </w:rPr>
                            <w:t>火炬</w:t>
                          </w:r>
                          <w:r>
                            <w:rPr>
                              <w:rFonts w:hint="eastAsia"/>
                            </w:rPr>
                            <w:t>燃烧</w:t>
                          </w:r>
                        </w:p>
                      </w:txbxContent>
                    </v:textbox>
                  </v:rect>
                </v:group>
                <v:line id="直接连接符 318" o:spid="_x0000_s1026" o:spt="20" style="position:absolute;left:3871;top:488;height:570;width:1;" filled="f" stroked="t" coordsize="21600,21600" o:gfxdata="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zOhC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接连接符 319" o:spid="_x0000_s1026" o:spt="20" style="position:absolute;left:6408;top:471;flip:y;height:874;width:1;" filled="f" stroked="t" coordsize="21600,21600" o:gfxdata="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CS5V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320" o:spid="_x0000_s1026" o:spt="1" style="position:absolute;left:5702;top:46;height:454;width:1210;" fillcolor="#FFFFFF" filled="t" stroked="f" coordsize="21600,21600" o:gfxdata="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iMdK8AAAA&#10;2w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2CCBFD09">
                        <w:pPr>
                          <w:jc w:val="center"/>
                        </w:pPr>
                        <w:r>
                          <w:rPr>
                            <w:rFonts w:hint="eastAsia"/>
                          </w:rPr>
                          <w:t>沼气火炬燃烧</w:t>
                        </w:r>
                      </w:p>
                    </w:txbxContent>
                  </v:textbox>
                </v:rect>
                <w10:wrap type="topAndBottom"/>
              </v:group>
            </w:pict>
          </mc:Fallback>
        </mc:AlternateContent>
      </w:r>
      <w:r>
        <w:rPr>
          <w:rFonts w:hint="eastAsia" w:ascii="宋体" w:hAnsi="宋体"/>
          <w:sz w:val="24"/>
        </w:rPr>
        <w:t xml:space="preserve">                      </w:t>
      </w:r>
    </w:p>
    <w:p w14:paraId="2E9B1E90">
      <w:pPr>
        <w:spacing w:line="480" w:lineRule="exact"/>
        <w:ind w:firstLine="1904" w:firstLineChars="700"/>
        <w:rPr>
          <w:rFonts w:eastAsia="黑体"/>
          <w:spacing w:val="16"/>
          <w:sz w:val="24"/>
        </w:rPr>
      </w:pPr>
    </w:p>
    <w:p w14:paraId="017B8B7E">
      <w:pPr>
        <w:jc w:val="center"/>
        <w:rPr>
          <w:rFonts w:hint="eastAsia" w:ascii="Times New Roman" w:hAnsi="Times New Roman" w:eastAsia="宋体" w:cs="Times New Roman"/>
          <w:b/>
          <w:bCs/>
        </w:rPr>
      </w:pPr>
      <w:r>
        <w:rPr>
          <w:rFonts w:hint="eastAsia" w:ascii="Times New Roman" w:hAnsi="Times New Roman" w:eastAsia="宋体" w:cs="Times New Roman"/>
          <w:b/>
          <w:bCs/>
        </w:rPr>
        <w:t>图</w:t>
      </w:r>
      <w:r>
        <w:rPr>
          <w:rFonts w:hint="eastAsia" w:ascii="Times New Roman" w:hAnsi="Times New Roman" w:eastAsia="宋体" w:cs="Times New Roman"/>
          <w:b/>
          <w:bCs/>
          <w:lang w:val="en-US" w:eastAsia="zh-CN"/>
        </w:rPr>
        <w:t>3.4-1</w:t>
      </w:r>
      <w:r>
        <w:rPr>
          <w:rFonts w:hint="eastAsia" w:ascii="Times New Roman" w:hAnsi="Times New Roman" w:eastAsia="宋体" w:cs="Times New Roman"/>
          <w:b/>
          <w:bCs/>
        </w:rPr>
        <w:t xml:space="preserve">  沼气工艺流程图</w:t>
      </w:r>
    </w:p>
    <w:p w14:paraId="27F65119">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（5）污泥处理</w:t>
      </w:r>
    </w:p>
    <w:p w14:paraId="289E9BCA">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污水处理站事故池沉积的污泥需要用板框压滤机脱水后外运填埋。二沉池以及连续活性砂滤产生的剩余污泥，经叠螺式压滤机脱水后外运填埋。</w:t>
      </w:r>
    </w:p>
    <w:p w14:paraId="24142E67">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（6）化学品投加系统</w:t>
      </w:r>
    </w:p>
    <w:p w14:paraId="7327016B">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污水处理站设置化学品投加系统用于投加NaOH、PAM、CaO、营养盐、微量元素及除磷药剂等。本方案上述药剂各配置一套投加装置，根据需要配有溶药搅拌装置以及投加泵。</w:t>
      </w:r>
    </w:p>
    <w:p w14:paraId="55CD9A1F">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设置液碱储罐1台，容积60m</w:t>
      </w:r>
      <w:r>
        <w:rPr>
          <w:rFonts w:hint="eastAsia" w:ascii="Times New Roman" w:hAnsi="Times New Roman" w:eastAsia="宋体" w:cs="Times New Roman"/>
          <w:vertAlign w:val="superscript"/>
          <w:lang w:val="en-US" w:eastAsia="zh-CN"/>
        </w:rPr>
        <w:t>3</w:t>
      </w:r>
      <w:r>
        <w:rPr>
          <w:rFonts w:hint="eastAsia" w:ascii="Times New Roman" w:hAnsi="Times New Roman" w:eastAsia="宋体" w:cs="Times New Roman"/>
          <w:lang w:val="en-US" w:eastAsia="zh-CN"/>
        </w:rPr>
        <w:t>。</w:t>
      </w:r>
    </w:p>
    <w:p w14:paraId="4EC175F2">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2、污水处理效果</w:t>
      </w:r>
    </w:p>
    <w:p w14:paraId="1F9466D1">
      <w:pPr>
        <w:spacing w:line="360" w:lineRule="auto"/>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各单元污水处理效果见表6.</w:t>
      </w:r>
      <w:r>
        <w:rPr>
          <w:rFonts w:hint="eastAsia" w:cs="Times New Roman"/>
          <w:lang w:val="en-US" w:eastAsia="zh-CN"/>
        </w:rPr>
        <w:t>3-1</w:t>
      </w:r>
      <w:r>
        <w:rPr>
          <w:rFonts w:hint="eastAsia" w:ascii="Times New Roman" w:hAnsi="Times New Roman" w:eastAsia="宋体" w:cs="Times New Roman"/>
          <w:lang w:val="en-US" w:eastAsia="zh-CN"/>
        </w:rPr>
        <w:t>。</w:t>
      </w:r>
    </w:p>
    <w:p w14:paraId="3C7A65AF">
      <w:pPr>
        <w:spacing w:line="360" w:lineRule="auto"/>
        <w:jc w:val="center"/>
        <w:rPr>
          <w:rFonts w:hint="eastAsia" w:ascii="Times New Roman" w:hAnsi="Times New Roman" w:eastAsia="宋体" w:cs="Times New Roman"/>
          <w:b/>
          <w:bCs/>
        </w:rPr>
      </w:pPr>
      <w:r>
        <w:rPr>
          <w:rFonts w:hint="eastAsia" w:ascii="Times New Roman" w:hAnsi="Times New Roman" w:eastAsia="宋体" w:cs="Times New Roman"/>
          <w:b/>
          <w:bCs/>
        </w:rPr>
        <w:t>表6.</w:t>
      </w:r>
      <w:r>
        <w:rPr>
          <w:rFonts w:hint="eastAsia" w:cs="Times New Roman"/>
          <w:b/>
          <w:bCs/>
          <w:lang w:val="en-US" w:eastAsia="zh-CN"/>
        </w:rPr>
        <w:t>3-1</w:t>
      </w:r>
      <w:r>
        <w:rPr>
          <w:rFonts w:hint="eastAsia" w:ascii="Times New Roman" w:hAnsi="Times New Roman" w:eastAsia="宋体" w:cs="Times New Roman"/>
          <w:b/>
          <w:bCs/>
        </w:rPr>
        <w:t xml:space="preserve">  本项目建成后污水处理站处理效果</w:t>
      </w:r>
    </w:p>
    <w:tbl>
      <w:tblPr>
        <w:tblStyle w:val="53"/>
        <w:tblW w:w="89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29"/>
        <w:gridCol w:w="835"/>
        <w:gridCol w:w="986"/>
        <w:gridCol w:w="919"/>
        <w:gridCol w:w="714"/>
        <w:gridCol w:w="872"/>
        <w:gridCol w:w="960"/>
        <w:gridCol w:w="960"/>
      </w:tblGrid>
      <w:tr w14:paraId="005E01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5" w:hRule="atLeast"/>
          <w:jc w:val="center"/>
        </w:trPr>
        <w:tc>
          <w:tcPr>
            <w:tcW w:w="2729" w:type="dxa"/>
            <w:tcBorders>
              <w:top w:val="single" w:color="auto" w:sz="4" w:space="0"/>
              <w:left w:val="single" w:color="auto" w:sz="4" w:space="0"/>
            </w:tcBorders>
            <w:vAlign w:val="center"/>
          </w:tcPr>
          <w:p w14:paraId="699BFBA0">
            <w:pPr>
              <w:spacing w:line="360" w:lineRule="auto"/>
              <w:ind w:left="838" w:hanging="837" w:hangingChars="399"/>
              <w:jc w:val="center"/>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项目</w:t>
            </w:r>
          </w:p>
        </w:tc>
        <w:tc>
          <w:tcPr>
            <w:tcW w:w="835" w:type="dxa"/>
            <w:tcBorders>
              <w:top w:val="single" w:color="auto" w:sz="4" w:space="0"/>
            </w:tcBorders>
            <w:vAlign w:val="center"/>
          </w:tcPr>
          <w:p w14:paraId="325E1E62">
            <w:pPr>
              <w:spacing w:line="360" w:lineRule="auto"/>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COD</w:t>
            </w:r>
          </w:p>
        </w:tc>
        <w:tc>
          <w:tcPr>
            <w:tcW w:w="986" w:type="dxa"/>
            <w:tcBorders>
              <w:top w:val="single" w:color="auto" w:sz="4" w:space="0"/>
            </w:tcBorders>
            <w:vAlign w:val="center"/>
          </w:tcPr>
          <w:p w14:paraId="518267BA">
            <w:pPr>
              <w:spacing w:line="360" w:lineRule="auto"/>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BOD</w:t>
            </w:r>
            <w:r>
              <w:rPr>
                <w:rFonts w:hint="default" w:ascii="Times New Roman" w:hAnsi="Times New Roman" w:cs="Times New Roman"/>
                <w:color w:val="000000"/>
                <w:sz w:val="21"/>
                <w:szCs w:val="21"/>
                <w:vertAlign w:val="subscript"/>
              </w:rPr>
              <w:t>5</w:t>
            </w:r>
          </w:p>
        </w:tc>
        <w:tc>
          <w:tcPr>
            <w:tcW w:w="919" w:type="dxa"/>
            <w:tcBorders>
              <w:top w:val="single" w:color="auto" w:sz="4" w:space="0"/>
            </w:tcBorders>
            <w:vAlign w:val="center"/>
          </w:tcPr>
          <w:p w14:paraId="0CAEA230">
            <w:pPr>
              <w:spacing w:line="360" w:lineRule="auto"/>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SS</w:t>
            </w:r>
          </w:p>
        </w:tc>
        <w:tc>
          <w:tcPr>
            <w:tcW w:w="714" w:type="dxa"/>
            <w:tcBorders>
              <w:top w:val="single" w:color="auto" w:sz="4" w:space="0"/>
            </w:tcBorders>
            <w:vAlign w:val="center"/>
          </w:tcPr>
          <w:p w14:paraId="74FF92A8">
            <w:pPr>
              <w:spacing w:line="36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氨氮</w:t>
            </w:r>
          </w:p>
        </w:tc>
        <w:tc>
          <w:tcPr>
            <w:tcW w:w="872" w:type="dxa"/>
            <w:tcBorders>
              <w:top w:val="single" w:color="auto" w:sz="4" w:space="0"/>
              <w:right w:val="single" w:color="auto" w:sz="4" w:space="0"/>
            </w:tcBorders>
            <w:vAlign w:val="center"/>
          </w:tcPr>
          <w:p w14:paraId="56409F66">
            <w:pPr>
              <w:spacing w:line="36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TN</w:t>
            </w:r>
          </w:p>
        </w:tc>
        <w:tc>
          <w:tcPr>
            <w:tcW w:w="960" w:type="dxa"/>
            <w:tcBorders>
              <w:top w:val="single" w:color="auto" w:sz="4" w:space="0"/>
              <w:right w:val="single" w:color="auto" w:sz="4" w:space="0"/>
            </w:tcBorders>
            <w:vAlign w:val="center"/>
          </w:tcPr>
          <w:p w14:paraId="32468215">
            <w:pPr>
              <w:spacing w:line="36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TP</w:t>
            </w:r>
          </w:p>
        </w:tc>
        <w:tc>
          <w:tcPr>
            <w:tcW w:w="960" w:type="dxa"/>
            <w:tcBorders>
              <w:top w:val="single" w:color="auto" w:sz="4" w:space="0"/>
              <w:right w:val="single" w:color="auto" w:sz="4" w:space="0"/>
            </w:tcBorders>
            <w:vAlign w:val="center"/>
          </w:tcPr>
          <w:p w14:paraId="5D12053B">
            <w:pPr>
              <w:spacing w:line="36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pH</w:t>
            </w:r>
          </w:p>
        </w:tc>
      </w:tr>
      <w:tr w14:paraId="103DB4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2729" w:type="dxa"/>
            <w:tcBorders>
              <w:left w:val="single" w:color="auto" w:sz="4" w:space="0"/>
            </w:tcBorders>
            <w:vAlign w:val="center"/>
          </w:tcPr>
          <w:p w14:paraId="7BF9500B">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eastAsia="zh-CN"/>
              </w:rPr>
              <w:t>高浓度废水</w:t>
            </w:r>
            <w:r>
              <w:rPr>
                <w:rFonts w:hint="default" w:ascii="Times New Roman" w:hAnsi="Times New Roman" w:cs="Times New Roman"/>
                <w:color w:val="000000"/>
                <w:sz w:val="21"/>
                <w:szCs w:val="21"/>
              </w:rPr>
              <w:t>进水浓度（mg/L）</w:t>
            </w:r>
          </w:p>
        </w:tc>
        <w:tc>
          <w:tcPr>
            <w:tcW w:w="835" w:type="dxa"/>
            <w:vAlign w:val="center"/>
          </w:tcPr>
          <w:p w14:paraId="2CF0E31E">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30000</w:t>
            </w:r>
          </w:p>
        </w:tc>
        <w:tc>
          <w:tcPr>
            <w:tcW w:w="986" w:type="dxa"/>
            <w:vAlign w:val="center"/>
          </w:tcPr>
          <w:p w14:paraId="5F2CF545">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20000</w:t>
            </w:r>
          </w:p>
        </w:tc>
        <w:tc>
          <w:tcPr>
            <w:tcW w:w="919" w:type="dxa"/>
            <w:vAlign w:val="center"/>
          </w:tcPr>
          <w:p w14:paraId="75FD81A2">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400</w:t>
            </w:r>
          </w:p>
        </w:tc>
        <w:tc>
          <w:tcPr>
            <w:tcW w:w="714" w:type="dxa"/>
            <w:vAlign w:val="center"/>
          </w:tcPr>
          <w:p w14:paraId="0147761E">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3244404E">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2800</w:t>
            </w:r>
          </w:p>
        </w:tc>
        <w:tc>
          <w:tcPr>
            <w:tcW w:w="960" w:type="dxa"/>
            <w:tcBorders>
              <w:right w:val="single" w:color="auto" w:sz="4" w:space="0"/>
            </w:tcBorders>
            <w:vAlign w:val="center"/>
          </w:tcPr>
          <w:p w14:paraId="02FA926E">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200</w:t>
            </w:r>
          </w:p>
        </w:tc>
        <w:tc>
          <w:tcPr>
            <w:tcW w:w="960" w:type="dxa"/>
            <w:vMerge w:val="restart"/>
            <w:tcBorders>
              <w:right w:val="single" w:color="auto" w:sz="4" w:space="0"/>
            </w:tcBorders>
            <w:vAlign w:val="center"/>
          </w:tcPr>
          <w:p w14:paraId="05D63B4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7.5-7.6</w:t>
            </w:r>
          </w:p>
        </w:tc>
      </w:tr>
      <w:tr w14:paraId="0405BB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05BA1B5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集水池去除效率（%）</w:t>
            </w:r>
          </w:p>
        </w:tc>
        <w:tc>
          <w:tcPr>
            <w:tcW w:w="835" w:type="dxa"/>
            <w:vAlign w:val="center"/>
          </w:tcPr>
          <w:p w14:paraId="025C3A70">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w:t>
            </w:r>
          </w:p>
        </w:tc>
        <w:tc>
          <w:tcPr>
            <w:tcW w:w="986" w:type="dxa"/>
            <w:vAlign w:val="center"/>
          </w:tcPr>
          <w:p w14:paraId="2E02683D">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10</w:t>
            </w:r>
          </w:p>
        </w:tc>
        <w:tc>
          <w:tcPr>
            <w:tcW w:w="919" w:type="dxa"/>
            <w:vAlign w:val="center"/>
          </w:tcPr>
          <w:p w14:paraId="59CF5CB8">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40</w:t>
            </w:r>
          </w:p>
        </w:tc>
        <w:tc>
          <w:tcPr>
            <w:tcW w:w="714" w:type="dxa"/>
            <w:vAlign w:val="center"/>
          </w:tcPr>
          <w:p w14:paraId="3FE5FD5E">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872" w:type="dxa"/>
            <w:tcBorders>
              <w:right w:val="single" w:color="auto" w:sz="4" w:space="0"/>
            </w:tcBorders>
            <w:vAlign w:val="center"/>
          </w:tcPr>
          <w:p w14:paraId="538DCC6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60" w:type="dxa"/>
            <w:tcBorders>
              <w:right w:val="single" w:color="auto" w:sz="4" w:space="0"/>
            </w:tcBorders>
            <w:vAlign w:val="center"/>
          </w:tcPr>
          <w:p w14:paraId="0EA4210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60" w:type="dxa"/>
            <w:vMerge w:val="continue"/>
            <w:tcBorders>
              <w:right w:val="single" w:color="auto" w:sz="4" w:space="0"/>
            </w:tcBorders>
            <w:vAlign w:val="center"/>
          </w:tcPr>
          <w:p w14:paraId="4A2442B6">
            <w:pPr>
              <w:jc w:val="center"/>
              <w:rPr>
                <w:rFonts w:hint="default" w:ascii="Times New Roman" w:hAnsi="Times New Roman" w:cs="Times New Roman"/>
                <w:color w:val="000000"/>
                <w:sz w:val="21"/>
                <w:szCs w:val="21"/>
              </w:rPr>
            </w:pPr>
          </w:p>
        </w:tc>
      </w:tr>
      <w:tr w14:paraId="38940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61" w:hRule="atLeast"/>
          <w:jc w:val="center"/>
        </w:trPr>
        <w:tc>
          <w:tcPr>
            <w:tcW w:w="2729" w:type="dxa"/>
            <w:tcBorders>
              <w:left w:val="single" w:color="auto" w:sz="4" w:space="0"/>
            </w:tcBorders>
            <w:vAlign w:val="center"/>
          </w:tcPr>
          <w:p w14:paraId="059FEAB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污水浓度（mg/L）</w:t>
            </w:r>
          </w:p>
        </w:tc>
        <w:tc>
          <w:tcPr>
            <w:tcW w:w="835" w:type="dxa"/>
            <w:vAlign w:val="center"/>
          </w:tcPr>
          <w:p w14:paraId="1D3C6B89">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28500</w:t>
            </w:r>
          </w:p>
        </w:tc>
        <w:tc>
          <w:tcPr>
            <w:tcW w:w="986" w:type="dxa"/>
            <w:vAlign w:val="center"/>
          </w:tcPr>
          <w:p w14:paraId="2497F362">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18000</w:t>
            </w:r>
          </w:p>
        </w:tc>
        <w:tc>
          <w:tcPr>
            <w:tcW w:w="919" w:type="dxa"/>
            <w:vAlign w:val="center"/>
          </w:tcPr>
          <w:p w14:paraId="56E8D227">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240</w:t>
            </w:r>
          </w:p>
        </w:tc>
        <w:tc>
          <w:tcPr>
            <w:tcW w:w="714" w:type="dxa"/>
            <w:vAlign w:val="center"/>
          </w:tcPr>
          <w:p w14:paraId="5B19F898">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2E79ED27">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2800</w:t>
            </w:r>
          </w:p>
        </w:tc>
        <w:tc>
          <w:tcPr>
            <w:tcW w:w="960" w:type="dxa"/>
            <w:tcBorders>
              <w:right w:val="single" w:color="auto" w:sz="4" w:space="0"/>
            </w:tcBorders>
            <w:vAlign w:val="center"/>
          </w:tcPr>
          <w:p w14:paraId="35FC8BAF">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200</w:t>
            </w:r>
          </w:p>
        </w:tc>
        <w:tc>
          <w:tcPr>
            <w:tcW w:w="960" w:type="dxa"/>
            <w:vMerge w:val="continue"/>
            <w:tcBorders>
              <w:right w:val="single" w:color="auto" w:sz="4" w:space="0"/>
            </w:tcBorders>
            <w:vAlign w:val="center"/>
          </w:tcPr>
          <w:p w14:paraId="493DDD42">
            <w:pPr>
              <w:jc w:val="center"/>
              <w:rPr>
                <w:rFonts w:hint="default" w:ascii="Times New Roman" w:hAnsi="Times New Roman" w:cs="Times New Roman"/>
                <w:color w:val="000000"/>
                <w:sz w:val="21"/>
                <w:szCs w:val="21"/>
              </w:rPr>
            </w:pPr>
          </w:p>
        </w:tc>
      </w:tr>
      <w:tr w14:paraId="1B419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7" w:hRule="atLeast"/>
          <w:jc w:val="center"/>
        </w:trPr>
        <w:tc>
          <w:tcPr>
            <w:tcW w:w="2729" w:type="dxa"/>
            <w:tcBorders>
              <w:left w:val="single" w:color="auto" w:sz="4" w:space="0"/>
            </w:tcBorders>
            <w:vAlign w:val="center"/>
          </w:tcPr>
          <w:p w14:paraId="66CBA88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酸化调节池去除效率（%）</w:t>
            </w:r>
          </w:p>
        </w:tc>
        <w:tc>
          <w:tcPr>
            <w:tcW w:w="835" w:type="dxa"/>
            <w:vAlign w:val="center"/>
          </w:tcPr>
          <w:p w14:paraId="3103083B">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20</w:t>
            </w:r>
          </w:p>
        </w:tc>
        <w:tc>
          <w:tcPr>
            <w:tcW w:w="986" w:type="dxa"/>
            <w:vAlign w:val="center"/>
          </w:tcPr>
          <w:p w14:paraId="0E31296B">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25</w:t>
            </w:r>
          </w:p>
        </w:tc>
        <w:tc>
          <w:tcPr>
            <w:tcW w:w="919" w:type="dxa"/>
            <w:vAlign w:val="center"/>
          </w:tcPr>
          <w:p w14:paraId="41D81C1B">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40</w:t>
            </w:r>
          </w:p>
        </w:tc>
        <w:tc>
          <w:tcPr>
            <w:tcW w:w="714" w:type="dxa"/>
            <w:vAlign w:val="center"/>
          </w:tcPr>
          <w:p w14:paraId="0416A5B6">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023EDEF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20</w:t>
            </w:r>
          </w:p>
        </w:tc>
        <w:tc>
          <w:tcPr>
            <w:tcW w:w="960" w:type="dxa"/>
            <w:tcBorders>
              <w:right w:val="single" w:color="auto" w:sz="4" w:space="0"/>
            </w:tcBorders>
            <w:vAlign w:val="center"/>
          </w:tcPr>
          <w:p w14:paraId="31A2DB8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20</w:t>
            </w:r>
          </w:p>
        </w:tc>
        <w:tc>
          <w:tcPr>
            <w:tcW w:w="960" w:type="dxa"/>
            <w:vMerge w:val="continue"/>
            <w:tcBorders>
              <w:right w:val="single" w:color="auto" w:sz="4" w:space="0"/>
            </w:tcBorders>
            <w:vAlign w:val="center"/>
          </w:tcPr>
          <w:p w14:paraId="4EC3436A">
            <w:pPr>
              <w:jc w:val="center"/>
              <w:rPr>
                <w:rFonts w:hint="default" w:ascii="Times New Roman" w:hAnsi="Times New Roman" w:cs="Times New Roman"/>
                <w:color w:val="000000"/>
                <w:sz w:val="21"/>
                <w:szCs w:val="21"/>
              </w:rPr>
            </w:pPr>
          </w:p>
        </w:tc>
      </w:tr>
      <w:tr w14:paraId="50453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2729" w:type="dxa"/>
            <w:tcBorders>
              <w:left w:val="single" w:color="auto" w:sz="4" w:space="0"/>
            </w:tcBorders>
            <w:vAlign w:val="center"/>
          </w:tcPr>
          <w:p w14:paraId="417FF7C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污水浓度（mg/L）</w:t>
            </w:r>
          </w:p>
        </w:tc>
        <w:tc>
          <w:tcPr>
            <w:tcW w:w="835" w:type="dxa"/>
            <w:vAlign w:val="center"/>
          </w:tcPr>
          <w:p w14:paraId="3A19F449">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22800</w:t>
            </w:r>
          </w:p>
        </w:tc>
        <w:tc>
          <w:tcPr>
            <w:tcW w:w="986" w:type="dxa"/>
            <w:vAlign w:val="center"/>
          </w:tcPr>
          <w:p w14:paraId="6BBA0BF4">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13500</w:t>
            </w:r>
          </w:p>
        </w:tc>
        <w:tc>
          <w:tcPr>
            <w:tcW w:w="919" w:type="dxa"/>
            <w:vAlign w:val="center"/>
          </w:tcPr>
          <w:p w14:paraId="18FE3AE6">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144</w:t>
            </w:r>
          </w:p>
        </w:tc>
        <w:tc>
          <w:tcPr>
            <w:tcW w:w="714" w:type="dxa"/>
            <w:vAlign w:val="center"/>
          </w:tcPr>
          <w:p w14:paraId="666BF382">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6E00F13D">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2240</w:t>
            </w:r>
          </w:p>
        </w:tc>
        <w:tc>
          <w:tcPr>
            <w:tcW w:w="960" w:type="dxa"/>
            <w:tcBorders>
              <w:right w:val="single" w:color="auto" w:sz="4" w:space="0"/>
            </w:tcBorders>
            <w:vAlign w:val="center"/>
          </w:tcPr>
          <w:p w14:paraId="5A565BC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16</w:t>
            </w:r>
            <w:r>
              <w:rPr>
                <w:rFonts w:hint="default" w:ascii="Times New Roman" w:hAnsi="Times New Roman" w:cs="Times New Roman"/>
                <w:color w:val="000000"/>
                <w:sz w:val="21"/>
                <w:szCs w:val="21"/>
                <w:lang w:val="en-US" w:eastAsia="zh-CN"/>
              </w:rPr>
              <w:t>0</w:t>
            </w:r>
          </w:p>
        </w:tc>
        <w:tc>
          <w:tcPr>
            <w:tcW w:w="960" w:type="dxa"/>
            <w:vMerge w:val="continue"/>
            <w:tcBorders>
              <w:right w:val="single" w:color="auto" w:sz="4" w:space="0"/>
            </w:tcBorders>
            <w:vAlign w:val="center"/>
          </w:tcPr>
          <w:p w14:paraId="5A8BE733">
            <w:pPr>
              <w:jc w:val="center"/>
              <w:rPr>
                <w:rFonts w:hint="default" w:ascii="Times New Roman" w:hAnsi="Times New Roman" w:cs="Times New Roman"/>
                <w:color w:val="000000"/>
                <w:sz w:val="21"/>
                <w:szCs w:val="21"/>
              </w:rPr>
            </w:pPr>
          </w:p>
        </w:tc>
      </w:tr>
      <w:tr w14:paraId="59E280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2729" w:type="dxa"/>
            <w:tcBorders>
              <w:left w:val="single" w:color="auto" w:sz="4" w:space="0"/>
            </w:tcBorders>
            <w:vAlign w:val="center"/>
          </w:tcPr>
          <w:p w14:paraId="268BDB6D">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SPIC厌氧反应器去除效率（%）</w:t>
            </w:r>
          </w:p>
        </w:tc>
        <w:tc>
          <w:tcPr>
            <w:tcW w:w="835" w:type="dxa"/>
            <w:vAlign w:val="center"/>
          </w:tcPr>
          <w:p w14:paraId="1725D6B4">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90</w:t>
            </w:r>
          </w:p>
        </w:tc>
        <w:tc>
          <w:tcPr>
            <w:tcW w:w="986" w:type="dxa"/>
            <w:vAlign w:val="center"/>
          </w:tcPr>
          <w:p w14:paraId="615A20C9">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90</w:t>
            </w:r>
          </w:p>
        </w:tc>
        <w:tc>
          <w:tcPr>
            <w:tcW w:w="919" w:type="dxa"/>
            <w:vAlign w:val="center"/>
          </w:tcPr>
          <w:p w14:paraId="6FAD4794">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3</w:t>
            </w:r>
            <w:r>
              <w:rPr>
                <w:rFonts w:hint="default" w:ascii="Times New Roman" w:hAnsi="Times New Roman" w:cs="Times New Roman"/>
                <w:color w:val="000000"/>
                <w:sz w:val="21"/>
                <w:szCs w:val="21"/>
              </w:rPr>
              <w:t>0</w:t>
            </w:r>
          </w:p>
        </w:tc>
        <w:tc>
          <w:tcPr>
            <w:tcW w:w="714" w:type="dxa"/>
            <w:vAlign w:val="center"/>
          </w:tcPr>
          <w:p w14:paraId="1CBD26EE">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6197AC22">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88</w:t>
            </w:r>
          </w:p>
        </w:tc>
        <w:tc>
          <w:tcPr>
            <w:tcW w:w="960" w:type="dxa"/>
            <w:tcBorders>
              <w:right w:val="single" w:color="auto" w:sz="4" w:space="0"/>
            </w:tcBorders>
            <w:vAlign w:val="center"/>
          </w:tcPr>
          <w:p w14:paraId="5C841007">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60</w:t>
            </w:r>
          </w:p>
        </w:tc>
        <w:tc>
          <w:tcPr>
            <w:tcW w:w="960" w:type="dxa"/>
            <w:vMerge w:val="continue"/>
            <w:tcBorders>
              <w:right w:val="single" w:color="auto" w:sz="4" w:space="0"/>
            </w:tcBorders>
            <w:vAlign w:val="center"/>
          </w:tcPr>
          <w:p w14:paraId="45EEAE8B">
            <w:pPr>
              <w:jc w:val="center"/>
              <w:rPr>
                <w:rFonts w:hint="default" w:ascii="Times New Roman" w:hAnsi="Times New Roman" w:cs="Times New Roman"/>
                <w:color w:val="000000"/>
                <w:sz w:val="21"/>
                <w:szCs w:val="21"/>
              </w:rPr>
            </w:pPr>
          </w:p>
        </w:tc>
      </w:tr>
      <w:tr w14:paraId="5420C2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6515AC0E">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污水浓度（mg/L）</w:t>
            </w:r>
          </w:p>
        </w:tc>
        <w:tc>
          <w:tcPr>
            <w:tcW w:w="835" w:type="dxa"/>
            <w:vAlign w:val="center"/>
          </w:tcPr>
          <w:p w14:paraId="12EAD0C7">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2280</w:t>
            </w:r>
          </w:p>
        </w:tc>
        <w:tc>
          <w:tcPr>
            <w:tcW w:w="986" w:type="dxa"/>
            <w:vAlign w:val="center"/>
          </w:tcPr>
          <w:p w14:paraId="70483425">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1350</w:t>
            </w:r>
          </w:p>
        </w:tc>
        <w:tc>
          <w:tcPr>
            <w:tcW w:w="919" w:type="dxa"/>
            <w:vAlign w:val="center"/>
          </w:tcPr>
          <w:p w14:paraId="009AA0BD">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100.8</w:t>
            </w:r>
          </w:p>
        </w:tc>
        <w:tc>
          <w:tcPr>
            <w:tcW w:w="714" w:type="dxa"/>
            <w:vAlign w:val="center"/>
          </w:tcPr>
          <w:p w14:paraId="68A2F914">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25DDF2F0">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268.8</w:t>
            </w:r>
          </w:p>
        </w:tc>
        <w:tc>
          <w:tcPr>
            <w:tcW w:w="960" w:type="dxa"/>
            <w:tcBorders>
              <w:right w:val="single" w:color="auto" w:sz="4" w:space="0"/>
            </w:tcBorders>
            <w:vAlign w:val="center"/>
          </w:tcPr>
          <w:p w14:paraId="6A2A776F">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64</w:t>
            </w:r>
          </w:p>
        </w:tc>
        <w:tc>
          <w:tcPr>
            <w:tcW w:w="960" w:type="dxa"/>
            <w:vMerge w:val="continue"/>
            <w:tcBorders>
              <w:right w:val="single" w:color="auto" w:sz="4" w:space="0"/>
            </w:tcBorders>
            <w:vAlign w:val="center"/>
          </w:tcPr>
          <w:p w14:paraId="226353C9">
            <w:pPr>
              <w:jc w:val="center"/>
              <w:rPr>
                <w:rFonts w:hint="default" w:ascii="Times New Roman" w:hAnsi="Times New Roman" w:cs="Times New Roman"/>
                <w:color w:val="000000"/>
                <w:sz w:val="21"/>
                <w:szCs w:val="21"/>
              </w:rPr>
            </w:pPr>
          </w:p>
        </w:tc>
      </w:tr>
      <w:tr w14:paraId="71B53D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564CA91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厌氧池去除效率（%）</w:t>
            </w:r>
          </w:p>
        </w:tc>
        <w:tc>
          <w:tcPr>
            <w:tcW w:w="835" w:type="dxa"/>
            <w:vAlign w:val="center"/>
          </w:tcPr>
          <w:p w14:paraId="643FB21F">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70</w:t>
            </w:r>
          </w:p>
        </w:tc>
        <w:tc>
          <w:tcPr>
            <w:tcW w:w="986" w:type="dxa"/>
            <w:vAlign w:val="center"/>
          </w:tcPr>
          <w:p w14:paraId="367013DB">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75</w:t>
            </w:r>
          </w:p>
        </w:tc>
        <w:tc>
          <w:tcPr>
            <w:tcW w:w="919" w:type="dxa"/>
            <w:vAlign w:val="center"/>
          </w:tcPr>
          <w:p w14:paraId="03575AA4">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30</w:t>
            </w:r>
          </w:p>
        </w:tc>
        <w:tc>
          <w:tcPr>
            <w:tcW w:w="714" w:type="dxa"/>
            <w:vAlign w:val="center"/>
          </w:tcPr>
          <w:p w14:paraId="72AF7947">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0CBA6C42">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70</w:t>
            </w:r>
          </w:p>
        </w:tc>
        <w:tc>
          <w:tcPr>
            <w:tcW w:w="960" w:type="dxa"/>
            <w:tcBorders>
              <w:right w:val="single" w:color="auto" w:sz="4" w:space="0"/>
            </w:tcBorders>
            <w:vAlign w:val="center"/>
          </w:tcPr>
          <w:p w14:paraId="6DBBDC70">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50</w:t>
            </w:r>
          </w:p>
        </w:tc>
        <w:tc>
          <w:tcPr>
            <w:tcW w:w="960" w:type="dxa"/>
            <w:vMerge w:val="continue"/>
            <w:tcBorders>
              <w:right w:val="single" w:color="auto" w:sz="4" w:space="0"/>
            </w:tcBorders>
            <w:vAlign w:val="center"/>
          </w:tcPr>
          <w:p w14:paraId="77DBB64E">
            <w:pPr>
              <w:jc w:val="center"/>
              <w:rPr>
                <w:rFonts w:hint="default" w:ascii="Times New Roman" w:hAnsi="Times New Roman" w:cs="Times New Roman"/>
                <w:color w:val="000000"/>
                <w:sz w:val="21"/>
                <w:szCs w:val="21"/>
              </w:rPr>
            </w:pPr>
          </w:p>
        </w:tc>
      </w:tr>
      <w:tr w14:paraId="6D6B78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1820A28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污水浓度（mg/L）</w:t>
            </w:r>
          </w:p>
        </w:tc>
        <w:tc>
          <w:tcPr>
            <w:tcW w:w="835" w:type="dxa"/>
            <w:vAlign w:val="center"/>
          </w:tcPr>
          <w:p w14:paraId="1E9AB62B">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684</w:t>
            </w:r>
          </w:p>
        </w:tc>
        <w:tc>
          <w:tcPr>
            <w:tcW w:w="986" w:type="dxa"/>
            <w:vAlign w:val="center"/>
          </w:tcPr>
          <w:p w14:paraId="43FCF77A">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337</w:t>
            </w:r>
          </w:p>
        </w:tc>
        <w:tc>
          <w:tcPr>
            <w:tcW w:w="919" w:type="dxa"/>
            <w:vAlign w:val="center"/>
          </w:tcPr>
          <w:p w14:paraId="2772D384">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70.6</w:t>
            </w:r>
          </w:p>
        </w:tc>
        <w:tc>
          <w:tcPr>
            <w:tcW w:w="714" w:type="dxa"/>
            <w:vAlign w:val="center"/>
          </w:tcPr>
          <w:p w14:paraId="5610C132">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w:t>
            </w:r>
          </w:p>
        </w:tc>
        <w:tc>
          <w:tcPr>
            <w:tcW w:w="872" w:type="dxa"/>
            <w:tcBorders>
              <w:right w:val="single" w:color="auto" w:sz="4" w:space="0"/>
            </w:tcBorders>
            <w:vAlign w:val="center"/>
          </w:tcPr>
          <w:p w14:paraId="0DCC4AD5">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80.6</w:t>
            </w:r>
          </w:p>
        </w:tc>
        <w:tc>
          <w:tcPr>
            <w:tcW w:w="960" w:type="dxa"/>
            <w:tcBorders>
              <w:right w:val="single" w:color="auto" w:sz="4" w:space="0"/>
            </w:tcBorders>
            <w:vAlign w:val="center"/>
          </w:tcPr>
          <w:p w14:paraId="0AC21928">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32</w:t>
            </w:r>
          </w:p>
        </w:tc>
        <w:tc>
          <w:tcPr>
            <w:tcW w:w="960" w:type="dxa"/>
            <w:vMerge w:val="continue"/>
            <w:tcBorders>
              <w:right w:val="single" w:color="auto" w:sz="4" w:space="0"/>
            </w:tcBorders>
            <w:vAlign w:val="center"/>
          </w:tcPr>
          <w:p w14:paraId="373334D2">
            <w:pPr>
              <w:jc w:val="center"/>
              <w:rPr>
                <w:rFonts w:hint="default" w:ascii="Times New Roman" w:hAnsi="Times New Roman" w:cs="Times New Roman"/>
                <w:color w:val="000000"/>
                <w:sz w:val="21"/>
                <w:szCs w:val="21"/>
              </w:rPr>
            </w:pPr>
          </w:p>
        </w:tc>
      </w:tr>
      <w:tr w14:paraId="2E177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729" w:type="dxa"/>
            <w:tcBorders>
              <w:left w:val="single" w:color="auto" w:sz="4" w:space="0"/>
            </w:tcBorders>
            <w:vAlign w:val="center"/>
          </w:tcPr>
          <w:p w14:paraId="41550479">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中低浓度进水（</w:t>
            </w:r>
            <w:r>
              <w:rPr>
                <w:rFonts w:hint="default" w:ascii="Times New Roman" w:hAnsi="Times New Roman" w:cs="Times New Roman"/>
                <w:color w:val="000000"/>
                <w:sz w:val="21"/>
                <w:szCs w:val="21"/>
              </w:rPr>
              <w:t>mg/L</w:t>
            </w:r>
            <w:r>
              <w:rPr>
                <w:rFonts w:hint="default" w:ascii="Times New Roman" w:hAnsi="Times New Roman" w:cs="Times New Roman"/>
                <w:color w:val="000000"/>
                <w:sz w:val="21"/>
                <w:szCs w:val="21"/>
                <w:lang w:eastAsia="zh-CN"/>
              </w:rPr>
              <w:t>）</w:t>
            </w:r>
          </w:p>
        </w:tc>
        <w:tc>
          <w:tcPr>
            <w:tcW w:w="835" w:type="dxa"/>
            <w:vAlign w:val="center"/>
          </w:tcPr>
          <w:p w14:paraId="0330B864">
            <w:pPr>
              <w:ind w:left="843" w:leftChars="26" w:hanging="781" w:hangingChars="372"/>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684.3</w:t>
            </w:r>
          </w:p>
        </w:tc>
        <w:tc>
          <w:tcPr>
            <w:tcW w:w="986" w:type="dxa"/>
            <w:vAlign w:val="center"/>
          </w:tcPr>
          <w:p w14:paraId="1E598DC6">
            <w:pPr>
              <w:ind w:left="843" w:leftChars="26" w:hanging="781" w:hangingChars="372"/>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303.9</w:t>
            </w:r>
          </w:p>
        </w:tc>
        <w:tc>
          <w:tcPr>
            <w:tcW w:w="919" w:type="dxa"/>
            <w:vAlign w:val="center"/>
          </w:tcPr>
          <w:p w14:paraId="3544FA2B">
            <w:pPr>
              <w:ind w:left="843" w:leftChars="26" w:hanging="781" w:hangingChars="372"/>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54.6</w:t>
            </w:r>
          </w:p>
        </w:tc>
        <w:tc>
          <w:tcPr>
            <w:tcW w:w="714" w:type="dxa"/>
            <w:vAlign w:val="center"/>
          </w:tcPr>
          <w:p w14:paraId="29CDFEEF">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91.3</w:t>
            </w:r>
          </w:p>
        </w:tc>
        <w:tc>
          <w:tcPr>
            <w:tcW w:w="872" w:type="dxa"/>
            <w:tcBorders>
              <w:right w:val="single" w:color="auto" w:sz="4" w:space="0"/>
            </w:tcBorders>
            <w:vAlign w:val="center"/>
          </w:tcPr>
          <w:p w14:paraId="104B57AF">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137.1</w:t>
            </w:r>
          </w:p>
        </w:tc>
        <w:tc>
          <w:tcPr>
            <w:tcW w:w="960" w:type="dxa"/>
            <w:tcBorders>
              <w:right w:val="single" w:color="auto" w:sz="4" w:space="0"/>
            </w:tcBorders>
            <w:vAlign w:val="center"/>
          </w:tcPr>
          <w:p w14:paraId="2005FD44">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w:t>
            </w:r>
          </w:p>
        </w:tc>
        <w:tc>
          <w:tcPr>
            <w:tcW w:w="960" w:type="dxa"/>
            <w:vMerge w:val="continue"/>
            <w:tcBorders>
              <w:right w:val="single" w:color="auto" w:sz="4" w:space="0"/>
            </w:tcBorders>
            <w:vAlign w:val="center"/>
          </w:tcPr>
          <w:p w14:paraId="36F1EF55">
            <w:pPr>
              <w:jc w:val="center"/>
              <w:rPr>
                <w:rFonts w:hint="default" w:ascii="Times New Roman" w:hAnsi="Times New Roman" w:cs="Times New Roman"/>
                <w:color w:val="000000"/>
                <w:sz w:val="21"/>
                <w:szCs w:val="21"/>
              </w:rPr>
            </w:pPr>
          </w:p>
        </w:tc>
      </w:tr>
      <w:tr w14:paraId="0D7E1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3451495A">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eastAsia="zh-CN"/>
              </w:rPr>
              <w:t>混合水质（</w:t>
            </w:r>
            <w:r>
              <w:rPr>
                <w:rFonts w:hint="default" w:ascii="Times New Roman" w:hAnsi="Times New Roman" w:cs="Times New Roman"/>
                <w:color w:val="000000"/>
                <w:sz w:val="21"/>
                <w:szCs w:val="21"/>
              </w:rPr>
              <w:t>mg/L</w:t>
            </w:r>
            <w:r>
              <w:rPr>
                <w:rFonts w:hint="default" w:ascii="Times New Roman" w:hAnsi="Times New Roman" w:cs="Times New Roman"/>
                <w:color w:val="000000"/>
                <w:sz w:val="21"/>
                <w:szCs w:val="21"/>
                <w:lang w:eastAsia="zh-CN"/>
              </w:rPr>
              <w:t>）</w:t>
            </w:r>
          </w:p>
        </w:tc>
        <w:tc>
          <w:tcPr>
            <w:tcW w:w="835" w:type="dxa"/>
            <w:vAlign w:val="center"/>
          </w:tcPr>
          <w:p w14:paraId="11D56072">
            <w:pPr>
              <w:ind w:left="843" w:leftChars="26" w:hanging="781" w:hangingChars="372"/>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684.3</w:t>
            </w:r>
          </w:p>
        </w:tc>
        <w:tc>
          <w:tcPr>
            <w:tcW w:w="986" w:type="dxa"/>
            <w:vAlign w:val="center"/>
          </w:tcPr>
          <w:p w14:paraId="358C0ADA">
            <w:pPr>
              <w:ind w:left="843" w:leftChars="26" w:hanging="781" w:hangingChars="372"/>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308.8</w:t>
            </w:r>
          </w:p>
        </w:tc>
        <w:tc>
          <w:tcPr>
            <w:tcW w:w="919" w:type="dxa"/>
            <w:vAlign w:val="center"/>
          </w:tcPr>
          <w:p w14:paraId="5B417A53">
            <w:pPr>
              <w:ind w:left="843" w:leftChars="26" w:hanging="781" w:hangingChars="372"/>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57.0</w:t>
            </w:r>
          </w:p>
        </w:tc>
        <w:tc>
          <w:tcPr>
            <w:tcW w:w="714" w:type="dxa"/>
            <w:vAlign w:val="center"/>
          </w:tcPr>
          <w:p w14:paraId="25B7D13D">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77.8</w:t>
            </w:r>
          </w:p>
        </w:tc>
        <w:tc>
          <w:tcPr>
            <w:tcW w:w="872" w:type="dxa"/>
            <w:tcBorders>
              <w:right w:val="single" w:color="auto" w:sz="4" w:space="0"/>
            </w:tcBorders>
            <w:vAlign w:val="center"/>
          </w:tcPr>
          <w:p w14:paraId="03F33472">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128.7</w:t>
            </w:r>
          </w:p>
        </w:tc>
        <w:tc>
          <w:tcPr>
            <w:tcW w:w="960" w:type="dxa"/>
            <w:tcBorders>
              <w:right w:val="single" w:color="auto" w:sz="4" w:space="0"/>
            </w:tcBorders>
            <w:vAlign w:val="center"/>
          </w:tcPr>
          <w:p w14:paraId="459C9373">
            <w:pPr>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4.7</w:t>
            </w:r>
          </w:p>
        </w:tc>
        <w:tc>
          <w:tcPr>
            <w:tcW w:w="960" w:type="dxa"/>
            <w:vMerge w:val="continue"/>
            <w:tcBorders>
              <w:right w:val="single" w:color="auto" w:sz="4" w:space="0"/>
            </w:tcBorders>
            <w:vAlign w:val="center"/>
          </w:tcPr>
          <w:p w14:paraId="39CE16FB">
            <w:pPr>
              <w:jc w:val="center"/>
              <w:rPr>
                <w:rFonts w:hint="default" w:ascii="Times New Roman" w:hAnsi="Times New Roman" w:cs="Times New Roman"/>
                <w:color w:val="000000"/>
                <w:sz w:val="21"/>
                <w:szCs w:val="21"/>
              </w:rPr>
            </w:pPr>
          </w:p>
        </w:tc>
      </w:tr>
      <w:tr w14:paraId="374AD2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1F087E0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接触氧化池去除效率（%）</w:t>
            </w:r>
          </w:p>
        </w:tc>
        <w:tc>
          <w:tcPr>
            <w:tcW w:w="835" w:type="dxa"/>
            <w:vAlign w:val="center"/>
          </w:tcPr>
          <w:p w14:paraId="4A77A38C">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90</w:t>
            </w:r>
          </w:p>
        </w:tc>
        <w:tc>
          <w:tcPr>
            <w:tcW w:w="986" w:type="dxa"/>
            <w:vAlign w:val="center"/>
          </w:tcPr>
          <w:p w14:paraId="5FE1A078">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92</w:t>
            </w:r>
          </w:p>
        </w:tc>
        <w:tc>
          <w:tcPr>
            <w:tcW w:w="919" w:type="dxa"/>
            <w:vAlign w:val="center"/>
          </w:tcPr>
          <w:p w14:paraId="3D2795C1">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30</w:t>
            </w:r>
          </w:p>
        </w:tc>
        <w:tc>
          <w:tcPr>
            <w:tcW w:w="714" w:type="dxa"/>
            <w:vAlign w:val="center"/>
          </w:tcPr>
          <w:p w14:paraId="110A69AE">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80</w:t>
            </w:r>
          </w:p>
        </w:tc>
        <w:tc>
          <w:tcPr>
            <w:tcW w:w="872" w:type="dxa"/>
            <w:tcBorders>
              <w:right w:val="single" w:color="auto" w:sz="4" w:space="0"/>
            </w:tcBorders>
            <w:vAlign w:val="center"/>
          </w:tcPr>
          <w:p w14:paraId="784E60F5">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85</w:t>
            </w:r>
          </w:p>
        </w:tc>
        <w:tc>
          <w:tcPr>
            <w:tcW w:w="960" w:type="dxa"/>
            <w:tcBorders>
              <w:right w:val="single" w:color="auto" w:sz="4" w:space="0"/>
            </w:tcBorders>
            <w:vAlign w:val="center"/>
          </w:tcPr>
          <w:p w14:paraId="1241800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8</w:t>
            </w:r>
            <w:r>
              <w:rPr>
                <w:rFonts w:hint="default" w:ascii="Times New Roman" w:hAnsi="Times New Roman" w:cs="Times New Roman"/>
                <w:color w:val="000000"/>
                <w:sz w:val="21"/>
                <w:szCs w:val="21"/>
              </w:rPr>
              <w:t>0</w:t>
            </w:r>
          </w:p>
        </w:tc>
        <w:tc>
          <w:tcPr>
            <w:tcW w:w="960" w:type="dxa"/>
            <w:vMerge w:val="continue"/>
            <w:tcBorders>
              <w:right w:val="single" w:color="auto" w:sz="4" w:space="0"/>
            </w:tcBorders>
            <w:vAlign w:val="center"/>
          </w:tcPr>
          <w:p w14:paraId="34170062">
            <w:pPr>
              <w:jc w:val="center"/>
              <w:rPr>
                <w:rFonts w:hint="default" w:ascii="Times New Roman" w:hAnsi="Times New Roman" w:cs="Times New Roman"/>
                <w:color w:val="000000"/>
                <w:sz w:val="21"/>
                <w:szCs w:val="21"/>
              </w:rPr>
            </w:pPr>
          </w:p>
        </w:tc>
      </w:tr>
      <w:tr w14:paraId="3841F0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2729" w:type="dxa"/>
            <w:tcBorders>
              <w:left w:val="single" w:color="auto" w:sz="4" w:space="0"/>
            </w:tcBorders>
            <w:vAlign w:val="center"/>
          </w:tcPr>
          <w:p w14:paraId="57F328B1">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污水浓度（mg/L）</w:t>
            </w:r>
          </w:p>
        </w:tc>
        <w:tc>
          <w:tcPr>
            <w:tcW w:w="835" w:type="dxa"/>
            <w:vAlign w:val="center"/>
          </w:tcPr>
          <w:p w14:paraId="6CB525BD">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68.4</w:t>
            </w:r>
          </w:p>
        </w:tc>
        <w:tc>
          <w:tcPr>
            <w:tcW w:w="986" w:type="dxa"/>
            <w:vAlign w:val="center"/>
          </w:tcPr>
          <w:p w14:paraId="139981E3">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24.7</w:t>
            </w:r>
          </w:p>
        </w:tc>
        <w:tc>
          <w:tcPr>
            <w:tcW w:w="919" w:type="dxa"/>
            <w:vAlign w:val="center"/>
          </w:tcPr>
          <w:p w14:paraId="624DE8F9">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39.9</w:t>
            </w:r>
          </w:p>
        </w:tc>
        <w:tc>
          <w:tcPr>
            <w:tcW w:w="714" w:type="dxa"/>
            <w:vAlign w:val="center"/>
          </w:tcPr>
          <w:p w14:paraId="78922590">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15.6</w:t>
            </w:r>
          </w:p>
        </w:tc>
        <w:tc>
          <w:tcPr>
            <w:tcW w:w="872" w:type="dxa"/>
            <w:tcBorders>
              <w:right w:val="single" w:color="auto" w:sz="4" w:space="0"/>
            </w:tcBorders>
            <w:vAlign w:val="center"/>
          </w:tcPr>
          <w:p w14:paraId="20194430">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19.3</w:t>
            </w:r>
          </w:p>
        </w:tc>
        <w:tc>
          <w:tcPr>
            <w:tcW w:w="960" w:type="dxa"/>
            <w:tcBorders>
              <w:right w:val="single" w:color="auto" w:sz="4" w:space="0"/>
            </w:tcBorders>
            <w:vAlign w:val="center"/>
          </w:tcPr>
          <w:p w14:paraId="7EB2579D">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w:t>
            </w:r>
            <w:r>
              <w:rPr>
                <w:rFonts w:hint="default" w:ascii="Times New Roman" w:hAnsi="Times New Roman" w:cs="Times New Roman"/>
                <w:color w:val="000000"/>
                <w:sz w:val="21"/>
                <w:szCs w:val="21"/>
                <w:lang w:val="en-US" w:eastAsia="zh-CN"/>
              </w:rPr>
              <w:t>94</w:t>
            </w:r>
          </w:p>
        </w:tc>
        <w:tc>
          <w:tcPr>
            <w:tcW w:w="960" w:type="dxa"/>
            <w:vMerge w:val="continue"/>
            <w:tcBorders>
              <w:right w:val="single" w:color="auto" w:sz="4" w:space="0"/>
            </w:tcBorders>
            <w:vAlign w:val="center"/>
          </w:tcPr>
          <w:p w14:paraId="3BE4D152">
            <w:pPr>
              <w:jc w:val="center"/>
              <w:rPr>
                <w:rFonts w:hint="default" w:ascii="Times New Roman" w:hAnsi="Times New Roman" w:cs="Times New Roman"/>
                <w:color w:val="000000"/>
                <w:sz w:val="21"/>
                <w:szCs w:val="21"/>
              </w:rPr>
            </w:pPr>
          </w:p>
        </w:tc>
      </w:tr>
      <w:tr w14:paraId="56F5D8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0AFD9C81">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二沉池去除效率（%）</w:t>
            </w:r>
          </w:p>
        </w:tc>
        <w:tc>
          <w:tcPr>
            <w:tcW w:w="835" w:type="dxa"/>
            <w:vAlign w:val="center"/>
          </w:tcPr>
          <w:p w14:paraId="1D3E9C1A">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10</w:t>
            </w:r>
          </w:p>
        </w:tc>
        <w:tc>
          <w:tcPr>
            <w:tcW w:w="986" w:type="dxa"/>
            <w:vAlign w:val="center"/>
          </w:tcPr>
          <w:p w14:paraId="2182328E">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r>
              <w:rPr>
                <w:rFonts w:hint="default" w:ascii="Times New Roman" w:hAnsi="Times New Roman" w:cs="Times New Roman"/>
                <w:color w:val="000000"/>
                <w:sz w:val="21"/>
                <w:szCs w:val="21"/>
                <w:lang w:val="en-US" w:eastAsia="zh-CN"/>
              </w:rPr>
              <w:t>5</w:t>
            </w:r>
          </w:p>
        </w:tc>
        <w:tc>
          <w:tcPr>
            <w:tcW w:w="919" w:type="dxa"/>
            <w:vAlign w:val="center"/>
          </w:tcPr>
          <w:p w14:paraId="47FABB66">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r>
              <w:rPr>
                <w:rFonts w:hint="default" w:ascii="Times New Roman" w:hAnsi="Times New Roman" w:cs="Times New Roman"/>
                <w:color w:val="000000"/>
                <w:sz w:val="21"/>
                <w:szCs w:val="21"/>
                <w:lang w:val="en-US" w:eastAsia="zh-CN"/>
              </w:rPr>
              <w:t>5</w:t>
            </w:r>
          </w:p>
        </w:tc>
        <w:tc>
          <w:tcPr>
            <w:tcW w:w="714" w:type="dxa"/>
            <w:vAlign w:val="center"/>
          </w:tcPr>
          <w:p w14:paraId="58A6884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872" w:type="dxa"/>
            <w:tcBorders>
              <w:right w:val="single" w:color="auto" w:sz="4" w:space="0"/>
            </w:tcBorders>
            <w:vAlign w:val="center"/>
          </w:tcPr>
          <w:p w14:paraId="22E161C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60" w:type="dxa"/>
            <w:tcBorders>
              <w:right w:val="single" w:color="auto" w:sz="4" w:space="0"/>
            </w:tcBorders>
            <w:vAlign w:val="center"/>
          </w:tcPr>
          <w:p w14:paraId="5876C4D5">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60" w:type="dxa"/>
            <w:vMerge w:val="continue"/>
            <w:tcBorders>
              <w:right w:val="single" w:color="auto" w:sz="4" w:space="0"/>
            </w:tcBorders>
            <w:vAlign w:val="center"/>
          </w:tcPr>
          <w:p w14:paraId="1BCEC0C8">
            <w:pPr>
              <w:jc w:val="center"/>
              <w:rPr>
                <w:rFonts w:hint="default" w:ascii="Times New Roman" w:hAnsi="Times New Roman" w:cs="Times New Roman"/>
                <w:color w:val="000000"/>
                <w:sz w:val="21"/>
                <w:szCs w:val="21"/>
              </w:rPr>
            </w:pPr>
          </w:p>
        </w:tc>
      </w:tr>
      <w:tr w14:paraId="7FF31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0E7E63B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出水浓度（mg/L）</w:t>
            </w:r>
          </w:p>
        </w:tc>
        <w:tc>
          <w:tcPr>
            <w:tcW w:w="835" w:type="dxa"/>
            <w:vAlign w:val="center"/>
          </w:tcPr>
          <w:p w14:paraId="6612BA4B">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62.1</w:t>
            </w:r>
          </w:p>
        </w:tc>
        <w:tc>
          <w:tcPr>
            <w:tcW w:w="986" w:type="dxa"/>
            <w:vAlign w:val="center"/>
          </w:tcPr>
          <w:p w14:paraId="0225B271">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21.0</w:t>
            </w:r>
          </w:p>
        </w:tc>
        <w:tc>
          <w:tcPr>
            <w:tcW w:w="919" w:type="dxa"/>
            <w:vAlign w:val="center"/>
          </w:tcPr>
          <w:p w14:paraId="1343D8E0">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r>
              <w:rPr>
                <w:rFonts w:hint="default" w:ascii="Times New Roman" w:hAnsi="Times New Roman" w:cs="Times New Roman"/>
                <w:color w:val="000000"/>
                <w:sz w:val="21"/>
                <w:szCs w:val="21"/>
                <w:lang w:val="en-US" w:eastAsia="zh-CN"/>
              </w:rPr>
              <w:t>5.9</w:t>
            </w:r>
          </w:p>
        </w:tc>
        <w:tc>
          <w:tcPr>
            <w:tcW w:w="714" w:type="dxa"/>
            <w:vAlign w:val="center"/>
          </w:tcPr>
          <w:p w14:paraId="14180130">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15.6</w:t>
            </w:r>
          </w:p>
        </w:tc>
        <w:tc>
          <w:tcPr>
            <w:tcW w:w="872" w:type="dxa"/>
            <w:tcBorders>
              <w:right w:val="single" w:color="auto" w:sz="4" w:space="0"/>
            </w:tcBorders>
            <w:vAlign w:val="center"/>
          </w:tcPr>
          <w:p w14:paraId="5B3BADFB">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r>
              <w:rPr>
                <w:rFonts w:hint="default" w:ascii="Times New Roman" w:hAnsi="Times New Roman" w:cs="Times New Roman"/>
                <w:color w:val="000000"/>
                <w:sz w:val="21"/>
                <w:szCs w:val="21"/>
                <w:lang w:val="en-US" w:eastAsia="zh-CN"/>
              </w:rPr>
              <w:t>9.3</w:t>
            </w:r>
            <w:r>
              <w:rPr>
                <w:rFonts w:hint="default" w:ascii="Times New Roman" w:hAnsi="Times New Roman" w:cs="Times New Roman"/>
                <w:color w:val="000000"/>
                <w:sz w:val="21"/>
                <w:szCs w:val="21"/>
              </w:rPr>
              <w:t>1</w:t>
            </w:r>
          </w:p>
        </w:tc>
        <w:tc>
          <w:tcPr>
            <w:tcW w:w="960" w:type="dxa"/>
            <w:tcBorders>
              <w:right w:val="single" w:color="auto" w:sz="4" w:space="0"/>
            </w:tcBorders>
            <w:vAlign w:val="center"/>
          </w:tcPr>
          <w:p w14:paraId="48D3EF3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w:t>
            </w:r>
            <w:r>
              <w:rPr>
                <w:rFonts w:hint="default" w:ascii="Times New Roman" w:hAnsi="Times New Roman" w:cs="Times New Roman"/>
                <w:color w:val="000000"/>
                <w:sz w:val="21"/>
                <w:szCs w:val="21"/>
                <w:lang w:val="en-US" w:eastAsia="zh-CN"/>
              </w:rPr>
              <w:t>94</w:t>
            </w:r>
          </w:p>
        </w:tc>
        <w:tc>
          <w:tcPr>
            <w:tcW w:w="960" w:type="dxa"/>
            <w:vMerge w:val="continue"/>
            <w:tcBorders>
              <w:right w:val="single" w:color="auto" w:sz="4" w:space="0"/>
            </w:tcBorders>
            <w:vAlign w:val="center"/>
          </w:tcPr>
          <w:p w14:paraId="04909115">
            <w:pPr>
              <w:jc w:val="center"/>
              <w:rPr>
                <w:rFonts w:hint="default" w:ascii="Times New Roman" w:hAnsi="Times New Roman" w:cs="Times New Roman"/>
                <w:color w:val="000000"/>
                <w:sz w:val="21"/>
                <w:szCs w:val="21"/>
              </w:rPr>
            </w:pPr>
          </w:p>
        </w:tc>
      </w:tr>
      <w:tr w14:paraId="739C4F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81" w:hRule="atLeast"/>
          <w:jc w:val="center"/>
        </w:trPr>
        <w:tc>
          <w:tcPr>
            <w:tcW w:w="2729" w:type="dxa"/>
            <w:tcBorders>
              <w:left w:val="single" w:color="auto" w:sz="4" w:space="0"/>
            </w:tcBorders>
            <w:vAlign w:val="center"/>
          </w:tcPr>
          <w:p w14:paraId="25C3DB6D">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高密度澄清池去除效率（%）</w:t>
            </w:r>
          </w:p>
        </w:tc>
        <w:tc>
          <w:tcPr>
            <w:tcW w:w="835" w:type="dxa"/>
            <w:vAlign w:val="center"/>
          </w:tcPr>
          <w:p w14:paraId="00FFC084">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5</w:t>
            </w:r>
          </w:p>
        </w:tc>
        <w:tc>
          <w:tcPr>
            <w:tcW w:w="986" w:type="dxa"/>
            <w:vAlign w:val="center"/>
          </w:tcPr>
          <w:p w14:paraId="72BBA668">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10</w:t>
            </w:r>
          </w:p>
        </w:tc>
        <w:tc>
          <w:tcPr>
            <w:tcW w:w="919" w:type="dxa"/>
            <w:vAlign w:val="center"/>
          </w:tcPr>
          <w:p w14:paraId="5419E741">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en-US" w:eastAsia="zh-CN"/>
              </w:rPr>
              <w:t>4</w:t>
            </w:r>
            <w:r>
              <w:rPr>
                <w:rFonts w:hint="default" w:ascii="Times New Roman" w:hAnsi="Times New Roman" w:cs="Times New Roman"/>
                <w:color w:val="000000"/>
                <w:sz w:val="21"/>
                <w:szCs w:val="21"/>
              </w:rPr>
              <w:t>0</w:t>
            </w:r>
          </w:p>
        </w:tc>
        <w:tc>
          <w:tcPr>
            <w:tcW w:w="714" w:type="dxa"/>
            <w:vAlign w:val="center"/>
          </w:tcPr>
          <w:p w14:paraId="5AFB699D">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872" w:type="dxa"/>
            <w:tcBorders>
              <w:right w:val="single" w:color="auto" w:sz="4" w:space="0"/>
            </w:tcBorders>
            <w:vAlign w:val="center"/>
          </w:tcPr>
          <w:p w14:paraId="68AFA33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60" w:type="dxa"/>
            <w:tcBorders>
              <w:right w:val="single" w:color="auto" w:sz="4" w:space="0"/>
            </w:tcBorders>
            <w:vAlign w:val="center"/>
          </w:tcPr>
          <w:p w14:paraId="7EEC349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60" w:type="dxa"/>
            <w:vMerge w:val="continue"/>
            <w:tcBorders>
              <w:right w:val="single" w:color="auto" w:sz="4" w:space="0"/>
            </w:tcBorders>
            <w:vAlign w:val="center"/>
          </w:tcPr>
          <w:p w14:paraId="6CBA9192">
            <w:pPr>
              <w:jc w:val="center"/>
              <w:rPr>
                <w:rFonts w:hint="default" w:ascii="Times New Roman" w:hAnsi="Times New Roman" w:cs="Times New Roman"/>
                <w:color w:val="000000"/>
                <w:sz w:val="21"/>
                <w:szCs w:val="21"/>
              </w:rPr>
            </w:pPr>
          </w:p>
        </w:tc>
      </w:tr>
      <w:tr w14:paraId="5E083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1281730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出水浓度（mg/L）</w:t>
            </w:r>
          </w:p>
        </w:tc>
        <w:tc>
          <w:tcPr>
            <w:tcW w:w="835" w:type="dxa"/>
            <w:vAlign w:val="center"/>
          </w:tcPr>
          <w:p w14:paraId="0FD448AD">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59.0</w:t>
            </w:r>
          </w:p>
        </w:tc>
        <w:tc>
          <w:tcPr>
            <w:tcW w:w="986" w:type="dxa"/>
            <w:vAlign w:val="center"/>
          </w:tcPr>
          <w:p w14:paraId="010D8280">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18.9</w:t>
            </w:r>
          </w:p>
        </w:tc>
        <w:tc>
          <w:tcPr>
            <w:tcW w:w="919" w:type="dxa"/>
            <w:vAlign w:val="center"/>
          </w:tcPr>
          <w:p w14:paraId="45EE770D">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r>
              <w:rPr>
                <w:rFonts w:hint="default" w:ascii="Times New Roman" w:hAnsi="Times New Roman" w:cs="Times New Roman"/>
                <w:color w:val="000000"/>
                <w:sz w:val="21"/>
                <w:szCs w:val="21"/>
                <w:lang w:val="en-US" w:eastAsia="zh-CN"/>
              </w:rPr>
              <w:t>5.6</w:t>
            </w:r>
          </w:p>
        </w:tc>
        <w:tc>
          <w:tcPr>
            <w:tcW w:w="714" w:type="dxa"/>
            <w:vAlign w:val="center"/>
          </w:tcPr>
          <w:p w14:paraId="0185ADA4">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15.6</w:t>
            </w:r>
          </w:p>
        </w:tc>
        <w:tc>
          <w:tcPr>
            <w:tcW w:w="872" w:type="dxa"/>
            <w:tcBorders>
              <w:right w:val="single" w:color="auto" w:sz="4" w:space="0"/>
            </w:tcBorders>
            <w:vAlign w:val="center"/>
          </w:tcPr>
          <w:p w14:paraId="45F54C6D">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r>
              <w:rPr>
                <w:rFonts w:hint="default" w:ascii="Times New Roman" w:hAnsi="Times New Roman" w:cs="Times New Roman"/>
                <w:color w:val="000000"/>
                <w:sz w:val="21"/>
                <w:szCs w:val="21"/>
                <w:lang w:val="en-US" w:eastAsia="zh-CN"/>
              </w:rPr>
              <w:t>9.3</w:t>
            </w:r>
          </w:p>
        </w:tc>
        <w:tc>
          <w:tcPr>
            <w:tcW w:w="960" w:type="dxa"/>
            <w:tcBorders>
              <w:right w:val="single" w:color="auto" w:sz="4" w:space="0"/>
            </w:tcBorders>
            <w:vAlign w:val="center"/>
          </w:tcPr>
          <w:p w14:paraId="2A83F54A">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w:t>
            </w:r>
            <w:r>
              <w:rPr>
                <w:rFonts w:hint="default" w:ascii="Times New Roman" w:hAnsi="Times New Roman" w:cs="Times New Roman"/>
                <w:color w:val="000000"/>
                <w:sz w:val="21"/>
                <w:szCs w:val="21"/>
                <w:lang w:val="en-US" w:eastAsia="zh-CN"/>
              </w:rPr>
              <w:t>94</w:t>
            </w:r>
          </w:p>
        </w:tc>
        <w:tc>
          <w:tcPr>
            <w:tcW w:w="960" w:type="dxa"/>
            <w:vMerge w:val="continue"/>
            <w:tcBorders>
              <w:right w:val="single" w:color="auto" w:sz="4" w:space="0"/>
            </w:tcBorders>
            <w:vAlign w:val="center"/>
          </w:tcPr>
          <w:p w14:paraId="27969FC7">
            <w:pPr>
              <w:jc w:val="center"/>
              <w:rPr>
                <w:rFonts w:hint="default" w:ascii="Times New Roman" w:hAnsi="Times New Roman" w:cs="Times New Roman"/>
                <w:color w:val="000000"/>
                <w:sz w:val="21"/>
                <w:szCs w:val="21"/>
              </w:rPr>
            </w:pPr>
          </w:p>
        </w:tc>
      </w:tr>
      <w:tr w14:paraId="40A4C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418A1D15">
            <w:pPr>
              <w:jc w:val="center"/>
              <w:rPr>
                <w:rFonts w:hint="default" w:ascii="Times New Roman" w:hAnsi="Times New Roman" w:cs="Times New Roman"/>
                <w:color w:val="000000"/>
                <w:sz w:val="21"/>
                <w:szCs w:val="21"/>
              </w:rPr>
            </w:pPr>
            <w:r>
              <w:rPr>
                <w:rFonts w:hint="eastAsia" w:cs="Times New Roman"/>
                <w:color w:val="000000"/>
                <w:sz w:val="21"/>
                <w:szCs w:val="21"/>
                <w:lang w:val="en-US" w:eastAsia="zh-CN"/>
              </w:rPr>
              <w:t>活性砂滤</w:t>
            </w:r>
            <w:r>
              <w:rPr>
                <w:rFonts w:hint="default" w:ascii="Times New Roman" w:hAnsi="Times New Roman" w:cs="Times New Roman"/>
                <w:color w:val="000000"/>
                <w:sz w:val="21"/>
                <w:szCs w:val="21"/>
              </w:rPr>
              <w:t>去除效率（%）</w:t>
            </w:r>
          </w:p>
        </w:tc>
        <w:tc>
          <w:tcPr>
            <w:tcW w:w="835" w:type="dxa"/>
            <w:vAlign w:val="center"/>
          </w:tcPr>
          <w:p w14:paraId="502C52B6">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17</w:t>
            </w:r>
          </w:p>
        </w:tc>
        <w:tc>
          <w:tcPr>
            <w:tcW w:w="986" w:type="dxa"/>
            <w:vAlign w:val="center"/>
          </w:tcPr>
          <w:p w14:paraId="2ACE9228">
            <w:pPr>
              <w:ind w:left="843" w:leftChars="26" w:hanging="781" w:hangingChars="372"/>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50</w:t>
            </w:r>
          </w:p>
        </w:tc>
        <w:tc>
          <w:tcPr>
            <w:tcW w:w="919" w:type="dxa"/>
            <w:vAlign w:val="center"/>
          </w:tcPr>
          <w:p w14:paraId="0387EA50">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r>
              <w:rPr>
                <w:rFonts w:hint="default" w:ascii="Times New Roman" w:hAnsi="Times New Roman" w:cs="Times New Roman"/>
                <w:color w:val="000000"/>
                <w:sz w:val="21"/>
                <w:szCs w:val="21"/>
                <w:lang w:val="en-US" w:eastAsia="zh-CN"/>
              </w:rPr>
              <w:t>0</w:t>
            </w:r>
          </w:p>
        </w:tc>
        <w:tc>
          <w:tcPr>
            <w:tcW w:w="714" w:type="dxa"/>
            <w:vAlign w:val="center"/>
          </w:tcPr>
          <w:p w14:paraId="5DADA009">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50</w:t>
            </w:r>
          </w:p>
        </w:tc>
        <w:tc>
          <w:tcPr>
            <w:tcW w:w="872" w:type="dxa"/>
            <w:tcBorders>
              <w:right w:val="single" w:color="auto" w:sz="4" w:space="0"/>
            </w:tcBorders>
            <w:vAlign w:val="center"/>
          </w:tcPr>
          <w:p w14:paraId="7F5D91A9">
            <w:pPr>
              <w:jc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color w:val="000000"/>
                <w:sz w:val="21"/>
                <w:szCs w:val="21"/>
                <w:lang w:val="en-US" w:eastAsia="zh-CN"/>
              </w:rPr>
              <w:t>25</w:t>
            </w:r>
          </w:p>
        </w:tc>
        <w:tc>
          <w:tcPr>
            <w:tcW w:w="960" w:type="dxa"/>
            <w:tcBorders>
              <w:right w:val="single" w:color="auto" w:sz="4" w:space="0"/>
            </w:tcBorders>
            <w:vAlign w:val="center"/>
          </w:tcPr>
          <w:p w14:paraId="6C0FC29B">
            <w:pPr>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50</w:t>
            </w:r>
          </w:p>
        </w:tc>
        <w:tc>
          <w:tcPr>
            <w:tcW w:w="960" w:type="dxa"/>
            <w:vMerge w:val="continue"/>
            <w:tcBorders>
              <w:right w:val="single" w:color="auto" w:sz="4" w:space="0"/>
            </w:tcBorders>
            <w:vAlign w:val="center"/>
          </w:tcPr>
          <w:p w14:paraId="4ECDE882">
            <w:pPr>
              <w:jc w:val="center"/>
              <w:rPr>
                <w:rFonts w:hint="default" w:ascii="Times New Roman" w:hAnsi="Times New Roman" w:cs="Times New Roman"/>
                <w:color w:val="000000"/>
                <w:sz w:val="21"/>
                <w:szCs w:val="21"/>
              </w:rPr>
            </w:pPr>
          </w:p>
        </w:tc>
      </w:tr>
      <w:tr w14:paraId="74EB2B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2729" w:type="dxa"/>
            <w:tcBorders>
              <w:left w:val="single" w:color="auto" w:sz="4" w:space="0"/>
            </w:tcBorders>
            <w:vAlign w:val="center"/>
          </w:tcPr>
          <w:p w14:paraId="2F4F1F6D">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出水浓度（mg/L）</w:t>
            </w:r>
          </w:p>
        </w:tc>
        <w:tc>
          <w:tcPr>
            <w:tcW w:w="835" w:type="dxa"/>
            <w:vAlign w:val="center"/>
          </w:tcPr>
          <w:p w14:paraId="1636E603">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49</w:t>
            </w:r>
          </w:p>
        </w:tc>
        <w:tc>
          <w:tcPr>
            <w:tcW w:w="986" w:type="dxa"/>
            <w:vAlign w:val="center"/>
          </w:tcPr>
          <w:p w14:paraId="2571459E">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9.</w:t>
            </w:r>
            <w:r>
              <w:rPr>
                <w:rFonts w:hint="default" w:ascii="Times New Roman" w:hAnsi="Times New Roman" w:cs="Times New Roman"/>
                <w:color w:val="000000"/>
                <w:sz w:val="21"/>
                <w:szCs w:val="21"/>
                <w:lang w:val="en-US" w:eastAsia="zh-CN"/>
              </w:rPr>
              <w:t>5</w:t>
            </w:r>
          </w:p>
        </w:tc>
        <w:tc>
          <w:tcPr>
            <w:tcW w:w="919" w:type="dxa"/>
            <w:vAlign w:val="center"/>
          </w:tcPr>
          <w:p w14:paraId="29E4DCFB">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9.</w:t>
            </w:r>
            <w:r>
              <w:rPr>
                <w:rFonts w:hint="default" w:ascii="Times New Roman" w:hAnsi="Times New Roman" w:cs="Times New Roman"/>
                <w:color w:val="000000"/>
                <w:sz w:val="21"/>
                <w:szCs w:val="21"/>
                <w:lang w:val="en-US" w:eastAsia="zh-CN"/>
              </w:rPr>
              <w:t>3</w:t>
            </w:r>
          </w:p>
        </w:tc>
        <w:tc>
          <w:tcPr>
            <w:tcW w:w="714" w:type="dxa"/>
            <w:vAlign w:val="center"/>
          </w:tcPr>
          <w:p w14:paraId="5E72D6E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7.</w:t>
            </w:r>
            <w:r>
              <w:rPr>
                <w:rFonts w:hint="default" w:ascii="Times New Roman" w:hAnsi="Times New Roman" w:cs="Times New Roman"/>
                <w:color w:val="000000"/>
                <w:sz w:val="21"/>
                <w:szCs w:val="21"/>
                <w:lang w:val="en-US" w:eastAsia="zh-CN"/>
              </w:rPr>
              <w:t>8</w:t>
            </w:r>
          </w:p>
        </w:tc>
        <w:tc>
          <w:tcPr>
            <w:tcW w:w="872" w:type="dxa"/>
            <w:tcBorders>
              <w:right w:val="single" w:color="auto" w:sz="4" w:space="0"/>
            </w:tcBorders>
            <w:vAlign w:val="center"/>
          </w:tcPr>
          <w:p w14:paraId="361EA4CB">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14.</w:t>
            </w:r>
            <w:r>
              <w:rPr>
                <w:rFonts w:hint="default" w:ascii="Times New Roman" w:hAnsi="Times New Roman" w:cs="Times New Roman"/>
                <w:color w:val="000000"/>
                <w:sz w:val="21"/>
                <w:szCs w:val="21"/>
                <w:lang w:val="en-US" w:eastAsia="zh-CN"/>
              </w:rPr>
              <w:t>5</w:t>
            </w:r>
          </w:p>
        </w:tc>
        <w:tc>
          <w:tcPr>
            <w:tcW w:w="960" w:type="dxa"/>
            <w:tcBorders>
              <w:right w:val="single" w:color="auto" w:sz="4" w:space="0"/>
            </w:tcBorders>
            <w:vAlign w:val="center"/>
          </w:tcPr>
          <w:p w14:paraId="6BDA70B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w:t>
            </w:r>
            <w:r>
              <w:rPr>
                <w:rFonts w:hint="default" w:ascii="Times New Roman" w:hAnsi="Times New Roman" w:cs="Times New Roman"/>
                <w:color w:val="000000"/>
                <w:sz w:val="21"/>
                <w:szCs w:val="21"/>
                <w:lang w:val="en-US" w:eastAsia="zh-CN"/>
              </w:rPr>
              <w:t>47</w:t>
            </w:r>
          </w:p>
        </w:tc>
        <w:tc>
          <w:tcPr>
            <w:tcW w:w="960" w:type="dxa"/>
            <w:vMerge w:val="continue"/>
            <w:tcBorders>
              <w:right w:val="single" w:color="auto" w:sz="4" w:space="0"/>
            </w:tcBorders>
            <w:vAlign w:val="center"/>
          </w:tcPr>
          <w:p w14:paraId="7810A77E">
            <w:pPr>
              <w:jc w:val="center"/>
              <w:rPr>
                <w:rFonts w:hint="default" w:ascii="Times New Roman" w:hAnsi="Times New Roman" w:cs="Times New Roman"/>
                <w:color w:val="000000"/>
                <w:sz w:val="21"/>
                <w:szCs w:val="21"/>
              </w:rPr>
            </w:pPr>
          </w:p>
        </w:tc>
      </w:tr>
      <w:tr w14:paraId="5D10D9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1" w:hRule="atLeast"/>
          <w:jc w:val="center"/>
        </w:trPr>
        <w:tc>
          <w:tcPr>
            <w:tcW w:w="2729" w:type="dxa"/>
            <w:tcBorders>
              <w:left w:val="single" w:color="auto" w:sz="4" w:space="0"/>
              <w:bottom w:val="single" w:color="auto" w:sz="4" w:space="0"/>
            </w:tcBorders>
            <w:vAlign w:val="center"/>
          </w:tcPr>
          <w:p w14:paraId="32857D2E">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《城镇污水处理厂污染物排放标准》（GB18918-2002）中一级A标准</w:t>
            </w:r>
          </w:p>
        </w:tc>
        <w:tc>
          <w:tcPr>
            <w:tcW w:w="835" w:type="dxa"/>
            <w:tcBorders>
              <w:bottom w:val="single" w:color="auto" w:sz="4" w:space="0"/>
            </w:tcBorders>
            <w:vAlign w:val="center"/>
          </w:tcPr>
          <w:p w14:paraId="44AF63E6">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50</w:t>
            </w:r>
          </w:p>
        </w:tc>
        <w:tc>
          <w:tcPr>
            <w:tcW w:w="986" w:type="dxa"/>
            <w:tcBorders>
              <w:bottom w:val="single" w:color="auto" w:sz="4" w:space="0"/>
            </w:tcBorders>
            <w:vAlign w:val="center"/>
          </w:tcPr>
          <w:p w14:paraId="62B95FF6">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10</w:t>
            </w:r>
          </w:p>
        </w:tc>
        <w:tc>
          <w:tcPr>
            <w:tcW w:w="919" w:type="dxa"/>
            <w:tcBorders>
              <w:bottom w:val="single" w:color="auto" w:sz="4" w:space="0"/>
            </w:tcBorders>
            <w:vAlign w:val="center"/>
          </w:tcPr>
          <w:p w14:paraId="29332EAE">
            <w:pPr>
              <w:ind w:left="843" w:leftChars="26" w:hanging="781" w:hangingChars="372"/>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10</w:t>
            </w:r>
          </w:p>
        </w:tc>
        <w:tc>
          <w:tcPr>
            <w:tcW w:w="714" w:type="dxa"/>
            <w:tcBorders>
              <w:bottom w:val="single" w:color="auto" w:sz="4" w:space="0"/>
            </w:tcBorders>
            <w:vAlign w:val="center"/>
          </w:tcPr>
          <w:p w14:paraId="275FBC4C">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8</w:t>
            </w:r>
          </w:p>
        </w:tc>
        <w:tc>
          <w:tcPr>
            <w:tcW w:w="872" w:type="dxa"/>
            <w:tcBorders>
              <w:bottom w:val="single" w:color="auto" w:sz="4" w:space="0"/>
              <w:right w:val="single" w:color="auto" w:sz="4" w:space="0"/>
            </w:tcBorders>
            <w:vAlign w:val="center"/>
          </w:tcPr>
          <w:p w14:paraId="41D89E0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15</w:t>
            </w:r>
          </w:p>
        </w:tc>
        <w:tc>
          <w:tcPr>
            <w:tcW w:w="960" w:type="dxa"/>
            <w:tcBorders>
              <w:bottom w:val="single" w:color="auto" w:sz="4" w:space="0"/>
              <w:right w:val="single" w:color="auto" w:sz="4" w:space="0"/>
            </w:tcBorders>
            <w:vAlign w:val="center"/>
          </w:tcPr>
          <w:p w14:paraId="635EA69C">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0.5</w:t>
            </w:r>
          </w:p>
        </w:tc>
        <w:tc>
          <w:tcPr>
            <w:tcW w:w="960" w:type="dxa"/>
            <w:tcBorders>
              <w:bottom w:val="single" w:color="auto" w:sz="4" w:space="0"/>
              <w:right w:val="single" w:color="auto" w:sz="4" w:space="0"/>
            </w:tcBorders>
            <w:vAlign w:val="center"/>
          </w:tcPr>
          <w:p w14:paraId="6CE4422B">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6-9</w:t>
            </w:r>
          </w:p>
        </w:tc>
      </w:tr>
    </w:tbl>
    <w:p w14:paraId="02FA4D31">
      <w:pPr>
        <w:spacing w:line="360" w:lineRule="auto"/>
        <w:ind w:firstLine="480" w:firstLineChars="20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3、依托园区污水处理厂的可行性分析</w:t>
      </w:r>
    </w:p>
    <w:p w14:paraId="4CAFDD4D">
      <w:pPr>
        <w:pStyle w:val="20"/>
        <w:spacing w:line="360" w:lineRule="auto"/>
        <w:ind w:firstLine="480" w:firstLineChars="200"/>
        <w:rPr>
          <w:rFonts w:hint="default" w:ascii="Times New Roman" w:hAnsi="Times New Roman" w:eastAsia="宋体" w:cs="Times New Roman"/>
          <w:sz w:val="24"/>
          <w:szCs w:val="24"/>
          <w:lang w:val="en-US" w:eastAsia="zh-CN" w:bidi="ar-SA"/>
        </w:rPr>
      </w:pPr>
      <w:r>
        <w:rPr>
          <w:rFonts w:hint="eastAsia" w:ascii="Times New Roman" w:hAnsi="Times New Roman" w:eastAsia="宋体" w:cs="Times New Roman"/>
          <w:sz w:val="24"/>
          <w:szCs w:val="24"/>
          <w:lang w:val="en-US" w:eastAsia="zh-CN" w:bidi="ar-SA"/>
        </w:rPr>
        <w:t>待拉哈小镇工业园区污水处理厂投入运营后，全厂污水满足拉哈小镇工业园区污水处理厂纳管标准后排入拉哈小镇工业园区污水处理厂。</w:t>
      </w:r>
      <w:r>
        <w:rPr>
          <w:rFonts w:hint="default" w:ascii="Times New Roman" w:hAnsi="Times New Roman" w:eastAsia="宋体" w:cs="Times New Roman"/>
          <w:sz w:val="24"/>
          <w:szCs w:val="24"/>
          <w:lang w:val="en-US" w:eastAsia="zh-CN" w:bidi="ar-SA"/>
        </w:rPr>
        <w:t>园区污水处理厂设计规模为10万m</w:t>
      </w:r>
      <w:r>
        <w:rPr>
          <w:rFonts w:hint="default" w:ascii="Times New Roman" w:hAnsi="Times New Roman" w:eastAsia="宋体" w:cs="Times New Roman"/>
          <w:sz w:val="24"/>
          <w:szCs w:val="24"/>
          <w:vertAlign w:val="superscript"/>
          <w:lang w:val="en-US" w:eastAsia="zh-CN" w:bidi="ar-SA"/>
        </w:rPr>
        <w:t>3</w:t>
      </w:r>
      <w:r>
        <w:rPr>
          <w:rFonts w:hint="default" w:ascii="Times New Roman" w:hAnsi="Times New Roman" w:eastAsia="宋体" w:cs="Times New Roman"/>
          <w:sz w:val="24"/>
          <w:szCs w:val="24"/>
          <w:lang w:val="en-US" w:eastAsia="zh-CN" w:bidi="ar-SA"/>
        </w:rPr>
        <w:t>/d，其中近期污水处理规模为</w:t>
      </w:r>
      <w:r>
        <w:rPr>
          <w:rFonts w:hint="eastAsia" w:ascii="Times New Roman" w:hAnsi="Times New Roman" w:eastAsia="宋体" w:cs="Times New Roman"/>
          <w:sz w:val="24"/>
          <w:szCs w:val="24"/>
          <w:lang w:val="en-US" w:eastAsia="zh-CN" w:bidi="ar-SA"/>
        </w:rPr>
        <w:t>4</w:t>
      </w:r>
      <w:r>
        <w:rPr>
          <w:rFonts w:hint="default" w:ascii="Times New Roman" w:hAnsi="Times New Roman" w:eastAsia="宋体" w:cs="Times New Roman"/>
          <w:sz w:val="24"/>
          <w:szCs w:val="24"/>
          <w:lang w:val="en-US" w:eastAsia="zh-CN" w:bidi="ar-SA"/>
        </w:rPr>
        <w:t>万m</w:t>
      </w:r>
      <w:r>
        <w:rPr>
          <w:rFonts w:hint="default" w:ascii="Times New Roman" w:hAnsi="Times New Roman" w:eastAsia="宋体" w:cs="Times New Roman"/>
          <w:sz w:val="24"/>
          <w:szCs w:val="24"/>
          <w:vertAlign w:val="superscript"/>
          <w:lang w:val="en-US" w:eastAsia="zh-CN" w:bidi="ar-SA"/>
        </w:rPr>
        <w:t>3</w:t>
      </w:r>
      <w:r>
        <w:rPr>
          <w:rFonts w:hint="default" w:ascii="Times New Roman" w:hAnsi="Times New Roman" w:eastAsia="宋体" w:cs="Times New Roman"/>
          <w:sz w:val="24"/>
          <w:szCs w:val="24"/>
          <w:lang w:val="en-US" w:eastAsia="zh-CN" w:bidi="ar-SA"/>
        </w:rPr>
        <w:t>/d，服务范围为园区内工业企业预处理达标后的尾水，采用“</w:t>
      </w:r>
      <w:r>
        <w:rPr>
          <w:rFonts w:hint="eastAsia" w:ascii="Times New Roman" w:hAnsi="Times New Roman" w:eastAsia="宋体" w:cs="Times New Roman"/>
          <w:sz w:val="24"/>
          <w:szCs w:val="24"/>
          <w:lang w:val="en-US" w:eastAsia="zh-CN" w:bidi="ar-SA"/>
        </w:rPr>
        <w:t>臭氧高级氧化（预留）+</w:t>
      </w:r>
      <w:r>
        <w:rPr>
          <w:rFonts w:hint="default" w:ascii="Times New Roman" w:hAnsi="Times New Roman" w:eastAsia="宋体" w:cs="Times New Roman"/>
          <w:sz w:val="24"/>
          <w:szCs w:val="24"/>
          <w:lang w:val="en-US" w:eastAsia="zh-CN" w:bidi="ar-SA"/>
        </w:rPr>
        <w:t>水解酸化池+Bardenpho生化池+MBR膜池+臭氧高级氧化池</w:t>
      </w:r>
      <w:r>
        <w:rPr>
          <w:rFonts w:hint="eastAsia" w:ascii="Times New Roman" w:hAnsi="Times New Roman" w:eastAsia="宋体" w:cs="Times New Roman"/>
          <w:sz w:val="24"/>
          <w:szCs w:val="24"/>
          <w:lang w:val="en-US" w:eastAsia="zh-CN" w:bidi="ar-SA"/>
        </w:rPr>
        <w:t>+芬顿（预留）</w:t>
      </w:r>
      <w:r>
        <w:rPr>
          <w:rFonts w:hint="default" w:ascii="Times New Roman" w:hAnsi="Times New Roman" w:eastAsia="宋体" w:cs="Times New Roman"/>
          <w:sz w:val="24"/>
          <w:szCs w:val="24"/>
          <w:lang w:val="en-US" w:eastAsia="zh-CN" w:bidi="ar-SA"/>
        </w:rPr>
        <w:t>+活性炭滤池”工艺</w:t>
      </w:r>
      <w:r>
        <w:rPr>
          <w:rFonts w:hint="eastAsia" w:ascii="Times New Roman" w:hAnsi="Times New Roman" w:eastAsia="宋体" w:cs="Times New Roman"/>
          <w:sz w:val="24"/>
          <w:szCs w:val="24"/>
          <w:lang w:val="en-US" w:eastAsia="zh-CN" w:bidi="ar-SA"/>
        </w:rPr>
        <w:t>，</w:t>
      </w:r>
      <w:r>
        <w:rPr>
          <w:rFonts w:hint="default" w:ascii="Times New Roman" w:hAnsi="Times New Roman" w:eastAsia="宋体" w:cs="Times New Roman"/>
          <w:sz w:val="24"/>
          <w:szCs w:val="24"/>
          <w:lang w:val="en-US" w:eastAsia="zh-CN" w:bidi="ar-SA"/>
        </w:rPr>
        <w:t>处理后的废水水质达《城镇污水处理厂污染物排放标准》（GB18918-2002）一级A标准，</w:t>
      </w:r>
      <w:r>
        <w:rPr>
          <w:rFonts w:hint="eastAsia" w:ascii="Times New Roman" w:hAnsi="Times New Roman" w:eastAsia="宋体" w:cs="Times New Roman"/>
          <w:sz w:val="24"/>
          <w:szCs w:val="24"/>
          <w:lang w:val="en-US" w:eastAsia="zh-CN" w:bidi="ar-SA"/>
        </w:rPr>
        <w:t>经讷河市拉哈工业园区污水处理生态缓冲区建设项目后，</w:t>
      </w:r>
      <w:r>
        <w:rPr>
          <w:rFonts w:hint="eastAsia" w:cs="Times New Roman"/>
          <w:sz w:val="24"/>
          <w:szCs w:val="24"/>
          <w:lang w:val="en-US" w:eastAsia="zh-CN" w:bidi="ar-SA"/>
        </w:rPr>
        <w:t>经拉哈生物技术与化学制药产业园区污水处理厂入河排污口排入到嫩江</w:t>
      </w:r>
      <w:r>
        <w:rPr>
          <w:rFonts w:hint="default" w:ascii="Times New Roman" w:hAnsi="Times New Roman" w:eastAsia="宋体" w:cs="Times New Roman"/>
          <w:sz w:val="24"/>
          <w:szCs w:val="24"/>
          <w:lang w:val="en-US" w:eastAsia="zh-CN" w:bidi="ar-SA"/>
        </w:rPr>
        <w:t>。</w:t>
      </w:r>
    </w:p>
    <w:p w14:paraId="5E9FE572">
      <w:pPr>
        <w:pStyle w:val="20"/>
        <w:spacing w:line="360" w:lineRule="auto"/>
        <w:ind w:firstLine="480" w:firstLineChars="200"/>
        <w:rPr>
          <w:rFonts w:hint="eastAsia"/>
          <w:lang w:val="en-US" w:eastAsia="zh-CN"/>
        </w:rPr>
      </w:pPr>
      <w:r>
        <w:rPr>
          <w:rFonts w:hint="eastAsia" w:cs="Times New Roman"/>
          <w:sz w:val="24"/>
          <w:szCs w:val="24"/>
          <w:lang w:val="en-US" w:eastAsia="zh-CN" w:bidi="ar-SA"/>
        </w:rPr>
        <w:t>本项目</w:t>
      </w:r>
      <w:r>
        <w:rPr>
          <w:rFonts w:hint="default" w:ascii="Times New Roman" w:hAnsi="Times New Roman" w:eastAsia="宋体" w:cs="Times New Roman"/>
          <w:sz w:val="24"/>
          <w:szCs w:val="24"/>
          <w:lang w:val="en-US" w:eastAsia="zh-CN" w:bidi="ar-SA"/>
        </w:rPr>
        <w:t>位于黑龙江省讷河市拉哈生物技术与化学制药产业园，属于园区污水处理厂纳污范围，出水水质满足园区污水处理厂接管标准，外排水量占园区污水处理厂近期规模的</w:t>
      </w:r>
      <w:r>
        <w:rPr>
          <w:rFonts w:hint="eastAsia" w:ascii="Times New Roman" w:hAnsi="Times New Roman" w:cs="Times New Roman"/>
          <w:sz w:val="24"/>
          <w:szCs w:val="24"/>
          <w:lang w:val="en-US" w:eastAsia="zh-CN" w:bidi="ar-SA"/>
        </w:rPr>
        <w:t>15</w:t>
      </w:r>
      <w:r>
        <w:rPr>
          <w:rFonts w:hint="eastAsia" w:ascii="Times New Roman" w:hAnsi="Times New Roman" w:eastAsia="宋体" w:cs="Times New Roman"/>
          <w:sz w:val="24"/>
          <w:szCs w:val="24"/>
          <w:lang w:val="en-US" w:eastAsia="zh-CN" w:bidi="ar-SA"/>
        </w:rPr>
        <w:t>%</w:t>
      </w:r>
      <w:r>
        <w:rPr>
          <w:rFonts w:hint="default" w:ascii="Times New Roman" w:hAnsi="Times New Roman" w:eastAsia="宋体" w:cs="Times New Roman"/>
          <w:sz w:val="24"/>
          <w:szCs w:val="24"/>
          <w:lang w:val="en-US" w:eastAsia="zh-CN" w:bidi="ar-SA"/>
        </w:rPr>
        <w:t>，占远期处理规模的</w:t>
      </w:r>
      <w:r>
        <w:rPr>
          <w:rFonts w:hint="eastAsia" w:ascii="Times New Roman" w:hAnsi="Times New Roman" w:cs="Times New Roman"/>
          <w:sz w:val="24"/>
          <w:szCs w:val="24"/>
          <w:lang w:val="en-US" w:eastAsia="zh-CN" w:bidi="ar-SA"/>
        </w:rPr>
        <w:t>6</w:t>
      </w:r>
      <w:r>
        <w:rPr>
          <w:rFonts w:hint="default" w:ascii="Times New Roman" w:hAnsi="Times New Roman" w:eastAsia="宋体" w:cs="Times New Roman"/>
          <w:sz w:val="24"/>
          <w:szCs w:val="24"/>
          <w:lang w:val="en-US" w:eastAsia="zh-CN" w:bidi="ar-SA"/>
        </w:rPr>
        <w:t>%，满足园区污水处理厂接纳水质、水量要求，因此，</w:t>
      </w:r>
      <w:r>
        <w:rPr>
          <w:rFonts w:hint="eastAsia" w:cs="Times New Roman"/>
          <w:sz w:val="24"/>
          <w:szCs w:val="24"/>
          <w:lang w:val="en-US" w:eastAsia="zh-CN" w:bidi="ar-SA"/>
        </w:rPr>
        <w:t>本项目</w:t>
      </w:r>
      <w:r>
        <w:rPr>
          <w:rFonts w:hint="default" w:ascii="Times New Roman" w:hAnsi="Times New Roman" w:eastAsia="宋体" w:cs="Times New Roman"/>
          <w:sz w:val="24"/>
          <w:szCs w:val="24"/>
          <w:lang w:val="en-US" w:eastAsia="zh-CN" w:bidi="ar-SA"/>
        </w:rPr>
        <w:t>出水排放方案合理可行。</w:t>
      </w:r>
    </w:p>
    <w:p w14:paraId="6A420C78">
      <w:pPr>
        <w:pStyle w:val="4"/>
      </w:pPr>
      <w:r>
        <w:t>6.3.2废气污染防治措施</w:t>
      </w:r>
    </w:p>
    <w:p w14:paraId="55BA351A">
      <w:pPr>
        <w:spacing w:line="360" w:lineRule="auto"/>
        <w:ind w:firstLine="476" w:firstLineChars="200"/>
        <w:rPr>
          <w:rFonts w:hint="eastAsia" w:ascii="Times New Roman" w:hAnsi="Times New Roman" w:cs="Times New Roman"/>
          <w:color w:val="000000" w:themeColor="text1"/>
          <w:lang w:val="en-US" w:eastAsia="zh-CN"/>
          <w14:textFill>
            <w14:solidFill>
              <w14:schemeClr w14:val="tx1"/>
            </w14:solidFill>
          </w14:textFill>
        </w:rPr>
      </w:pPr>
      <w:bookmarkStart w:id="421" w:name="_Toc490466525"/>
      <w:bookmarkStart w:id="422" w:name="_Toc29305"/>
      <w:bookmarkStart w:id="423" w:name="_Toc18958"/>
      <w:r>
        <w:rPr>
          <w:rFonts w:hint="eastAsia" w:cs="Times New Roman"/>
          <w:color w:val="000000" w:themeColor="text1"/>
          <w:spacing w:val="-1"/>
          <w:sz w:val="24"/>
          <w:szCs w:val="24"/>
          <w:lang w:val="en-US" w:eastAsia="zh-CN"/>
          <w14:textFill>
            <w14:solidFill>
              <w14:schemeClr w14:val="tx1"/>
            </w14:solidFill>
          </w14:textFill>
        </w:rPr>
        <w:t>玉米粉碎过程产生的颗粒物经过布袋除尘器除尘后经过9个22.5m高排气筒</w:t>
      </w:r>
      <w:r>
        <w:rPr>
          <w:rFonts w:hint="eastAsia" w:ascii="Times New Roman" w:hAnsi="Times New Roman" w:cs="Times New Roman"/>
          <w:color w:val="000000" w:themeColor="text1"/>
          <w:lang w:val="en-US" w:eastAsia="zh-CN"/>
          <w14:textFill>
            <w14:solidFill>
              <w14:schemeClr w14:val="tx1"/>
            </w14:solidFill>
          </w14:textFill>
        </w:rPr>
        <w:t>（DA005-DA010、DA014、DA015、DA040）排放和13</w:t>
      </w:r>
      <w:r>
        <w:rPr>
          <w:rFonts w:hint="eastAsia" w:cs="Times New Roman"/>
          <w:color w:val="000000" w:themeColor="text1"/>
          <w:spacing w:val="-1"/>
          <w:sz w:val="24"/>
          <w:szCs w:val="24"/>
          <w:lang w:val="en-US" w:eastAsia="zh-CN"/>
          <w14:textFill>
            <w14:solidFill>
              <w14:schemeClr w14:val="tx1"/>
            </w14:solidFill>
          </w14:textFill>
        </w:rPr>
        <w:t>个25m高排气筒</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DA018-DA029</w:t>
      </w:r>
      <w:r>
        <w:rPr>
          <w:rFonts w:hint="eastAsia" w:ascii="Times New Roman" w:hAnsi="Times New Roman" w:cs="Times New Roman"/>
          <w:color w:val="000000" w:themeColor="text1"/>
          <w:lang w:val="en-US" w:eastAsia="zh-CN"/>
          <w14:textFill>
            <w14:solidFill>
              <w14:schemeClr w14:val="tx1"/>
            </w14:solidFill>
          </w14:textFill>
        </w:rPr>
        <w:t>、DA035）排放。</w:t>
      </w:r>
    </w:p>
    <w:p w14:paraId="39A4A42C">
      <w:pPr>
        <w:spacing w:line="360" w:lineRule="auto"/>
        <w:ind w:firstLine="480" w:firstLineChars="200"/>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发酵车间CO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工艺</w:t>
      </w:r>
      <w:r>
        <w:rPr>
          <w:rFonts w:hint="default" w:ascii="Times New Roman" w:hAnsi="Times New Roman" w:cs="Times New Roman"/>
          <w:color w:val="000000" w:themeColor="text1"/>
          <w:lang w:val="en-US" w:eastAsia="zh-CN"/>
          <w14:textFill>
            <w14:solidFill>
              <w14:schemeClr w14:val="tx1"/>
            </w14:solidFill>
          </w14:textFill>
        </w:rPr>
        <w:t>产生的</w:t>
      </w:r>
      <w:r>
        <w:rPr>
          <w:rFonts w:hint="eastAsia" w:cs="Times New Roman"/>
          <w:color w:val="000000" w:themeColor="text1"/>
          <w:lang w:val="en-US" w:eastAsia="zh-CN"/>
          <w14:textFill>
            <w14:solidFill>
              <w14:schemeClr w14:val="tx1"/>
            </w14:solidFill>
          </w14:textFill>
        </w:rPr>
        <w:t>非甲烷总烃及臭气浓度</w:t>
      </w:r>
      <w:r>
        <w:rPr>
          <w:rFonts w:hint="eastAsia" w:cs="Times New Roman"/>
          <w:color w:val="000000" w:themeColor="text1"/>
          <w:spacing w:val="-1"/>
          <w:sz w:val="24"/>
          <w:szCs w:val="24"/>
          <w:lang w:val="en-US" w:eastAsia="zh-CN"/>
          <w14:textFill>
            <w14:solidFill>
              <w14:schemeClr w14:val="tx1"/>
            </w14:solidFill>
          </w14:textFill>
        </w:rPr>
        <w:t>由</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处理后经</w:t>
      </w:r>
      <w:r>
        <w:rPr>
          <w:rFonts w:hint="eastAsia" w:cs="Times New Roman"/>
          <w:color w:val="000000" w:themeColor="text1"/>
          <w:spacing w:val="-1"/>
          <w:sz w:val="24"/>
          <w:szCs w:val="24"/>
          <w:lang w:val="en-US" w:eastAsia="zh-CN"/>
          <w14:textFill>
            <w14:solidFill>
              <w14:schemeClr w14:val="tx1"/>
            </w14:solidFill>
          </w14:textFill>
        </w:rPr>
        <w:t>4个15</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m高排气筒</w:t>
      </w:r>
      <w:r>
        <w:rPr>
          <w:rFonts w:hint="eastAsia"/>
          <w:color w:val="000000" w:themeColor="text1"/>
          <w:lang w:val="en-US" w:eastAsia="zh-CN"/>
          <w14:textFill>
            <w14:solidFill>
              <w14:schemeClr w14:val="tx1"/>
            </w14:solidFill>
          </w14:textFill>
        </w:rPr>
        <w:t>（DA002、DA032、DA041、DA042）</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排放。</w:t>
      </w:r>
    </w:p>
    <w:p w14:paraId="42E2ADF1">
      <w:pPr>
        <w:spacing w:line="360" w:lineRule="auto"/>
        <w:ind w:firstLine="480" w:firstLineChars="200"/>
        <w:rPr>
          <w:rFonts w:hint="default"/>
        </w:rPr>
      </w:pPr>
      <w:r>
        <w:rPr>
          <w:rFonts w:ascii="Times New Roman" w:hAnsi="Times New Roman" w:cs="Times New Roman"/>
          <w:sz w:val="24"/>
        </w:rPr>
        <w:t>污水处理站污泥脱水间全封闭</w:t>
      </w:r>
      <w:r>
        <w:rPr>
          <w:rFonts w:hint="eastAsia"/>
          <w:lang w:eastAsia="zh-CN"/>
        </w:rPr>
        <w:t>，并</w:t>
      </w:r>
      <w:r>
        <w:rPr>
          <w:rFonts w:hint="default"/>
        </w:rPr>
        <w:t>设置集排风装置（</w:t>
      </w:r>
      <w:r>
        <w:rPr>
          <w:rFonts w:hint="eastAsia"/>
          <w:lang w:eastAsia="zh-CN"/>
        </w:rPr>
        <w:t>捕集效率80%</w:t>
      </w:r>
      <w:r>
        <w:rPr>
          <w:rFonts w:hint="default"/>
        </w:rPr>
        <w:t>），收集的恶臭气体通过</w:t>
      </w:r>
      <w:r>
        <w:rPr>
          <w:rFonts w:hint="eastAsia"/>
        </w:rPr>
        <w:t>活性炭吸附</w:t>
      </w:r>
      <w:r>
        <w:rPr>
          <w:rFonts w:hint="default"/>
        </w:rPr>
        <w:t>净化处理后排放</w:t>
      </w:r>
      <w:r>
        <w:rPr>
          <w:rFonts w:hint="eastAsia"/>
        </w:rPr>
        <w:t>，</w:t>
      </w:r>
      <w:r>
        <w:rPr>
          <w:rFonts w:hint="default"/>
        </w:rPr>
        <w:t>净化效率不低于</w:t>
      </w:r>
      <w:r>
        <w:rPr>
          <w:rFonts w:hint="eastAsia"/>
        </w:rPr>
        <w:t>90</w:t>
      </w:r>
      <w:r>
        <w:rPr>
          <w:rFonts w:hint="default"/>
        </w:rPr>
        <w:t>%</w:t>
      </w:r>
      <w:r>
        <w:rPr>
          <w:rFonts w:hint="eastAsia"/>
        </w:rPr>
        <w:t>，</w:t>
      </w:r>
      <w:r>
        <w:rPr>
          <w:rFonts w:hint="eastAsia"/>
          <w:lang w:eastAsia="zh-CN"/>
        </w:rPr>
        <w:t>污水处理站</w:t>
      </w:r>
      <w:r>
        <w:rPr>
          <w:rFonts w:hint="default"/>
        </w:rPr>
        <w:t>设置排气筒一个（15m）。</w:t>
      </w:r>
    </w:p>
    <w:p w14:paraId="5169EAB1">
      <w:pPr>
        <w:pStyle w:val="4"/>
        <w:rPr>
          <w:rFonts w:hint="eastAsia"/>
          <w:lang w:val="en-US" w:eastAsia="zh-CN"/>
        </w:rPr>
      </w:pPr>
      <w:r>
        <w:t>6.3.3</w:t>
      </w:r>
      <w:r>
        <w:rPr>
          <w:rFonts w:hint="eastAsia"/>
          <w:lang w:val="en-US" w:eastAsia="zh-CN"/>
        </w:rPr>
        <w:t>地下水污染防治措施</w:t>
      </w:r>
    </w:p>
    <w:p w14:paraId="26663C11">
      <w:pPr>
        <w:spacing w:line="360" w:lineRule="auto"/>
        <w:ind w:firstLine="480" w:firstLineChars="200"/>
      </w:pPr>
      <w:r>
        <w:t>根据项目特点和当地的实际情况，按照“源头控制、分区防控、污染监控、应急响应”的地下水污染防治总体原则，本项目将从污染物的产生、入渗、扩散、应急响采取全方位的控制措施。</w:t>
      </w:r>
    </w:p>
    <w:p w14:paraId="02FAF819">
      <w:pPr>
        <w:pStyle w:val="5"/>
        <w:rPr>
          <w:rFonts w:hint="eastAsia" w:eastAsia="宋体"/>
        </w:rPr>
      </w:pPr>
      <w:r>
        <w:rPr>
          <w:rFonts w:hint="eastAsia" w:eastAsia="宋体"/>
        </w:rPr>
        <w:t>6.</w:t>
      </w:r>
      <w:r>
        <w:rPr>
          <w:rFonts w:hint="eastAsia" w:eastAsia="宋体"/>
          <w:lang w:val="en-US" w:eastAsia="zh-CN"/>
        </w:rPr>
        <w:t>3</w:t>
      </w:r>
      <w:r>
        <w:rPr>
          <w:rFonts w:hint="eastAsia" w:eastAsia="宋体"/>
        </w:rPr>
        <w:t>.3.1 源头控制措施</w:t>
      </w:r>
    </w:p>
    <w:p w14:paraId="627B4529">
      <w:pPr>
        <w:spacing w:line="360" w:lineRule="auto"/>
        <w:ind w:firstLine="480" w:firstLineChars="200"/>
      </w:pPr>
      <w:r>
        <w:t>本项目严格按照国家相关规范要求，对污水处理构筑物、工艺、管道、设备等采取相应的措施，以防止和降低污染物的跑、冒、滴、漏，将污染物泄漏的环境风险事故降到最低程度。具体措施如下：</w:t>
      </w:r>
    </w:p>
    <w:p w14:paraId="0611DEC4">
      <w:pPr>
        <w:spacing w:line="360" w:lineRule="auto"/>
        <w:ind w:firstLine="480" w:firstLineChars="200"/>
      </w:pPr>
      <w:r>
        <w:t>（1）污水处理</w:t>
      </w:r>
      <w:r>
        <w:rPr>
          <w:rFonts w:hint="eastAsia"/>
        </w:rPr>
        <w:t>厂</w:t>
      </w:r>
      <w:r>
        <w:t>的所有盛水构筑物均参照《城市污水处理厂工程质量验收规范》（GB50334-2002）要求进行防渗设计和建设，做到“在满水实验中应进行外观检测，不得有漏水现象，水池渗水量按池壁和池底的浸湿面积计算，钢筋混凝土水池不得超过2L/m2·d”；</w:t>
      </w:r>
    </w:p>
    <w:p w14:paraId="0BDF5E53">
      <w:pPr>
        <w:spacing w:line="360" w:lineRule="auto"/>
        <w:ind w:firstLine="480" w:firstLineChars="200"/>
      </w:pPr>
      <w:r>
        <w:t>（2）污泥储存单元及处置场所地面及墙壁均应做好防渗、防腐蚀处理，避免暂存污泥对土壤造成污染，进而对地下水环境造成影响；</w:t>
      </w:r>
    </w:p>
    <w:p w14:paraId="4EA2F819">
      <w:pPr>
        <w:spacing w:line="360" w:lineRule="auto"/>
        <w:ind w:firstLine="480" w:firstLineChars="200"/>
      </w:pPr>
      <w:r>
        <w:t>（3）加强管理，严格规范操作流程，加强人员培训，减少废物排放量。</w:t>
      </w:r>
    </w:p>
    <w:p w14:paraId="31364322">
      <w:pPr>
        <w:pStyle w:val="5"/>
        <w:rPr>
          <w:rFonts w:hint="eastAsia" w:eastAsia="宋体"/>
        </w:rPr>
      </w:pPr>
      <w:r>
        <w:rPr>
          <w:rFonts w:hint="eastAsia" w:eastAsia="宋体"/>
        </w:rPr>
        <w:t>6.</w:t>
      </w:r>
      <w:r>
        <w:rPr>
          <w:rFonts w:hint="eastAsia" w:eastAsia="宋体"/>
          <w:lang w:val="en-US" w:eastAsia="zh-CN"/>
        </w:rPr>
        <w:t>3</w:t>
      </w:r>
      <w:r>
        <w:rPr>
          <w:rFonts w:hint="eastAsia" w:eastAsia="宋体"/>
        </w:rPr>
        <w:t>.3.2地下水污染防渗分区及保护措施</w:t>
      </w:r>
    </w:p>
    <w:p w14:paraId="5EA853F8">
      <w:pPr>
        <w:spacing w:line="360" w:lineRule="auto"/>
        <w:ind w:firstLine="480" w:firstLineChars="200"/>
      </w:pPr>
      <w:r>
        <w:t>（1）污染防控区划分</w:t>
      </w:r>
    </w:p>
    <w:p w14:paraId="67EA3248">
      <w:pPr>
        <w:spacing w:line="360" w:lineRule="auto"/>
        <w:ind w:firstLine="480" w:firstLineChars="200"/>
      </w:pPr>
      <w:r>
        <w:t>《环境影响评价技术导则地下水环境》(HJ610-2016)将地下水污染防渗分区分为三个级别：重点防渗区、一般防渗区、简单防渗区，本项目地下水污染防渗区为污水系统，防渗分区判定如下。</w:t>
      </w:r>
    </w:p>
    <w:p w14:paraId="7247F839">
      <w:pPr>
        <w:spacing w:line="360" w:lineRule="auto"/>
        <w:jc w:val="center"/>
        <w:rPr>
          <w:rFonts w:hint="eastAsia" w:ascii="Times New Roman" w:hAnsi="Times New Roman" w:eastAsia="宋体" w:cs="Times New Roman"/>
          <w:b/>
          <w:bCs/>
        </w:rPr>
      </w:pPr>
      <w:r>
        <w:rPr>
          <w:rFonts w:hint="eastAsia" w:ascii="Times New Roman" w:hAnsi="Times New Roman" w:eastAsia="宋体" w:cs="Times New Roman"/>
          <w:b/>
          <w:bCs/>
        </w:rPr>
        <w:t>表6</w:t>
      </w:r>
      <w:r>
        <w:rPr>
          <w:rFonts w:hint="eastAsia" w:ascii="Times New Roman" w:hAnsi="Times New Roman" w:cs="Times New Roman"/>
          <w:b/>
          <w:bCs/>
          <w:lang w:val="en-US" w:eastAsia="zh-CN"/>
        </w:rPr>
        <w:t>.3-2</w:t>
      </w:r>
      <w:r>
        <w:rPr>
          <w:rFonts w:hint="eastAsia" w:ascii="Times New Roman" w:hAnsi="Times New Roman" w:eastAsia="宋体" w:cs="Times New Roman"/>
          <w:b/>
          <w:bCs/>
        </w:rPr>
        <w:t xml:space="preserve">  污染控制难易程度分级参照表</w:t>
      </w:r>
    </w:p>
    <w:tbl>
      <w:tblPr>
        <w:tblStyle w:val="53"/>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176"/>
        <w:gridCol w:w="7067"/>
      </w:tblGrid>
      <w:tr w14:paraId="5DC15E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jc w:val="center"/>
        </w:trPr>
        <w:tc>
          <w:tcPr>
            <w:tcW w:w="1177" w:type="pct"/>
            <w:tcBorders>
              <w:top w:val="single" w:color="auto" w:sz="4" w:space="0"/>
              <w:left w:val="single" w:color="auto" w:sz="4" w:space="0"/>
            </w:tcBorders>
            <w:vAlign w:val="center"/>
          </w:tcPr>
          <w:p w14:paraId="6474F25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污染控制难异程度</w:t>
            </w:r>
          </w:p>
        </w:tc>
        <w:tc>
          <w:tcPr>
            <w:tcW w:w="3823" w:type="pct"/>
            <w:tcBorders>
              <w:top w:val="single" w:color="auto" w:sz="4" w:space="0"/>
              <w:right w:val="single" w:color="auto" w:sz="4" w:space="0"/>
            </w:tcBorders>
            <w:vAlign w:val="center"/>
          </w:tcPr>
          <w:p w14:paraId="742BA5C6">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污染物类型</w:t>
            </w:r>
          </w:p>
        </w:tc>
      </w:tr>
      <w:tr w14:paraId="67210C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77" w:type="pct"/>
            <w:tcBorders>
              <w:left w:val="single" w:color="auto" w:sz="4" w:space="0"/>
            </w:tcBorders>
            <w:vAlign w:val="center"/>
          </w:tcPr>
          <w:p w14:paraId="4288F9F6">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难</w:t>
            </w:r>
          </w:p>
        </w:tc>
        <w:tc>
          <w:tcPr>
            <w:tcW w:w="3823" w:type="pct"/>
            <w:tcBorders>
              <w:right w:val="single" w:color="auto" w:sz="4" w:space="0"/>
            </w:tcBorders>
            <w:vAlign w:val="center"/>
          </w:tcPr>
          <w:p w14:paraId="698DD2D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对地下水环境有污染的物料或污染物泄漏后，不能及时发现和处理</w:t>
            </w:r>
          </w:p>
        </w:tc>
      </w:tr>
      <w:tr w14:paraId="6DDACD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177" w:type="pct"/>
            <w:tcBorders>
              <w:left w:val="single" w:color="auto" w:sz="4" w:space="0"/>
              <w:bottom w:val="single" w:color="auto" w:sz="4" w:space="0"/>
            </w:tcBorders>
            <w:vAlign w:val="center"/>
          </w:tcPr>
          <w:p w14:paraId="61703EC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异</w:t>
            </w:r>
          </w:p>
        </w:tc>
        <w:tc>
          <w:tcPr>
            <w:tcW w:w="3823" w:type="pct"/>
            <w:tcBorders>
              <w:bottom w:val="single" w:color="auto" w:sz="4" w:space="0"/>
              <w:right w:val="single" w:color="auto" w:sz="4" w:space="0"/>
            </w:tcBorders>
            <w:vAlign w:val="center"/>
          </w:tcPr>
          <w:p w14:paraId="7F9A1E7A">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对地下水环境有污染的物料或污染物泄漏后，可及时发现和处理</w:t>
            </w:r>
          </w:p>
        </w:tc>
      </w:tr>
    </w:tbl>
    <w:p w14:paraId="0A2DEACB">
      <w:pPr>
        <w:spacing w:line="360" w:lineRule="auto"/>
        <w:jc w:val="center"/>
        <w:rPr>
          <w:rFonts w:hint="eastAsia" w:ascii="Times New Roman" w:hAnsi="Times New Roman" w:eastAsia="宋体" w:cs="Times New Roman"/>
          <w:b/>
          <w:bCs/>
        </w:rPr>
      </w:pPr>
      <w:r>
        <w:rPr>
          <w:rFonts w:hint="eastAsia" w:ascii="Times New Roman" w:hAnsi="Times New Roman" w:eastAsia="宋体" w:cs="Times New Roman"/>
          <w:b/>
          <w:bCs/>
        </w:rPr>
        <w:t>表6</w:t>
      </w:r>
      <w:r>
        <w:rPr>
          <w:rFonts w:hint="eastAsia" w:ascii="Times New Roman" w:hAnsi="Times New Roman" w:cs="Times New Roman"/>
          <w:b/>
          <w:bCs/>
          <w:lang w:val="en-US" w:eastAsia="zh-CN"/>
        </w:rPr>
        <w:t>.3-3</w:t>
      </w:r>
      <w:r>
        <w:rPr>
          <w:rFonts w:hint="eastAsia" w:ascii="Times New Roman" w:hAnsi="Times New Roman" w:eastAsia="宋体" w:cs="Times New Roman"/>
          <w:b/>
          <w:bCs/>
        </w:rPr>
        <w:t xml:space="preserve">  天然包气带防污性能分级参照表</w:t>
      </w:r>
    </w:p>
    <w:tbl>
      <w:tblPr>
        <w:tblStyle w:val="5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6"/>
        <w:gridCol w:w="8487"/>
      </w:tblGrid>
      <w:tr w14:paraId="4F22F3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top w:val="single" w:color="auto" w:sz="4" w:space="0"/>
              <w:left w:val="single" w:color="auto" w:sz="4" w:space="0"/>
            </w:tcBorders>
            <w:vAlign w:val="center"/>
          </w:tcPr>
          <w:p w14:paraId="27618366">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分级</w:t>
            </w:r>
          </w:p>
        </w:tc>
        <w:tc>
          <w:tcPr>
            <w:tcW w:w="4591" w:type="pct"/>
            <w:tcBorders>
              <w:top w:val="single" w:color="auto" w:sz="4" w:space="0"/>
              <w:right w:val="single" w:color="auto" w:sz="4" w:space="0"/>
            </w:tcBorders>
            <w:vAlign w:val="center"/>
          </w:tcPr>
          <w:p w14:paraId="17D6E4FC">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包气带岩土的渗透性能</w:t>
            </w:r>
          </w:p>
        </w:tc>
      </w:tr>
      <w:tr w14:paraId="31D128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left w:val="single" w:color="auto" w:sz="4" w:space="0"/>
            </w:tcBorders>
            <w:vAlign w:val="center"/>
          </w:tcPr>
          <w:p w14:paraId="20D23DA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强</w:t>
            </w:r>
          </w:p>
        </w:tc>
        <w:tc>
          <w:tcPr>
            <w:tcW w:w="4591" w:type="pct"/>
            <w:tcBorders>
              <w:right w:val="single" w:color="auto" w:sz="4" w:space="0"/>
            </w:tcBorders>
            <w:vAlign w:val="center"/>
          </w:tcPr>
          <w:p w14:paraId="301D9C51">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岩（土）层单层厚度Mb≥1.0m，渗透系数K≤1X10</w:t>
            </w:r>
            <w:r>
              <w:rPr>
                <w:rFonts w:hint="default" w:ascii="Times New Roman" w:hAnsi="Times New Roman" w:cs="Times New Roman"/>
                <w:color w:val="000000"/>
                <w:sz w:val="21"/>
                <w:szCs w:val="21"/>
                <w:vertAlign w:val="superscript"/>
              </w:rPr>
              <w:t>-6</w:t>
            </w:r>
            <w:r>
              <w:rPr>
                <w:rFonts w:hint="default" w:ascii="Times New Roman" w:hAnsi="Times New Roman" w:cs="Times New Roman"/>
                <w:color w:val="000000"/>
                <w:sz w:val="21"/>
                <w:szCs w:val="21"/>
              </w:rPr>
              <w:t>cm/s，且分布连续、稳定</w:t>
            </w:r>
          </w:p>
        </w:tc>
      </w:tr>
      <w:tr w14:paraId="2B6680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09" w:type="pct"/>
            <w:tcBorders>
              <w:left w:val="single" w:color="auto" w:sz="4" w:space="0"/>
            </w:tcBorders>
            <w:vAlign w:val="center"/>
          </w:tcPr>
          <w:p w14:paraId="4EA5E0E8">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中</w:t>
            </w:r>
          </w:p>
        </w:tc>
        <w:tc>
          <w:tcPr>
            <w:tcW w:w="4591" w:type="pct"/>
            <w:tcBorders>
              <w:right w:val="single" w:color="auto" w:sz="4" w:space="0"/>
            </w:tcBorders>
            <w:vAlign w:val="center"/>
          </w:tcPr>
          <w:p w14:paraId="6B7FD23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岩（土）层单层厚度0.5m≤Mb＜1.0m，渗透系数K≤1×10</w:t>
            </w:r>
            <w:r>
              <w:rPr>
                <w:rFonts w:hint="default" w:ascii="Times New Roman" w:hAnsi="Times New Roman" w:cs="Times New Roman"/>
                <w:color w:val="000000"/>
                <w:sz w:val="21"/>
                <w:szCs w:val="21"/>
                <w:vertAlign w:val="superscript"/>
              </w:rPr>
              <w:t>-6</w:t>
            </w:r>
            <w:r>
              <w:rPr>
                <w:rFonts w:hint="default" w:ascii="Times New Roman" w:hAnsi="Times New Roman" w:cs="Times New Roman"/>
                <w:color w:val="000000"/>
                <w:sz w:val="21"/>
                <w:szCs w:val="21"/>
              </w:rPr>
              <w:t>cm/s，且分布连续、稳定</w:t>
            </w:r>
          </w:p>
          <w:p w14:paraId="0A186181">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岩（土）层单层厚度Mb≥1.0m，渗透系数1×10</w:t>
            </w:r>
            <w:r>
              <w:rPr>
                <w:rFonts w:hint="default" w:ascii="Times New Roman" w:hAnsi="Times New Roman" w:cs="Times New Roman"/>
                <w:color w:val="000000"/>
                <w:sz w:val="21"/>
                <w:szCs w:val="21"/>
                <w:vertAlign w:val="superscript"/>
              </w:rPr>
              <w:t>-6</w:t>
            </w:r>
            <w:r>
              <w:rPr>
                <w:rFonts w:hint="default" w:ascii="Times New Roman" w:hAnsi="Times New Roman" w:cs="Times New Roman"/>
                <w:color w:val="000000"/>
                <w:sz w:val="21"/>
                <w:szCs w:val="21"/>
              </w:rPr>
              <w:t>cm/s＜K≤1×10</w:t>
            </w:r>
            <w:r>
              <w:rPr>
                <w:rFonts w:hint="default" w:ascii="Times New Roman" w:hAnsi="Times New Roman" w:cs="Times New Roman"/>
                <w:color w:val="000000"/>
                <w:sz w:val="21"/>
                <w:szCs w:val="21"/>
                <w:vertAlign w:val="superscript"/>
              </w:rPr>
              <w:t>-4</w:t>
            </w:r>
            <w:r>
              <w:rPr>
                <w:rFonts w:hint="default" w:ascii="Times New Roman" w:hAnsi="Times New Roman" w:cs="Times New Roman"/>
                <w:color w:val="000000"/>
                <w:sz w:val="21"/>
                <w:szCs w:val="21"/>
              </w:rPr>
              <w:t>cm/s，且分布连续、稳定</w:t>
            </w:r>
          </w:p>
        </w:tc>
      </w:tr>
      <w:tr w14:paraId="500E0A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8" w:hRule="atLeast"/>
          <w:jc w:val="center"/>
        </w:trPr>
        <w:tc>
          <w:tcPr>
            <w:tcW w:w="409" w:type="pct"/>
            <w:tcBorders>
              <w:left w:val="single" w:color="auto" w:sz="4" w:space="0"/>
              <w:bottom w:val="single" w:color="auto" w:sz="4" w:space="0"/>
            </w:tcBorders>
            <w:vAlign w:val="center"/>
          </w:tcPr>
          <w:p w14:paraId="58A3095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弱</w:t>
            </w:r>
          </w:p>
        </w:tc>
        <w:tc>
          <w:tcPr>
            <w:tcW w:w="4591" w:type="pct"/>
            <w:tcBorders>
              <w:bottom w:val="single" w:color="auto" w:sz="4" w:space="0"/>
              <w:right w:val="single" w:color="auto" w:sz="4" w:space="0"/>
            </w:tcBorders>
            <w:vAlign w:val="center"/>
          </w:tcPr>
          <w:p w14:paraId="06A1A958">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岩（土）层不满足上述“强”和“中”条件</w:t>
            </w:r>
          </w:p>
        </w:tc>
      </w:tr>
    </w:tbl>
    <w:p w14:paraId="37F4197B">
      <w:pPr>
        <w:spacing w:line="360" w:lineRule="auto"/>
        <w:jc w:val="center"/>
        <w:rPr>
          <w:rFonts w:hint="eastAsia" w:ascii="Times New Roman" w:hAnsi="Times New Roman" w:eastAsia="宋体" w:cs="Times New Roman"/>
          <w:b/>
          <w:bCs/>
        </w:rPr>
      </w:pPr>
      <w:r>
        <w:rPr>
          <w:rFonts w:hint="eastAsia" w:ascii="Times New Roman" w:hAnsi="Times New Roman" w:eastAsia="宋体" w:cs="Times New Roman"/>
          <w:b/>
          <w:bCs/>
        </w:rPr>
        <w:t>表6</w:t>
      </w:r>
      <w:r>
        <w:rPr>
          <w:rFonts w:hint="eastAsia" w:ascii="Times New Roman" w:hAnsi="Times New Roman" w:cs="Times New Roman"/>
          <w:b/>
          <w:bCs/>
          <w:lang w:val="en-US" w:eastAsia="zh-CN"/>
        </w:rPr>
        <w:t>.3-4</w:t>
      </w:r>
      <w:r>
        <w:rPr>
          <w:rFonts w:hint="eastAsia" w:ascii="Times New Roman" w:hAnsi="Times New Roman" w:eastAsia="宋体" w:cs="Times New Roman"/>
          <w:b/>
          <w:bCs/>
        </w:rPr>
        <w:t xml:space="preserve">  地下水污染防渗分区参照表</w:t>
      </w:r>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5"/>
        <w:gridCol w:w="1732"/>
        <w:gridCol w:w="2167"/>
        <w:gridCol w:w="1564"/>
        <w:gridCol w:w="2165"/>
      </w:tblGrid>
      <w:tr w14:paraId="533C39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tcBorders>
              <w:top w:val="single" w:color="auto" w:sz="4" w:space="0"/>
              <w:left w:val="single" w:color="auto" w:sz="4" w:space="0"/>
            </w:tcBorders>
            <w:vAlign w:val="center"/>
          </w:tcPr>
          <w:p w14:paraId="7FAB3CCF">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防渗分区</w:t>
            </w:r>
          </w:p>
        </w:tc>
        <w:tc>
          <w:tcPr>
            <w:tcW w:w="937" w:type="pct"/>
            <w:tcBorders>
              <w:top w:val="single" w:color="auto" w:sz="4" w:space="0"/>
            </w:tcBorders>
            <w:vAlign w:val="center"/>
          </w:tcPr>
          <w:p w14:paraId="67D122C1">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天然包气带防污性能</w:t>
            </w:r>
          </w:p>
        </w:tc>
        <w:tc>
          <w:tcPr>
            <w:tcW w:w="1172" w:type="pct"/>
            <w:tcBorders>
              <w:top w:val="single" w:color="auto" w:sz="4" w:space="0"/>
            </w:tcBorders>
            <w:vAlign w:val="center"/>
          </w:tcPr>
          <w:p w14:paraId="49F34E1F">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污染控制难异程度</w:t>
            </w:r>
          </w:p>
        </w:tc>
        <w:tc>
          <w:tcPr>
            <w:tcW w:w="846" w:type="pct"/>
            <w:tcBorders>
              <w:top w:val="single" w:color="auto" w:sz="4" w:space="0"/>
            </w:tcBorders>
            <w:vAlign w:val="center"/>
          </w:tcPr>
          <w:p w14:paraId="2BF8121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污染物类型</w:t>
            </w:r>
          </w:p>
        </w:tc>
        <w:tc>
          <w:tcPr>
            <w:tcW w:w="1171" w:type="pct"/>
            <w:tcBorders>
              <w:top w:val="single" w:color="auto" w:sz="4" w:space="0"/>
              <w:right w:val="single" w:color="auto" w:sz="4" w:space="0"/>
            </w:tcBorders>
            <w:vAlign w:val="center"/>
          </w:tcPr>
          <w:p w14:paraId="65931B4C">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防渗技术要求</w:t>
            </w:r>
          </w:p>
        </w:tc>
      </w:tr>
      <w:tr w14:paraId="26132F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restart"/>
            <w:tcBorders>
              <w:left w:val="single" w:color="auto" w:sz="4" w:space="0"/>
            </w:tcBorders>
            <w:vAlign w:val="center"/>
          </w:tcPr>
          <w:p w14:paraId="5468199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重点防渗区</w:t>
            </w:r>
          </w:p>
        </w:tc>
        <w:tc>
          <w:tcPr>
            <w:tcW w:w="937" w:type="pct"/>
            <w:vAlign w:val="center"/>
          </w:tcPr>
          <w:p w14:paraId="7358928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弱</w:t>
            </w:r>
          </w:p>
        </w:tc>
        <w:tc>
          <w:tcPr>
            <w:tcW w:w="1172" w:type="pct"/>
            <w:vAlign w:val="center"/>
          </w:tcPr>
          <w:p w14:paraId="31093308">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难</w:t>
            </w:r>
          </w:p>
        </w:tc>
        <w:tc>
          <w:tcPr>
            <w:tcW w:w="846" w:type="pct"/>
            <w:vMerge w:val="restart"/>
            <w:vAlign w:val="center"/>
          </w:tcPr>
          <w:p w14:paraId="08EFA835">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重金属、持久性有机物污染物</w:t>
            </w:r>
          </w:p>
        </w:tc>
        <w:tc>
          <w:tcPr>
            <w:tcW w:w="1171" w:type="pct"/>
            <w:vMerge w:val="restart"/>
            <w:tcBorders>
              <w:right w:val="single" w:color="auto" w:sz="4" w:space="0"/>
            </w:tcBorders>
            <w:vAlign w:val="center"/>
          </w:tcPr>
          <w:p w14:paraId="0076AC2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zh-CN"/>
              </w:rPr>
              <w:t>等效黏土防渗层Mb≥</w:t>
            </w:r>
            <w:r>
              <w:rPr>
                <w:rFonts w:hint="default" w:ascii="Times New Roman" w:hAnsi="Times New Roman" w:cs="Times New Roman"/>
                <w:color w:val="000000"/>
                <w:sz w:val="21"/>
                <w:szCs w:val="21"/>
              </w:rPr>
              <w:t>6.0</w:t>
            </w:r>
            <w:r>
              <w:rPr>
                <w:rFonts w:hint="default" w:ascii="Times New Roman" w:hAnsi="Times New Roman" w:cs="Times New Roman"/>
                <w:color w:val="000000"/>
                <w:sz w:val="21"/>
                <w:szCs w:val="21"/>
                <w:lang w:val="zh-CN"/>
              </w:rPr>
              <w:t>m，K&lt;1×10</w:t>
            </w:r>
            <w:r>
              <w:rPr>
                <w:rFonts w:hint="default" w:ascii="Times New Roman" w:hAnsi="Times New Roman" w:cs="Times New Roman"/>
                <w:color w:val="000000"/>
                <w:sz w:val="21"/>
                <w:szCs w:val="21"/>
                <w:vertAlign w:val="superscript"/>
                <w:lang w:val="zh-CN"/>
              </w:rPr>
              <w:t>-7</w:t>
            </w:r>
            <w:r>
              <w:rPr>
                <w:rFonts w:hint="default" w:ascii="Times New Roman" w:hAnsi="Times New Roman" w:cs="Times New Roman"/>
                <w:color w:val="000000"/>
                <w:sz w:val="21"/>
                <w:szCs w:val="21"/>
                <w:lang w:val="zh-CN"/>
              </w:rPr>
              <w:t>cm/s，或参照GB</w:t>
            </w:r>
            <w:r>
              <w:rPr>
                <w:rFonts w:hint="default" w:ascii="Times New Roman" w:hAnsi="Times New Roman" w:cs="Times New Roman"/>
                <w:color w:val="000000"/>
                <w:sz w:val="21"/>
                <w:szCs w:val="21"/>
              </w:rPr>
              <w:t>18598</w:t>
            </w:r>
            <w:r>
              <w:rPr>
                <w:rFonts w:hint="default" w:ascii="Times New Roman" w:hAnsi="Times New Roman" w:cs="Times New Roman"/>
                <w:color w:val="000000"/>
                <w:sz w:val="21"/>
                <w:szCs w:val="21"/>
                <w:lang w:val="zh-CN"/>
              </w:rPr>
              <w:t>执行</w:t>
            </w:r>
          </w:p>
        </w:tc>
      </w:tr>
      <w:tr w14:paraId="7EDA8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tcBorders>
              <w:left w:val="single" w:color="auto" w:sz="4" w:space="0"/>
            </w:tcBorders>
            <w:vAlign w:val="center"/>
          </w:tcPr>
          <w:p w14:paraId="26A2FD66">
            <w:pPr>
              <w:jc w:val="center"/>
              <w:rPr>
                <w:rFonts w:hint="default" w:ascii="Times New Roman" w:hAnsi="Times New Roman" w:cs="Times New Roman"/>
                <w:color w:val="000000"/>
                <w:sz w:val="21"/>
                <w:szCs w:val="21"/>
              </w:rPr>
            </w:pPr>
          </w:p>
        </w:tc>
        <w:tc>
          <w:tcPr>
            <w:tcW w:w="937" w:type="pct"/>
            <w:vAlign w:val="center"/>
          </w:tcPr>
          <w:p w14:paraId="51AE7A86">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中-强</w:t>
            </w:r>
          </w:p>
        </w:tc>
        <w:tc>
          <w:tcPr>
            <w:tcW w:w="1172" w:type="pct"/>
            <w:vAlign w:val="center"/>
          </w:tcPr>
          <w:p w14:paraId="230E645A">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难</w:t>
            </w:r>
          </w:p>
        </w:tc>
        <w:tc>
          <w:tcPr>
            <w:tcW w:w="846" w:type="pct"/>
            <w:vMerge w:val="continue"/>
            <w:vAlign w:val="center"/>
          </w:tcPr>
          <w:p w14:paraId="72C8BCC6">
            <w:pPr>
              <w:jc w:val="center"/>
              <w:rPr>
                <w:rFonts w:hint="default" w:ascii="Times New Roman" w:hAnsi="Times New Roman" w:cs="Times New Roman"/>
                <w:color w:val="000000"/>
                <w:sz w:val="21"/>
                <w:szCs w:val="21"/>
              </w:rPr>
            </w:pPr>
          </w:p>
        </w:tc>
        <w:tc>
          <w:tcPr>
            <w:tcW w:w="1171" w:type="pct"/>
            <w:vMerge w:val="continue"/>
            <w:tcBorders>
              <w:right w:val="single" w:color="auto" w:sz="4" w:space="0"/>
            </w:tcBorders>
            <w:vAlign w:val="center"/>
          </w:tcPr>
          <w:p w14:paraId="24C3D806">
            <w:pPr>
              <w:jc w:val="center"/>
              <w:rPr>
                <w:rFonts w:hint="default" w:ascii="Times New Roman" w:hAnsi="Times New Roman" w:cs="Times New Roman"/>
                <w:color w:val="000000"/>
                <w:sz w:val="21"/>
                <w:szCs w:val="21"/>
              </w:rPr>
            </w:pPr>
          </w:p>
        </w:tc>
      </w:tr>
      <w:tr w14:paraId="7DE4D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tcBorders>
              <w:left w:val="single" w:color="auto" w:sz="4" w:space="0"/>
            </w:tcBorders>
            <w:vAlign w:val="center"/>
          </w:tcPr>
          <w:p w14:paraId="2E309D60">
            <w:pPr>
              <w:jc w:val="center"/>
              <w:rPr>
                <w:rFonts w:hint="default" w:ascii="Times New Roman" w:hAnsi="Times New Roman" w:cs="Times New Roman"/>
                <w:color w:val="000000"/>
                <w:sz w:val="21"/>
                <w:szCs w:val="21"/>
              </w:rPr>
            </w:pPr>
          </w:p>
        </w:tc>
        <w:tc>
          <w:tcPr>
            <w:tcW w:w="937" w:type="pct"/>
            <w:vAlign w:val="center"/>
          </w:tcPr>
          <w:p w14:paraId="27CEDB6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弱</w:t>
            </w:r>
          </w:p>
        </w:tc>
        <w:tc>
          <w:tcPr>
            <w:tcW w:w="1172" w:type="pct"/>
            <w:vAlign w:val="center"/>
          </w:tcPr>
          <w:p w14:paraId="3CBF923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易</w:t>
            </w:r>
          </w:p>
        </w:tc>
        <w:tc>
          <w:tcPr>
            <w:tcW w:w="846" w:type="pct"/>
            <w:vMerge w:val="continue"/>
            <w:vAlign w:val="center"/>
          </w:tcPr>
          <w:p w14:paraId="40CC2F37">
            <w:pPr>
              <w:jc w:val="center"/>
              <w:rPr>
                <w:rFonts w:hint="default" w:ascii="Times New Roman" w:hAnsi="Times New Roman" w:cs="Times New Roman"/>
                <w:color w:val="000000"/>
                <w:sz w:val="21"/>
                <w:szCs w:val="21"/>
              </w:rPr>
            </w:pPr>
          </w:p>
        </w:tc>
        <w:tc>
          <w:tcPr>
            <w:tcW w:w="1171" w:type="pct"/>
            <w:vMerge w:val="continue"/>
            <w:tcBorders>
              <w:right w:val="single" w:color="auto" w:sz="4" w:space="0"/>
            </w:tcBorders>
            <w:vAlign w:val="center"/>
          </w:tcPr>
          <w:p w14:paraId="398A948F">
            <w:pPr>
              <w:jc w:val="center"/>
              <w:rPr>
                <w:rFonts w:hint="default" w:ascii="Times New Roman" w:hAnsi="Times New Roman" w:cs="Times New Roman"/>
                <w:color w:val="000000"/>
                <w:sz w:val="21"/>
                <w:szCs w:val="21"/>
              </w:rPr>
            </w:pPr>
          </w:p>
        </w:tc>
      </w:tr>
      <w:tr w14:paraId="14530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restart"/>
            <w:tcBorders>
              <w:left w:val="single" w:color="auto" w:sz="4" w:space="0"/>
            </w:tcBorders>
            <w:vAlign w:val="center"/>
          </w:tcPr>
          <w:p w14:paraId="09A937DF">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一般防渗区</w:t>
            </w:r>
          </w:p>
        </w:tc>
        <w:tc>
          <w:tcPr>
            <w:tcW w:w="937" w:type="pct"/>
            <w:vAlign w:val="center"/>
          </w:tcPr>
          <w:p w14:paraId="14CAFD1A">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弱</w:t>
            </w:r>
          </w:p>
        </w:tc>
        <w:tc>
          <w:tcPr>
            <w:tcW w:w="1172" w:type="pct"/>
            <w:vAlign w:val="center"/>
          </w:tcPr>
          <w:p w14:paraId="32ABE04A">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易-难</w:t>
            </w:r>
          </w:p>
        </w:tc>
        <w:tc>
          <w:tcPr>
            <w:tcW w:w="846" w:type="pct"/>
            <w:vMerge w:val="restart"/>
            <w:vAlign w:val="center"/>
          </w:tcPr>
          <w:p w14:paraId="2FBA15F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其他类型</w:t>
            </w:r>
          </w:p>
        </w:tc>
        <w:tc>
          <w:tcPr>
            <w:tcW w:w="1171" w:type="pct"/>
            <w:vMerge w:val="restart"/>
            <w:tcBorders>
              <w:right w:val="single" w:color="auto" w:sz="4" w:space="0"/>
            </w:tcBorders>
            <w:vAlign w:val="center"/>
          </w:tcPr>
          <w:p w14:paraId="31306DF8">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lang w:val="zh-CN"/>
              </w:rPr>
              <w:t>等效黏土防渗层Mb&gt;1.5m，K&lt;1×10</w:t>
            </w:r>
            <w:r>
              <w:rPr>
                <w:rFonts w:hint="default" w:ascii="Times New Roman" w:hAnsi="Times New Roman" w:cs="Times New Roman"/>
                <w:color w:val="000000"/>
                <w:sz w:val="21"/>
                <w:szCs w:val="21"/>
                <w:vertAlign w:val="superscript"/>
                <w:lang w:val="zh-CN"/>
              </w:rPr>
              <w:t>-7</w:t>
            </w:r>
            <w:r>
              <w:rPr>
                <w:rFonts w:hint="default" w:ascii="Times New Roman" w:hAnsi="Times New Roman" w:cs="Times New Roman"/>
                <w:color w:val="000000"/>
                <w:sz w:val="21"/>
                <w:szCs w:val="21"/>
                <w:lang w:val="zh-CN"/>
              </w:rPr>
              <w:t>cm/s，或参照GB16889执行</w:t>
            </w:r>
          </w:p>
        </w:tc>
      </w:tr>
      <w:tr w14:paraId="272E56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tcBorders>
              <w:left w:val="single" w:color="auto" w:sz="4" w:space="0"/>
            </w:tcBorders>
            <w:vAlign w:val="center"/>
          </w:tcPr>
          <w:p w14:paraId="6442A3B5">
            <w:pPr>
              <w:jc w:val="center"/>
              <w:rPr>
                <w:rFonts w:hint="default" w:ascii="Times New Roman" w:hAnsi="Times New Roman" w:cs="Times New Roman"/>
                <w:color w:val="000000"/>
                <w:sz w:val="21"/>
                <w:szCs w:val="21"/>
              </w:rPr>
            </w:pPr>
          </w:p>
        </w:tc>
        <w:tc>
          <w:tcPr>
            <w:tcW w:w="937" w:type="pct"/>
            <w:vAlign w:val="center"/>
          </w:tcPr>
          <w:p w14:paraId="189BA91F">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中-强</w:t>
            </w:r>
          </w:p>
        </w:tc>
        <w:tc>
          <w:tcPr>
            <w:tcW w:w="1172" w:type="pct"/>
            <w:vAlign w:val="center"/>
          </w:tcPr>
          <w:p w14:paraId="62387AC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难</w:t>
            </w:r>
          </w:p>
        </w:tc>
        <w:tc>
          <w:tcPr>
            <w:tcW w:w="846" w:type="pct"/>
            <w:vMerge w:val="continue"/>
            <w:vAlign w:val="center"/>
          </w:tcPr>
          <w:p w14:paraId="12E0C0CC">
            <w:pPr>
              <w:jc w:val="center"/>
              <w:rPr>
                <w:rFonts w:hint="default" w:ascii="Times New Roman" w:hAnsi="Times New Roman" w:cs="Times New Roman"/>
                <w:color w:val="000000"/>
                <w:sz w:val="21"/>
                <w:szCs w:val="21"/>
              </w:rPr>
            </w:pPr>
          </w:p>
        </w:tc>
        <w:tc>
          <w:tcPr>
            <w:tcW w:w="1171" w:type="pct"/>
            <w:vMerge w:val="continue"/>
            <w:tcBorders>
              <w:right w:val="single" w:color="auto" w:sz="4" w:space="0"/>
            </w:tcBorders>
            <w:vAlign w:val="center"/>
          </w:tcPr>
          <w:p w14:paraId="0D1D0420">
            <w:pPr>
              <w:jc w:val="center"/>
              <w:rPr>
                <w:rFonts w:hint="default" w:ascii="Times New Roman" w:hAnsi="Times New Roman" w:cs="Times New Roman"/>
                <w:color w:val="000000"/>
                <w:sz w:val="21"/>
                <w:szCs w:val="21"/>
              </w:rPr>
            </w:pPr>
          </w:p>
        </w:tc>
      </w:tr>
      <w:tr w14:paraId="4BE3A8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tcBorders>
              <w:left w:val="single" w:color="auto" w:sz="4" w:space="0"/>
            </w:tcBorders>
            <w:vAlign w:val="center"/>
          </w:tcPr>
          <w:p w14:paraId="23FDC8E7">
            <w:pPr>
              <w:jc w:val="center"/>
              <w:rPr>
                <w:rFonts w:hint="default" w:ascii="Times New Roman" w:hAnsi="Times New Roman" w:cs="Times New Roman"/>
                <w:color w:val="000000"/>
                <w:sz w:val="21"/>
                <w:szCs w:val="21"/>
              </w:rPr>
            </w:pPr>
          </w:p>
        </w:tc>
        <w:tc>
          <w:tcPr>
            <w:tcW w:w="937" w:type="pct"/>
            <w:vAlign w:val="center"/>
          </w:tcPr>
          <w:p w14:paraId="63F3477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中</w:t>
            </w:r>
          </w:p>
        </w:tc>
        <w:tc>
          <w:tcPr>
            <w:tcW w:w="1172" w:type="pct"/>
            <w:vAlign w:val="center"/>
          </w:tcPr>
          <w:p w14:paraId="4C153DE5">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易</w:t>
            </w:r>
          </w:p>
        </w:tc>
        <w:tc>
          <w:tcPr>
            <w:tcW w:w="846" w:type="pct"/>
            <w:vMerge w:val="restart"/>
            <w:vAlign w:val="center"/>
          </w:tcPr>
          <w:p w14:paraId="1EF0E8E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重金属、持久性有机物污染物</w:t>
            </w:r>
          </w:p>
        </w:tc>
        <w:tc>
          <w:tcPr>
            <w:tcW w:w="1171" w:type="pct"/>
            <w:vMerge w:val="continue"/>
            <w:tcBorders>
              <w:right w:val="single" w:color="auto" w:sz="4" w:space="0"/>
            </w:tcBorders>
            <w:vAlign w:val="center"/>
          </w:tcPr>
          <w:p w14:paraId="72EC78DC">
            <w:pPr>
              <w:jc w:val="center"/>
              <w:rPr>
                <w:rFonts w:hint="default" w:ascii="Times New Roman" w:hAnsi="Times New Roman" w:cs="Times New Roman"/>
                <w:color w:val="000000"/>
                <w:sz w:val="21"/>
                <w:szCs w:val="21"/>
              </w:rPr>
            </w:pPr>
          </w:p>
        </w:tc>
      </w:tr>
      <w:tr w14:paraId="40D15C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vMerge w:val="continue"/>
            <w:tcBorders>
              <w:left w:val="single" w:color="auto" w:sz="4" w:space="0"/>
            </w:tcBorders>
            <w:vAlign w:val="center"/>
          </w:tcPr>
          <w:p w14:paraId="792FC804">
            <w:pPr>
              <w:jc w:val="center"/>
              <w:rPr>
                <w:rFonts w:hint="default" w:ascii="Times New Roman" w:hAnsi="Times New Roman" w:cs="Times New Roman"/>
                <w:color w:val="000000"/>
                <w:sz w:val="21"/>
                <w:szCs w:val="21"/>
              </w:rPr>
            </w:pPr>
          </w:p>
        </w:tc>
        <w:tc>
          <w:tcPr>
            <w:tcW w:w="937" w:type="pct"/>
            <w:vAlign w:val="center"/>
          </w:tcPr>
          <w:p w14:paraId="63009FB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强</w:t>
            </w:r>
          </w:p>
        </w:tc>
        <w:tc>
          <w:tcPr>
            <w:tcW w:w="1172" w:type="pct"/>
            <w:vAlign w:val="center"/>
          </w:tcPr>
          <w:p w14:paraId="078B539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易</w:t>
            </w:r>
          </w:p>
        </w:tc>
        <w:tc>
          <w:tcPr>
            <w:tcW w:w="846" w:type="pct"/>
            <w:vMerge w:val="continue"/>
            <w:vAlign w:val="center"/>
          </w:tcPr>
          <w:p w14:paraId="30B1FBFF">
            <w:pPr>
              <w:jc w:val="center"/>
              <w:rPr>
                <w:rFonts w:hint="default" w:ascii="Times New Roman" w:hAnsi="Times New Roman" w:cs="Times New Roman"/>
                <w:color w:val="000000"/>
                <w:sz w:val="21"/>
                <w:szCs w:val="21"/>
              </w:rPr>
            </w:pPr>
          </w:p>
        </w:tc>
        <w:tc>
          <w:tcPr>
            <w:tcW w:w="1171" w:type="pct"/>
            <w:vMerge w:val="continue"/>
            <w:tcBorders>
              <w:right w:val="single" w:color="auto" w:sz="4" w:space="0"/>
            </w:tcBorders>
            <w:vAlign w:val="center"/>
          </w:tcPr>
          <w:p w14:paraId="157284D1">
            <w:pPr>
              <w:jc w:val="center"/>
              <w:rPr>
                <w:rFonts w:hint="default" w:ascii="Times New Roman" w:hAnsi="Times New Roman" w:cs="Times New Roman"/>
                <w:color w:val="000000"/>
                <w:sz w:val="21"/>
                <w:szCs w:val="21"/>
              </w:rPr>
            </w:pPr>
          </w:p>
        </w:tc>
      </w:tr>
      <w:tr w14:paraId="0C388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4" w:type="pct"/>
            <w:tcBorders>
              <w:left w:val="single" w:color="auto" w:sz="4" w:space="0"/>
              <w:bottom w:val="single" w:color="auto" w:sz="4" w:space="0"/>
            </w:tcBorders>
            <w:vAlign w:val="center"/>
          </w:tcPr>
          <w:p w14:paraId="51C9F5D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简单防渗区</w:t>
            </w:r>
          </w:p>
        </w:tc>
        <w:tc>
          <w:tcPr>
            <w:tcW w:w="937" w:type="pct"/>
            <w:tcBorders>
              <w:bottom w:val="single" w:color="auto" w:sz="4" w:space="0"/>
            </w:tcBorders>
            <w:vAlign w:val="center"/>
          </w:tcPr>
          <w:p w14:paraId="30EDC69C">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中-强</w:t>
            </w:r>
          </w:p>
        </w:tc>
        <w:tc>
          <w:tcPr>
            <w:tcW w:w="1172" w:type="pct"/>
            <w:tcBorders>
              <w:bottom w:val="single" w:color="auto" w:sz="4" w:space="0"/>
            </w:tcBorders>
            <w:vAlign w:val="center"/>
          </w:tcPr>
          <w:p w14:paraId="3320C35F">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易</w:t>
            </w:r>
          </w:p>
        </w:tc>
        <w:tc>
          <w:tcPr>
            <w:tcW w:w="846" w:type="pct"/>
            <w:tcBorders>
              <w:bottom w:val="single" w:color="auto" w:sz="4" w:space="0"/>
            </w:tcBorders>
            <w:vAlign w:val="center"/>
          </w:tcPr>
          <w:p w14:paraId="1F0E073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其他类型</w:t>
            </w:r>
          </w:p>
        </w:tc>
        <w:tc>
          <w:tcPr>
            <w:tcW w:w="1171" w:type="pct"/>
            <w:tcBorders>
              <w:bottom w:val="single" w:color="auto" w:sz="4" w:space="0"/>
              <w:right w:val="single" w:color="auto" w:sz="4" w:space="0"/>
            </w:tcBorders>
            <w:vAlign w:val="center"/>
          </w:tcPr>
          <w:p w14:paraId="2E0DD86E">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一般地面硬化</w:t>
            </w:r>
          </w:p>
        </w:tc>
      </w:tr>
    </w:tbl>
    <w:p w14:paraId="0F4AA550">
      <w:pPr>
        <w:spacing w:line="360" w:lineRule="auto"/>
        <w:ind w:firstLine="480" w:firstLineChars="200"/>
      </w:pPr>
      <w:r>
        <w:t>地下水污染防渗分区详见表6</w:t>
      </w:r>
      <w:r>
        <w:rPr>
          <w:rFonts w:hint="eastAsia"/>
          <w:lang w:val="en-US" w:eastAsia="zh-CN"/>
        </w:rPr>
        <w:t>.3-5</w:t>
      </w:r>
      <w:r>
        <w:t>。</w:t>
      </w:r>
    </w:p>
    <w:p w14:paraId="5F1E4EAF">
      <w:pPr>
        <w:spacing w:line="360" w:lineRule="auto"/>
        <w:jc w:val="center"/>
        <w:rPr>
          <w:rFonts w:hint="eastAsia" w:ascii="Times New Roman" w:hAnsi="Times New Roman" w:eastAsia="宋体" w:cs="Times New Roman"/>
          <w:b/>
          <w:bCs/>
        </w:rPr>
      </w:pPr>
      <w:r>
        <w:rPr>
          <w:rFonts w:hint="eastAsia" w:ascii="Times New Roman" w:hAnsi="Times New Roman" w:eastAsia="宋体" w:cs="Times New Roman"/>
          <w:b/>
          <w:bCs/>
        </w:rPr>
        <w:t>表6</w:t>
      </w:r>
      <w:r>
        <w:rPr>
          <w:rFonts w:hint="eastAsia" w:ascii="Times New Roman" w:hAnsi="Times New Roman" w:cs="Times New Roman"/>
          <w:b/>
          <w:bCs/>
          <w:lang w:val="en-US" w:eastAsia="zh-CN"/>
        </w:rPr>
        <w:t>.3-5</w:t>
      </w:r>
      <w:r>
        <w:rPr>
          <w:rFonts w:hint="eastAsia" w:ascii="Times New Roman" w:hAnsi="Times New Roman" w:eastAsia="宋体" w:cs="Times New Roman"/>
          <w:b/>
          <w:bCs/>
        </w:rPr>
        <w:t xml:space="preserve"> 地下水污染防渗区参照表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819"/>
        <w:gridCol w:w="3749"/>
        <w:gridCol w:w="1972"/>
        <w:gridCol w:w="1703"/>
      </w:tblGrid>
      <w:tr w14:paraId="0CEBC5B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84" w:type="pct"/>
            <w:vAlign w:val="center"/>
          </w:tcPr>
          <w:p w14:paraId="46D3C5B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项目</w:t>
            </w:r>
          </w:p>
        </w:tc>
        <w:tc>
          <w:tcPr>
            <w:tcW w:w="2028" w:type="pct"/>
            <w:vAlign w:val="center"/>
          </w:tcPr>
          <w:p w14:paraId="15EC483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重点防渗区</w:t>
            </w:r>
          </w:p>
        </w:tc>
        <w:tc>
          <w:tcPr>
            <w:tcW w:w="1067" w:type="pct"/>
            <w:vAlign w:val="center"/>
          </w:tcPr>
          <w:p w14:paraId="24D0B489">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一般防渗区</w:t>
            </w:r>
          </w:p>
        </w:tc>
        <w:tc>
          <w:tcPr>
            <w:tcW w:w="922" w:type="pct"/>
            <w:vAlign w:val="center"/>
          </w:tcPr>
          <w:p w14:paraId="54814233">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简单防渗区</w:t>
            </w:r>
          </w:p>
        </w:tc>
      </w:tr>
      <w:tr w14:paraId="2CED06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84" w:type="pct"/>
            <w:vAlign w:val="center"/>
          </w:tcPr>
          <w:p w14:paraId="6A83C3AF">
            <w:pPr>
              <w:jc w:val="center"/>
              <w:rPr>
                <w:rFonts w:hint="eastAsia"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rPr>
              <w:t>污水处理</w:t>
            </w:r>
            <w:r>
              <w:rPr>
                <w:rFonts w:hint="eastAsia" w:cs="Times New Roman"/>
                <w:color w:val="000000"/>
                <w:sz w:val="21"/>
                <w:szCs w:val="21"/>
                <w:lang w:val="en-US" w:eastAsia="zh-CN"/>
              </w:rPr>
              <w:t>站</w:t>
            </w:r>
          </w:p>
        </w:tc>
        <w:tc>
          <w:tcPr>
            <w:tcW w:w="2028" w:type="pct"/>
            <w:vAlign w:val="center"/>
          </w:tcPr>
          <w:p w14:paraId="12FBFBDA">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粗格栅及提升泵池、调节池、</w:t>
            </w:r>
            <w:r>
              <w:rPr>
                <w:rFonts w:hint="eastAsia" w:cs="Times New Roman"/>
                <w:color w:val="000000"/>
                <w:sz w:val="21"/>
                <w:szCs w:val="21"/>
                <w:lang w:val="en-US" w:eastAsia="zh-CN"/>
              </w:rPr>
              <w:t>厌氧</w:t>
            </w:r>
            <w:r>
              <w:rPr>
                <w:rFonts w:hint="default" w:ascii="Times New Roman" w:hAnsi="Times New Roman" w:cs="Times New Roman"/>
                <w:color w:val="000000"/>
                <w:sz w:val="21"/>
                <w:szCs w:val="21"/>
              </w:rPr>
              <w:t>池、</w:t>
            </w:r>
            <w:r>
              <w:rPr>
                <w:rFonts w:hint="eastAsia" w:cs="Times New Roman"/>
                <w:color w:val="000000"/>
                <w:sz w:val="21"/>
                <w:szCs w:val="21"/>
                <w:lang w:val="en-US" w:eastAsia="zh-CN"/>
              </w:rPr>
              <w:t>接触氧化池</w:t>
            </w:r>
            <w:r>
              <w:rPr>
                <w:rFonts w:hint="default" w:ascii="Times New Roman" w:hAnsi="Times New Roman" w:cs="Times New Roman"/>
                <w:color w:val="000000"/>
                <w:sz w:val="21"/>
                <w:szCs w:val="21"/>
              </w:rPr>
              <w:t>、污泥脱水间、事故池</w:t>
            </w:r>
          </w:p>
        </w:tc>
        <w:tc>
          <w:tcPr>
            <w:tcW w:w="1067" w:type="pct"/>
            <w:vAlign w:val="center"/>
          </w:tcPr>
          <w:p w14:paraId="6DC6D957">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加药间、</w:t>
            </w:r>
            <w:r>
              <w:rPr>
                <w:rFonts w:hint="eastAsia" w:ascii="Times New Roman" w:hAnsi="Times New Roman" w:cs="Times New Roman"/>
                <w:color w:val="000000"/>
                <w:sz w:val="21"/>
                <w:szCs w:val="21"/>
              </w:rPr>
              <w:t>一般固体废物暂存间</w:t>
            </w:r>
            <w:r>
              <w:rPr>
                <w:rFonts w:hint="default" w:ascii="Times New Roman" w:hAnsi="Times New Roman" w:cs="Times New Roman"/>
                <w:color w:val="000000"/>
                <w:sz w:val="21"/>
                <w:szCs w:val="21"/>
              </w:rPr>
              <w:t>等</w:t>
            </w:r>
          </w:p>
        </w:tc>
        <w:tc>
          <w:tcPr>
            <w:tcW w:w="922" w:type="pct"/>
            <w:vAlign w:val="center"/>
          </w:tcPr>
          <w:p w14:paraId="41025280">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出水监测、变、配电间</w:t>
            </w:r>
          </w:p>
        </w:tc>
      </w:tr>
      <w:tr w14:paraId="201FB0F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84" w:type="pct"/>
            <w:vAlign w:val="center"/>
          </w:tcPr>
          <w:p w14:paraId="7ADD01F8">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防渗要求</w:t>
            </w:r>
          </w:p>
        </w:tc>
        <w:tc>
          <w:tcPr>
            <w:tcW w:w="2028" w:type="pct"/>
            <w:vAlign w:val="center"/>
          </w:tcPr>
          <w:p w14:paraId="0F052094">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等效黏土Mb≥6.0m，k≤1.0×10</w:t>
            </w:r>
            <w:r>
              <w:rPr>
                <w:rFonts w:hint="default" w:ascii="Times New Roman" w:hAnsi="Times New Roman" w:cs="Times New Roman"/>
                <w:color w:val="000000"/>
                <w:sz w:val="21"/>
                <w:szCs w:val="21"/>
                <w:vertAlign w:val="superscript"/>
              </w:rPr>
              <w:t>-7</w:t>
            </w:r>
            <w:r>
              <w:rPr>
                <w:rFonts w:hint="default" w:ascii="Times New Roman" w:hAnsi="Times New Roman" w:cs="Times New Roman"/>
                <w:color w:val="000000"/>
                <w:sz w:val="21"/>
                <w:szCs w:val="21"/>
              </w:rPr>
              <w:t>cm/s。</w:t>
            </w:r>
          </w:p>
        </w:tc>
        <w:tc>
          <w:tcPr>
            <w:tcW w:w="1067" w:type="pct"/>
            <w:vAlign w:val="center"/>
          </w:tcPr>
          <w:p w14:paraId="4A93C6A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等效黏土Mb≥1.5m，k≤1.0×10</w:t>
            </w:r>
            <w:r>
              <w:rPr>
                <w:rFonts w:hint="default" w:ascii="Times New Roman" w:hAnsi="Times New Roman" w:cs="Times New Roman"/>
                <w:color w:val="000000"/>
                <w:sz w:val="21"/>
                <w:szCs w:val="21"/>
                <w:vertAlign w:val="superscript"/>
              </w:rPr>
              <w:t>-7</w:t>
            </w:r>
            <w:r>
              <w:rPr>
                <w:rFonts w:hint="default" w:ascii="Times New Roman" w:hAnsi="Times New Roman" w:cs="Times New Roman"/>
                <w:color w:val="000000"/>
                <w:sz w:val="21"/>
                <w:szCs w:val="21"/>
              </w:rPr>
              <w:t>cm/s</w:t>
            </w:r>
          </w:p>
        </w:tc>
        <w:tc>
          <w:tcPr>
            <w:tcW w:w="922" w:type="pct"/>
            <w:vAlign w:val="center"/>
          </w:tcPr>
          <w:p w14:paraId="23E3ED52">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一般地面硬化</w:t>
            </w:r>
          </w:p>
        </w:tc>
      </w:tr>
    </w:tbl>
    <w:p w14:paraId="2B204432">
      <w:pPr>
        <w:spacing w:line="360" w:lineRule="auto"/>
        <w:ind w:firstLine="480" w:firstLineChars="200"/>
      </w:pPr>
      <w:r>
        <w:t>（2）分区防渗措施</w:t>
      </w:r>
    </w:p>
    <w:p w14:paraId="5370C367">
      <w:pPr>
        <w:spacing w:line="360" w:lineRule="auto"/>
        <w:ind w:firstLine="480" w:firstLineChars="200"/>
      </w:pPr>
      <w:r>
        <w:t>重点防渗区措施：</w:t>
      </w:r>
    </w:p>
    <w:p w14:paraId="081856E5">
      <w:pPr>
        <w:spacing w:line="360" w:lineRule="auto"/>
        <w:ind w:firstLine="480" w:firstLineChars="200"/>
        <w:rPr>
          <w:rFonts w:eastAsia="宋体"/>
        </w:rPr>
      </w:pPr>
      <w:r>
        <w:rPr>
          <w:rFonts w:hint="default" w:eastAsia="宋体"/>
        </w:rPr>
        <w:t>等效黏土Mb≥6.0m，k≤1.0×10</w:t>
      </w:r>
      <w:r>
        <w:rPr>
          <w:rFonts w:hint="default" w:eastAsia="宋体"/>
          <w:vertAlign w:val="superscript"/>
        </w:rPr>
        <w:t>-7</w:t>
      </w:r>
      <w:r>
        <w:rPr>
          <w:rFonts w:hint="default" w:eastAsia="宋体"/>
        </w:rPr>
        <w:t>cm/s。</w:t>
      </w:r>
    </w:p>
    <w:p w14:paraId="13685A8B">
      <w:pPr>
        <w:spacing w:line="360" w:lineRule="auto"/>
        <w:ind w:firstLine="480" w:firstLineChars="200"/>
      </w:pPr>
      <w:r>
        <w:t>一般防渗区防渗措施：</w:t>
      </w:r>
    </w:p>
    <w:p w14:paraId="2F09815C">
      <w:pPr>
        <w:spacing w:line="360" w:lineRule="auto"/>
        <w:ind w:firstLine="480" w:firstLineChars="200"/>
      </w:pPr>
      <w:r>
        <w:t>对于设计要求地面渗透系数K≤1.0×10</w:t>
      </w:r>
      <w:r>
        <w:rPr>
          <w:vertAlign w:val="superscript"/>
        </w:rPr>
        <w:t>-7</w:t>
      </w:r>
      <w:r>
        <w:t>cm/s污染区域，防渗材料根据不同的工况条件可选用粘土、水泥基渗透结晶型防水涂料或人工合成材料高密度聚乙烯HDPE土工膜。</w:t>
      </w:r>
    </w:p>
    <w:p w14:paraId="55E8D7BD">
      <w:pPr>
        <w:spacing w:line="360" w:lineRule="auto"/>
        <w:ind w:firstLine="480" w:firstLineChars="200"/>
      </w:pPr>
      <w:r>
        <w:t>当建设场地具有符合要求的粘土时，地面防渗宜采用粘土防渗层，防渗层顶面宜采用混凝土地面或设置厚度不小于200mm的砂石层。</w:t>
      </w:r>
    </w:p>
    <w:p w14:paraId="02C62B5E">
      <w:pPr>
        <w:spacing w:line="360" w:lineRule="auto"/>
        <w:ind w:firstLine="480" w:firstLineChars="200"/>
      </w:pPr>
      <w:r>
        <w:t>当无粘土时，采用混凝土防渗层，应符合下列规定：</w:t>
      </w:r>
    </w:p>
    <w:p w14:paraId="1B1E74B4">
      <w:pPr>
        <w:spacing w:line="360" w:lineRule="auto"/>
        <w:ind w:firstLine="480" w:firstLineChars="200"/>
      </w:pPr>
      <w:r>
        <w:t>一般污染防治区抗渗混凝土厚度不宜小于120mm，抗渗等级不低于P6，强度等级不低于C25，水灰比不宜大于0.50。防渗结构示意图见6</w:t>
      </w:r>
      <w:r>
        <w:rPr>
          <w:rFonts w:hint="eastAsia"/>
          <w:lang w:val="en-US" w:eastAsia="zh-CN"/>
        </w:rPr>
        <w:t>.3-1</w:t>
      </w:r>
      <w:r>
        <w:t>。</w:t>
      </w:r>
    </w:p>
    <w:p w14:paraId="2BA8D036">
      <w:pPr>
        <w:widowControl/>
        <w:rPr>
          <w:rFonts w:eastAsia="仿宋"/>
          <w:sz w:val="32"/>
          <w:szCs w:val="32"/>
        </w:rPr>
      </w:pPr>
      <w:r>
        <w:rPr>
          <w:sz w:val="22"/>
          <w:szCs w:val="28"/>
        </w:rPr>
        <w:drawing>
          <wp:inline distT="0" distB="0" distL="0" distR="0">
            <wp:extent cx="5534025" cy="3400425"/>
            <wp:effectExtent l="0" t="0" r="9525" b="9525"/>
            <wp:docPr id="37" name="图片 1" desc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descr="0.jpg"/>
                    <pic:cNvPicPr>
                      <a:picLocks noChangeAspect="1" noChangeArrowheads="1"/>
                    </pic:cNvPicPr>
                  </pic:nvPicPr>
                  <pic:blipFill>
                    <a:blip r:embed="rId112"/>
                    <a:srcRect/>
                    <a:stretch>
                      <a:fillRect/>
                    </a:stretch>
                  </pic:blipFill>
                  <pic:spPr>
                    <a:xfrm>
                      <a:off x="0" y="0"/>
                      <a:ext cx="5534025" cy="3400425"/>
                    </a:xfrm>
                    <a:prstGeom prst="rect">
                      <a:avLst/>
                    </a:prstGeom>
                    <a:noFill/>
                    <a:ln>
                      <a:noFill/>
                    </a:ln>
                  </pic:spPr>
                </pic:pic>
              </a:graphicData>
            </a:graphic>
          </wp:inline>
        </w:drawing>
      </w:r>
    </w:p>
    <w:p w14:paraId="611F145F">
      <w:pPr>
        <w:spacing w:line="360" w:lineRule="auto"/>
        <w:jc w:val="center"/>
        <w:rPr>
          <w:rFonts w:hint="eastAsia" w:ascii="Times New Roman" w:hAnsi="Times New Roman" w:eastAsia="宋体" w:cs="Times New Roman"/>
          <w:b/>
          <w:bCs/>
        </w:rPr>
      </w:pPr>
      <w:r>
        <w:rPr>
          <w:rFonts w:hint="eastAsia" w:ascii="Times New Roman" w:hAnsi="Times New Roman" w:eastAsia="宋体" w:cs="Times New Roman"/>
          <w:b/>
          <w:bCs/>
        </w:rPr>
        <w:t>图6</w:t>
      </w:r>
      <w:r>
        <w:rPr>
          <w:rFonts w:hint="eastAsia" w:ascii="Times New Roman" w:hAnsi="Times New Roman" w:cs="Times New Roman"/>
          <w:b/>
          <w:bCs/>
          <w:lang w:val="en-US" w:eastAsia="zh-CN"/>
        </w:rPr>
        <w:t>.3-1</w:t>
      </w:r>
      <w:r>
        <w:rPr>
          <w:rFonts w:hint="eastAsia" w:ascii="Times New Roman" w:hAnsi="Times New Roman" w:eastAsia="宋体" w:cs="Times New Roman"/>
          <w:b/>
          <w:bCs/>
        </w:rPr>
        <w:t>一般污染防治区防渗结构示意图</w:t>
      </w:r>
    </w:p>
    <w:p w14:paraId="2B7CB170">
      <w:pPr>
        <w:spacing w:line="360" w:lineRule="auto"/>
        <w:ind w:firstLine="480" w:firstLineChars="200"/>
      </w:pPr>
      <w:r>
        <w:t>结合污水处理</w:t>
      </w:r>
      <w:r>
        <w:rPr>
          <w:rFonts w:hint="eastAsia"/>
        </w:rPr>
        <w:t>厂</w:t>
      </w:r>
      <w:r>
        <w:t>项目的特点，本次评价划分的分区防渗情况图6</w:t>
      </w:r>
      <w:r>
        <w:rPr>
          <w:rFonts w:hint="eastAsia"/>
          <w:lang w:val="en-US" w:eastAsia="zh-CN"/>
        </w:rPr>
        <w:t>.3-2</w:t>
      </w:r>
      <w:r>
        <w:t>。</w:t>
      </w:r>
    </w:p>
    <w:p w14:paraId="45798D95">
      <w:pPr>
        <w:pStyle w:val="5"/>
        <w:rPr>
          <w:rFonts w:hint="eastAsia" w:eastAsia="宋体"/>
        </w:rPr>
      </w:pPr>
      <w:r>
        <w:rPr>
          <w:rFonts w:hint="eastAsia" w:eastAsia="宋体"/>
        </w:rPr>
        <w:t>6.</w:t>
      </w:r>
      <w:r>
        <w:rPr>
          <w:rFonts w:hint="eastAsia" w:eastAsia="宋体"/>
          <w:lang w:val="en-US" w:eastAsia="zh-CN"/>
        </w:rPr>
        <w:t>3</w:t>
      </w:r>
      <w:r>
        <w:rPr>
          <w:rFonts w:hint="eastAsia" w:eastAsia="宋体"/>
        </w:rPr>
        <w:t>.3.3 地下水污染监控</w:t>
      </w:r>
    </w:p>
    <w:p w14:paraId="20B88C9B">
      <w:pPr>
        <w:spacing w:line="360" w:lineRule="auto"/>
        <w:ind w:firstLine="480" w:firstLineChars="200"/>
      </w:pPr>
      <w:r>
        <w:t>根据《环境影响评价技术导则 地下水环境》（HJ610-2016）11.3.2.1跟踪监测点数量要求：地下水</w:t>
      </w:r>
      <w:r>
        <w:rPr>
          <w:rFonts w:hint="eastAsia"/>
          <w:lang w:val="en-US" w:eastAsia="zh-CN"/>
        </w:rPr>
        <w:t>三</w:t>
      </w:r>
      <w:r>
        <w:t>级评价项目，跟踪监测点一般不少于</w:t>
      </w:r>
      <w:r>
        <w:rPr>
          <w:rFonts w:hint="eastAsia"/>
          <w:lang w:val="en-US" w:eastAsia="zh-CN"/>
        </w:rPr>
        <w:t>1</w:t>
      </w:r>
      <w:r>
        <w:t>个，应至少在下游各布设一个。故本次评价</w:t>
      </w:r>
      <w:r>
        <w:rPr>
          <w:rFonts w:hint="eastAsia"/>
          <w:lang w:val="en-US" w:eastAsia="zh-CN"/>
        </w:rPr>
        <w:t>依托原有的</w:t>
      </w:r>
      <w:r>
        <w:t>在</w:t>
      </w:r>
      <w:r>
        <w:rPr>
          <w:rFonts w:hint="eastAsia"/>
        </w:rPr>
        <w:t>调节池</w:t>
      </w:r>
      <w:r>
        <w:rPr>
          <w:rFonts w:hint="eastAsia"/>
          <w:lang w:val="en-US" w:eastAsia="zh-CN"/>
        </w:rPr>
        <w:t>西侧29m布设的</w:t>
      </w:r>
      <w:r>
        <w:t>地下水跟踪监测井，满足HJ610-2016的要求。设计井深15m。监测目的层位为浅层地下水，监测井直径200mm，井管材料可采用水泥管，自地表至潜水面，采用粘土等具有防渗性能的材料进行固井，孔底应设1.5m的沉砂管。</w:t>
      </w:r>
    </w:p>
    <w:p w14:paraId="501EDA3F">
      <w:pPr>
        <w:spacing w:line="360" w:lineRule="auto"/>
        <w:jc w:val="center"/>
        <w:rPr>
          <w:rFonts w:hint="eastAsia" w:ascii="Times New Roman" w:hAnsi="Times New Roman" w:eastAsia="宋体" w:cs="Times New Roman"/>
          <w:b/>
          <w:bCs/>
        </w:rPr>
      </w:pPr>
    </w:p>
    <w:p w14:paraId="7A74E864">
      <w:pPr>
        <w:spacing w:line="360" w:lineRule="auto"/>
        <w:jc w:val="center"/>
        <w:rPr>
          <w:rFonts w:hint="eastAsia" w:ascii="Times New Roman" w:hAnsi="Times New Roman" w:eastAsia="宋体" w:cs="Times New Roman"/>
          <w:b/>
          <w:bCs/>
        </w:rPr>
      </w:pPr>
      <w:r>
        <w:rPr>
          <w:rFonts w:hint="eastAsia" w:ascii="Times New Roman" w:hAnsi="Times New Roman" w:eastAsia="宋体" w:cs="Times New Roman"/>
          <w:b/>
          <w:bCs/>
        </w:rPr>
        <w:t>表6</w:t>
      </w:r>
      <w:r>
        <w:rPr>
          <w:rFonts w:hint="eastAsia" w:ascii="Times New Roman" w:hAnsi="Times New Roman" w:cs="Times New Roman"/>
          <w:b/>
          <w:bCs/>
          <w:lang w:val="en-US" w:eastAsia="zh-CN"/>
        </w:rPr>
        <w:t>.3-6</w:t>
      </w:r>
      <w:r>
        <w:rPr>
          <w:rFonts w:hint="eastAsia" w:ascii="Times New Roman" w:hAnsi="Times New Roman" w:eastAsia="宋体" w:cs="Times New Roman"/>
          <w:b/>
          <w:bCs/>
        </w:rPr>
        <w:t xml:space="preserve"> 地下水跟踪监测计划</w:t>
      </w:r>
    </w:p>
    <w:tbl>
      <w:tblPr>
        <w:tblStyle w:val="53"/>
        <w:tblW w:w="5030"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502"/>
        <w:gridCol w:w="836"/>
        <w:gridCol w:w="1003"/>
        <w:gridCol w:w="814"/>
        <w:gridCol w:w="695"/>
        <w:gridCol w:w="965"/>
        <w:gridCol w:w="1156"/>
        <w:gridCol w:w="2685"/>
        <w:gridCol w:w="435"/>
      </w:tblGrid>
      <w:tr w14:paraId="2A5EE7FA">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634" w:hRule="atLeast"/>
          <w:jc w:val="center"/>
        </w:trPr>
        <w:tc>
          <w:tcPr>
            <w:tcW w:w="276" w:type="pct"/>
            <w:vAlign w:val="center"/>
          </w:tcPr>
          <w:p w14:paraId="5DDE0201">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监测井点位</w:t>
            </w:r>
          </w:p>
        </w:tc>
        <w:tc>
          <w:tcPr>
            <w:tcW w:w="459" w:type="pct"/>
            <w:vAlign w:val="center"/>
          </w:tcPr>
          <w:p w14:paraId="6EAA3E4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与项目位置关系</w:t>
            </w:r>
          </w:p>
        </w:tc>
        <w:tc>
          <w:tcPr>
            <w:tcW w:w="551" w:type="pct"/>
            <w:vAlign w:val="center"/>
          </w:tcPr>
          <w:p w14:paraId="2A2BE4E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坐标</w:t>
            </w:r>
          </w:p>
        </w:tc>
        <w:tc>
          <w:tcPr>
            <w:tcW w:w="447" w:type="pct"/>
            <w:vAlign w:val="center"/>
          </w:tcPr>
          <w:p w14:paraId="4BB5BCD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井深m</w:t>
            </w:r>
          </w:p>
        </w:tc>
        <w:tc>
          <w:tcPr>
            <w:tcW w:w="382" w:type="pct"/>
            <w:vAlign w:val="center"/>
          </w:tcPr>
          <w:p w14:paraId="6CD098F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井结构</w:t>
            </w:r>
          </w:p>
        </w:tc>
        <w:tc>
          <w:tcPr>
            <w:tcW w:w="530" w:type="pct"/>
            <w:vAlign w:val="center"/>
          </w:tcPr>
          <w:p w14:paraId="65F5909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监测层位</w:t>
            </w:r>
          </w:p>
        </w:tc>
        <w:tc>
          <w:tcPr>
            <w:tcW w:w="635" w:type="pct"/>
            <w:vAlign w:val="center"/>
          </w:tcPr>
          <w:p w14:paraId="0B774BCB">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rPr>
              <w:t>功能</w:t>
            </w:r>
          </w:p>
        </w:tc>
        <w:tc>
          <w:tcPr>
            <w:tcW w:w="1475" w:type="pct"/>
            <w:vAlign w:val="center"/>
          </w:tcPr>
          <w:p w14:paraId="3D6B3EA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监测因子</w:t>
            </w:r>
          </w:p>
        </w:tc>
        <w:tc>
          <w:tcPr>
            <w:tcW w:w="239" w:type="pct"/>
            <w:vAlign w:val="center"/>
          </w:tcPr>
          <w:p w14:paraId="2E30159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监测频率</w:t>
            </w:r>
          </w:p>
        </w:tc>
      </w:tr>
      <w:tr w14:paraId="02DA266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jc w:val="center"/>
        </w:trPr>
        <w:tc>
          <w:tcPr>
            <w:tcW w:w="276" w:type="pct"/>
            <w:vAlign w:val="center"/>
          </w:tcPr>
          <w:p w14:paraId="61D1EC8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459" w:type="pct"/>
            <w:vAlign w:val="center"/>
          </w:tcPr>
          <w:p w14:paraId="432CA36B">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下</w:t>
            </w:r>
            <w:r>
              <w:rPr>
                <w:rFonts w:hint="eastAsia" w:ascii="Times New Roman" w:hAnsi="Times New Roman" w:cs="Times New Roman"/>
                <w:color w:val="auto"/>
                <w:sz w:val="21"/>
                <w:szCs w:val="21"/>
              </w:rPr>
              <w:t>游（调节池</w:t>
            </w:r>
            <w:r>
              <w:rPr>
                <w:rFonts w:hint="eastAsia" w:ascii="Times New Roman" w:hAnsi="Times New Roman" w:cs="Times New Roman"/>
                <w:color w:val="auto"/>
                <w:sz w:val="21"/>
                <w:szCs w:val="21"/>
                <w:lang w:val="en-US" w:eastAsia="zh-CN"/>
              </w:rPr>
              <w:t>西南</w:t>
            </w:r>
            <w:r>
              <w:rPr>
                <w:rFonts w:hint="eastAsia" w:ascii="Times New Roman" w:hAnsi="Times New Roman" w:cs="Times New Roman"/>
                <w:color w:val="auto"/>
                <w:sz w:val="21"/>
                <w:szCs w:val="21"/>
              </w:rPr>
              <w:t>侧）</w:t>
            </w:r>
          </w:p>
        </w:tc>
        <w:tc>
          <w:tcPr>
            <w:tcW w:w="551" w:type="pct"/>
            <w:vAlign w:val="center"/>
          </w:tcPr>
          <w:p w14:paraId="00AA2F8A">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124.6</w:t>
            </w:r>
            <w:r>
              <w:rPr>
                <w:rFonts w:hint="eastAsia" w:cs="Times New Roman"/>
                <w:color w:val="auto"/>
                <w:sz w:val="21"/>
                <w:szCs w:val="21"/>
                <w:lang w:val="en-US" w:eastAsia="zh-CN"/>
              </w:rPr>
              <w:t>1</w:t>
            </w:r>
            <w:r>
              <w:rPr>
                <w:rFonts w:hint="default" w:ascii="Times New Roman" w:hAnsi="Times New Roman" w:cs="Times New Roman"/>
                <w:color w:val="auto"/>
                <w:sz w:val="21"/>
                <w:szCs w:val="21"/>
              </w:rPr>
              <w:t>033, 48.21</w:t>
            </w:r>
            <w:r>
              <w:rPr>
                <w:rFonts w:hint="eastAsia" w:cs="Times New Roman"/>
                <w:color w:val="auto"/>
                <w:sz w:val="21"/>
                <w:szCs w:val="21"/>
                <w:lang w:val="en-US" w:eastAsia="zh-CN"/>
              </w:rPr>
              <w:t>393</w:t>
            </w:r>
          </w:p>
        </w:tc>
        <w:tc>
          <w:tcPr>
            <w:tcW w:w="447" w:type="pct"/>
            <w:vAlign w:val="center"/>
          </w:tcPr>
          <w:p w14:paraId="18F4389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382" w:type="pct"/>
            <w:vAlign w:val="center"/>
          </w:tcPr>
          <w:p w14:paraId="058B56D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水泥管</w:t>
            </w:r>
          </w:p>
        </w:tc>
        <w:tc>
          <w:tcPr>
            <w:tcW w:w="530" w:type="pct"/>
            <w:vAlign w:val="center"/>
          </w:tcPr>
          <w:p w14:paraId="43AEE809">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潜水层</w:t>
            </w:r>
          </w:p>
        </w:tc>
        <w:tc>
          <w:tcPr>
            <w:tcW w:w="635" w:type="pct"/>
            <w:vAlign w:val="center"/>
          </w:tcPr>
          <w:p w14:paraId="4935D8A7">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rPr>
              <w:t>污染扩散监测点</w:t>
            </w:r>
          </w:p>
        </w:tc>
        <w:tc>
          <w:tcPr>
            <w:tcW w:w="1475" w:type="pct"/>
            <w:vAlign w:val="center"/>
          </w:tcPr>
          <w:p w14:paraId="51CD9755">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pH、总硬度、氨氮、氰化物、挥发酚类、耗氧量、氟、砷、汞、镉、六价铬、铁、锰、铅、硝酸盐、亚硝酸盐、硫酸盐、溶解性总物体、硫化物、氯化物、总大肠菌群、菌落总数</w:t>
            </w:r>
          </w:p>
        </w:tc>
        <w:tc>
          <w:tcPr>
            <w:tcW w:w="239" w:type="pct"/>
            <w:vAlign w:val="center"/>
          </w:tcPr>
          <w:p w14:paraId="746A5AE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一次/年</w:t>
            </w:r>
          </w:p>
        </w:tc>
      </w:tr>
    </w:tbl>
    <w:p w14:paraId="2DC68AFA">
      <w:pPr>
        <w:spacing w:line="360" w:lineRule="auto"/>
        <w:ind w:firstLine="480" w:firstLineChars="200"/>
      </w:pPr>
      <w:r>
        <w:t>如发现地下水水质异常或发生事故，必须第一时间上报相关生态环境主管部门，同时增加监测频次，并分析污染原因，确定泄漏污染源，及时采取应急措施。企业自行监测过程中地下水采样及监测分析方法严格按照《地下水环境监测技术规范》（HJ164-2020）中相关要求执行。</w:t>
      </w:r>
    </w:p>
    <w:p w14:paraId="14F0D4A1">
      <w:pPr>
        <w:spacing w:line="360" w:lineRule="auto"/>
        <w:ind w:firstLine="480" w:firstLineChars="200"/>
      </w:pPr>
      <w:r>
        <w:t>综上所述，本项目的建设会对其周围地下水产生一定影响，建设单位严格执行国家相关规范及技术要求，做好预防和应急预案，严格按照设计要求进行施工，在做好防渗、防漏等有效防护措施后，基本能够控制对评价区内地下水水质可能产生的不利影响。</w:t>
      </w:r>
    </w:p>
    <w:p w14:paraId="5FB8395A">
      <w:pPr>
        <w:pStyle w:val="5"/>
        <w:rPr>
          <w:rFonts w:hint="eastAsia" w:eastAsia="宋体"/>
        </w:rPr>
      </w:pPr>
      <w:r>
        <w:rPr>
          <w:rFonts w:hint="eastAsia" w:eastAsia="宋体"/>
        </w:rPr>
        <w:t>6.</w:t>
      </w:r>
      <w:r>
        <w:rPr>
          <w:rFonts w:hint="eastAsia" w:eastAsia="宋体"/>
          <w:lang w:val="en-US" w:eastAsia="zh-CN"/>
        </w:rPr>
        <w:t>3</w:t>
      </w:r>
      <w:r>
        <w:rPr>
          <w:rFonts w:hint="eastAsia" w:eastAsia="宋体"/>
        </w:rPr>
        <w:t>.3.4制定信息公开计划</w:t>
      </w:r>
    </w:p>
    <w:p w14:paraId="424D392D">
      <w:pPr>
        <w:spacing w:line="360" w:lineRule="auto"/>
        <w:ind w:firstLine="480" w:firstLineChars="200"/>
      </w:pPr>
      <w:r>
        <w:t>参照《环境影响评价技术导则 地下水环境》（HJ 610-2016）、《企业事业单位环境信息公开办法》（环境保护部令第31号）中的相关要求，将建设项目监测因子的地下水环境监测值项向公众公开，以便公众及时了解情况，</w:t>
      </w:r>
    </w:p>
    <w:p w14:paraId="0E15AD1E">
      <w:pPr>
        <w:pStyle w:val="5"/>
        <w:rPr>
          <w:rFonts w:hint="eastAsia" w:eastAsia="宋体"/>
        </w:rPr>
      </w:pPr>
      <w:r>
        <w:rPr>
          <w:rFonts w:hint="eastAsia" w:eastAsia="宋体"/>
        </w:rPr>
        <w:t>6.</w:t>
      </w:r>
      <w:r>
        <w:rPr>
          <w:rFonts w:hint="eastAsia" w:eastAsia="宋体"/>
          <w:lang w:val="en-US" w:eastAsia="zh-CN"/>
        </w:rPr>
        <w:t>3</w:t>
      </w:r>
      <w:r>
        <w:rPr>
          <w:rFonts w:hint="eastAsia" w:eastAsia="宋体"/>
        </w:rPr>
        <w:t>.3.4应急响应措施</w:t>
      </w:r>
    </w:p>
    <w:p w14:paraId="52AE6651">
      <w:pPr>
        <w:spacing w:line="360" w:lineRule="auto"/>
        <w:ind w:firstLine="480" w:firstLineChars="200"/>
      </w:pPr>
      <w:r>
        <w:t>项目场地潜水含水层渗透性能较差，且水力梯度平缓，因此地下水径流速度缓慢，当发生污染事故时，污染物的运移距离有限，因此，应采取如下污染治理措施。</w:t>
      </w:r>
    </w:p>
    <w:p w14:paraId="10F0F7FA">
      <w:pPr>
        <w:spacing w:line="360" w:lineRule="auto"/>
        <w:ind w:firstLine="480" w:firstLineChars="200"/>
      </w:pPr>
      <w:r>
        <w:t>（1）一旦发生地下水污染事故，应立即启动应急预案。</w:t>
      </w:r>
    </w:p>
    <w:p w14:paraId="62CA7F95">
      <w:pPr>
        <w:spacing w:line="360" w:lineRule="auto"/>
        <w:ind w:firstLine="480" w:firstLineChars="200"/>
      </w:pPr>
      <w:r>
        <w:t>（2）查明并切断污染源，尽快清理地表残留污染源。</w:t>
      </w:r>
    </w:p>
    <w:p w14:paraId="3DBFBC43">
      <w:pPr>
        <w:spacing w:line="360" w:lineRule="auto"/>
        <w:ind w:firstLine="480" w:firstLineChars="200"/>
      </w:pPr>
      <w:r>
        <w:t>（3）增加地下水水质监测频次，掌握已有监控井中的地下水是否受到污染。</w:t>
      </w:r>
    </w:p>
    <w:p w14:paraId="4A4176DD">
      <w:pPr>
        <w:spacing w:line="360" w:lineRule="auto"/>
        <w:ind w:firstLine="480" w:firstLineChars="200"/>
      </w:pPr>
      <w:r>
        <w:t>（4）进一步探明地下水污染深度、范围和污染程度。</w:t>
      </w:r>
    </w:p>
    <w:p w14:paraId="54EF29C6">
      <w:pPr>
        <w:spacing w:line="360" w:lineRule="auto"/>
        <w:ind w:firstLine="480" w:firstLineChars="200"/>
      </w:pPr>
      <w:r>
        <w:t>（5）依据探明的地下水污染情况，合理布置井点的深度及间距。</w:t>
      </w:r>
    </w:p>
    <w:p w14:paraId="1898E57F">
      <w:pPr>
        <w:pStyle w:val="4"/>
      </w:pPr>
      <w:r>
        <w:rPr>
          <w:rFonts w:hint="eastAsia"/>
          <w:lang w:val="en-US" w:eastAsia="zh-CN"/>
        </w:rPr>
        <w:t>6.3.4</w:t>
      </w:r>
      <w:r>
        <w:rPr>
          <w:lang w:val="en-US" w:eastAsia="zh-CN"/>
        </w:rPr>
        <w:t>噪声污染防治措施</w:t>
      </w:r>
      <w:bookmarkEnd w:id="421"/>
      <w:bookmarkEnd w:id="422"/>
      <w:bookmarkEnd w:id="423"/>
    </w:p>
    <w:p w14:paraId="5C87D32E">
      <w:pPr>
        <w:spacing w:line="360" w:lineRule="auto"/>
        <w:ind w:firstLine="480" w:firstLineChars="200"/>
      </w:pPr>
      <w:bookmarkStart w:id="424" w:name="_Toc490466526"/>
      <w:bookmarkStart w:id="425" w:name="_Toc17179"/>
      <w:bookmarkStart w:id="426" w:name="_Toc7328"/>
      <w:r>
        <w:t>本项目噪声主要为设备噪声，包括提升水泵、回流泵、鼓风机等，噪声源强一般在</w:t>
      </w:r>
      <w:r>
        <w:rPr>
          <w:rFonts w:hint="eastAsia"/>
          <w:lang w:val="en-US" w:eastAsia="zh-CN"/>
        </w:rPr>
        <w:t>70</w:t>
      </w:r>
      <w:r>
        <w:t>～9</w:t>
      </w:r>
      <w:r>
        <w:rPr>
          <w:rFonts w:hint="eastAsia"/>
          <w:lang w:val="en-US" w:eastAsia="zh-CN"/>
        </w:rPr>
        <w:t>0</w:t>
      </w:r>
      <w:r>
        <w:t>dB(A)之间，主要通过设备实体、流体、空气等进行传播，为此做好设备的减振和噪声声源的节制与防护工作将是十分必要。</w:t>
      </w:r>
    </w:p>
    <w:p w14:paraId="33F30346">
      <w:pPr>
        <w:spacing w:line="360" w:lineRule="auto"/>
        <w:ind w:firstLine="480" w:firstLineChars="200"/>
      </w:pPr>
      <w:r>
        <w:t>因此，本环评要求建设单位在进行的安装设计时应采用如下隔振及消声办法：</w:t>
      </w:r>
    </w:p>
    <w:p w14:paraId="54D8BFD9">
      <w:pPr>
        <w:spacing w:line="360" w:lineRule="auto"/>
        <w:ind w:firstLine="480" w:firstLineChars="200"/>
      </w:pPr>
      <w:r>
        <w:t>（1）从源头控制噪声污染：</w:t>
      </w:r>
    </w:p>
    <w:p w14:paraId="7B206630">
      <w:pPr>
        <w:spacing w:line="360" w:lineRule="auto"/>
        <w:ind w:firstLine="480" w:firstLineChars="200"/>
      </w:pPr>
      <w:r>
        <w:rPr>
          <w:rFonts w:hint="eastAsia"/>
        </w:rPr>
        <w:t>①</w:t>
      </w:r>
      <w:r>
        <w:t>工艺设计中选用低噪音的设备；</w:t>
      </w:r>
    </w:p>
    <w:p w14:paraId="463D413C">
      <w:pPr>
        <w:spacing w:line="360" w:lineRule="auto"/>
        <w:ind w:firstLine="480" w:firstLineChars="200"/>
      </w:pPr>
      <w:r>
        <w:rPr>
          <w:rFonts w:hint="eastAsia"/>
        </w:rPr>
        <w:t>②</w:t>
      </w:r>
      <w:r>
        <w:t>厂区布置合理，使噪声较大的车间远离厂界。</w:t>
      </w:r>
    </w:p>
    <w:p w14:paraId="6D8F0A91">
      <w:pPr>
        <w:spacing w:line="360" w:lineRule="auto"/>
        <w:ind w:firstLine="480" w:firstLineChars="200"/>
      </w:pPr>
      <w:r>
        <w:t>（2）从传播途径控制噪声污染：</w:t>
      </w:r>
    </w:p>
    <w:p w14:paraId="1453A90E">
      <w:pPr>
        <w:spacing w:line="360" w:lineRule="auto"/>
        <w:ind w:firstLine="480" w:firstLineChars="200"/>
      </w:pPr>
      <w:r>
        <w:rPr>
          <w:rFonts w:hint="eastAsia"/>
        </w:rPr>
        <w:t>①</w:t>
      </w:r>
      <w:r>
        <w:t>对设备采取基础减振、加装消声器、隔音罩等措施，必要时采取地下或半地下安装，以降低车间内噪声向环境辐射；</w:t>
      </w:r>
    </w:p>
    <w:p w14:paraId="7F5A88B6">
      <w:pPr>
        <w:spacing w:line="360" w:lineRule="auto"/>
        <w:ind w:firstLine="480" w:firstLineChars="200"/>
      </w:pPr>
      <w:r>
        <w:rPr>
          <w:rFonts w:hint="eastAsia"/>
        </w:rPr>
        <w:t>②</w:t>
      </w:r>
      <w:r>
        <w:t>对于噪音较高的设备，应建筑专门的隔音间，安装隔音门窗。</w:t>
      </w:r>
    </w:p>
    <w:p w14:paraId="34997722">
      <w:pPr>
        <w:spacing w:line="360" w:lineRule="auto"/>
        <w:ind w:firstLine="480" w:firstLineChars="200"/>
      </w:pPr>
      <w:r>
        <w:rPr>
          <w:rFonts w:hint="eastAsia"/>
        </w:rPr>
        <w:t>③</w:t>
      </w:r>
      <w:r>
        <w:t>加强厂区、厂界绿化，利用建筑物及绿化来阻隔噪声的传播。</w:t>
      </w:r>
    </w:p>
    <w:p w14:paraId="68342E7B">
      <w:pPr>
        <w:spacing w:line="360" w:lineRule="auto"/>
        <w:ind w:firstLine="480" w:firstLineChars="200"/>
      </w:pPr>
      <w:r>
        <w:t>（3）从噪声受体方面减小噪声影响：</w:t>
      </w:r>
    </w:p>
    <w:p w14:paraId="6C7F921F">
      <w:pPr>
        <w:spacing w:line="360" w:lineRule="auto"/>
        <w:ind w:firstLine="480" w:firstLineChars="200"/>
      </w:pPr>
      <w:r>
        <w:rPr>
          <w:rFonts w:hint="eastAsia"/>
        </w:rPr>
        <w:t>①</w:t>
      </w:r>
      <w:r>
        <w:t>保证操作工人暴露于高噪音环境的时间低于8小时；</w:t>
      </w:r>
    </w:p>
    <w:p w14:paraId="08DD69AF">
      <w:pPr>
        <w:spacing w:line="360" w:lineRule="auto"/>
        <w:ind w:firstLine="480" w:firstLineChars="200"/>
      </w:pPr>
      <w:r>
        <w:rPr>
          <w:rFonts w:hint="eastAsia"/>
        </w:rPr>
        <w:t>②</w:t>
      </w:r>
      <w:r>
        <w:t>项目内部职工休息区规划位置远离生产区，且房间窗户均安装双层中空隔音玻璃；</w:t>
      </w:r>
    </w:p>
    <w:p w14:paraId="1C341714">
      <w:pPr>
        <w:spacing w:line="360" w:lineRule="auto"/>
        <w:ind w:firstLine="480" w:firstLineChars="200"/>
      </w:pPr>
      <w:r>
        <w:t>通过采取以上措施后，项目厂界处的噪声预测值可以满足《工业企业厂界环境噪声排放标准》（GB12348-2008）中的3类标准，对周围环境影响较小，噪声防治措施合理可行。</w:t>
      </w:r>
    </w:p>
    <w:p w14:paraId="47CEB6BD">
      <w:pPr>
        <w:pStyle w:val="4"/>
      </w:pPr>
      <w:r>
        <w:t>6.3.</w:t>
      </w:r>
      <w:r>
        <w:rPr>
          <w:rFonts w:hint="eastAsia"/>
          <w:lang w:val="en-US" w:eastAsia="zh-CN"/>
        </w:rPr>
        <w:t>5</w:t>
      </w:r>
      <w:r>
        <w:t>固体废物处理处置</w:t>
      </w:r>
      <w:bookmarkEnd w:id="424"/>
      <w:bookmarkEnd w:id="425"/>
      <w:bookmarkEnd w:id="426"/>
    </w:p>
    <w:p w14:paraId="44050A99">
      <w:pPr>
        <w:spacing w:line="360" w:lineRule="auto"/>
        <w:ind w:firstLine="480" w:firstLineChars="200"/>
      </w:pPr>
      <w:bookmarkStart w:id="427" w:name="_Toc21409"/>
      <w:bookmarkStart w:id="428" w:name="_Toc490466536"/>
      <w:bookmarkStart w:id="429" w:name="_Toc6558"/>
      <w:r>
        <w:t>由工程分析可知，</w:t>
      </w:r>
      <w:r>
        <w:rPr>
          <w:rFonts w:hint="eastAsia"/>
          <w:lang w:eastAsia="zh-CN" w:bidi="ar"/>
        </w:rPr>
        <w:t>本项目</w:t>
      </w:r>
      <w:r>
        <w:rPr>
          <w:lang w:bidi="ar"/>
        </w:rPr>
        <w:t>运行期间产生的固体废物为</w:t>
      </w:r>
      <w:r>
        <w:rPr>
          <w:rFonts w:ascii="Times New Roman" w:hAnsi="Times New Roman" w:eastAsia="宋体" w:cs="Times New Roman"/>
          <w:snapToGrid w:val="0"/>
          <w:color w:val="auto"/>
          <w:sz w:val="24"/>
          <w:szCs w:val="24"/>
          <w:lang w:val="en-US" w:eastAsia="zh-CN" w:bidi="ar-SA"/>
        </w:rPr>
        <w:t>污水处理站污泥</w:t>
      </w:r>
      <w:r>
        <w:rPr>
          <w:rFonts w:hint="eastAsia" w:cs="Times New Roman"/>
          <w:snapToGrid w:val="0"/>
          <w:color w:val="auto"/>
          <w:sz w:val="24"/>
          <w:szCs w:val="24"/>
          <w:lang w:val="en-US" w:eastAsia="zh-CN" w:bidi="ar-SA"/>
        </w:rPr>
        <w:t>、</w:t>
      </w:r>
      <w:r>
        <w:rPr>
          <w:rFonts w:hint="eastAsia" w:ascii="Times New Roman" w:hAnsi="Times New Roman" w:eastAsia="宋体" w:cs="Times New Roman"/>
          <w:snapToGrid w:val="0"/>
          <w:color w:val="auto"/>
          <w:sz w:val="24"/>
          <w:szCs w:val="24"/>
          <w:lang w:val="en-US" w:eastAsia="zh-CN" w:bidi="ar-SA"/>
        </w:rPr>
        <w:t>污水处理站恶臭吸附过程中产生的废活性炭</w:t>
      </w:r>
      <w:r>
        <w:rPr>
          <w:rFonts w:ascii="Times New Roman" w:hAnsi="Times New Roman" w:eastAsia="宋体" w:cs="Times New Roman"/>
          <w:snapToGrid w:val="0"/>
          <w:color w:val="auto"/>
          <w:sz w:val="24"/>
          <w:szCs w:val="24"/>
          <w:lang w:val="en-US" w:eastAsia="zh-CN" w:bidi="ar-SA"/>
        </w:rPr>
        <w:t>。</w:t>
      </w:r>
    </w:p>
    <w:bookmarkEnd w:id="412"/>
    <w:bookmarkEnd w:id="413"/>
    <w:bookmarkEnd w:id="414"/>
    <w:bookmarkEnd w:id="415"/>
    <w:bookmarkEnd w:id="416"/>
    <w:bookmarkEnd w:id="417"/>
    <w:bookmarkEnd w:id="418"/>
    <w:bookmarkEnd w:id="419"/>
    <w:bookmarkEnd w:id="420"/>
    <w:bookmarkEnd w:id="427"/>
    <w:bookmarkEnd w:id="428"/>
    <w:bookmarkEnd w:id="429"/>
    <w:p w14:paraId="30DE4A1C">
      <w:pPr>
        <w:numPr>
          <w:ilvl w:val="0"/>
          <w:numId w:val="9"/>
        </w:numPr>
        <w:spacing w:line="360" w:lineRule="auto"/>
        <w:ind w:firstLine="480" w:firstLineChars="200"/>
        <w:jc w:val="left"/>
        <w:rPr>
          <w:rFonts w:hint="eastAsia" w:cs="Times New Roman"/>
          <w:lang w:val="en-US" w:eastAsia="zh-CN" w:bidi="ar"/>
        </w:rPr>
      </w:pPr>
      <w:bookmarkStart w:id="430" w:name="_Toc18388"/>
      <w:bookmarkStart w:id="431" w:name="_Toc1644"/>
      <w:bookmarkStart w:id="432" w:name="_Toc25550"/>
      <w:r>
        <w:rPr>
          <w:rFonts w:hint="eastAsia" w:cs="Times New Roman"/>
          <w:lang w:val="en-US" w:eastAsia="zh-CN" w:bidi="ar"/>
        </w:rPr>
        <w:t>污泥</w:t>
      </w:r>
    </w:p>
    <w:p w14:paraId="729136FA">
      <w:pPr>
        <w:numPr>
          <w:ilvl w:val="0"/>
          <w:numId w:val="0"/>
        </w:numPr>
        <w:spacing w:line="360" w:lineRule="auto"/>
        <w:ind w:firstLine="480" w:firstLineChars="200"/>
        <w:jc w:val="left"/>
        <w:rPr>
          <w:rFonts w:hint="eastAsia" w:ascii="Times New Roman" w:hAnsi="Times New Roman" w:cs="Times New Roman"/>
          <w:lang w:eastAsia="zh-CN" w:bidi="ar"/>
        </w:rPr>
      </w:pPr>
      <w:r>
        <w:rPr>
          <w:rFonts w:hint="eastAsia" w:cs="Times New Roman"/>
          <w:lang w:val="en-US" w:eastAsia="zh-CN" w:bidi="ar"/>
        </w:rPr>
        <w:t>本项目</w:t>
      </w:r>
      <w:r>
        <w:rPr>
          <w:rFonts w:hint="eastAsia" w:ascii="Times New Roman" w:hAnsi="Times New Roman" w:cs="Times New Roman"/>
          <w:lang w:bidi="ar"/>
        </w:rPr>
        <w:t>每日排出剩余污泥量为</w:t>
      </w:r>
      <w:r>
        <w:rPr>
          <w:rFonts w:hint="eastAsia" w:cs="Times New Roman"/>
          <w:lang w:val="en-US" w:eastAsia="zh-CN" w:bidi="ar"/>
        </w:rPr>
        <w:t>1785</w:t>
      </w:r>
      <w:r>
        <w:rPr>
          <w:rFonts w:hint="eastAsia" w:ascii="Times New Roman" w:hAnsi="Times New Roman" w:cs="Times New Roman"/>
          <w:lang w:bidi="ar"/>
        </w:rPr>
        <w:t>kg/d（</w:t>
      </w:r>
      <w:r>
        <w:rPr>
          <w:rFonts w:hint="eastAsia" w:cs="Times New Roman"/>
          <w:lang w:val="en-US" w:eastAsia="zh-CN" w:bidi="ar"/>
        </w:rPr>
        <w:t>651.5</w:t>
      </w:r>
      <w:r>
        <w:rPr>
          <w:rFonts w:hint="eastAsia" w:ascii="Times New Roman" w:hAnsi="Times New Roman" w:cs="Times New Roman"/>
          <w:lang w:bidi="ar"/>
        </w:rPr>
        <w:t>t/a）（</w:t>
      </w:r>
      <w:r>
        <w:rPr>
          <w:rFonts w:hint="eastAsia" w:cs="Times New Roman"/>
          <w:lang w:val="en-US" w:eastAsia="zh-CN" w:bidi="ar"/>
        </w:rPr>
        <w:t>湿</w:t>
      </w:r>
      <w:r>
        <w:rPr>
          <w:rFonts w:hint="eastAsia" w:ascii="Times New Roman" w:hAnsi="Times New Roman" w:cs="Times New Roman"/>
          <w:lang w:bidi="ar"/>
        </w:rPr>
        <w:t>重）。污泥含水率99.5%，脱水后污泥含水率为6</w:t>
      </w:r>
      <w:r>
        <w:rPr>
          <w:rFonts w:hint="eastAsia" w:cs="Times New Roman"/>
          <w:lang w:val="en-US" w:eastAsia="zh-CN" w:bidi="ar"/>
        </w:rPr>
        <w:t>0</w:t>
      </w:r>
      <w:r>
        <w:rPr>
          <w:rFonts w:hint="eastAsia" w:ascii="Times New Roman" w:hAnsi="Times New Roman" w:cs="Times New Roman"/>
          <w:lang w:bidi="ar"/>
        </w:rPr>
        <w:t>%，则污泥产生量为</w:t>
      </w:r>
      <w:r>
        <w:rPr>
          <w:rFonts w:hint="eastAsia" w:cs="Times New Roman"/>
          <w:lang w:val="en-US" w:eastAsia="zh-CN" w:bidi="ar"/>
        </w:rPr>
        <w:t>390.9</w:t>
      </w:r>
      <w:r>
        <w:rPr>
          <w:rFonts w:hint="eastAsia" w:ascii="Times New Roman" w:hAnsi="Times New Roman" w:cs="Times New Roman"/>
          <w:lang w:bidi="ar"/>
        </w:rPr>
        <w:t>t/a。</w:t>
      </w:r>
      <w:r>
        <w:rPr>
          <w:rFonts w:hint="eastAsia" w:ascii="Times New Roman" w:hAnsi="Times New Roman" w:cs="Times New Roman"/>
          <w:lang w:val="en-US" w:eastAsia="zh-CN" w:bidi="ar"/>
        </w:rPr>
        <w:t>掺混入燃煤进入锅炉燃烧</w:t>
      </w:r>
      <w:r>
        <w:rPr>
          <w:rFonts w:hint="eastAsia" w:ascii="Times New Roman" w:hAnsi="Times New Roman" w:cs="Times New Roman"/>
          <w:lang w:eastAsia="zh-CN" w:bidi="ar"/>
        </w:rPr>
        <w:t>。</w:t>
      </w:r>
    </w:p>
    <w:p w14:paraId="150C985B">
      <w:pPr>
        <w:spacing w:line="360" w:lineRule="auto"/>
        <w:ind w:firstLine="480" w:firstLineChars="200"/>
        <w:jc w:val="left"/>
      </w:pPr>
      <w:r>
        <w:rPr>
          <w:rFonts w:hint="eastAsia"/>
          <w:lang w:val="en-US" w:eastAsia="zh-CN" w:bidi="ar"/>
        </w:rPr>
        <w:t>2、废活性炭</w:t>
      </w:r>
      <w:r>
        <w:rPr>
          <w:lang w:bidi="ar"/>
        </w:rPr>
        <w:t xml:space="preserve"> </w:t>
      </w:r>
    </w:p>
    <w:p w14:paraId="1488D79E">
      <w:pPr>
        <w:spacing w:line="360" w:lineRule="auto"/>
        <w:ind w:firstLine="480" w:firstLineChars="200"/>
      </w:pPr>
      <w:r>
        <w:rPr>
          <w:rFonts w:hint="eastAsia"/>
          <w:lang w:val="en-US" w:eastAsia="zh-CN" w:bidi="ar"/>
        </w:rPr>
        <w:t>污水处理站恶臭处理</w:t>
      </w:r>
      <w:r>
        <w:rPr>
          <w:lang w:bidi="ar"/>
        </w:rPr>
        <w:t>过程中会产生废</w:t>
      </w:r>
      <w:r>
        <w:rPr>
          <w:rFonts w:hint="eastAsia"/>
          <w:lang w:val="en-US" w:eastAsia="zh-CN" w:bidi="ar"/>
        </w:rPr>
        <w:t>活性炭</w:t>
      </w:r>
      <w:r>
        <w:rPr>
          <w:lang w:bidi="ar"/>
        </w:rPr>
        <w:t>。</w:t>
      </w:r>
      <w:r>
        <w:t>废</w:t>
      </w:r>
      <w:r>
        <w:rPr>
          <w:rFonts w:hint="eastAsia"/>
          <w:lang w:val="en-US" w:eastAsia="zh-CN"/>
        </w:rPr>
        <w:t>活性炭</w:t>
      </w:r>
      <w:r>
        <w:rPr>
          <w:lang w:val="zh-CN"/>
        </w:rPr>
        <w:t>产生量为</w:t>
      </w:r>
      <w:r>
        <w:rPr>
          <w:rFonts w:hint="eastAsia"/>
        </w:rPr>
        <w:t>1</w:t>
      </w:r>
      <w:r>
        <w:t>t/a</w:t>
      </w:r>
      <w:r>
        <w:rPr>
          <w:lang w:val="zh-CN"/>
        </w:rPr>
        <w:t>，</w:t>
      </w:r>
      <w:r>
        <w:t>未纳入《国家危险废物名录》（2021 版），不属于危险废物，</w:t>
      </w:r>
      <w:r>
        <w:rPr>
          <w:smallCaps/>
        </w:rPr>
        <w:t>废</w:t>
      </w:r>
      <w:r>
        <w:rPr>
          <w:rFonts w:hint="eastAsia"/>
          <w:smallCaps/>
          <w:lang w:val="en-US" w:eastAsia="zh-CN"/>
        </w:rPr>
        <w:t>活性炭</w:t>
      </w:r>
      <w:r>
        <w:t>由生产厂家统一回收处置。</w:t>
      </w:r>
    </w:p>
    <w:p w14:paraId="2AF42A8B">
      <w:pPr>
        <w:spacing w:line="360" w:lineRule="auto"/>
        <w:ind w:firstLine="480" w:firstLineChars="200"/>
        <w:jc w:val="left"/>
      </w:pPr>
      <w:r>
        <w:rPr>
          <w:rFonts w:hint="eastAsia"/>
          <w:lang w:eastAsia="zh-CN" w:bidi="ar"/>
        </w:rPr>
        <w:t>本项目</w:t>
      </w:r>
      <w:r>
        <w:rPr>
          <w:lang w:bidi="ar"/>
        </w:rPr>
        <w:t>固体废物污染源源强及相关参数一览表见表</w:t>
      </w:r>
      <w:r>
        <w:rPr>
          <w:rFonts w:hint="eastAsia"/>
          <w:lang w:val="en-US" w:eastAsia="zh-CN" w:bidi="ar"/>
        </w:rPr>
        <w:t>6.3-7</w:t>
      </w:r>
      <w:r>
        <w:rPr>
          <w:lang w:bidi="ar"/>
        </w:rPr>
        <w:t>。</w:t>
      </w:r>
    </w:p>
    <w:p w14:paraId="143DBA9F">
      <w:pPr>
        <w:spacing w:line="360" w:lineRule="auto"/>
        <w:ind w:firstLine="482" w:firstLineChars="200"/>
        <w:jc w:val="center"/>
        <w:rPr>
          <w:b/>
          <w:bCs/>
        </w:rPr>
      </w:pPr>
    </w:p>
    <w:p w14:paraId="5E1C852A">
      <w:pPr>
        <w:spacing w:line="360" w:lineRule="auto"/>
        <w:ind w:firstLine="482" w:firstLineChars="200"/>
        <w:jc w:val="center"/>
        <w:rPr>
          <w:b/>
          <w:bCs/>
        </w:rPr>
      </w:pPr>
    </w:p>
    <w:p w14:paraId="2E285069">
      <w:pPr>
        <w:spacing w:line="360" w:lineRule="auto"/>
        <w:ind w:firstLine="482" w:firstLineChars="200"/>
        <w:jc w:val="center"/>
        <w:rPr>
          <w:b/>
          <w:bCs/>
        </w:rPr>
      </w:pPr>
    </w:p>
    <w:p w14:paraId="31AC59E2">
      <w:pPr>
        <w:spacing w:line="360" w:lineRule="auto"/>
        <w:ind w:firstLine="482" w:firstLineChars="200"/>
        <w:jc w:val="center"/>
        <w:rPr>
          <w:b/>
          <w:bCs/>
        </w:rPr>
      </w:pPr>
    </w:p>
    <w:p w14:paraId="5D984AD0">
      <w:pPr>
        <w:spacing w:line="360" w:lineRule="auto"/>
        <w:ind w:firstLine="482" w:firstLineChars="200"/>
        <w:jc w:val="center"/>
      </w:pPr>
      <w:r>
        <w:rPr>
          <w:b/>
          <w:bCs/>
        </w:rPr>
        <w:t>表</w:t>
      </w:r>
      <w:r>
        <w:rPr>
          <w:rFonts w:hint="eastAsia"/>
          <w:b/>
          <w:bCs/>
          <w:lang w:val="en-US" w:eastAsia="zh-CN"/>
        </w:rPr>
        <w:t>6.3</w:t>
      </w:r>
      <w:r>
        <w:rPr>
          <w:b/>
          <w:bCs/>
        </w:rPr>
        <w:t>-</w:t>
      </w:r>
      <w:r>
        <w:rPr>
          <w:rFonts w:hint="eastAsia"/>
          <w:b/>
          <w:bCs/>
          <w:lang w:val="en-US" w:eastAsia="zh-CN"/>
        </w:rPr>
        <w:t>7</w:t>
      </w:r>
      <w:r>
        <w:t xml:space="preserve">  </w:t>
      </w:r>
      <w:r>
        <w:rPr>
          <w:rFonts w:hint="eastAsia"/>
          <w:b/>
          <w:lang w:eastAsia="zh-CN" w:bidi="ar"/>
        </w:rPr>
        <w:t>本项目</w:t>
      </w:r>
      <w:r>
        <w:rPr>
          <w:b/>
          <w:lang w:bidi="ar"/>
        </w:rPr>
        <w:t>固体废物污染物源强一览表</w:t>
      </w:r>
    </w:p>
    <w:tbl>
      <w:tblPr>
        <w:tblStyle w:val="54"/>
        <w:tblW w:w="504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1"/>
        <w:gridCol w:w="786"/>
        <w:gridCol w:w="700"/>
        <w:gridCol w:w="679"/>
        <w:gridCol w:w="679"/>
        <w:gridCol w:w="1099"/>
        <w:gridCol w:w="1784"/>
        <w:gridCol w:w="1107"/>
        <w:gridCol w:w="1739"/>
      </w:tblGrid>
      <w:tr w14:paraId="5E0D9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3" w:type="pct"/>
            <w:vMerge w:val="restart"/>
            <w:tcBorders>
              <w:tl2br w:val="nil"/>
              <w:tr2bl w:val="nil"/>
            </w:tcBorders>
            <w:vAlign w:val="center"/>
          </w:tcPr>
          <w:p w14:paraId="354CE3FF">
            <w:pPr>
              <w:jc w:val="center"/>
              <w:rPr>
                <w:b/>
                <w:bCs/>
                <w:color w:val="auto"/>
                <w:sz w:val="21"/>
                <w:szCs w:val="21"/>
              </w:rPr>
            </w:pPr>
            <w:r>
              <w:rPr>
                <w:b/>
                <w:bCs/>
                <w:color w:val="auto"/>
                <w:sz w:val="21"/>
                <w:szCs w:val="21"/>
              </w:rPr>
              <w:t>工序/生产线</w:t>
            </w:r>
          </w:p>
        </w:tc>
        <w:tc>
          <w:tcPr>
            <w:tcW w:w="421" w:type="pct"/>
            <w:vMerge w:val="restart"/>
            <w:tcBorders>
              <w:tl2br w:val="nil"/>
              <w:tr2bl w:val="nil"/>
            </w:tcBorders>
            <w:vAlign w:val="center"/>
          </w:tcPr>
          <w:p w14:paraId="0C8E16A9">
            <w:pPr>
              <w:jc w:val="center"/>
              <w:rPr>
                <w:b/>
                <w:bCs/>
                <w:color w:val="auto"/>
                <w:sz w:val="21"/>
                <w:szCs w:val="21"/>
              </w:rPr>
            </w:pPr>
            <w:r>
              <w:rPr>
                <w:b/>
                <w:bCs/>
                <w:color w:val="auto"/>
                <w:sz w:val="21"/>
                <w:szCs w:val="21"/>
              </w:rPr>
              <w:t>装置</w:t>
            </w:r>
          </w:p>
        </w:tc>
        <w:tc>
          <w:tcPr>
            <w:tcW w:w="375" w:type="pct"/>
            <w:vMerge w:val="restart"/>
            <w:tcBorders>
              <w:tl2br w:val="nil"/>
              <w:tr2bl w:val="nil"/>
            </w:tcBorders>
            <w:vAlign w:val="center"/>
          </w:tcPr>
          <w:p w14:paraId="2C02F95C">
            <w:pPr>
              <w:jc w:val="center"/>
              <w:rPr>
                <w:b/>
                <w:bCs/>
                <w:color w:val="auto"/>
                <w:sz w:val="21"/>
                <w:szCs w:val="21"/>
              </w:rPr>
            </w:pPr>
            <w:r>
              <w:rPr>
                <w:b/>
                <w:bCs/>
                <w:color w:val="auto"/>
                <w:sz w:val="21"/>
                <w:szCs w:val="21"/>
              </w:rPr>
              <w:t>固体废物名称</w:t>
            </w:r>
          </w:p>
        </w:tc>
        <w:tc>
          <w:tcPr>
            <w:tcW w:w="364" w:type="pct"/>
            <w:vMerge w:val="restart"/>
            <w:tcBorders>
              <w:tl2br w:val="nil"/>
              <w:tr2bl w:val="nil"/>
            </w:tcBorders>
            <w:vAlign w:val="center"/>
          </w:tcPr>
          <w:p w14:paraId="2CFD5A49">
            <w:pPr>
              <w:jc w:val="center"/>
              <w:rPr>
                <w:b/>
                <w:bCs/>
                <w:color w:val="auto"/>
                <w:sz w:val="21"/>
                <w:szCs w:val="21"/>
              </w:rPr>
            </w:pPr>
            <w:r>
              <w:rPr>
                <w:b/>
                <w:bCs/>
                <w:color w:val="auto"/>
                <w:sz w:val="21"/>
                <w:szCs w:val="21"/>
              </w:rPr>
              <w:t>固废属性</w:t>
            </w:r>
          </w:p>
        </w:tc>
        <w:tc>
          <w:tcPr>
            <w:tcW w:w="953" w:type="pct"/>
            <w:gridSpan w:val="2"/>
            <w:tcBorders>
              <w:tl2br w:val="nil"/>
              <w:tr2bl w:val="nil"/>
            </w:tcBorders>
            <w:vAlign w:val="center"/>
          </w:tcPr>
          <w:p w14:paraId="7D51007F">
            <w:pPr>
              <w:jc w:val="center"/>
              <w:rPr>
                <w:b/>
                <w:bCs/>
                <w:color w:val="auto"/>
                <w:sz w:val="21"/>
                <w:szCs w:val="21"/>
              </w:rPr>
            </w:pPr>
            <w:r>
              <w:rPr>
                <w:b/>
                <w:bCs/>
                <w:color w:val="auto"/>
                <w:sz w:val="21"/>
                <w:szCs w:val="21"/>
              </w:rPr>
              <w:t>产生量</w:t>
            </w:r>
          </w:p>
        </w:tc>
        <w:tc>
          <w:tcPr>
            <w:tcW w:w="1549" w:type="pct"/>
            <w:gridSpan w:val="2"/>
            <w:tcBorders>
              <w:tl2br w:val="nil"/>
              <w:tr2bl w:val="nil"/>
            </w:tcBorders>
            <w:vAlign w:val="center"/>
          </w:tcPr>
          <w:p w14:paraId="53A701C6">
            <w:pPr>
              <w:jc w:val="center"/>
              <w:rPr>
                <w:b/>
                <w:bCs/>
                <w:color w:val="auto"/>
                <w:sz w:val="21"/>
                <w:szCs w:val="21"/>
              </w:rPr>
            </w:pPr>
            <w:r>
              <w:rPr>
                <w:b/>
                <w:bCs/>
                <w:color w:val="auto"/>
                <w:sz w:val="21"/>
                <w:szCs w:val="21"/>
              </w:rPr>
              <w:t>处置措施</w:t>
            </w:r>
          </w:p>
        </w:tc>
        <w:tc>
          <w:tcPr>
            <w:tcW w:w="932" w:type="pct"/>
            <w:vMerge w:val="restart"/>
            <w:tcBorders>
              <w:tl2br w:val="nil"/>
              <w:tr2bl w:val="nil"/>
            </w:tcBorders>
            <w:vAlign w:val="center"/>
          </w:tcPr>
          <w:p w14:paraId="7C518A25">
            <w:pPr>
              <w:jc w:val="center"/>
              <w:rPr>
                <w:b/>
                <w:bCs/>
                <w:color w:val="auto"/>
                <w:sz w:val="21"/>
                <w:szCs w:val="21"/>
              </w:rPr>
            </w:pPr>
            <w:r>
              <w:rPr>
                <w:b/>
                <w:bCs/>
                <w:color w:val="auto"/>
                <w:sz w:val="21"/>
                <w:szCs w:val="21"/>
              </w:rPr>
              <w:t>处置去向</w:t>
            </w:r>
          </w:p>
        </w:tc>
      </w:tr>
      <w:tr w14:paraId="179F8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vMerge w:val="continue"/>
            <w:tcBorders>
              <w:tl2br w:val="nil"/>
              <w:tr2bl w:val="nil"/>
            </w:tcBorders>
            <w:vAlign w:val="center"/>
          </w:tcPr>
          <w:p w14:paraId="2FC106C1">
            <w:pPr>
              <w:jc w:val="center"/>
              <w:rPr>
                <w:color w:val="auto"/>
                <w:sz w:val="21"/>
                <w:szCs w:val="21"/>
              </w:rPr>
            </w:pPr>
          </w:p>
        </w:tc>
        <w:tc>
          <w:tcPr>
            <w:tcW w:w="421" w:type="pct"/>
            <w:vMerge w:val="continue"/>
            <w:tcBorders>
              <w:tl2br w:val="nil"/>
              <w:tr2bl w:val="nil"/>
            </w:tcBorders>
            <w:vAlign w:val="center"/>
          </w:tcPr>
          <w:p w14:paraId="57BAF55A">
            <w:pPr>
              <w:jc w:val="center"/>
              <w:rPr>
                <w:color w:val="auto"/>
                <w:sz w:val="21"/>
                <w:szCs w:val="21"/>
              </w:rPr>
            </w:pPr>
          </w:p>
        </w:tc>
        <w:tc>
          <w:tcPr>
            <w:tcW w:w="375" w:type="pct"/>
            <w:vMerge w:val="continue"/>
            <w:tcBorders>
              <w:tl2br w:val="nil"/>
              <w:tr2bl w:val="nil"/>
            </w:tcBorders>
            <w:vAlign w:val="center"/>
          </w:tcPr>
          <w:p w14:paraId="1253C750">
            <w:pPr>
              <w:jc w:val="center"/>
              <w:rPr>
                <w:color w:val="auto"/>
                <w:sz w:val="21"/>
                <w:szCs w:val="21"/>
              </w:rPr>
            </w:pPr>
          </w:p>
        </w:tc>
        <w:tc>
          <w:tcPr>
            <w:tcW w:w="364" w:type="pct"/>
            <w:vMerge w:val="continue"/>
            <w:tcBorders>
              <w:tl2br w:val="nil"/>
              <w:tr2bl w:val="nil"/>
            </w:tcBorders>
            <w:vAlign w:val="center"/>
          </w:tcPr>
          <w:p w14:paraId="7A5B986C">
            <w:pPr>
              <w:jc w:val="center"/>
              <w:rPr>
                <w:color w:val="auto"/>
                <w:sz w:val="21"/>
                <w:szCs w:val="21"/>
              </w:rPr>
            </w:pPr>
          </w:p>
        </w:tc>
        <w:tc>
          <w:tcPr>
            <w:tcW w:w="364" w:type="pct"/>
            <w:tcBorders>
              <w:tl2br w:val="nil"/>
              <w:tr2bl w:val="nil"/>
            </w:tcBorders>
            <w:vAlign w:val="center"/>
          </w:tcPr>
          <w:p w14:paraId="3A5A2F96">
            <w:pPr>
              <w:jc w:val="center"/>
              <w:rPr>
                <w:b/>
                <w:bCs/>
                <w:color w:val="auto"/>
                <w:sz w:val="21"/>
                <w:szCs w:val="21"/>
              </w:rPr>
            </w:pPr>
            <w:r>
              <w:rPr>
                <w:b/>
                <w:bCs/>
                <w:color w:val="auto"/>
                <w:sz w:val="21"/>
                <w:szCs w:val="21"/>
              </w:rPr>
              <w:t>核算方法</w:t>
            </w:r>
          </w:p>
        </w:tc>
        <w:tc>
          <w:tcPr>
            <w:tcW w:w="589" w:type="pct"/>
            <w:tcBorders>
              <w:tl2br w:val="nil"/>
              <w:tr2bl w:val="nil"/>
            </w:tcBorders>
            <w:vAlign w:val="center"/>
          </w:tcPr>
          <w:p w14:paraId="6CC3A3D5">
            <w:pPr>
              <w:jc w:val="center"/>
              <w:rPr>
                <w:b/>
                <w:bCs/>
                <w:color w:val="auto"/>
                <w:sz w:val="21"/>
                <w:szCs w:val="21"/>
              </w:rPr>
            </w:pPr>
            <w:r>
              <w:rPr>
                <w:b/>
                <w:bCs/>
                <w:color w:val="auto"/>
                <w:sz w:val="21"/>
                <w:szCs w:val="21"/>
              </w:rPr>
              <w:t>产生量（t/a）</w:t>
            </w:r>
          </w:p>
        </w:tc>
        <w:tc>
          <w:tcPr>
            <w:tcW w:w="956" w:type="pct"/>
            <w:tcBorders>
              <w:tl2br w:val="nil"/>
              <w:tr2bl w:val="nil"/>
            </w:tcBorders>
            <w:vAlign w:val="center"/>
          </w:tcPr>
          <w:p w14:paraId="00BAB9D9">
            <w:pPr>
              <w:jc w:val="center"/>
              <w:rPr>
                <w:b/>
                <w:bCs/>
                <w:color w:val="auto"/>
                <w:sz w:val="21"/>
                <w:szCs w:val="21"/>
              </w:rPr>
            </w:pPr>
            <w:r>
              <w:rPr>
                <w:b/>
                <w:bCs/>
                <w:color w:val="auto"/>
                <w:sz w:val="21"/>
                <w:szCs w:val="21"/>
              </w:rPr>
              <w:t>工艺</w:t>
            </w:r>
          </w:p>
        </w:tc>
        <w:tc>
          <w:tcPr>
            <w:tcW w:w="593" w:type="pct"/>
            <w:tcBorders>
              <w:tl2br w:val="nil"/>
              <w:tr2bl w:val="nil"/>
            </w:tcBorders>
            <w:vAlign w:val="center"/>
          </w:tcPr>
          <w:p w14:paraId="1ABEF26A">
            <w:pPr>
              <w:jc w:val="center"/>
              <w:rPr>
                <w:b/>
                <w:bCs/>
                <w:color w:val="auto"/>
                <w:sz w:val="21"/>
                <w:szCs w:val="21"/>
              </w:rPr>
            </w:pPr>
            <w:r>
              <w:rPr>
                <w:b/>
                <w:bCs/>
                <w:color w:val="auto"/>
                <w:sz w:val="21"/>
                <w:szCs w:val="21"/>
              </w:rPr>
              <w:t>处置量（t/a）</w:t>
            </w:r>
          </w:p>
        </w:tc>
        <w:tc>
          <w:tcPr>
            <w:tcW w:w="932" w:type="pct"/>
            <w:vMerge w:val="continue"/>
            <w:tcBorders>
              <w:tl2br w:val="nil"/>
              <w:tr2bl w:val="nil"/>
            </w:tcBorders>
            <w:vAlign w:val="center"/>
          </w:tcPr>
          <w:p w14:paraId="4D68776C">
            <w:pPr>
              <w:jc w:val="center"/>
              <w:rPr>
                <w:color w:val="auto"/>
                <w:sz w:val="21"/>
                <w:szCs w:val="21"/>
              </w:rPr>
            </w:pPr>
          </w:p>
        </w:tc>
      </w:tr>
      <w:tr w14:paraId="43AA6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403" w:type="pct"/>
            <w:tcBorders>
              <w:tl2br w:val="nil"/>
              <w:tr2bl w:val="nil"/>
            </w:tcBorders>
            <w:vAlign w:val="center"/>
          </w:tcPr>
          <w:p w14:paraId="23A7BC19">
            <w:pPr>
              <w:jc w:val="center"/>
              <w:rPr>
                <w:rFonts w:hint="eastAsia" w:eastAsia="宋体"/>
                <w:color w:val="auto"/>
                <w:sz w:val="21"/>
                <w:szCs w:val="21"/>
                <w:lang w:eastAsia="zh-CN"/>
              </w:rPr>
            </w:pPr>
            <w:r>
              <w:rPr>
                <w:rFonts w:hint="eastAsia"/>
                <w:color w:val="auto"/>
                <w:sz w:val="21"/>
                <w:szCs w:val="21"/>
                <w:lang w:val="en-US" w:eastAsia="zh-CN"/>
              </w:rPr>
              <w:t>污水处理</w:t>
            </w:r>
          </w:p>
        </w:tc>
        <w:tc>
          <w:tcPr>
            <w:tcW w:w="421" w:type="pct"/>
            <w:tcBorders>
              <w:tl2br w:val="nil"/>
              <w:tr2bl w:val="nil"/>
            </w:tcBorders>
            <w:vAlign w:val="center"/>
          </w:tcPr>
          <w:p w14:paraId="7EA2D585">
            <w:pPr>
              <w:jc w:val="center"/>
              <w:rPr>
                <w:rFonts w:hint="default" w:eastAsia="宋体"/>
                <w:color w:val="auto"/>
                <w:sz w:val="21"/>
                <w:szCs w:val="21"/>
                <w:lang w:val="en-US" w:eastAsia="zh-CN"/>
              </w:rPr>
            </w:pPr>
            <w:r>
              <w:rPr>
                <w:rFonts w:hint="eastAsia"/>
                <w:color w:val="auto"/>
                <w:sz w:val="21"/>
                <w:szCs w:val="21"/>
                <w:lang w:val="en-US" w:eastAsia="zh-CN"/>
              </w:rPr>
              <w:t>污水处理站</w:t>
            </w:r>
          </w:p>
        </w:tc>
        <w:tc>
          <w:tcPr>
            <w:tcW w:w="375" w:type="pct"/>
            <w:tcBorders>
              <w:tl2br w:val="nil"/>
              <w:tr2bl w:val="nil"/>
            </w:tcBorders>
            <w:vAlign w:val="center"/>
          </w:tcPr>
          <w:p w14:paraId="0F011B0D">
            <w:pPr>
              <w:jc w:val="center"/>
              <w:rPr>
                <w:rFonts w:hint="eastAsia" w:eastAsia="宋体"/>
                <w:color w:val="auto"/>
                <w:sz w:val="21"/>
                <w:szCs w:val="21"/>
                <w:lang w:eastAsia="zh-CN"/>
              </w:rPr>
            </w:pPr>
            <w:r>
              <w:rPr>
                <w:rFonts w:hint="eastAsia"/>
                <w:color w:val="auto"/>
                <w:sz w:val="21"/>
                <w:szCs w:val="21"/>
                <w:lang w:val="en-US" w:eastAsia="zh-CN"/>
              </w:rPr>
              <w:t>污泥</w:t>
            </w:r>
          </w:p>
        </w:tc>
        <w:tc>
          <w:tcPr>
            <w:tcW w:w="364" w:type="pct"/>
            <w:tcBorders>
              <w:tl2br w:val="nil"/>
              <w:tr2bl w:val="nil"/>
            </w:tcBorders>
            <w:vAlign w:val="center"/>
          </w:tcPr>
          <w:p w14:paraId="5DFF1E1B">
            <w:pPr>
              <w:jc w:val="center"/>
              <w:rPr>
                <w:color w:val="auto"/>
                <w:sz w:val="21"/>
                <w:szCs w:val="21"/>
              </w:rPr>
            </w:pPr>
            <w:r>
              <w:rPr>
                <w:color w:val="auto"/>
                <w:sz w:val="21"/>
                <w:szCs w:val="21"/>
              </w:rPr>
              <w:t>一般固废</w:t>
            </w:r>
          </w:p>
        </w:tc>
        <w:tc>
          <w:tcPr>
            <w:tcW w:w="364" w:type="pct"/>
            <w:vMerge w:val="restart"/>
            <w:tcBorders>
              <w:tl2br w:val="nil"/>
              <w:tr2bl w:val="nil"/>
            </w:tcBorders>
            <w:vAlign w:val="center"/>
          </w:tcPr>
          <w:p w14:paraId="46CDF991">
            <w:pPr>
              <w:jc w:val="center"/>
              <w:rPr>
                <w:color w:val="auto"/>
                <w:sz w:val="21"/>
                <w:szCs w:val="21"/>
              </w:rPr>
            </w:pPr>
            <w:r>
              <w:rPr>
                <w:color w:val="auto"/>
                <w:sz w:val="21"/>
                <w:szCs w:val="21"/>
              </w:rPr>
              <w:t>物料衡算法</w:t>
            </w:r>
          </w:p>
        </w:tc>
        <w:tc>
          <w:tcPr>
            <w:tcW w:w="589" w:type="pct"/>
            <w:tcBorders>
              <w:tl2br w:val="nil"/>
              <w:tr2bl w:val="nil"/>
            </w:tcBorders>
            <w:vAlign w:val="center"/>
          </w:tcPr>
          <w:p w14:paraId="49C39C84">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390.9</w:t>
            </w:r>
          </w:p>
        </w:tc>
        <w:tc>
          <w:tcPr>
            <w:tcW w:w="956" w:type="pct"/>
            <w:tcBorders>
              <w:tl2br w:val="nil"/>
              <w:tr2bl w:val="nil"/>
            </w:tcBorders>
            <w:vAlign w:val="center"/>
          </w:tcPr>
          <w:p w14:paraId="593410A1">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掺混入燃煤进入锅炉燃烧</w:t>
            </w:r>
          </w:p>
        </w:tc>
        <w:tc>
          <w:tcPr>
            <w:tcW w:w="593" w:type="pct"/>
            <w:tcBorders>
              <w:tl2br w:val="nil"/>
              <w:tr2bl w:val="nil"/>
            </w:tcBorders>
            <w:vAlign w:val="center"/>
          </w:tcPr>
          <w:p w14:paraId="6C7F1AAC">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390.9</w:t>
            </w:r>
          </w:p>
        </w:tc>
        <w:tc>
          <w:tcPr>
            <w:tcW w:w="932" w:type="pct"/>
            <w:tcBorders>
              <w:tl2br w:val="nil"/>
              <w:tr2bl w:val="nil"/>
            </w:tcBorders>
            <w:vAlign w:val="center"/>
          </w:tcPr>
          <w:p w14:paraId="706CD17E">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掺混入燃煤进入锅炉燃烧</w:t>
            </w:r>
          </w:p>
        </w:tc>
      </w:tr>
      <w:tr w14:paraId="3E4C7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3" w:type="pct"/>
            <w:tcBorders>
              <w:tl2br w:val="nil"/>
              <w:tr2bl w:val="nil"/>
            </w:tcBorders>
            <w:vAlign w:val="center"/>
          </w:tcPr>
          <w:p w14:paraId="7AC2D95E">
            <w:pPr>
              <w:jc w:val="center"/>
              <w:rPr>
                <w:rFonts w:hint="eastAsia" w:eastAsia="宋体"/>
                <w:color w:val="auto"/>
                <w:sz w:val="21"/>
                <w:szCs w:val="21"/>
                <w:lang w:eastAsia="zh-CN"/>
              </w:rPr>
            </w:pPr>
            <w:r>
              <w:rPr>
                <w:rFonts w:hint="eastAsia"/>
                <w:color w:val="auto"/>
                <w:sz w:val="21"/>
                <w:szCs w:val="21"/>
                <w:lang w:val="en-US" w:eastAsia="zh-CN"/>
              </w:rPr>
              <w:t>污水处理站</w:t>
            </w:r>
          </w:p>
        </w:tc>
        <w:tc>
          <w:tcPr>
            <w:tcW w:w="421" w:type="pct"/>
            <w:tcBorders>
              <w:tl2br w:val="nil"/>
              <w:tr2bl w:val="nil"/>
            </w:tcBorders>
            <w:vAlign w:val="center"/>
          </w:tcPr>
          <w:p w14:paraId="12BB0F5A">
            <w:pPr>
              <w:jc w:val="center"/>
              <w:rPr>
                <w:color w:val="auto"/>
                <w:sz w:val="21"/>
                <w:szCs w:val="21"/>
              </w:rPr>
            </w:pPr>
            <w:r>
              <w:rPr>
                <w:rFonts w:hint="eastAsia"/>
                <w:color w:val="auto"/>
                <w:sz w:val="21"/>
                <w:szCs w:val="21"/>
                <w:lang w:val="en-US" w:eastAsia="zh-CN"/>
              </w:rPr>
              <w:t>废气处理</w:t>
            </w:r>
            <w:r>
              <w:rPr>
                <w:color w:val="auto"/>
                <w:sz w:val="21"/>
                <w:szCs w:val="21"/>
              </w:rPr>
              <w:t>系统</w:t>
            </w:r>
          </w:p>
        </w:tc>
        <w:tc>
          <w:tcPr>
            <w:tcW w:w="375" w:type="pct"/>
            <w:tcBorders>
              <w:tl2br w:val="nil"/>
              <w:tr2bl w:val="nil"/>
            </w:tcBorders>
            <w:vAlign w:val="center"/>
          </w:tcPr>
          <w:p w14:paraId="40D48B3F">
            <w:pPr>
              <w:jc w:val="center"/>
              <w:rPr>
                <w:rFonts w:hint="eastAsia" w:eastAsia="宋体"/>
                <w:color w:val="auto"/>
                <w:sz w:val="21"/>
                <w:szCs w:val="21"/>
                <w:lang w:eastAsia="zh-CN"/>
              </w:rPr>
            </w:pPr>
            <w:r>
              <w:rPr>
                <w:color w:val="auto"/>
                <w:sz w:val="21"/>
                <w:szCs w:val="21"/>
              </w:rPr>
              <w:t>废</w:t>
            </w:r>
            <w:r>
              <w:rPr>
                <w:rFonts w:hint="eastAsia"/>
                <w:color w:val="auto"/>
                <w:sz w:val="21"/>
                <w:szCs w:val="21"/>
                <w:lang w:val="en-US" w:eastAsia="zh-CN"/>
              </w:rPr>
              <w:t>活性炭</w:t>
            </w:r>
          </w:p>
        </w:tc>
        <w:tc>
          <w:tcPr>
            <w:tcW w:w="364" w:type="pct"/>
            <w:tcBorders>
              <w:tl2br w:val="nil"/>
              <w:tr2bl w:val="nil"/>
            </w:tcBorders>
            <w:vAlign w:val="center"/>
          </w:tcPr>
          <w:p w14:paraId="0424D9FC">
            <w:pPr>
              <w:jc w:val="center"/>
              <w:rPr>
                <w:color w:val="auto"/>
                <w:sz w:val="21"/>
                <w:szCs w:val="21"/>
              </w:rPr>
            </w:pPr>
            <w:r>
              <w:rPr>
                <w:color w:val="auto"/>
                <w:sz w:val="21"/>
                <w:szCs w:val="21"/>
              </w:rPr>
              <w:t>一般固废</w:t>
            </w:r>
          </w:p>
        </w:tc>
        <w:tc>
          <w:tcPr>
            <w:tcW w:w="364" w:type="pct"/>
            <w:vMerge w:val="continue"/>
            <w:tcBorders>
              <w:tl2br w:val="nil"/>
              <w:tr2bl w:val="nil"/>
            </w:tcBorders>
            <w:vAlign w:val="center"/>
          </w:tcPr>
          <w:p w14:paraId="25ED4418">
            <w:pPr>
              <w:jc w:val="center"/>
              <w:rPr>
                <w:color w:val="auto"/>
                <w:sz w:val="21"/>
                <w:szCs w:val="21"/>
              </w:rPr>
            </w:pPr>
          </w:p>
        </w:tc>
        <w:tc>
          <w:tcPr>
            <w:tcW w:w="589" w:type="pct"/>
            <w:tcBorders>
              <w:tl2br w:val="nil"/>
              <w:tr2bl w:val="nil"/>
            </w:tcBorders>
            <w:vAlign w:val="center"/>
          </w:tcPr>
          <w:p w14:paraId="79A026E2">
            <w:pPr>
              <w:jc w:val="center"/>
              <w:rPr>
                <w:color w:val="auto"/>
                <w:sz w:val="21"/>
                <w:szCs w:val="21"/>
              </w:rPr>
            </w:pPr>
            <w:r>
              <w:rPr>
                <w:color w:val="auto"/>
                <w:sz w:val="21"/>
                <w:szCs w:val="21"/>
              </w:rPr>
              <w:t>1</w:t>
            </w:r>
          </w:p>
        </w:tc>
        <w:tc>
          <w:tcPr>
            <w:tcW w:w="956" w:type="pct"/>
            <w:tcBorders>
              <w:tl2br w:val="nil"/>
              <w:tr2bl w:val="nil"/>
            </w:tcBorders>
            <w:vAlign w:val="center"/>
          </w:tcPr>
          <w:p w14:paraId="222D81E9">
            <w:pPr>
              <w:jc w:val="center"/>
              <w:rPr>
                <w:color w:val="auto"/>
                <w:sz w:val="21"/>
                <w:szCs w:val="21"/>
              </w:rPr>
            </w:pPr>
            <w:r>
              <w:rPr>
                <w:rFonts w:hint="eastAsia"/>
                <w:color w:val="auto"/>
                <w:sz w:val="21"/>
                <w:szCs w:val="21"/>
              </w:rPr>
              <w:t>由厂家回收</w:t>
            </w:r>
          </w:p>
        </w:tc>
        <w:tc>
          <w:tcPr>
            <w:tcW w:w="593" w:type="pct"/>
            <w:tcBorders>
              <w:tl2br w:val="nil"/>
              <w:tr2bl w:val="nil"/>
            </w:tcBorders>
            <w:vAlign w:val="center"/>
          </w:tcPr>
          <w:p w14:paraId="55776924">
            <w:pPr>
              <w:jc w:val="center"/>
              <w:rPr>
                <w:color w:val="auto"/>
                <w:sz w:val="21"/>
                <w:szCs w:val="21"/>
              </w:rPr>
            </w:pPr>
            <w:r>
              <w:rPr>
                <w:color w:val="auto"/>
                <w:sz w:val="21"/>
                <w:szCs w:val="21"/>
              </w:rPr>
              <w:t>1</w:t>
            </w:r>
          </w:p>
        </w:tc>
        <w:tc>
          <w:tcPr>
            <w:tcW w:w="932" w:type="pct"/>
            <w:tcBorders>
              <w:tl2br w:val="nil"/>
              <w:tr2bl w:val="nil"/>
            </w:tcBorders>
            <w:vAlign w:val="center"/>
          </w:tcPr>
          <w:p w14:paraId="2CC7F8DF">
            <w:pPr>
              <w:jc w:val="center"/>
              <w:rPr>
                <w:color w:val="auto"/>
                <w:sz w:val="21"/>
                <w:szCs w:val="21"/>
              </w:rPr>
            </w:pPr>
            <w:r>
              <w:rPr>
                <w:rFonts w:hint="eastAsia"/>
                <w:color w:val="auto"/>
                <w:sz w:val="21"/>
                <w:szCs w:val="21"/>
              </w:rPr>
              <w:t>由厂家回收</w:t>
            </w:r>
          </w:p>
        </w:tc>
      </w:tr>
    </w:tbl>
    <w:p w14:paraId="047C9BEE">
      <w:pPr>
        <w:pStyle w:val="4"/>
        <w:rPr>
          <w:rFonts w:hint="eastAsia" w:eastAsia="宋体"/>
        </w:rPr>
      </w:pPr>
      <w:r>
        <w:rPr>
          <w:rFonts w:hint="eastAsia"/>
          <w:lang w:val="en-US" w:eastAsia="zh-CN"/>
        </w:rPr>
        <w:t>6.3.6</w:t>
      </w:r>
      <w:r>
        <w:t xml:space="preserve"> </w:t>
      </w:r>
      <w:r>
        <w:rPr>
          <w:rFonts w:hint="eastAsia" w:eastAsia="宋体"/>
        </w:rPr>
        <w:t>土壤环境保护措施及对策</w:t>
      </w:r>
    </w:p>
    <w:p w14:paraId="5E73A0AB">
      <w:pPr>
        <w:spacing w:line="360" w:lineRule="auto"/>
        <w:ind w:firstLine="480" w:firstLineChars="200"/>
        <w:jc w:val="left"/>
        <w:rPr>
          <w:rFonts w:hint="eastAsia"/>
          <w:szCs w:val="32"/>
        </w:rPr>
      </w:pPr>
      <w:r>
        <w:rPr>
          <w:rFonts w:hint="eastAsia"/>
          <w:szCs w:val="32"/>
        </w:rPr>
        <w:t>建设项目土壤环境保护对象为本项目厂址占地及评价范围</w:t>
      </w:r>
      <w:r>
        <w:rPr>
          <w:rFonts w:hint="eastAsia"/>
          <w:szCs w:val="32"/>
          <w:lang w:val="en-US" w:eastAsia="zh-CN"/>
        </w:rPr>
        <w:t>200</w:t>
      </w:r>
      <w:r>
        <w:rPr>
          <w:rFonts w:hint="eastAsia"/>
          <w:szCs w:val="32"/>
        </w:rPr>
        <w:t>m范围内土壤，保护土壤满足GB15618、GB36600或其他土壤污染防治相关规定。</w:t>
      </w:r>
    </w:p>
    <w:p w14:paraId="7A63E916">
      <w:pPr>
        <w:spacing w:line="360" w:lineRule="auto"/>
        <w:ind w:firstLine="480" w:firstLineChars="200"/>
        <w:jc w:val="left"/>
        <w:rPr>
          <w:rFonts w:hint="eastAsia"/>
          <w:szCs w:val="32"/>
        </w:rPr>
      </w:pPr>
      <w:r>
        <w:rPr>
          <w:rFonts w:hint="eastAsia"/>
          <w:szCs w:val="32"/>
        </w:rPr>
        <w:t>建设项目土壤环境保护采取以下措施：</w:t>
      </w:r>
    </w:p>
    <w:p w14:paraId="5139D1A6">
      <w:pPr>
        <w:spacing w:line="360" w:lineRule="auto"/>
        <w:ind w:firstLine="480" w:firstLineChars="200"/>
        <w:jc w:val="left"/>
        <w:rPr>
          <w:rFonts w:hint="eastAsia"/>
          <w:szCs w:val="32"/>
        </w:rPr>
      </w:pPr>
      <w:r>
        <w:rPr>
          <w:rFonts w:hint="eastAsia"/>
          <w:szCs w:val="32"/>
        </w:rPr>
        <w:t>（1）防止本项目建设运行对土壤环境造成污染，需从厂区污水收集管道、污染处理设施等全过程控制污水的泄漏量；设置检漏设施，减少废水污染物的跑冒滴漏，降低环境事故风险。在污水收集装置、污水处理系统及污水输送等周边要进行严格的防渗处理，从源头防止废水进入土壤环境中。</w:t>
      </w:r>
    </w:p>
    <w:p w14:paraId="01C6A7D0">
      <w:pPr>
        <w:spacing w:line="360" w:lineRule="auto"/>
        <w:ind w:firstLine="480" w:firstLineChars="200"/>
        <w:jc w:val="left"/>
        <w:rPr>
          <w:rFonts w:hint="eastAsia"/>
          <w:szCs w:val="32"/>
        </w:rPr>
      </w:pPr>
      <w:r>
        <w:rPr>
          <w:rFonts w:hint="eastAsia"/>
          <w:szCs w:val="32"/>
        </w:rPr>
        <w:t>（2）依据本项目场区布置情况，将本项目拟建区划分为重点防渗区、一般防渗区和简单防渗区，具体分区见地下水章节。</w:t>
      </w:r>
    </w:p>
    <w:p w14:paraId="5AD25BC8">
      <w:pPr>
        <w:spacing w:line="360" w:lineRule="auto"/>
        <w:ind w:firstLine="480" w:firstLineChars="200"/>
        <w:jc w:val="left"/>
        <w:rPr>
          <w:rFonts w:hint="eastAsia"/>
          <w:szCs w:val="32"/>
        </w:rPr>
      </w:pPr>
      <w:r>
        <w:rPr>
          <w:rFonts w:hint="eastAsia"/>
          <w:szCs w:val="32"/>
        </w:rPr>
        <w:t>（3）项目厂区产生的一般固废贮存需按照《一般工业固体废物贮存和填埋污染控制标准》（GB18599-2020）要求执行。确保项目固体废物均按照相关规范进行处理处置，确保不产生二次污染。</w:t>
      </w:r>
    </w:p>
    <w:p w14:paraId="4B2246D0">
      <w:pPr>
        <w:spacing w:line="360" w:lineRule="auto"/>
        <w:ind w:firstLine="480" w:firstLineChars="200"/>
        <w:jc w:val="left"/>
        <w:rPr>
          <w:rFonts w:hint="eastAsia"/>
          <w:szCs w:val="32"/>
        </w:rPr>
      </w:pPr>
      <w:r>
        <w:rPr>
          <w:rFonts w:hint="eastAsia"/>
          <w:szCs w:val="32"/>
        </w:rPr>
        <w:t>（4）在项目生产管理过程中，做好设备的维护、检修，杜绝跑、冒、滴、漏现象。同时，加强主要污染物产生环节的安全防护、报警措施，以便及时发现事故隐患，采取有效的应对措施。</w:t>
      </w:r>
    </w:p>
    <w:p w14:paraId="2DBF99B9">
      <w:pPr>
        <w:pStyle w:val="4"/>
      </w:pPr>
      <w:r>
        <w:rPr>
          <w:rFonts w:hint="eastAsia"/>
          <w:lang w:val="en-US" w:eastAsia="zh-CN"/>
        </w:rPr>
        <w:t>6.3.7</w:t>
      </w:r>
      <w:r>
        <w:t>风险防范措施</w:t>
      </w:r>
    </w:p>
    <w:p w14:paraId="0FE71EE5">
      <w:pPr>
        <w:pStyle w:val="5"/>
        <w:rPr>
          <w:rFonts w:hint="eastAsia"/>
        </w:rPr>
      </w:pPr>
      <w:r>
        <w:rPr>
          <w:rFonts w:hint="eastAsia"/>
          <w:lang w:val="en-US" w:eastAsia="zh-CN"/>
        </w:rPr>
        <w:t>6.3.7.1</w:t>
      </w:r>
      <w:r>
        <w:t>风险防范措施</w:t>
      </w:r>
    </w:p>
    <w:p w14:paraId="22B8630E">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w:t>
      </w:r>
      <w:r>
        <w:rPr>
          <w:rFonts w:hint="eastAsia" w:cs="Times New Roman"/>
          <w:lang w:val="en-US" w:eastAsia="zh-CN" w:bidi="ar"/>
        </w:rPr>
        <w:t>1</w:t>
      </w:r>
      <w:r>
        <w:rPr>
          <w:rFonts w:hint="eastAsia" w:ascii="Times New Roman" w:hAnsi="Times New Roman" w:cs="Times New Roman"/>
          <w:lang w:val="en-US" w:eastAsia="zh-CN" w:bidi="ar"/>
        </w:rPr>
        <w:t>）污水事故排放风险防范措施</w:t>
      </w:r>
    </w:p>
    <w:p w14:paraId="11B5BEE2">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①选用优质的污水处理设备，重要设备设置备用件。</w:t>
      </w:r>
    </w:p>
    <w:p w14:paraId="2628C115">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②对各类设备加强巡检维护，及时发现问题，消灭隐患。</w:t>
      </w:r>
    </w:p>
    <w:p w14:paraId="3431EBC2">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③加强供电设施的维护及管理，保证供电设施及线路正常运行。</w:t>
      </w:r>
    </w:p>
    <w:p w14:paraId="38F8C8F2">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④加强工作人员的理论知识和操作技能的培训，建立技术考核档案，不合格者不得上岗。</w:t>
      </w:r>
    </w:p>
    <w:p w14:paraId="5E1AA599">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w:t>
      </w:r>
      <w:r>
        <w:rPr>
          <w:rFonts w:hint="eastAsia" w:cs="Times New Roman"/>
          <w:lang w:val="en-US" w:eastAsia="zh-CN" w:bidi="ar"/>
        </w:rPr>
        <w:t>2</w:t>
      </w:r>
      <w:r>
        <w:rPr>
          <w:rFonts w:hint="eastAsia" w:ascii="Times New Roman" w:hAnsi="Times New Roman" w:cs="Times New Roman"/>
          <w:lang w:val="en-US" w:eastAsia="zh-CN" w:bidi="ar"/>
        </w:rPr>
        <w:t>）污泥处置风险防范措施</w:t>
      </w:r>
    </w:p>
    <w:p w14:paraId="367EEB89">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①贮泥池设计时考虑缓冲容积。</w:t>
      </w:r>
    </w:p>
    <w:p w14:paraId="6594734E">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②选用优质的污泥脱水处理设备，浓缩机、压滤机等主要设备设置备用件。</w:t>
      </w:r>
    </w:p>
    <w:p w14:paraId="06657452">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③对污泥脱水间加强巡检维护，及时发现问题及时解决。</w:t>
      </w:r>
    </w:p>
    <w:p w14:paraId="2B06206A">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④加强供电设施的维护及管理，保证供电设施及线路正常运行。</w:t>
      </w:r>
    </w:p>
    <w:p w14:paraId="318947D4">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⑤一旦发生事故，及时进行设备维修，争取在贮泥池存放污泥的限度内修好，并及时投加药剂，如石灰等，防止污泥发酵，减少恶臭气体排放。</w:t>
      </w:r>
    </w:p>
    <w:p w14:paraId="3DFF954E">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w:t>
      </w:r>
      <w:r>
        <w:rPr>
          <w:rFonts w:hint="eastAsia" w:cs="Times New Roman"/>
          <w:lang w:val="en-US" w:eastAsia="zh-CN" w:bidi="ar"/>
        </w:rPr>
        <w:t>3</w:t>
      </w:r>
      <w:r>
        <w:rPr>
          <w:rFonts w:hint="eastAsia" w:ascii="Times New Roman" w:hAnsi="Times New Roman" w:cs="Times New Roman"/>
          <w:lang w:val="en-US" w:eastAsia="zh-CN" w:bidi="ar"/>
        </w:rPr>
        <w:t>）恶臭处理风险防范措施</w:t>
      </w:r>
    </w:p>
    <w:p w14:paraId="4B5B2379">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①除臭设备和风机等臭气处理设备均设置备用设备。</w:t>
      </w:r>
    </w:p>
    <w:p w14:paraId="44EB9275">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②对除臭设备进行定期检修，维护仪器仪表等设备的正常运作。</w:t>
      </w:r>
    </w:p>
    <w:p w14:paraId="0B8244E4">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③安装设备故障报警及联动停机装置，一旦设备运行故障，则立刻停机。</w:t>
      </w:r>
    </w:p>
    <w:p w14:paraId="052AB494">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④加强供电设施的维护及管理，保证供电设施及线路正常运行。</w:t>
      </w:r>
    </w:p>
    <w:p w14:paraId="3E85FA1A">
      <w:pPr>
        <w:pStyle w:val="5"/>
        <w:rPr>
          <w:rFonts w:hint="eastAsia" w:eastAsia="宋体"/>
          <w:lang w:val="en-US" w:eastAsia="zh-CN"/>
        </w:rPr>
      </w:pPr>
      <w:r>
        <w:rPr>
          <w:rFonts w:hint="eastAsia" w:eastAsia="宋体"/>
          <w:lang w:val="en-US" w:eastAsia="zh-CN"/>
        </w:rPr>
        <w:t>6.3.7.2应急预案</w:t>
      </w:r>
    </w:p>
    <w:p w14:paraId="5E4ABD29">
      <w:pPr>
        <w:spacing w:line="360" w:lineRule="auto"/>
        <w:ind w:firstLine="480" w:firstLineChars="200"/>
        <w:rPr>
          <w:rFonts w:hint="eastAsia"/>
        </w:rPr>
      </w:pPr>
      <w:r>
        <w:rPr>
          <w:rFonts w:hint="eastAsia"/>
        </w:rPr>
        <w:t>事故应急救援预案应由管理和操作人员针对装置的具体情况进行编写，为了 能在事故发生的初期阶段采取紧急措施，控制事态，把事故损失降低到最小。针 对可能出现较大事故，应该制定相应的事故应急预案。</w:t>
      </w:r>
    </w:p>
    <w:p w14:paraId="013E6A70">
      <w:pPr>
        <w:spacing w:line="360" w:lineRule="auto"/>
        <w:ind w:firstLine="480" w:firstLineChars="200"/>
        <w:rPr>
          <w:rFonts w:hint="eastAsia"/>
        </w:rPr>
      </w:pPr>
      <w:r>
        <w:rPr>
          <w:rFonts w:hint="eastAsia"/>
        </w:rPr>
        <w:t>根据《建设项目环境风险评价技术导则》，应急预案的主要内容应包括下表 中的内容表</w:t>
      </w:r>
      <w:r>
        <w:rPr>
          <w:rFonts w:hint="eastAsia"/>
          <w:lang w:val="en-US" w:eastAsia="zh-CN"/>
        </w:rPr>
        <w:t>6.3-8</w:t>
      </w:r>
      <w:r>
        <w:rPr>
          <w:rFonts w:hint="eastAsia"/>
        </w:rPr>
        <w:t>。</w:t>
      </w:r>
    </w:p>
    <w:p w14:paraId="0506A68A">
      <w:pPr>
        <w:spacing w:line="360" w:lineRule="auto"/>
        <w:jc w:val="center"/>
        <w:rPr>
          <w:b/>
        </w:rPr>
      </w:pPr>
      <w:r>
        <w:rPr>
          <w:b/>
        </w:rPr>
        <w:t>表</w:t>
      </w:r>
      <w:r>
        <w:rPr>
          <w:rFonts w:hint="eastAsia"/>
          <w:b/>
          <w:lang w:val="en-US" w:eastAsia="zh-CN"/>
        </w:rPr>
        <w:t>6.3-8</w:t>
      </w:r>
      <w:r>
        <w:rPr>
          <w:b/>
        </w:rPr>
        <w:t xml:space="preserve"> 应急预案主要内容</w:t>
      </w:r>
    </w:p>
    <w:p w14:paraId="46696EA4">
      <w:pPr>
        <w:spacing w:line="143" w:lineRule="auto"/>
        <w:rPr>
          <w:rFonts w:ascii="Arial"/>
          <w:sz w:val="2"/>
        </w:rPr>
      </w:pPr>
    </w:p>
    <w:tbl>
      <w:tblPr>
        <w:tblStyle w:val="500"/>
        <w:tblW w:w="9179"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0"/>
        <w:gridCol w:w="2960"/>
        <w:gridCol w:w="5409"/>
      </w:tblGrid>
      <w:tr w14:paraId="6DE3AC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810" w:type="dxa"/>
            <w:vAlign w:val="center"/>
          </w:tcPr>
          <w:p w14:paraId="2E185A78">
            <w:pPr>
              <w:spacing w:before="64" w:line="227" w:lineRule="auto"/>
              <w:ind w:left="244"/>
              <w:jc w:val="both"/>
              <w:rPr>
                <w:rFonts w:hint="default" w:ascii="Times New Roman" w:hAnsi="Times New Roman" w:eastAsia="宋体" w:cs="Times New Roman"/>
                <w:sz w:val="21"/>
                <w:szCs w:val="21"/>
              </w:rPr>
            </w:pPr>
            <w:r>
              <w:rPr>
                <w:rFonts w:hint="default" w:ascii="Times New Roman" w:hAnsi="Times New Roman" w:eastAsia="宋体" w:cs="Times New Roman"/>
                <w:spacing w:val="5"/>
                <w:sz w:val="21"/>
                <w:szCs w:val="21"/>
              </w:rPr>
              <w:t>序号</w:t>
            </w:r>
          </w:p>
        </w:tc>
        <w:tc>
          <w:tcPr>
            <w:tcW w:w="2960" w:type="dxa"/>
            <w:vAlign w:val="center"/>
          </w:tcPr>
          <w:p w14:paraId="7E87A31F">
            <w:pPr>
              <w:spacing w:before="64" w:line="227" w:lineRule="auto"/>
              <w:ind w:left="982"/>
              <w:jc w:val="center"/>
              <w:rPr>
                <w:rFonts w:hint="default" w:ascii="Times New Roman" w:hAnsi="Times New Roman" w:eastAsia="宋体" w:cs="Times New Roman"/>
                <w:sz w:val="21"/>
                <w:szCs w:val="21"/>
              </w:rPr>
            </w:pPr>
            <w:r>
              <w:rPr>
                <w:rFonts w:hint="default" w:ascii="Times New Roman" w:hAnsi="Times New Roman" w:eastAsia="宋体" w:cs="Times New Roman"/>
                <w:spacing w:val="11"/>
                <w:sz w:val="21"/>
                <w:szCs w:val="21"/>
              </w:rPr>
              <w:t>项</w:t>
            </w:r>
            <w:r>
              <w:rPr>
                <w:rFonts w:hint="default" w:ascii="Times New Roman" w:hAnsi="Times New Roman" w:eastAsia="宋体" w:cs="Times New Roman"/>
                <w:spacing w:val="10"/>
                <w:sz w:val="21"/>
                <w:szCs w:val="21"/>
              </w:rPr>
              <w:t>目</w:t>
            </w:r>
          </w:p>
        </w:tc>
        <w:tc>
          <w:tcPr>
            <w:tcW w:w="5409" w:type="dxa"/>
            <w:vAlign w:val="center"/>
          </w:tcPr>
          <w:p w14:paraId="1D26F24B">
            <w:pPr>
              <w:spacing w:before="64" w:line="227" w:lineRule="auto"/>
              <w:ind w:left="1353" w:firstLine="904" w:firstLineChars="400"/>
              <w:jc w:val="both"/>
              <w:rPr>
                <w:rFonts w:hint="default" w:ascii="Times New Roman" w:hAnsi="Times New Roman" w:eastAsia="宋体" w:cs="Times New Roman"/>
                <w:sz w:val="21"/>
                <w:szCs w:val="21"/>
              </w:rPr>
            </w:pPr>
            <w:r>
              <w:rPr>
                <w:rFonts w:hint="default" w:ascii="Times New Roman" w:hAnsi="Times New Roman" w:eastAsia="宋体" w:cs="Times New Roman"/>
                <w:spacing w:val="8"/>
                <w:sz w:val="21"/>
                <w:szCs w:val="21"/>
              </w:rPr>
              <w:t>内</w:t>
            </w:r>
            <w:r>
              <w:rPr>
                <w:rFonts w:hint="default" w:ascii="Times New Roman" w:hAnsi="Times New Roman" w:eastAsia="宋体" w:cs="Times New Roman"/>
                <w:spacing w:val="4"/>
                <w:sz w:val="21"/>
                <w:szCs w:val="21"/>
              </w:rPr>
              <w:t>容及要求</w:t>
            </w:r>
          </w:p>
        </w:tc>
      </w:tr>
      <w:tr w14:paraId="1937A9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810" w:type="dxa"/>
            <w:vAlign w:val="center"/>
          </w:tcPr>
          <w:p w14:paraId="70BAD427">
            <w:pPr>
              <w:jc w:val="center"/>
              <w:rPr>
                <w:rFonts w:hint="default"/>
                <w:sz w:val="21"/>
                <w:szCs w:val="21"/>
              </w:rPr>
            </w:pPr>
            <w:r>
              <w:rPr>
                <w:rFonts w:hint="default"/>
                <w:sz w:val="21"/>
                <w:szCs w:val="21"/>
              </w:rPr>
              <w:t>1</w:t>
            </w:r>
          </w:p>
        </w:tc>
        <w:tc>
          <w:tcPr>
            <w:tcW w:w="2960" w:type="dxa"/>
            <w:vAlign w:val="center"/>
          </w:tcPr>
          <w:p w14:paraId="7D69432E">
            <w:pPr>
              <w:jc w:val="center"/>
              <w:rPr>
                <w:rFonts w:hint="default"/>
                <w:sz w:val="21"/>
                <w:szCs w:val="21"/>
              </w:rPr>
            </w:pPr>
            <w:r>
              <w:rPr>
                <w:rFonts w:hint="default"/>
                <w:sz w:val="21"/>
                <w:szCs w:val="21"/>
              </w:rPr>
              <w:t>应急计划区</w:t>
            </w:r>
          </w:p>
        </w:tc>
        <w:tc>
          <w:tcPr>
            <w:tcW w:w="5409" w:type="dxa"/>
            <w:vAlign w:val="center"/>
          </w:tcPr>
          <w:p w14:paraId="662A45CD">
            <w:pPr>
              <w:jc w:val="center"/>
              <w:rPr>
                <w:rFonts w:hint="default"/>
                <w:sz w:val="21"/>
                <w:szCs w:val="21"/>
              </w:rPr>
            </w:pPr>
            <w:r>
              <w:rPr>
                <w:rFonts w:hint="default"/>
                <w:sz w:val="21"/>
                <w:szCs w:val="21"/>
              </w:rPr>
              <w:t>危险目标：装置区、环境保护目标</w:t>
            </w:r>
          </w:p>
        </w:tc>
      </w:tr>
      <w:tr w14:paraId="7741C5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810" w:type="dxa"/>
            <w:vAlign w:val="center"/>
          </w:tcPr>
          <w:p w14:paraId="6EA8FA37">
            <w:pPr>
              <w:jc w:val="center"/>
              <w:rPr>
                <w:rFonts w:hint="default"/>
                <w:sz w:val="21"/>
                <w:szCs w:val="21"/>
              </w:rPr>
            </w:pPr>
            <w:r>
              <w:rPr>
                <w:rFonts w:hint="default"/>
                <w:sz w:val="21"/>
                <w:szCs w:val="21"/>
              </w:rPr>
              <w:t>2</w:t>
            </w:r>
          </w:p>
        </w:tc>
        <w:tc>
          <w:tcPr>
            <w:tcW w:w="2960" w:type="dxa"/>
            <w:vAlign w:val="center"/>
          </w:tcPr>
          <w:p w14:paraId="3C078929">
            <w:pPr>
              <w:jc w:val="center"/>
              <w:rPr>
                <w:rFonts w:hint="default"/>
                <w:sz w:val="21"/>
                <w:szCs w:val="21"/>
              </w:rPr>
            </w:pPr>
            <w:r>
              <w:rPr>
                <w:rFonts w:hint="default"/>
                <w:sz w:val="21"/>
                <w:szCs w:val="21"/>
              </w:rPr>
              <w:t>应急组织机构、人员</w:t>
            </w:r>
          </w:p>
        </w:tc>
        <w:tc>
          <w:tcPr>
            <w:tcW w:w="5409" w:type="dxa"/>
            <w:vAlign w:val="center"/>
          </w:tcPr>
          <w:p w14:paraId="22085BB8">
            <w:pPr>
              <w:jc w:val="center"/>
              <w:rPr>
                <w:rFonts w:hint="default"/>
                <w:sz w:val="21"/>
                <w:szCs w:val="21"/>
              </w:rPr>
            </w:pPr>
            <w:r>
              <w:rPr>
                <w:rFonts w:hint="default"/>
                <w:sz w:val="21"/>
                <w:szCs w:val="21"/>
              </w:rPr>
              <w:t>工厂、地区应急组织机构、人员</w:t>
            </w:r>
          </w:p>
        </w:tc>
      </w:tr>
      <w:tr w14:paraId="2ECCA5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810" w:type="dxa"/>
            <w:vAlign w:val="center"/>
          </w:tcPr>
          <w:p w14:paraId="21556F7B">
            <w:pPr>
              <w:jc w:val="center"/>
              <w:rPr>
                <w:rFonts w:hint="default"/>
                <w:sz w:val="21"/>
                <w:szCs w:val="21"/>
              </w:rPr>
            </w:pPr>
            <w:r>
              <w:rPr>
                <w:rFonts w:hint="default"/>
                <w:sz w:val="21"/>
                <w:szCs w:val="21"/>
              </w:rPr>
              <w:t>3</w:t>
            </w:r>
          </w:p>
        </w:tc>
        <w:tc>
          <w:tcPr>
            <w:tcW w:w="2960" w:type="dxa"/>
            <w:vAlign w:val="center"/>
          </w:tcPr>
          <w:p w14:paraId="1BD21EA8">
            <w:pPr>
              <w:jc w:val="center"/>
              <w:rPr>
                <w:rFonts w:hint="default"/>
                <w:sz w:val="21"/>
                <w:szCs w:val="21"/>
              </w:rPr>
            </w:pPr>
            <w:r>
              <w:rPr>
                <w:rFonts w:hint="default"/>
                <w:sz w:val="21"/>
                <w:szCs w:val="21"/>
              </w:rPr>
              <w:t>预案分级响应条件</w:t>
            </w:r>
          </w:p>
        </w:tc>
        <w:tc>
          <w:tcPr>
            <w:tcW w:w="5409" w:type="dxa"/>
            <w:vAlign w:val="center"/>
          </w:tcPr>
          <w:p w14:paraId="6D12E1E3">
            <w:pPr>
              <w:jc w:val="center"/>
              <w:rPr>
                <w:rFonts w:hint="default"/>
                <w:sz w:val="21"/>
                <w:szCs w:val="21"/>
              </w:rPr>
            </w:pPr>
            <w:r>
              <w:rPr>
                <w:rFonts w:hint="default"/>
                <w:sz w:val="21"/>
                <w:szCs w:val="21"/>
              </w:rPr>
              <w:t>规定预案的级别及分级响应程序</w:t>
            </w:r>
          </w:p>
        </w:tc>
      </w:tr>
      <w:tr w14:paraId="61E06D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810" w:type="dxa"/>
            <w:vAlign w:val="center"/>
          </w:tcPr>
          <w:p w14:paraId="692D6DA8">
            <w:pPr>
              <w:jc w:val="center"/>
              <w:rPr>
                <w:rFonts w:hint="default"/>
                <w:sz w:val="21"/>
                <w:szCs w:val="21"/>
              </w:rPr>
            </w:pPr>
            <w:r>
              <w:rPr>
                <w:rFonts w:hint="default"/>
                <w:sz w:val="21"/>
                <w:szCs w:val="21"/>
              </w:rPr>
              <w:t>4</w:t>
            </w:r>
          </w:p>
        </w:tc>
        <w:tc>
          <w:tcPr>
            <w:tcW w:w="2960" w:type="dxa"/>
            <w:vAlign w:val="center"/>
          </w:tcPr>
          <w:p w14:paraId="7FE59C82">
            <w:pPr>
              <w:jc w:val="center"/>
              <w:rPr>
                <w:rFonts w:hint="default"/>
                <w:sz w:val="21"/>
                <w:szCs w:val="21"/>
              </w:rPr>
            </w:pPr>
            <w:r>
              <w:rPr>
                <w:rFonts w:hint="default"/>
                <w:sz w:val="21"/>
                <w:szCs w:val="21"/>
              </w:rPr>
              <w:t>应急救援保障</w:t>
            </w:r>
          </w:p>
        </w:tc>
        <w:tc>
          <w:tcPr>
            <w:tcW w:w="5409" w:type="dxa"/>
            <w:vAlign w:val="center"/>
          </w:tcPr>
          <w:p w14:paraId="3D18BF61">
            <w:pPr>
              <w:jc w:val="center"/>
              <w:rPr>
                <w:rFonts w:hint="default"/>
                <w:sz w:val="21"/>
                <w:szCs w:val="21"/>
              </w:rPr>
            </w:pPr>
            <w:r>
              <w:rPr>
                <w:rFonts w:hint="default"/>
                <w:sz w:val="21"/>
                <w:szCs w:val="21"/>
              </w:rPr>
              <w:t>应急设施，设备与器材等</w:t>
            </w:r>
          </w:p>
        </w:tc>
      </w:tr>
      <w:tr w14:paraId="08BE8D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trPr>
        <w:tc>
          <w:tcPr>
            <w:tcW w:w="810" w:type="dxa"/>
            <w:vAlign w:val="center"/>
          </w:tcPr>
          <w:p w14:paraId="7F0A5717">
            <w:pPr>
              <w:jc w:val="center"/>
              <w:rPr>
                <w:rFonts w:hint="default"/>
                <w:sz w:val="21"/>
                <w:szCs w:val="21"/>
              </w:rPr>
            </w:pPr>
            <w:r>
              <w:rPr>
                <w:rFonts w:hint="default"/>
                <w:sz w:val="21"/>
                <w:szCs w:val="21"/>
              </w:rPr>
              <w:t>5</w:t>
            </w:r>
          </w:p>
        </w:tc>
        <w:tc>
          <w:tcPr>
            <w:tcW w:w="2960" w:type="dxa"/>
            <w:vAlign w:val="center"/>
          </w:tcPr>
          <w:p w14:paraId="314B57F1">
            <w:pPr>
              <w:jc w:val="center"/>
              <w:rPr>
                <w:rFonts w:hint="default"/>
                <w:sz w:val="21"/>
                <w:szCs w:val="21"/>
              </w:rPr>
            </w:pPr>
            <w:r>
              <w:rPr>
                <w:rFonts w:hint="default"/>
                <w:sz w:val="21"/>
                <w:szCs w:val="21"/>
              </w:rPr>
              <w:t>报警、通讯联络方式</w:t>
            </w:r>
          </w:p>
        </w:tc>
        <w:tc>
          <w:tcPr>
            <w:tcW w:w="5409" w:type="dxa"/>
            <w:vAlign w:val="center"/>
          </w:tcPr>
          <w:p w14:paraId="43689568">
            <w:pPr>
              <w:jc w:val="center"/>
              <w:rPr>
                <w:rFonts w:hint="default"/>
                <w:sz w:val="21"/>
                <w:szCs w:val="21"/>
              </w:rPr>
            </w:pPr>
            <w:r>
              <w:rPr>
                <w:rFonts w:hint="default"/>
                <w:sz w:val="21"/>
                <w:szCs w:val="21"/>
              </w:rPr>
              <w:t>规定应急状态下的报警通讯方式、通知方式和交通保障、 管制</w:t>
            </w:r>
          </w:p>
        </w:tc>
      </w:tr>
      <w:tr w14:paraId="6959DD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trPr>
        <w:tc>
          <w:tcPr>
            <w:tcW w:w="810" w:type="dxa"/>
            <w:vAlign w:val="center"/>
          </w:tcPr>
          <w:p w14:paraId="707FE11D">
            <w:pPr>
              <w:jc w:val="center"/>
              <w:rPr>
                <w:rFonts w:hint="default"/>
                <w:sz w:val="21"/>
                <w:szCs w:val="21"/>
              </w:rPr>
            </w:pPr>
            <w:r>
              <w:rPr>
                <w:rFonts w:hint="default"/>
                <w:sz w:val="21"/>
                <w:szCs w:val="21"/>
              </w:rPr>
              <w:t>6</w:t>
            </w:r>
          </w:p>
        </w:tc>
        <w:tc>
          <w:tcPr>
            <w:tcW w:w="2960" w:type="dxa"/>
            <w:vAlign w:val="center"/>
          </w:tcPr>
          <w:p w14:paraId="3A70CE4A">
            <w:pPr>
              <w:jc w:val="center"/>
              <w:rPr>
                <w:rFonts w:hint="default"/>
                <w:sz w:val="21"/>
                <w:szCs w:val="21"/>
              </w:rPr>
            </w:pPr>
            <w:r>
              <w:rPr>
                <w:rFonts w:hint="default"/>
                <w:sz w:val="21"/>
                <w:szCs w:val="21"/>
              </w:rPr>
              <w:t>应急环境监测、抢险、救援及控制措施</w:t>
            </w:r>
          </w:p>
        </w:tc>
        <w:tc>
          <w:tcPr>
            <w:tcW w:w="5409" w:type="dxa"/>
            <w:vAlign w:val="center"/>
          </w:tcPr>
          <w:p w14:paraId="22462669">
            <w:pPr>
              <w:jc w:val="center"/>
              <w:rPr>
                <w:rFonts w:hint="default"/>
                <w:sz w:val="21"/>
                <w:szCs w:val="21"/>
              </w:rPr>
            </w:pPr>
            <w:r>
              <w:rPr>
                <w:rFonts w:hint="default"/>
                <w:sz w:val="21"/>
                <w:szCs w:val="21"/>
              </w:rPr>
              <w:t>由专业队伍负责对事故现场进行侦察监测，对事故性质、 参数与后果进行评估，为指挥部门提供决策依据</w:t>
            </w:r>
          </w:p>
        </w:tc>
      </w:tr>
      <w:tr w14:paraId="778F2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trPr>
        <w:tc>
          <w:tcPr>
            <w:tcW w:w="810" w:type="dxa"/>
            <w:vAlign w:val="center"/>
          </w:tcPr>
          <w:p w14:paraId="10D338AF">
            <w:pPr>
              <w:jc w:val="center"/>
              <w:rPr>
                <w:rFonts w:hint="default"/>
                <w:sz w:val="21"/>
                <w:szCs w:val="21"/>
              </w:rPr>
            </w:pPr>
            <w:r>
              <w:rPr>
                <w:rFonts w:hint="default"/>
                <w:sz w:val="21"/>
                <w:szCs w:val="21"/>
              </w:rPr>
              <w:t>7</w:t>
            </w:r>
          </w:p>
        </w:tc>
        <w:tc>
          <w:tcPr>
            <w:tcW w:w="2960" w:type="dxa"/>
            <w:vAlign w:val="center"/>
          </w:tcPr>
          <w:p w14:paraId="160EF6F7">
            <w:pPr>
              <w:jc w:val="center"/>
              <w:rPr>
                <w:rFonts w:hint="default"/>
                <w:sz w:val="21"/>
                <w:szCs w:val="21"/>
              </w:rPr>
            </w:pPr>
            <w:r>
              <w:rPr>
                <w:rFonts w:hint="default"/>
                <w:sz w:val="21"/>
                <w:szCs w:val="21"/>
              </w:rPr>
              <w:t>应急检测、防护措施、清除 泄漏措施和器材</w:t>
            </w:r>
          </w:p>
        </w:tc>
        <w:tc>
          <w:tcPr>
            <w:tcW w:w="5409" w:type="dxa"/>
            <w:vAlign w:val="center"/>
          </w:tcPr>
          <w:p w14:paraId="143F4F55">
            <w:pPr>
              <w:jc w:val="center"/>
              <w:rPr>
                <w:rFonts w:hint="default"/>
                <w:sz w:val="21"/>
                <w:szCs w:val="21"/>
              </w:rPr>
            </w:pPr>
            <w:r>
              <w:rPr>
                <w:rFonts w:hint="default"/>
                <w:sz w:val="21"/>
                <w:szCs w:val="21"/>
              </w:rPr>
              <w:t>事故现场、邻近区域、控制防火区域，控制和清除污染措 施及相应设备</w:t>
            </w:r>
          </w:p>
        </w:tc>
      </w:tr>
      <w:tr w14:paraId="690082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9" w:hRule="atLeast"/>
        </w:trPr>
        <w:tc>
          <w:tcPr>
            <w:tcW w:w="810" w:type="dxa"/>
            <w:vAlign w:val="center"/>
          </w:tcPr>
          <w:p w14:paraId="0F3CCE54">
            <w:pPr>
              <w:jc w:val="center"/>
              <w:rPr>
                <w:rFonts w:hint="default"/>
                <w:sz w:val="21"/>
                <w:szCs w:val="21"/>
              </w:rPr>
            </w:pPr>
            <w:r>
              <w:rPr>
                <w:rFonts w:hint="default"/>
                <w:sz w:val="21"/>
                <w:szCs w:val="21"/>
              </w:rPr>
              <w:t>8</w:t>
            </w:r>
          </w:p>
        </w:tc>
        <w:tc>
          <w:tcPr>
            <w:tcW w:w="2960" w:type="dxa"/>
            <w:vAlign w:val="center"/>
          </w:tcPr>
          <w:p w14:paraId="7C036BC5">
            <w:pPr>
              <w:jc w:val="center"/>
              <w:rPr>
                <w:rFonts w:hint="default"/>
                <w:sz w:val="21"/>
                <w:szCs w:val="21"/>
              </w:rPr>
            </w:pPr>
            <w:r>
              <w:rPr>
                <w:rFonts w:hint="default"/>
                <w:sz w:val="21"/>
                <w:szCs w:val="21"/>
              </w:rPr>
              <w:t>人员紧急撤离、疏散，应急剂量控制、撤离组织计划</w:t>
            </w:r>
          </w:p>
        </w:tc>
        <w:tc>
          <w:tcPr>
            <w:tcW w:w="5409" w:type="dxa"/>
            <w:vAlign w:val="center"/>
          </w:tcPr>
          <w:p w14:paraId="4523D9A7">
            <w:pPr>
              <w:jc w:val="center"/>
              <w:rPr>
                <w:rFonts w:hint="default"/>
                <w:sz w:val="21"/>
                <w:szCs w:val="21"/>
              </w:rPr>
            </w:pPr>
            <w:r>
              <w:rPr>
                <w:rFonts w:hint="default"/>
                <w:sz w:val="21"/>
                <w:szCs w:val="21"/>
              </w:rPr>
              <w:t>事故现场、工厂邻近区、受事故影响的区域人员及公众对毒物应急剂量控制规定，撤离组织计划及救护，医疗救护与公众健康</w:t>
            </w:r>
          </w:p>
        </w:tc>
      </w:tr>
      <w:tr w14:paraId="100ADE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2" w:hRule="atLeast"/>
        </w:trPr>
        <w:tc>
          <w:tcPr>
            <w:tcW w:w="810" w:type="dxa"/>
            <w:vAlign w:val="center"/>
          </w:tcPr>
          <w:p w14:paraId="4A56A1A7">
            <w:pPr>
              <w:jc w:val="center"/>
              <w:rPr>
                <w:rFonts w:hint="default"/>
                <w:sz w:val="21"/>
                <w:szCs w:val="21"/>
              </w:rPr>
            </w:pPr>
            <w:r>
              <w:rPr>
                <w:rFonts w:hint="default"/>
                <w:sz w:val="21"/>
                <w:szCs w:val="21"/>
              </w:rPr>
              <w:t>9</w:t>
            </w:r>
          </w:p>
        </w:tc>
        <w:tc>
          <w:tcPr>
            <w:tcW w:w="2960" w:type="dxa"/>
            <w:vAlign w:val="center"/>
          </w:tcPr>
          <w:p w14:paraId="63EAB509">
            <w:pPr>
              <w:jc w:val="center"/>
              <w:rPr>
                <w:rFonts w:hint="default"/>
                <w:sz w:val="21"/>
                <w:szCs w:val="21"/>
              </w:rPr>
            </w:pPr>
            <w:r>
              <w:rPr>
                <w:rFonts w:hint="default"/>
                <w:sz w:val="21"/>
                <w:szCs w:val="21"/>
              </w:rPr>
              <w:t>事故应急救援关闭程序与恢复措施</w:t>
            </w:r>
          </w:p>
        </w:tc>
        <w:tc>
          <w:tcPr>
            <w:tcW w:w="5409" w:type="dxa"/>
            <w:vAlign w:val="center"/>
          </w:tcPr>
          <w:p w14:paraId="512401DA">
            <w:pPr>
              <w:jc w:val="center"/>
              <w:rPr>
                <w:rFonts w:hint="default"/>
                <w:sz w:val="21"/>
                <w:szCs w:val="21"/>
              </w:rPr>
            </w:pPr>
            <w:r>
              <w:rPr>
                <w:rFonts w:hint="default"/>
                <w:sz w:val="21"/>
                <w:szCs w:val="21"/>
              </w:rPr>
              <w:t>规定应急状态终止程序事故现场善后处理，恢复措施邻近 区域解除事故警戒及善后恢复措施</w:t>
            </w:r>
          </w:p>
        </w:tc>
      </w:tr>
      <w:tr w14:paraId="6F8D56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7" w:hRule="atLeast"/>
        </w:trPr>
        <w:tc>
          <w:tcPr>
            <w:tcW w:w="810" w:type="dxa"/>
            <w:vAlign w:val="center"/>
          </w:tcPr>
          <w:p w14:paraId="533230DD">
            <w:pPr>
              <w:jc w:val="center"/>
              <w:rPr>
                <w:rFonts w:hint="default"/>
                <w:sz w:val="21"/>
                <w:szCs w:val="21"/>
              </w:rPr>
            </w:pPr>
            <w:r>
              <w:rPr>
                <w:rFonts w:hint="default"/>
                <w:sz w:val="21"/>
                <w:szCs w:val="21"/>
              </w:rPr>
              <w:t>10</w:t>
            </w:r>
          </w:p>
        </w:tc>
        <w:tc>
          <w:tcPr>
            <w:tcW w:w="2960" w:type="dxa"/>
            <w:vAlign w:val="center"/>
          </w:tcPr>
          <w:p w14:paraId="6CF5D730">
            <w:pPr>
              <w:jc w:val="center"/>
              <w:rPr>
                <w:rFonts w:hint="default"/>
                <w:sz w:val="21"/>
                <w:szCs w:val="21"/>
              </w:rPr>
            </w:pPr>
            <w:r>
              <w:rPr>
                <w:rFonts w:hint="default"/>
                <w:sz w:val="21"/>
                <w:szCs w:val="21"/>
              </w:rPr>
              <w:t>应急培训计划</w:t>
            </w:r>
          </w:p>
        </w:tc>
        <w:tc>
          <w:tcPr>
            <w:tcW w:w="5409" w:type="dxa"/>
            <w:vAlign w:val="center"/>
          </w:tcPr>
          <w:p w14:paraId="2B36902C">
            <w:pPr>
              <w:jc w:val="center"/>
              <w:rPr>
                <w:rFonts w:hint="default"/>
                <w:sz w:val="21"/>
                <w:szCs w:val="21"/>
              </w:rPr>
            </w:pPr>
            <w:r>
              <w:rPr>
                <w:rFonts w:hint="default"/>
                <w:sz w:val="21"/>
                <w:szCs w:val="21"/>
              </w:rPr>
              <w:t>应急计划制定后，平时安排人员培训与演练</w:t>
            </w:r>
          </w:p>
        </w:tc>
      </w:tr>
      <w:tr w14:paraId="24A489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810" w:type="dxa"/>
            <w:vAlign w:val="center"/>
          </w:tcPr>
          <w:p w14:paraId="2DF992BF">
            <w:pPr>
              <w:jc w:val="center"/>
              <w:rPr>
                <w:rFonts w:hint="default"/>
                <w:sz w:val="21"/>
                <w:szCs w:val="21"/>
              </w:rPr>
            </w:pPr>
            <w:r>
              <w:rPr>
                <w:rFonts w:hint="default"/>
                <w:sz w:val="21"/>
                <w:szCs w:val="21"/>
              </w:rPr>
              <w:t>11</w:t>
            </w:r>
          </w:p>
        </w:tc>
        <w:tc>
          <w:tcPr>
            <w:tcW w:w="2960" w:type="dxa"/>
            <w:vAlign w:val="center"/>
          </w:tcPr>
          <w:p w14:paraId="376A7382">
            <w:pPr>
              <w:jc w:val="center"/>
              <w:rPr>
                <w:rFonts w:hint="default"/>
                <w:sz w:val="21"/>
                <w:szCs w:val="21"/>
              </w:rPr>
            </w:pPr>
            <w:r>
              <w:rPr>
                <w:rFonts w:hint="default"/>
                <w:sz w:val="21"/>
                <w:szCs w:val="21"/>
              </w:rPr>
              <w:t>公众教育和信息</w:t>
            </w:r>
          </w:p>
        </w:tc>
        <w:tc>
          <w:tcPr>
            <w:tcW w:w="5409" w:type="dxa"/>
            <w:vAlign w:val="center"/>
          </w:tcPr>
          <w:p w14:paraId="00818498">
            <w:pPr>
              <w:jc w:val="center"/>
              <w:rPr>
                <w:rFonts w:hint="default"/>
                <w:sz w:val="21"/>
                <w:szCs w:val="21"/>
              </w:rPr>
            </w:pPr>
            <w:r>
              <w:rPr>
                <w:rFonts w:hint="default"/>
                <w:sz w:val="21"/>
                <w:szCs w:val="21"/>
              </w:rPr>
              <w:t>对工厂邻近地区开展公众教育、培训和发布有关信息</w:t>
            </w:r>
          </w:p>
        </w:tc>
      </w:tr>
    </w:tbl>
    <w:p w14:paraId="7B943F17">
      <w:pPr>
        <w:spacing w:line="360" w:lineRule="auto"/>
        <w:ind w:firstLine="480" w:firstLineChars="200"/>
      </w:pPr>
      <w:r>
        <w:br w:type="page"/>
      </w:r>
    </w:p>
    <w:p w14:paraId="1B83291A">
      <w:pPr>
        <w:pStyle w:val="2"/>
      </w:pPr>
      <w:bookmarkStart w:id="433" w:name="_Toc13379"/>
      <w:r>
        <w:t>7.环境影响经济损益分析</w:t>
      </w:r>
      <w:bookmarkEnd w:id="430"/>
      <w:bookmarkEnd w:id="431"/>
      <w:bookmarkEnd w:id="432"/>
      <w:bookmarkEnd w:id="433"/>
    </w:p>
    <w:p w14:paraId="7ED40E9B">
      <w:pPr>
        <w:pStyle w:val="3"/>
      </w:pPr>
      <w:bookmarkStart w:id="434" w:name="_Toc23015"/>
      <w:bookmarkStart w:id="435" w:name="_Toc6924"/>
      <w:bookmarkStart w:id="436" w:name="_Toc490466589"/>
      <w:bookmarkStart w:id="437" w:name="_Toc32605"/>
      <w:bookmarkStart w:id="438" w:name="_Toc29416"/>
      <w:bookmarkStart w:id="439" w:name="_Toc17583"/>
      <w:bookmarkStart w:id="440" w:name="_Toc17196"/>
      <w:bookmarkStart w:id="441" w:name="_Toc17134"/>
      <w:bookmarkStart w:id="442" w:name="_Toc31734"/>
      <w:r>
        <w:t>7.1 社会效益</w:t>
      </w:r>
      <w:bookmarkEnd w:id="434"/>
      <w:bookmarkEnd w:id="435"/>
      <w:bookmarkEnd w:id="436"/>
      <w:bookmarkEnd w:id="437"/>
      <w:bookmarkEnd w:id="438"/>
      <w:bookmarkEnd w:id="439"/>
      <w:bookmarkEnd w:id="440"/>
      <w:bookmarkEnd w:id="441"/>
      <w:bookmarkEnd w:id="442"/>
    </w:p>
    <w:p w14:paraId="0CCA3119">
      <w:pPr>
        <w:spacing w:line="360" w:lineRule="auto"/>
        <w:ind w:firstLine="480" w:firstLineChars="200"/>
      </w:pPr>
      <w:bookmarkStart w:id="443" w:name="_Toc21021"/>
      <w:bookmarkStart w:id="444" w:name="_Toc1804"/>
      <w:bookmarkStart w:id="445" w:name="_Toc29818"/>
      <w:bookmarkStart w:id="446" w:name="_Toc13434"/>
      <w:bookmarkStart w:id="447" w:name="_Toc490466590"/>
      <w:bookmarkStart w:id="448" w:name="_Toc23727"/>
      <w:bookmarkStart w:id="449" w:name="_Toc9058"/>
      <w:bookmarkStart w:id="450" w:name="_Toc6524"/>
      <w:r>
        <w:t>据项目特点，结合社会环境现状调查分析，定性分析项目的社会效益。</w:t>
      </w:r>
    </w:p>
    <w:p w14:paraId="7A9E209B">
      <w:pPr>
        <w:spacing w:line="360" w:lineRule="auto"/>
        <w:ind w:firstLine="480" w:firstLineChars="200"/>
        <w:rPr>
          <w:rFonts w:hint="eastAsia"/>
        </w:rPr>
      </w:pPr>
      <w:r>
        <w:rPr>
          <w:rFonts w:hint="eastAsia"/>
        </w:rPr>
        <w:t>（1）本项目的建设，将有效地改善水环境质量，美化城市，提高居民的生活质量，从而减少疾病的产生，增强居民的健康水平，提高居民对项目的认可程度。</w:t>
      </w:r>
    </w:p>
    <w:p w14:paraId="01439960">
      <w:pPr>
        <w:spacing w:line="360" w:lineRule="auto"/>
        <w:ind w:firstLine="480" w:firstLineChars="200"/>
        <w:rPr>
          <w:rFonts w:hint="eastAsia"/>
        </w:rPr>
      </w:pPr>
      <w:r>
        <w:rPr>
          <w:rFonts w:hint="eastAsia"/>
        </w:rPr>
        <w:t>（2）树立良好的城市形象，进一步改善拉哈镇投资环境，吸引更多的外商投资，促进经济的可持续发展，对发展经济具有积极作用。</w:t>
      </w:r>
    </w:p>
    <w:p w14:paraId="6CBCBA4A">
      <w:pPr>
        <w:spacing w:line="360" w:lineRule="auto"/>
        <w:ind w:firstLine="480" w:firstLineChars="200"/>
        <w:rPr>
          <w:rFonts w:hint="eastAsia"/>
        </w:rPr>
      </w:pPr>
      <w:r>
        <w:rPr>
          <w:rFonts w:hint="eastAsia"/>
        </w:rPr>
        <w:t>（3）建设项目将为本地居民提供就业岗位，可解决部分当地劳动力就业问题，可使当地居民整体经济收入增加，有利于改善当地居民的生活条件。</w:t>
      </w:r>
    </w:p>
    <w:p w14:paraId="6DD3DBD6">
      <w:pPr>
        <w:spacing w:line="360" w:lineRule="auto"/>
        <w:ind w:firstLine="480" w:firstLineChars="200"/>
        <w:rPr>
          <w:rFonts w:hint="eastAsia"/>
        </w:rPr>
      </w:pPr>
      <w:r>
        <w:rPr>
          <w:rFonts w:hint="eastAsia"/>
        </w:rPr>
        <w:t>（4）提高当地居民的环保意识，促进当地环保事业的发展。其间接经济效益远大于工程的直接经济效益，社会效益、环境效益十分显著。</w:t>
      </w:r>
    </w:p>
    <w:p w14:paraId="6C817DDD">
      <w:pPr>
        <w:spacing w:line="360" w:lineRule="auto"/>
        <w:ind w:firstLine="480" w:firstLineChars="200"/>
      </w:pPr>
      <w:r>
        <w:t>综上所述，</w:t>
      </w:r>
      <w:r>
        <w:rPr>
          <w:rFonts w:hint="eastAsia"/>
          <w:lang w:eastAsia="zh-CN"/>
        </w:rPr>
        <w:t>本项目</w:t>
      </w:r>
      <w:r>
        <w:t>的建设对于节约能源，提高城市的环境污染管理，拉动项目所在地的经济发展与腾飞都将起到一定促进作用。</w:t>
      </w:r>
    </w:p>
    <w:p w14:paraId="4F69F13B">
      <w:pPr>
        <w:pStyle w:val="3"/>
        <w:spacing w:line="360" w:lineRule="auto"/>
      </w:pPr>
      <w:bookmarkStart w:id="451" w:name="_Toc22281"/>
      <w:r>
        <w:t xml:space="preserve">7.2 </w:t>
      </w:r>
      <w:r>
        <w:rPr>
          <w:rFonts w:hint="eastAsia"/>
          <w:lang w:val="en-US" w:eastAsia="zh-CN"/>
        </w:rPr>
        <w:t>经济</w:t>
      </w:r>
      <w:r>
        <w:t>效益</w:t>
      </w:r>
      <w:bookmarkEnd w:id="443"/>
      <w:bookmarkEnd w:id="444"/>
      <w:bookmarkEnd w:id="445"/>
      <w:bookmarkEnd w:id="446"/>
      <w:bookmarkEnd w:id="447"/>
      <w:bookmarkEnd w:id="448"/>
      <w:bookmarkEnd w:id="449"/>
      <w:bookmarkEnd w:id="450"/>
      <w:bookmarkEnd w:id="451"/>
    </w:p>
    <w:p w14:paraId="69F8B8CB">
      <w:pPr>
        <w:spacing w:line="360" w:lineRule="auto"/>
        <w:ind w:firstLine="480" w:firstLineChars="200"/>
      </w:pPr>
      <w:bookmarkStart w:id="452" w:name="_Toc10036"/>
      <w:bookmarkStart w:id="453" w:name="_Toc22572"/>
      <w:bookmarkStart w:id="454" w:name="_Toc30066"/>
      <w:bookmarkStart w:id="455" w:name="_Toc28521"/>
      <w:bookmarkStart w:id="456" w:name="_Toc14722"/>
      <w:bookmarkStart w:id="457" w:name="_Toc31622"/>
      <w:bookmarkStart w:id="458" w:name="_Toc490466591"/>
      <w:bookmarkStart w:id="459" w:name="_Toc3348"/>
      <w:r>
        <w:rPr>
          <w:rFonts w:hint="eastAsia"/>
          <w:lang w:eastAsia="zh-CN"/>
        </w:rPr>
        <w:t>本项目</w:t>
      </w:r>
      <w:r>
        <w:t>建成后具有一定的经济效益，并具有一定的抗风险能力，从经济角度而言，该工程是可行的。该项目财务分析的各项指标均好，其内部收益率、投资回收期、投资利润率、投资利税率等都优于基准值。项目有一定的抗风险能力，项目在运营中项目获利能力强。</w:t>
      </w:r>
    </w:p>
    <w:bookmarkEnd w:id="452"/>
    <w:bookmarkEnd w:id="453"/>
    <w:bookmarkEnd w:id="454"/>
    <w:bookmarkEnd w:id="455"/>
    <w:bookmarkEnd w:id="456"/>
    <w:bookmarkEnd w:id="457"/>
    <w:bookmarkEnd w:id="458"/>
    <w:bookmarkEnd w:id="459"/>
    <w:p w14:paraId="109578B3">
      <w:pPr>
        <w:pStyle w:val="3"/>
        <w:tabs>
          <w:tab w:val="left" w:pos="836"/>
        </w:tabs>
        <w:spacing w:before="41" w:line="360" w:lineRule="auto"/>
      </w:pPr>
      <w:bookmarkStart w:id="460" w:name="_Toc30060"/>
      <w:r>
        <w:t>7.3环境效益分析</w:t>
      </w:r>
      <w:bookmarkEnd w:id="460"/>
    </w:p>
    <w:p w14:paraId="27AEB9C3">
      <w:pPr>
        <w:spacing w:line="360" w:lineRule="auto"/>
        <w:ind w:firstLine="480" w:firstLineChars="200"/>
        <w:rPr>
          <w:rFonts w:ascii="Times New Roman" w:hAnsi="Times New Roman" w:eastAsia="宋体" w:cs="Times New Roman"/>
        </w:rPr>
      </w:pPr>
      <w:bookmarkStart w:id="461" w:name="7.4_结论"/>
      <w:bookmarkEnd w:id="461"/>
      <w:bookmarkStart w:id="462" w:name="_bookmark34"/>
      <w:bookmarkEnd w:id="462"/>
      <w:r>
        <w:rPr>
          <w:rFonts w:hint="eastAsia" w:cs="Times New Roman"/>
          <w:lang w:eastAsia="zh-CN"/>
        </w:rPr>
        <w:t>本项目</w:t>
      </w:r>
      <w:r>
        <w:rPr>
          <w:rFonts w:ascii="Times New Roman" w:hAnsi="Times New Roman" w:eastAsia="宋体" w:cs="Times New Roman"/>
        </w:rPr>
        <w:t>总投资</w:t>
      </w:r>
      <w:r>
        <w:rPr>
          <w:rFonts w:hint="eastAsia" w:ascii="Times New Roman" w:hAnsi="Times New Roman" w:eastAsia="宋体" w:cs="Times New Roman"/>
          <w:lang w:val="en-US" w:eastAsia="zh-CN"/>
        </w:rPr>
        <w:t>4050</w:t>
      </w:r>
      <w:r>
        <w:rPr>
          <w:rFonts w:ascii="Times New Roman" w:hAnsi="Times New Roman" w:eastAsia="宋体" w:cs="Times New Roman"/>
        </w:rPr>
        <w:t>万元，环保投资为</w:t>
      </w:r>
      <w:r>
        <w:rPr>
          <w:rFonts w:hint="eastAsia" w:ascii="Times New Roman" w:hAnsi="Times New Roman" w:eastAsia="宋体" w:cs="Times New Roman"/>
          <w:lang w:eastAsia="zh-CN"/>
        </w:rPr>
        <w:t>890</w:t>
      </w:r>
      <w:r>
        <w:rPr>
          <w:rFonts w:ascii="Times New Roman" w:hAnsi="Times New Roman" w:eastAsia="宋体" w:cs="Times New Roman"/>
        </w:rPr>
        <w:t>万元，环保投资比例为</w:t>
      </w:r>
      <w:r>
        <w:rPr>
          <w:rFonts w:hint="eastAsia" w:ascii="Times New Roman" w:hAnsi="Times New Roman" w:eastAsia="宋体" w:cs="Times New Roman"/>
          <w:lang w:eastAsia="zh-CN"/>
        </w:rPr>
        <w:t>19.76</w:t>
      </w:r>
      <w:r>
        <w:rPr>
          <w:rFonts w:ascii="Times New Roman" w:hAnsi="Times New Roman" w:eastAsia="宋体" w:cs="Times New Roman"/>
        </w:rPr>
        <w:t>%。</w:t>
      </w:r>
      <w:r>
        <w:rPr>
          <w:rFonts w:hint="eastAsia" w:cs="Times New Roman"/>
          <w:lang w:eastAsia="zh-CN"/>
        </w:rPr>
        <w:t>本项目</w:t>
      </w:r>
      <w:r>
        <w:rPr>
          <w:rFonts w:ascii="Times New Roman" w:hAnsi="Times New Roman" w:eastAsia="宋体" w:cs="Times New Roman"/>
        </w:rPr>
        <w:t>环保投资一览表见表7.2-1。</w:t>
      </w:r>
    </w:p>
    <w:p w14:paraId="48DC5A16">
      <w:pPr>
        <w:spacing w:line="360" w:lineRule="auto"/>
        <w:ind w:firstLine="2650" w:firstLineChars="1100"/>
        <w:rPr>
          <w:b/>
          <w:kern w:val="18"/>
        </w:rPr>
      </w:pPr>
      <w:r>
        <w:rPr>
          <w:b/>
        </w:rPr>
        <w:t>表7.2-1  运营期</w:t>
      </w:r>
      <w:r>
        <w:rPr>
          <w:b/>
          <w:kern w:val="18"/>
        </w:rPr>
        <w:t>环保投资一览表</w:t>
      </w:r>
    </w:p>
    <w:tbl>
      <w:tblPr>
        <w:tblStyle w:val="53"/>
        <w:tblW w:w="88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799"/>
        <w:gridCol w:w="5789"/>
        <w:gridCol w:w="1233"/>
      </w:tblGrid>
      <w:tr w14:paraId="699BB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blHeader/>
          <w:jc w:val="center"/>
        </w:trPr>
        <w:tc>
          <w:tcPr>
            <w:tcW w:w="7588" w:type="dxa"/>
            <w:gridSpan w:val="2"/>
            <w:vAlign w:val="center"/>
          </w:tcPr>
          <w:p w14:paraId="57EDE81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  目</w:t>
            </w:r>
          </w:p>
        </w:tc>
        <w:tc>
          <w:tcPr>
            <w:tcW w:w="1233" w:type="dxa"/>
            <w:vAlign w:val="center"/>
          </w:tcPr>
          <w:p w14:paraId="63D42F77">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投资(万元)</w:t>
            </w:r>
          </w:p>
        </w:tc>
      </w:tr>
      <w:tr w14:paraId="3F91D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799" w:type="dxa"/>
            <w:vAlign w:val="center"/>
          </w:tcPr>
          <w:p w14:paraId="552E1C1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废气处理</w:t>
            </w:r>
          </w:p>
        </w:tc>
        <w:tc>
          <w:tcPr>
            <w:tcW w:w="5789" w:type="dxa"/>
            <w:vAlign w:val="center"/>
          </w:tcPr>
          <w:p w14:paraId="0AA01C6A">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依托现有</w:t>
            </w:r>
            <w:r>
              <w:rPr>
                <w:rFonts w:hint="eastAsia" w:ascii="Times New Roman" w:hAnsi="Times New Roman" w:cs="Times New Roman"/>
                <w:color w:val="auto"/>
                <w:sz w:val="21"/>
                <w:szCs w:val="21"/>
                <w:lang w:eastAsia="zh-CN"/>
              </w:rPr>
              <w:t>污水处理恶臭</w:t>
            </w:r>
            <w:r>
              <w:rPr>
                <w:rFonts w:hint="eastAsia" w:ascii="Times New Roman" w:hAnsi="Times New Roman" w:cs="Times New Roman"/>
                <w:color w:val="auto"/>
                <w:sz w:val="21"/>
                <w:szCs w:val="21"/>
              </w:rPr>
              <w:t>活性炭吸附装置</w:t>
            </w:r>
            <w:r>
              <w:rPr>
                <w:rFonts w:hint="eastAsia" w:cs="Times New Roman"/>
                <w:color w:val="auto"/>
                <w:sz w:val="21"/>
                <w:szCs w:val="21"/>
                <w:lang w:eastAsia="zh-CN"/>
              </w:rPr>
              <w:t>，</w:t>
            </w:r>
            <w:r>
              <w:rPr>
                <w:rFonts w:hint="eastAsia" w:cs="Times New Roman"/>
                <w:color w:val="auto"/>
                <w:sz w:val="21"/>
                <w:szCs w:val="21"/>
                <w:lang w:val="en-US" w:eastAsia="zh-CN"/>
              </w:rPr>
              <w:t>依托现有布袋除尘器，依托现有CO</w:t>
            </w:r>
            <w:r>
              <w:rPr>
                <w:rFonts w:hint="eastAsia" w:cs="Times New Roman"/>
                <w:color w:val="auto"/>
                <w:sz w:val="21"/>
                <w:szCs w:val="21"/>
                <w:vertAlign w:val="subscript"/>
                <w:lang w:val="en-US" w:eastAsia="zh-CN"/>
              </w:rPr>
              <w:t>2</w:t>
            </w:r>
            <w:r>
              <w:rPr>
                <w:rFonts w:hint="eastAsia" w:cs="Times New Roman"/>
                <w:color w:val="auto"/>
                <w:sz w:val="21"/>
                <w:szCs w:val="21"/>
                <w:lang w:val="en-US" w:eastAsia="zh-CN"/>
              </w:rPr>
              <w:t>洗涤塔</w:t>
            </w:r>
          </w:p>
        </w:tc>
        <w:tc>
          <w:tcPr>
            <w:tcW w:w="1233" w:type="dxa"/>
            <w:vAlign w:val="center"/>
          </w:tcPr>
          <w:p w14:paraId="19AACC24">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r>
      <w:tr w14:paraId="37CF2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799" w:type="dxa"/>
            <w:vMerge w:val="restart"/>
            <w:vAlign w:val="center"/>
          </w:tcPr>
          <w:p w14:paraId="7725DDF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废水处理</w:t>
            </w:r>
          </w:p>
        </w:tc>
        <w:tc>
          <w:tcPr>
            <w:tcW w:w="5789" w:type="dxa"/>
            <w:vAlign w:val="center"/>
          </w:tcPr>
          <w:p w14:paraId="799A9827">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SPIC厌氧+生物接触氧化+</w:t>
            </w:r>
            <w:r>
              <w:rPr>
                <w:rFonts w:hint="eastAsia" w:ascii="Times New Roman" w:hAnsi="Times New Roman" w:cs="Times New Roman"/>
                <w:color w:val="auto"/>
                <w:sz w:val="21"/>
                <w:szCs w:val="21"/>
                <w:lang w:val="en-US" w:eastAsia="zh-CN"/>
              </w:rPr>
              <w:t>活性砂滤</w:t>
            </w:r>
          </w:p>
        </w:tc>
        <w:tc>
          <w:tcPr>
            <w:tcW w:w="1233" w:type="dxa"/>
            <w:vMerge w:val="restart"/>
            <w:vAlign w:val="center"/>
          </w:tcPr>
          <w:p w14:paraId="4D94118A">
            <w:pPr>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8</w:t>
            </w:r>
            <w:r>
              <w:rPr>
                <w:rFonts w:hint="eastAsia" w:ascii="Times New Roman" w:hAnsi="Times New Roman" w:cs="Times New Roman"/>
                <w:color w:val="auto"/>
                <w:sz w:val="21"/>
                <w:szCs w:val="21"/>
              </w:rPr>
              <w:t>00</w:t>
            </w:r>
          </w:p>
        </w:tc>
      </w:tr>
      <w:tr w14:paraId="46D8E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799" w:type="dxa"/>
            <w:vMerge w:val="continue"/>
            <w:vAlign w:val="center"/>
          </w:tcPr>
          <w:p w14:paraId="6EFC3122">
            <w:pPr>
              <w:jc w:val="center"/>
              <w:rPr>
                <w:rFonts w:hint="default" w:ascii="Times New Roman" w:hAnsi="Times New Roman" w:cs="Times New Roman"/>
                <w:color w:val="auto"/>
                <w:sz w:val="21"/>
                <w:szCs w:val="21"/>
              </w:rPr>
            </w:pPr>
          </w:p>
        </w:tc>
        <w:tc>
          <w:tcPr>
            <w:tcW w:w="5789" w:type="dxa"/>
            <w:vAlign w:val="center"/>
          </w:tcPr>
          <w:p w14:paraId="488056B9">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事故水池</w:t>
            </w:r>
          </w:p>
        </w:tc>
        <w:tc>
          <w:tcPr>
            <w:tcW w:w="1233" w:type="dxa"/>
            <w:vMerge w:val="continue"/>
            <w:vAlign w:val="center"/>
          </w:tcPr>
          <w:p w14:paraId="3ACD57D4">
            <w:pPr>
              <w:jc w:val="center"/>
              <w:rPr>
                <w:rFonts w:hint="default" w:ascii="Times New Roman" w:hAnsi="Times New Roman" w:cs="Times New Roman"/>
                <w:color w:val="auto"/>
                <w:sz w:val="21"/>
                <w:szCs w:val="21"/>
              </w:rPr>
            </w:pPr>
          </w:p>
        </w:tc>
      </w:tr>
      <w:tr w14:paraId="38533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799" w:type="dxa"/>
            <w:vAlign w:val="center"/>
          </w:tcPr>
          <w:p w14:paraId="73FDAE3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噪声控制</w:t>
            </w:r>
          </w:p>
        </w:tc>
        <w:tc>
          <w:tcPr>
            <w:tcW w:w="5789" w:type="dxa"/>
            <w:vAlign w:val="center"/>
          </w:tcPr>
          <w:p w14:paraId="1B8F2896">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选用低噪声设备；采用室内运行、建筑物屏蔽的措施；室内敷设吸声隔声材料；安装消音器、减振垫等；</w:t>
            </w:r>
          </w:p>
        </w:tc>
        <w:tc>
          <w:tcPr>
            <w:tcW w:w="1233" w:type="dxa"/>
            <w:vAlign w:val="center"/>
          </w:tcPr>
          <w:p w14:paraId="200BA0FD">
            <w:pPr>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3</w:t>
            </w:r>
            <w:r>
              <w:rPr>
                <w:rFonts w:hint="eastAsia" w:ascii="Times New Roman" w:hAnsi="Times New Roman" w:cs="Times New Roman"/>
                <w:color w:val="auto"/>
                <w:sz w:val="21"/>
                <w:szCs w:val="21"/>
              </w:rPr>
              <w:t>0</w:t>
            </w:r>
          </w:p>
        </w:tc>
      </w:tr>
      <w:tr w14:paraId="056C6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1799" w:type="dxa"/>
            <w:vAlign w:val="center"/>
          </w:tcPr>
          <w:p w14:paraId="5074E9A1">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rPr>
              <w:t>地下水设施</w:t>
            </w:r>
          </w:p>
        </w:tc>
        <w:tc>
          <w:tcPr>
            <w:tcW w:w="5789" w:type="dxa"/>
            <w:vAlign w:val="center"/>
          </w:tcPr>
          <w:p w14:paraId="1D607244">
            <w:pPr>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rPr>
              <w:t>污水处理站防渗措施</w:t>
            </w:r>
          </w:p>
        </w:tc>
        <w:tc>
          <w:tcPr>
            <w:tcW w:w="1233" w:type="dxa"/>
            <w:vAlign w:val="center"/>
          </w:tcPr>
          <w:p w14:paraId="15C0E780">
            <w:pPr>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rPr>
              <w:t>5</w:t>
            </w:r>
            <w:r>
              <w:rPr>
                <w:rFonts w:hint="eastAsia" w:cs="Times New Roman"/>
                <w:color w:val="auto"/>
                <w:sz w:val="21"/>
                <w:szCs w:val="21"/>
                <w:lang w:val="en-US" w:eastAsia="zh-CN"/>
              </w:rPr>
              <w:t>8</w:t>
            </w:r>
          </w:p>
        </w:tc>
      </w:tr>
      <w:tr w14:paraId="21DBB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7588" w:type="dxa"/>
            <w:gridSpan w:val="2"/>
            <w:vAlign w:val="center"/>
          </w:tcPr>
          <w:p w14:paraId="5D3A653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合计</w:t>
            </w:r>
          </w:p>
        </w:tc>
        <w:tc>
          <w:tcPr>
            <w:tcW w:w="1233" w:type="dxa"/>
            <w:vAlign w:val="center"/>
          </w:tcPr>
          <w:p w14:paraId="656A2A4D">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890</w:t>
            </w:r>
          </w:p>
        </w:tc>
      </w:tr>
      <w:tr w14:paraId="571EF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7588" w:type="dxa"/>
            <w:gridSpan w:val="2"/>
            <w:vAlign w:val="center"/>
          </w:tcPr>
          <w:p w14:paraId="664C1F5B">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项目总投资</w:t>
            </w:r>
          </w:p>
        </w:tc>
        <w:tc>
          <w:tcPr>
            <w:tcW w:w="1233" w:type="dxa"/>
            <w:vAlign w:val="center"/>
          </w:tcPr>
          <w:p w14:paraId="4CADB7B0">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4505</w:t>
            </w:r>
          </w:p>
        </w:tc>
      </w:tr>
      <w:tr w14:paraId="6A10D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54" w:hRule="atLeast"/>
          <w:jc w:val="center"/>
        </w:trPr>
        <w:tc>
          <w:tcPr>
            <w:tcW w:w="7588" w:type="dxa"/>
            <w:gridSpan w:val="2"/>
            <w:vAlign w:val="center"/>
          </w:tcPr>
          <w:p w14:paraId="4D0ED10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占总投资比例</w:t>
            </w:r>
          </w:p>
        </w:tc>
        <w:tc>
          <w:tcPr>
            <w:tcW w:w="1233" w:type="dxa"/>
            <w:vAlign w:val="center"/>
          </w:tcPr>
          <w:p w14:paraId="07A5AE8D">
            <w:pPr>
              <w:jc w:val="center"/>
              <w:rPr>
                <w:rFonts w:hint="default" w:ascii="Times New Roman" w:hAnsi="Times New Roman" w:cs="Times New Roman"/>
                <w:color w:val="auto"/>
                <w:sz w:val="21"/>
                <w:szCs w:val="21"/>
              </w:rPr>
            </w:pPr>
            <w:r>
              <w:rPr>
                <w:rFonts w:hint="eastAsia" w:cs="Times New Roman"/>
                <w:color w:val="auto"/>
                <w:sz w:val="21"/>
                <w:szCs w:val="21"/>
                <w:lang w:val="en-US" w:eastAsia="zh-CN"/>
              </w:rPr>
              <w:t>19.76</w:t>
            </w:r>
            <w:r>
              <w:rPr>
                <w:rFonts w:hint="default" w:ascii="Times New Roman" w:hAnsi="Times New Roman" w:cs="Times New Roman"/>
                <w:color w:val="auto"/>
                <w:sz w:val="21"/>
                <w:szCs w:val="21"/>
              </w:rPr>
              <w:t>%</w:t>
            </w:r>
          </w:p>
        </w:tc>
      </w:tr>
    </w:tbl>
    <w:p w14:paraId="387DEAFB">
      <w:pPr>
        <w:spacing w:line="360" w:lineRule="auto"/>
        <w:ind w:firstLine="480" w:firstLineChars="200"/>
        <w:rPr>
          <w:rFonts w:ascii="Times New Roman" w:hAnsi="Times New Roman" w:eastAsia="宋体" w:cs="Times New Roman"/>
        </w:rPr>
      </w:pPr>
      <w:r>
        <w:rPr>
          <w:rFonts w:ascii="Times New Roman" w:hAnsi="Times New Roman" w:eastAsia="宋体" w:cs="Times New Roman"/>
        </w:rPr>
        <w:t>本工程建设投资是</w:t>
      </w:r>
      <w:r>
        <w:rPr>
          <w:rFonts w:hint="eastAsia" w:ascii="Times New Roman" w:hAnsi="Times New Roman" w:eastAsia="宋体" w:cs="Times New Roman"/>
          <w:lang w:val="en-US" w:eastAsia="zh-CN"/>
        </w:rPr>
        <w:t>4505</w:t>
      </w:r>
      <w:r>
        <w:rPr>
          <w:rFonts w:ascii="Times New Roman" w:hAnsi="Times New Roman" w:eastAsia="宋体" w:cs="Times New Roman"/>
        </w:rPr>
        <w:t>万元，其中环保投资为</w:t>
      </w:r>
      <w:r>
        <w:rPr>
          <w:rFonts w:hint="eastAsia" w:ascii="Times New Roman" w:hAnsi="Times New Roman" w:eastAsia="宋体" w:cs="Times New Roman"/>
          <w:lang w:val="en-US" w:eastAsia="zh-CN"/>
        </w:rPr>
        <w:t>890</w:t>
      </w:r>
      <w:r>
        <w:rPr>
          <w:rFonts w:ascii="Times New Roman" w:hAnsi="Times New Roman" w:eastAsia="宋体" w:cs="Times New Roman"/>
        </w:rPr>
        <w:t>万元，环保投资比例为</w:t>
      </w:r>
      <w:r>
        <w:rPr>
          <w:rFonts w:hint="eastAsia" w:ascii="Times New Roman" w:hAnsi="Times New Roman" w:eastAsia="宋体" w:cs="Times New Roman"/>
          <w:lang w:val="en-US" w:eastAsia="zh-CN"/>
        </w:rPr>
        <w:t>19.75</w:t>
      </w:r>
      <w:r>
        <w:rPr>
          <w:rFonts w:ascii="Times New Roman" w:hAnsi="Times New Roman" w:eastAsia="宋体" w:cs="Times New Roman"/>
        </w:rPr>
        <w:t>%，拟建项目环保投资水平较高，重点防治废水污染物的排放，能有效地控制污染，环保投资较合理。</w:t>
      </w:r>
    </w:p>
    <w:p w14:paraId="3C2C86DA">
      <w:pPr>
        <w:pStyle w:val="3"/>
        <w:tabs>
          <w:tab w:val="left" w:pos="836"/>
        </w:tabs>
        <w:spacing w:before="39" w:line="360" w:lineRule="auto"/>
      </w:pPr>
      <w:bookmarkStart w:id="463" w:name="_Toc31009"/>
      <w:r>
        <w:t>7.4结论</w:t>
      </w:r>
      <w:bookmarkEnd w:id="463"/>
    </w:p>
    <w:p w14:paraId="562272F1">
      <w:pPr>
        <w:spacing w:line="360" w:lineRule="auto"/>
        <w:ind w:firstLine="480" w:firstLineChars="200"/>
      </w:pPr>
      <w:r>
        <w:t>通过对</w:t>
      </w:r>
      <w:r>
        <w:rPr>
          <w:rFonts w:hint="eastAsia"/>
          <w:lang w:eastAsia="zh-CN"/>
        </w:rPr>
        <w:t>本项目</w:t>
      </w:r>
      <w:r>
        <w:t>的经济、社会和环境效益分析可知，在落实本评价提出的各项污染防治措施的前提下，</w:t>
      </w:r>
      <w:r>
        <w:rPr>
          <w:rFonts w:hint="eastAsia"/>
          <w:lang w:eastAsia="zh-CN"/>
        </w:rPr>
        <w:t>本项目</w:t>
      </w:r>
      <w:r>
        <w:t>的建设能够达到经济效益、社会效益和环境效益的统一， 满足可持续发展的要求，既为地方经济发展做出贡献，又使污染物排放量在环境容量容许的范围内降低到最低。因此</w:t>
      </w:r>
      <w:r>
        <w:rPr>
          <w:rFonts w:hint="eastAsia"/>
          <w:lang w:eastAsia="zh-CN"/>
        </w:rPr>
        <w:t>本项目</w:t>
      </w:r>
      <w:r>
        <w:t>的建设从环境经济损益的角度分析是可行的。</w:t>
      </w:r>
    </w:p>
    <w:p w14:paraId="337FB422">
      <w:pPr>
        <w:pStyle w:val="20"/>
        <w:snapToGrid w:val="0"/>
        <w:spacing w:line="360" w:lineRule="auto"/>
        <w:ind w:firstLine="480" w:firstLineChars="200"/>
        <w:rPr>
          <w:sz w:val="24"/>
        </w:rPr>
        <w:sectPr>
          <w:footerReference r:id="rId15" w:type="default"/>
          <w:pgSz w:w="11907" w:h="16840"/>
          <w:pgMar w:top="1440"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pPr>
    </w:p>
    <w:p w14:paraId="331B199B">
      <w:pPr>
        <w:pStyle w:val="2"/>
      </w:pPr>
      <w:bookmarkStart w:id="464" w:name="_Toc12649"/>
      <w:bookmarkStart w:id="465" w:name="_Toc21465"/>
      <w:bookmarkStart w:id="466" w:name="_Toc14406"/>
      <w:bookmarkStart w:id="467" w:name="_Toc7511"/>
      <w:r>
        <w:t>8.环境管理与监测计划</w:t>
      </w:r>
      <w:bookmarkEnd w:id="464"/>
      <w:bookmarkEnd w:id="465"/>
      <w:bookmarkEnd w:id="466"/>
      <w:bookmarkEnd w:id="467"/>
    </w:p>
    <w:p w14:paraId="36ACB18A">
      <w:pPr>
        <w:pStyle w:val="3"/>
      </w:pPr>
      <w:bookmarkStart w:id="468" w:name="_Toc19165"/>
      <w:r>
        <w:t>8.1环境管理</w:t>
      </w:r>
      <w:bookmarkEnd w:id="468"/>
    </w:p>
    <w:p w14:paraId="57EF00D1">
      <w:pPr>
        <w:spacing w:line="360" w:lineRule="auto"/>
        <w:ind w:firstLine="480" w:firstLineChars="200"/>
      </w:pPr>
      <w:r>
        <w:t>环境管理是指运用经济、法律、技术、行政、教育等手段，限制人类损害环境质量的活动，通过全面规划使经济发展与环境相协调，达到既要发展经济，满足人类的基本需要，又不超出环境的容许极限，这些内容概括起来就是环境管理。</w:t>
      </w:r>
    </w:p>
    <w:p w14:paraId="73842746">
      <w:pPr>
        <w:pStyle w:val="4"/>
      </w:pPr>
      <w:bookmarkStart w:id="469" w:name="8.1.1_环境管理的意义"/>
      <w:bookmarkEnd w:id="469"/>
      <w:r>
        <w:t>8.1.1环境管理的意义</w:t>
      </w:r>
    </w:p>
    <w:p w14:paraId="57DCDDAD">
      <w:pPr>
        <w:spacing w:line="360" w:lineRule="auto"/>
        <w:ind w:firstLine="480" w:firstLineChars="200"/>
      </w:pPr>
      <w:r>
        <w:t>通过加强环境管理，建立相应的环境管理计划与监测计划，可以促进污染治理， 确保环保设施正常运行、排污达标；可以避免许多因管理不善而产生的环境风险和对人群健康造成的危害，使建设项目对环境的危害控制在最小范围内。</w:t>
      </w:r>
    </w:p>
    <w:p w14:paraId="1ABD9A65">
      <w:pPr>
        <w:pStyle w:val="4"/>
      </w:pPr>
      <w:bookmarkStart w:id="470" w:name="8.1.2_环境管理体系"/>
      <w:bookmarkEnd w:id="470"/>
      <w:r>
        <w:t>8.1.2环境管理体系</w:t>
      </w:r>
    </w:p>
    <w:p w14:paraId="7A36FA7F">
      <w:pPr>
        <w:spacing w:line="360" w:lineRule="auto"/>
        <w:ind w:firstLine="480" w:firstLineChars="200"/>
      </w:pPr>
      <w:r>
        <w:t>为确保建设项目环境管理工作真正得到落实，其环境管理体系由施工期的环境管理和运行期的环境管理组成。</w:t>
      </w:r>
    </w:p>
    <w:p w14:paraId="0BD1470F">
      <w:pPr>
        <w:spacing w:line="360" w:lineRule="auto"/>
        <w:ind w:firstLine="480" w:firstLineChars="200"/>
      </w:pPr>
      <w:r>
        <w:t>1、环境管理机构</w:t>
      </w:r>
    </w:p>
    <w:p w14:paraId="2E6160D1">
      <w:pPr>
        <w:spacing w:line="360" w:lineRule="auto"/>
        <w:ind w:firstLine="480" w:firstLineChars="200"/>
      </w:pPr>
      <w:r>
        <w:t>环境管理体系作为</w:t>
      </w:r>
      <w:r>
        <w:rPr>
          <w:rFonts w:hint="eastAsia"/>
          <w:lang w:eastAsia="zh-CN"/>
        </w:rPr>
        <w:t>本项目</w:t>
      </w:r>
      <w:r>
        <w:t>企业管理体系的一部分，应与之相协调统一。企业应加强环境管理及监测，实行经理（厂长）领导下的“一人主管，分工负责；职能部门， 各负其责；落实基层，监督考核”的原则，建立以经理（厂长）领导为核心，环保职能部门为基础的全员责任制的环境管理体系，并配备1-2名专职环境管理人员，使环境管理很好的贯穿于企业管理的整个过程，并落实到企业的各个层次，分解到生产的各个环节，把企业管理与环境管理紧密的结合起来。不但要建立完善的企业管理体系和各种规章制度，也要建立完善的环境管理体系，使企业的环境管理工作真正落到实处。</w:t>
      </w:r>
    </w:p>
    <w:p w14:paraId="1513FCD3">
      <w:pPr>
        <w:spacing w:line="360" w:lineRule="auto"/>
        <w:ind w:firstLine="480" w:firstLineChars="200"/>
      </w:pPr>
      <w:r>
        <w:t>2、环境管理职责</w:t>
      </w:r>
    </w:p>
    <w:p w14:paraId="372A4C49">
      <w:pPr>
        <w:spacing w:line="360" w:lineRule="auto"/>
        <w:ind w:firstLine="480" w:firstLineChars="200"/>
      </w:pPr>
      <w:r>
        <w:t>加大宣传力度，提高企业人员的环保意识；对</w:t>
      </w:r>
      <w:r>
        <w:rPr>
          <w:rFonts w:hint="eastAsia"/>
          <w:lang w:eastAsia="zh-CN"/>
        </w:rPr>
        <w:t>本项目</w:t>
      </w:r>
      <w:r>
        <w:t>产生的固体废物按要求储存处理，避免垃圾污染环境；负责制定和实施事故应急计划，一旦火灾或跑、冒、漏事故发生，能够及时而且有条不紊的开展救灾活动，使人、财损失降到最低限度。</w:t>
      </w:r>
    </w:p>
    <w:p w14:paraId="555101C6">
      <w:pPr>
        <w:pStyle w:val="4"/>
      </w:pPr>
      <w:bookmarkStart w:id="471" w:name="8.1.4_运营期环境管理计划"/>
      <w:bookmarkEnd w:id="471"/>
      <w:bookmarkStart w:id="472" w:name="8.1.3_施工期环境管理计划"/>
      <w:bookmarkEnd w:id="472"/>
      <w:r>
        <w:t>8.1.</w:t>
      </w:r>
      <w:r>
        <w:rPr>
          <w:rFonts w:hint="eastAsia"/>
        </w:rPr>
        <w:t>3</w:t>
      </w:r>
      <w:r>
        <w:t>运营期环境管理计划</w:t>
      </w:r>
    </w:p>
    <w:p w14:paraId="0E5EA780">
      <w:pPr>
        <w:spacing w:line="360" w:lineRule="auto"/>
        <w:ind w:firstLine="480" w:firstLineChars="200"/>
      </w:pPr>
      <w:r>
        <w:t>1、根据国家环保政策、标准及环境监测要求，制定该项目运行期环境管理规章制度、各种污染物排放指标。</w:t>
      </w:r>
    </w:p>
    <w:p w14:paraId="259BD0D1">
      <w:pPr>
        <w:spacing w:line="360" w:lineRule="auto"/>
        <w:ind w:firstLine="480" w:firstLineChars="200"/>
      </w:pPr>
      <w:r>
        <w:t>2、对</w:t>
      </w:r>
      <w:r>
        <w:rPr>
          <w:rFonts w:hint="eastAsia"/>
          <w:lang w:eastAsia="zh-CN"/>
        </w:rPr>
        <w:t>本项目</w:t>
      </w:r>
      <w:r>
        <w:t>厂区内的公建设施进行定期维护和检修，确保公建设施的正常运行及管网畅通。</w:t>
      </w:r>
    </w:p>
    <w:p w14:paraId="38706061">
      <w:pPr>
        <w:spacing w:line="360" w:lineRule="auto"/>
        <w:ind w:firstLine="480" w:firstLineChars="200"/>
      </w:pPr>
      <w:r>
        <w:t>3、生活垃圾收集管理应由专人负责，分类收集，对分散布置的垃圾桶应定期清洗和消毒，生活垃圾定期由环卫部门清运，危险废物定期由有资质的单位收集处置。</w:t>
      </w:r>
    </w:p>
    <w:p w14:paraId="355A42B0">
      <w:pPr>
        <w:spacing w:line="360" w:lineRule="auto"/>
        <w:ind w:firstLine="480" w:firstLineChars="200"/>
      </w:pPr>
      <w:r>
        <w:t>4、应将环保设施运行维护费用计划列入环保投资计划中，确保环保设施运行。</w:t>
      </w:r>
    </w:p>
    <w:p w14:paraId="15A7DF04">
      <w:pPr>
        <w:pStyle w:val="4"/>
      </w:pPr>
      <w:bookmarkStart w:id="473" w:name="8.1.5_排污口规范化管理"/>
      <w:bookmarkEnd w:id="473"/>
      <w:r>
        <w:t>8.1.</w:t>
      </w:r>
      <w:r>
        <w:rPr>
          <w:rFonts w:hint="eastAsia"/>
        </w:rPr>
        <w:t>4</w:t>
      </w:r>
      <w:r>
        <w:t>排污口规范化管理</w:t>
      </w:r>
    </w:p>
    <w:p w14:paraId="2BD2CA3D">
      <w:pPr>
        <w:spacing w:line="360" w:lineRule="auto"/>
        <w:ind w:firstLine="480" w:firstLineChars="200"/>
      </w:pPr>
      <w:r>
        <w:rPr>
          <w:rFonts w:hint="eastAsia"/>
          <w:lang w:eastAsia="zh-CN"/>
        </w:rPr>
        <w:t>本项目</w:t>
      </w:r>
      <w:r>
        <w:t>场区的各排污口按照环境管理要求，必须进行规范化建设，场区污水排放源、大气排放源、噪声排放源均设立规范的环境保护图形标志，按照《环境保护图形标志－排放口（源）》（GB15562.1-1995、1996-07-11实施）执行，以利于环境保护行政主管部门对各排放口的监督管理。标志牌制作由国家环境保护总局统一监制，标志牌应设置在与之功能相应的醒目处。具体标识见表8.1-</w:t>
      </w:r>
      <w:r>
        <w:rPr>
          <w:rFonts w:hint="eastAsia"/>
        </w:rPr>
        <w:t>1</w:t>
      </w:r>
      <w:r>
        <w:t>。</w:t>
      </w:r>
    </w:p>
    <w:p w14:paraId="3FB09D74">
      <w:pPr>
        <w:tabs>
          <w:tab w:val="left" w:pos="3187"/>
        </w:tabs>
        <w:spacing w:before="28" w:after="2"/>
        <w:ind w:left="2043"/>
      </w:pPr>
      <w:r>
        <w:t>表</w:t>
      </w:r>
      <w:r>
        <w:rPr>
          <w:spacing w:val="-62"/>
        </w:rPr>
        <w:t xml:space="preserve"> </w:t>
      </w:r>
      <w:r>
        <w:t>8.1-</w:t>
      </w:r>
      <w:r>
        <w:rPr>
          <w:rFonts w:hint="eastAsia"/>
        </w:rPr>
        <w:t>1</w:t>
      </w:r>
      <w:r>
        <w:tab/>
      </w:r>
      <w:r>
        <w:t>污染物排放口环境保护图形标志一览表</w:t>
      </w:r>
    </w:p>
    <w:tbl>
      <w:tblPr>
        <w:tblStyle w:val="53"/>
        <w:tblW w:w="90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2446"/>
        <w:gridCol w:w="2244"/>
        <w:gridCol w:w="1796"/>
        <w:gridCol w:w="1706"/>
      </w:tblGrid>
      <w:tr w14:paraId="5B49D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dxa"/>
            <w:tcBorders>
              <w:tl2br w:val="nil"/>
              <w:tr2bl w:val="nil"/>
            </w:tcBorders>
            <w:vAlign w:val="center"/>
          </w:tcPr>
          <w:p w14:paraId="409EEC9D">
            <w:pPr>
              <w:pStyle w:val="38"/>
              <w:spacing w:line="400" w:lineRule="exact"/>
              <w:rPr>
                <w:rFonts w:ascii="Times New Roman" w:hAnsi="Times New Roman" w:eastAsia="宋体"/>
                <w:b/>
                <w:bCs/>
                <w:sz w:val="21"/>
                <w:szCs w:val="21"/>
              </w:rPr>
            </w:pPr>
            <w:r>
              <w:rPr>
                <w:rFonts w:ascii="Times New Roman" w:hAnsi="Times New Roman" w:eastAsia="宋体"/>
                <w:b/>
                <w:bCs/>
                <w:sz w:val="21"/>
                <w:szCs w:val="21"/>
              </w:rPr>
              <w:t>序号</w:t>
            </w:r>
          </w:p>
        </w:tc>
        <w:tc>
          <w:tcPr>
            <w:tcW w:w="2446" w:type="dxa"/>
            <w:tcBorders>
              <w:tl2br w:val="nil"/>
              <w:tr2bl w:val="nil"/>
            </w:tcBorders>
            <w:vAlign w:val="center"/>
          </w:tcPr>
          <w:p w14:paraId="26F9B3C3">
            <w:pPr>
              <w:spacing w:line="400" w:lineRule="exact"/>
              <w:jc w:val="center"/>
              <w:rPr>
                <w:b/>
                <w:bCs/>
                <w:sz w:val="21"/>
                <w:szCs w:val="21"/>
              </w:rPr>
            </w:pPr>
            <w:r>
              <w:rPr>
                <w:b/>
                <w:bCs/>
                <w:sz w:val="21"/>
                <w:szCs w:val="21"/>
              </w:rPr>
              <w:t>提示图形符号</w:t>
            </w:r>
          </w:p>
        </w:tc>
        <w:tc>
          <w:tcPr>
            <w:tcW w:w="2244" w:type="dxa"/>
            <w:tcBorders>
              <w:tl2br w:val="nil"/>
              <w:tr2bl w:val="nil"/>
            </w:tcBorders>
            <w:vAlign w:val="center"/>
          </w:tcPr>
          <w:p w14:paraId="7F7A22E8">
            <w:pPr>
              <w:spacing w:line="400" w:lineRule="exact"/>
              <w:jc w:val="center"/>
              <w:rPr>
                <w:b/>
                <w:bCs/>
                <w:sz w:val="21"/>
                <w:szCs w:val="21"/>
              </w:rPr>
            </w:pPr>
            <w:r>
              <w:rPr>
                <w:b/>
                <w:bCs/>
                <w:sz w:val="21"/>
                <w:szCs w:val="21"/>
              </w:rPr>
              <w:t>警告图形符号</w:t>
            </w:r>
          </w:p>
        </w:tc>
        <w:tc>
          <w:tcPr>
            <w:tcW w:w="1796" w:type="dxa"/>
            <w:tcBorders>
              <w:tl2br w:val="nil"/>
              <w:tr2bl w:val="nil"/>
            </w:tcBorders>
            <w:vAlign w:val="center"/>
          </w:tcPr>
          <w:p w14:paraId="641E68A8">
            <w:pPr>
              <w:spacing w:line="400" w:lineRule="exact"/>
              <w:jc w:val="center"/>
              <w:rPr>
                <w:b/>
                <w:bCs/>
                <w:sz w:val="21"/>
                <w:szCs w:val="21"/>
              </w:rPr>
            </w:pPr>
            <w:r>
              <w:rPr>
                <w:b/>
                <w:bCs/>
                <w:sz w:val="21"/>
                <w:szCs w:val="21"/>
              </w:rPr>
              <w:t>名称</w:t>
            </w:r>
          </w:p>
        </w:tc>
        <w:tc>
          <w:tcPr>
            <w:tcW w:w="1706" w:type="dxa"/>
            <w:tcBorders>
              <w:tl2br w:val="nil"/>
              <w:tr2bl w:val="nil"/>
            </w:tcBorders>
            <w:vAlign w:val="center"/>
          </w:tcPr>
          <w:p w14:paraId="523928D3">
            <w:pPr>
              <w:spacing w:line="400" w:lineRule="exact"/>
              <w:jc w:val="center"/>
              <w:rPr>
                <w:b/>
                <w:bCs/>
                <w:sz w:val="21"/>
                <w:szCs w:val="21"/>
              </w:rPr>
            </w:pPr>
            <w:r>
              <w:rPr>
                <w:b/>
                <w:bCs/>
                <w:sz w:val="21"/>
                <w:szCs w:val="21"/>
              </w:rPr>
              <w:t>功能</w:t>
            </w:r>
          </w:p>
        </w:tc>
      </w:tr>
      <w:tr w14:paraId="4CC5C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dxa"/>
            <w:tcBorders>
              <w:tl2br w:val="nil"/>
              <w:tr2bl w:val="nil"/>
            </w:tcBorders>
            <w:vAlign w:val="center"/>
          </w:tcPr>
          <w:p w14:paraId="3D7EA7FF">
            <w:pPr>
              <w:spacing w:line="360" w:lineRule="auto"/>
              <w:jc w:val="center"/>
              <w:rPr>
                <w:sz w:val="21"/>
                <w:szCs w:val="21"/>
              </w:rPr>
            </w:pPr>
            <w:r>
              <w:rPr>
                <w:sz w:val="21"/>
                <w:szCs w:val="21"/>
              </w:rPr>
              <w:t>1</w:t>
            </w:r>
          </w:p>
        </w:tc>
        <w:tc>
          <w:tcPr>
            <w:tcW w:w="2446" w:type="dxa"/>
            <w:tcBorders>
              <w:tl2br w:val="nil"/>
              <w:tr2bl w:val="nil"/>
            </w:tcBorders>
            <w:vAlign w:val="center"/>
          </w:tcPr>
          <w:p w14:paraId="30E18EDE">
            <w:pPr>
              <w:spacing w:line="360" w:lineRule="auto"/>
              <w:jc w:val="center"/>
              <w:rPr>
                <w:sz w:val="21"/>
                <w:szCs w:val="21"/>
              </w:rPr>
            </w:pPr>
            <w:r>
              <w:rPr>
                <w:sz w:val="20"/>
              </w:rPr>
              <w:drawing>
                <wp:inline distT="0" distB="0" distL="0" distR="0">
                  <wp:extent cx="1004570" cy="1008380"/>
                  <wp:effectExtent l="0" t="0" r="5080" b="1270"/>
                  <wp:docPr id="1021" name="图片 11" descr="QQ截图2018030209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11" descr="QQ截图20180302091626"/>
                          <pic:cNvPicPr>
                            <a:picLocks noChangeAspect="1" noChangeArrowheads="1"/>
                          </pic:cNvPicPr>
                        </pic:nvPicPr>
                        <pic:blipFill>
                          <a:blip r:embed="rId113"/>
                          <a:stretch>
                            <a:fillRect/>
                          </a:stretch>
                        </pic:blipFill>
                        <pic:spPr>
                          <a:xfrm>
                            <a:off x="0" y="0"/>
                            <a:ext cx="1005205" cy="1009015"/>
                          </a:xfrm>
                          <a:prstGeom prst="rect">
                            <a:avLst/>
                          </a:prstGeom>
                          <a:noFill/>
                          <a:ln w="9525" cap="flat">
                            <a:noFill/>
                          </a:ln>
                        </pic:spPr>
                      </pic:pic>
                    </a:graphicData>
                  </a:graphic>
                </wp:inline>
              </w:drawing>
            </w:r>
          </w:p>
        </w:tc>
        <w:tc>
          <w:tcPr>
            <w:tcW w:w="2244" w:type="dxa"/>
            <w:tcBorders>
              <w:tl2br w:val="nil"/>
              <w:tr2bl w:val="nil"/>
            </w:tcBorders>
            <w:vAlign w:val="center"/>
          </w:tcPr>
          <w:p w14:paraId="5C1BD6E0">
            <w:pPr>
              <w:spacing w:line="360" w:lineRule="auto"/>
              <w:jc w:val="center"/>
              <w:rPr>
                <w:sz w:val="21"/>
                <w:szCs w:val="21"/>
              </w:rPr>
            </w:pPr>
            <w:r>
              <w:rPr>
                <w:sz w:val="20"/>
              </w:rPr>
              <w:drawing>
                <wp:inline distT="0" distB="0" distL="0" distR="0">
                  <wp:extent cx="1210310" cy="1074420"/>
                  <wp:effectExtent l="0" t="0" r="8890" b="11430"/>
                  <wp:docPr id="1022" name="图片 12" descr="QQ截图2018030209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12" descr="QQ截图20180302091638"/>
                          <pic:cNvPicPr>
                            <a:picLocks noChangeAspect="1" noChangeArrowheads="1"/>
                          </pic:cNvPicPr>
                        </pic:nvPicPr>
                        <pic:blipFill>
                          <a:blip r:embed="rId114"/>
                          <a:stretch>
                            <a:fillRect/>
                          </a:stretch>
                        </pic:blipFill>
                        <pic:spPr>
                          <a:xfrm>
                            <a:off x="0" y="0"/>
                            <a:ext cx="1210945" cy="1075055"/>
                          </a:xfrm>
                          <a:prstGeom prst="rect">
                            <a:avLst/>
                          </a:prstGeom>
                          <a:noFill/>
                          <a:ln w="9525" cap="flat">
                            <a:noFill/>
                          </a:ln>
                        </pic:spPr>
                      </pic:pic>
                    </a:graphicData>
                  </a:graphic>
                </wp:inline>
              </w:drawing>
            </w:r>
          </w:p>
        </w:tc>
        <w:tc>
          <w:tcPr>
            <w:tcW w:w="1796" w:type="dxa"/>
            <w:tcBorders>
              <w:tl2br w:val="nil"/>
              <w:tr2bl w:val="nil"/>
            </w:tcBorders>
            <w:vAlign w:val="center"/>
          </w:tcPr>
          <w:p w14:paraId="3EEC987B">
            <w:pPr>
              <w:spacing w:line="360" w:lineRule="auto"/>
              <w:jc w:val="center"/>
              <w:rPr>
                <w:sz w:val="21"/>
                <w:szCs w:val="21"/>
              </w:rPr>
            </w:pPr>
            <w:r>
              <w:rPr>
                <w:sz w:val="21"/>
                <w:szCs w:val="21"/>
              </w:rPr>
              <w:t>废气排放口</w:t>
            </w:r>
          </w:p>
        </w:tc>
        <w:tc>
          <w:tcPr>
            <w:tcW w:w="1706" w:type="dxa"/>
            <w:tcBorders>
              <w:tl2br w:val="nil"/>
              <w:tr2bl w:val="nil"/>
            </w:tcBorders>
            <w:vAlign w:val="center"/>
          </w:tcPr>
          <w:p w14:paraId="3F127573">
            <w:pPr>
              <w:spacing w:line="360" w:lineRule="auto"/>
              <w:jc w:val="center"/>
              <w:rPr>
                <w:sz w:val="21"/>
                <w:szCs w:val="21"/>
              </w:rPr>
            </w:pPr>
            <w:r>
              <w:rPr>
                <w:sz w:val="21"/>
                <w:szCs w:val="21"/>
              </w:rPr>
              <w:t>表示废气向大气环境排放</w:t>
            </w:r>
          </w:p>
        </w:tc>
      </w:tr>
      <w:tr w14:paraId="457A6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dxa"/>
            <w:tcBorders>
              <w:tl2br w:val="nil"/>
              <w:tr2bl w:val="nil"/>
            </w:tcBorders>
            <w:vAlign w:val="center"/>
          </w:tcPr>
          <w:p w14:paraId="1C44090C">
            <w:pPr>
              <w:spacing w:line="360" w:lineRule="auto"/>
              <w:jc w:val="center"/>
              <w:rPr>
                <w:sz w:val="21"/>
                <w:szCs w:val="21"/>
              </w:rPr>
            </w:pPr>
            <w:r>
              <w:rPr>
                <w:sz w:val="21"/>
                <w:szCs w:val="21"/>
              </w:rPr>
              <w:t>2</w:t>
            </w:r>
          </w:p>
        </w:tc>
        <w:tc>
          <w:tcPr>
            <w:tcW w:w="2446" w:type="dxa"/>
            <w:tcBorders>
              <w:tl2br w:val="nil"/>
              <w:tr2bl w:val="nil"/>
            </w:tcBorders>
            <w:vAlign w:val="center"/>
          </w:tcPr>
          <w:p w14:paraId="213C2A1B">
            <w:pPr>
              <w:spacing w:line="360" w:lineRule="auto"/>
              <w:jc w:val="center"/>
              <w:rPr>
                <w:sz w:val="21"/>
                <w:szCs w:val="21"/>
              </w:rPr>
            </w:pPr>
            <w:r>
              <w:rPr>
                <w:sz w:val="20"/>
              </w:rPr>
              <w:drawing>
                <wp:inline distT="0" distB="0" distL="0" distR="0">
                  <wp:extent cx="1038860" cy="1038860"/>
                  <wp:effectExtent l="0" t="0" r="8890" b="8890"/>
                  <wp:docPr id="1023" name="图片 13" descr="QQ截图2018030209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13" descr="QQ截图20180302091651"/>
                          <pic:cNvPicPr>
                            <a:picLocks noChangeAspect="1" noChangeArrowheads="1"/>
                          </pic:cNvPicPr>
                        </pic:nvPicPr>
                        <pic:blipFill>
                          <a:blip r:embed="rId115"/>
                          <a:stretch>
                            <a:fillRect/>
                          </a:stretch>
                        </pic:blipFill>
                        <pic:spPr>
                          <a:xfrm>
                            <a:off x="0" y="0"/>
                            <a:ext cx="1039495" cy="1039495"/>
                          </a:xfrm>
                          <a:prstGeom prst="rect">
                            <a:avLst/>
                          </a:prstGeom>
                          <a:noFill/>
                          <a:ln w="9525" cap="flat">
                            <a:noFill/>
                          </a:ln>
                        </pic:spPr>
                      </pic:pic>
                    </a:graphicData>
                  </a:graphic>
                </wp:inline>
              </w:drawing>
            </w:r>
          </w:p>
        </w:tc>
        <w:tc>
          <w:tcPr>
            <w:tcW w:w="2244" w:type="dxa"/>
            <w:tcBorders>
              <w:tl2br w:val="nil"/>
              <w:tr2bl w:val="nil"/>
            </w:tcBorders>
            <w:vAlign w:val="center"/>
          </w:tcPr>
          <w:p w14:paraId="62C3061B">
            <w:pPr>
              <w:spacing w:line="360" w:lineRule="auto"/>
              <w:jc w:val="center"/>
              <w:rPr>
                <w:sz w:val="21"/>
                <w:szCs w:val="21"/>
              </w:rPr>
            </w:pPr>
            <w:r>
              <w:rPr>
                <w:sz w:val="20"/>
              </w:rPr>
              <w:drawing>
                <wp:inline distT="0" distB="0" distL="0" distR="0">
                  <wp:extent cx="1210945" cy="1078230"/>
                  <wp:effectExtent l="0" t="0" r="8255" b="7620"/>
                  <wp:docPr id="1024" name="图片 14" descr="QQ截图2018030209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14" descr="QQ截图20180302091701"/>
                          <pic:cNvPicPr>
                            <a:picLocks noChangeAspect="1" noChangeArrowheads="1"/>
                          </pic:cNvPicPr>
                        </pic:nvPicPr>
                        <pic:blipFill>
                          <a:blip r:embed="rId116"/>
                          <a:stretch>
                            <a:fillRect/>
                          </a:stretch>
                        </pic:blipFill>
                        <pic:spPr>
                          <a:xfrm>
                            <a:off x="0" y="0"/>
                            <a:ext cx="1211580" cy="1078865"/>
                          </a:xfrm>
                          <a:prstGeom prst="rect">
                            <a:avLst/>
                          </a:prstGeom>
                          <a:noFill/>
                          <a:ln w="9525" cap="flat">
                            <a:noFill/>
                          </a:ln>
                        </pic:spPr>
                      </pic:pic>
                    </a:graphicData>
                  </a:graphic>
                </wp:inline>
              </w:drawing>
            </w:r>
          </w:p>
        </w:tc>
        <w:tc>
          <w:tcPr>
            <w:tcW w:w="1796" w:type="dxa"/>
            <w:tcBorders>
              <w:tl2br w:val="nil"/>
              <w:tr2bl w:val="nil"/>
            </w:tcBorders>
            <w:vAlign w:val="center"/>
          </w:tcPr>
          <w:p w14:paraId="784FC3CD">
            <w:pPr>
              <w:spacing w:line="360" w:lineRule="auto"/>
              <w:jc w:val="center"/>
              <w:rPr>
                <w:sz w:val="21"/>
                <w:szCs w:val="21"/>
              </w:rPr>
            </w:pPr>
            <w:r>
              <w:rPr>
                <w:sz w:val="21"/>
                <w:szCs w:val="21"/>
              </w:rPr>
              <w:t>噪声排放源</w:t>
            </w:r>
          </w:p>
        </w:tc>
        <w:tc>
          <w:tcPr>
            <w:tcW w:w="1706" w:type="dxa"/>
            <w:tcBorders>
              <w:tl2br w:val="nil"/>
              <w:tr2bl w:val="nil"/>
            </w:tcBorders>
            <w:vAlign w:val="center"/>
          </w:tcPr>
          <w:p w14:paraId="64A8BE5D">
            <w:pPr>
              <w:spacing w:line="360" w:lineRule="auto"/>
              <w:jc w:val="center"/>
              <w:rPr>
                <w:sz w:val="21"/>
                <w:szCs w:val="21"/>
              </w:rPr>
            </w:pPr>
            <w:r>
              <w:rPr>
                <w:sz w:val="21"/>
                <w:szCs w:val="21"/>
              </w:rPr>
              <w:t>表示噪声向外环境排放</w:t>
            </w:r>
          </w:p>
        </w:tc>
      </w:tr>
      <w:tr w14:paraId="2B8A0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1" w:type="dxa"/>
            <w:tcBorders>
              <w:tl2br w:val="nil"/>
              <w:tr2bl w:val="nil"/>
            </w:tcBorders>
            <w:vAlign w:val="center"/>
          </w:tcPr>
          <w:p w14:paraId="3790412F">
            <w:pPr>
              <w:spacing w:line="360" w:lineRule="auto"/>
              <w:jc w:val="center"/>
              <w:rPr>
                <w:sz w:val="21"/>
                <w:szCs w:val="21"/>
              </w:rPr>
            </w:pPr>
            <w:r>
              <w:rPr>
                <w:sz w:val="21"/>
                <w:szCs w:val="21"/>
              </w:rPr>
              <w:t>3</w:t>
            </w:r>
          </w:p>
        </w:tc>
        <w:tc>
          <w:tcPr>
            <w:tcW w:w="2446" w:type="dxa"/>
            <w:tcBorders>
              <w:tl2br w:val="nil"/>
              <w:tr2bl w:val="nil"/>
            </w:tcBorders>
            <w:vAlign w:val="center"/>
          </w:tcPr>
          <w:p w14:paraId="7BDDBDFA">
            <w:pPr>
              <w:spacing w:line="360" w:lineRule="auto"/>
              <w:jc w:val="center"/>
              <w:rPr>
                <w:sz w:val="21"/>
                <w:szCs w:val="21"/>
              </w:rPr>
            </w:pPr>
            <w:r>
              <w:rPr>
                <w:sz w:val="20"/>
              </w:rPr>
              <w:drawing>
                <wp:inline distT="0" distB="0" distL="0" distR="0">
                  <wp:extent cx="1079500" cy="969645"/>
                  <wp:effectExtent l="0" t="0" r="6350" b="1905"/>
                  <wp:docPr id="1025" name="图片 15" descr="5004926_20075408374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5" descr="5004926_200754083745_2"/>
                          <pic:cNvPicPr>
                            <a:picLocks noChangeAspect="1" noChangeArrowheads="1"/>
                          </pic:cNvPicPr>
                        </pic:nvPicPr>
                        <pic:blipFill>
                          <a:blip r:embed="rId117"/>
                          <a:stretch>
                            <a:fillRect/>
                          </a:stretch>
                        </pic:blipFill>
                        <pic:spPr>
                          <a:xfrm>
                            <a:off x="0" y="0"/>
                            <a:ext cx="1080135" cy="970280"/>
                          </a:xfrm>
                          <a:prstGeom prst="rect">
                            <a:avLst/>
                          </a:prstGeom>
                          <a:noFill/>
                          <a:ln w="9525" cap="flat">
                            <a:noFill/>
                          </a:ln>
                        </pic:spPr>
                      </pic:pic>
                    </a:graphicData>
                  </a:graphic>
                </wp:inline>
              </w:drawing>
            </w:r>
          </w:p>
        </w:tc>
        <w:tc>
          <w:tcPr>
            <w:tcW w:w="2244" w:type="dxa"/>
            <w:tcBorders>
              <w:tl2br w:val="nil"/>
              <w:tr2bl w:val="nil"/>
            </w:tcBorders>
            <w:vAlign w:val="center"/>
          </w:tcPr>
          <w:p w14:paraId="0A9E68C6">
            <w:pPr>
              <w:spacing w:line="360" w:lineRule="auto"/>
              <w:jc w:val="center"/>
              <w:rPr>
                <w:sz w:val="21"/>
                <w:szCs w:val="21"/>
              </w:rPr>
            </w:pPr>
            <w:r>
              <w:drawing>
                <wp:inline distT="0" distB="0" distL="114300" distR="114300">
                  <wp:extent cx="1146810" cy="1066800"/>
                  <wp:effectExtent l="0" t="0" r="15240" b="0"/>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
                          <pic:cNvPicPr>
                            <a:picLocks noChangeAspect="1"/>
                          </pic:cNvPicPr>
                        </pic:nvPicPr>
                        <pic:blipFill>
                          <a:blip r:embed="rId118"/>
                          <a:stretch>
                            <a:fillRect/>
                          </a:stretch>
                        </pic:blipFill>
                        <pic:spPr>
                          <a:xfrm>
                            <a:off x="0" y="0"/>
                            <a:ext cx="1146810" cy="1066800"/>
                          </a:xfrm>
                          <a:prstGeom prst="rect">
                            <a:avLst/>
                          </a:prstGeom>
                          <a:noFill/>
                          <a:ln>
                            <a:noFill/>
                          </a:ln>
                        </pic:spPr>
                      </pic:pic>
                    </a:graphicData>
                  </a:graphic>
                </wp:inline>
              </w:drawing>
            </w:r>
          </w:p>
        </w:tc>
        <w:tc>
          <w:tcPr>
            <w:tcW w:w="1796" w:type="dxa"/>
            <w:tcBorders>
              <w:tl2br w:val="nil"/>
              <w:tr2bl w:val="nil"/>
            </w:tcBorders>
            <w:vAlign w:val="center"/>
          </w:tcPr>
          <w:p w14:paraId="5B7F38AB">
            <w:pPr>
              <w:spacing w:line="360" w:lineRule="auto"/>
              <w:jc w:val="center"/>
              <w:rPr>
                <w:sz w:val="21"/>
                <w:szCs w:val="21"/>
              </w:rPr>
            </w:pPr>
            <w:r>
              <w:rPr>
                <w:sz w:val="21"/>
                <w:szCs w:val="21"/>
              </w:rPr>
              <w:t>固体废物堆放场</w:t>
            </w:r>
          </w:p>
        </w:tc>
        <w:tc>
          <w:tcPr>
            <w:tcW w:w="1706" w:type="dxa"/>
            <w:tcBorders>
              <w:tl2br w:val="nil"/>
              <w:tr2bl w:val="nil"/>
            </w:tcBorders>
            <w:vAlign w:val="center"/>
          </w:tcPr>
          <w:p w14:paraId="1E47AEC0">
            <w:pPr>
              <w:spacing w:line="360" w:lineRule="auto"/>
              <w:jc w:val="center"/>
              <w:rPr>
                <w:sz w:val="21"/>
                <w:szCs w:val="21"/>
              </w:rPr>
            </w:pPr>
            <w:r>
              <w:rPr>
                <w:sz w:val="21"/>
                <w:szCs w:val="21"/>
              </w:rPr>
              <w:t>表示此处为固体堆放区</w:t>
            </w:r>
          </w:p>
        </w:tc>
      </w:tr>
    </w:tbl>
    <w:p w14:paraId="5347E3FD">
      <w:pPr>
        <w:pStyle w:val="3"/>
      </w:pPr>
      <w:bookmarkStart w:id="474" w:name="8.1.6_信息公开"/>
      <w:bookmarkEnd w:id="474"/>
      <w:bookmarkStart w:id="475" w:name="_Toc26169"/>
      <w:r>
        <w:t>8.2信息公开</w:t>
      </w:r>
      <w:bookmarkEnd w:id="475"/>
    </w:p>
    <w:p w14:paraId="3441712B">
      <w:pPr>
        <w:spacing w:line="360" w:lineRule="auto"/>
        <w:ind w:firstLine="480" w:firstLineChars="200"/>
        <w:rPr>
          <w:szCs w:val="32"/>
        </w:rPr>
      </w:pPr>
      <w:bookmarkStart w:id="476" w:name="_bookmark37"/>
      <w:bookmarkEnd w:id="476"/>
      <w:bookmarkStart w:id="477" w:name="8.2环境监测计划"/>
      <w:bookmarkEnd w:id="477"/>
      <w:r>
        <w:rPr>
          <w:szCs w:val="32"/>
        </w:rPr>
        <w:t xml:space="preserve">1、公开内容 </w:t>
      </w:r>
    </w:p>
    <w:p w14:paraId="6E48F6F0">
      <w:pPr>
        <w:spacing w:line="360" w:lineRule="auto"/>
        <w:ind w:firstLine="480" w:firstLineChars="200"/>
        <w:rPr>
          <w:szCs w:val="32"/>
        </w:rPr>
      </w:pPr>
      <w:r>
        <w:rPr>
          <w:szCs w:val="32"/>
        </w:rPr>
        <w:t>企业应将自行监测工作开展情况及监测结果向社会公众公开，公开内容应包括：</w:t>
      </w:r>
    </w:p>
    <w:p w14:paraId="23663DCA">
      <w:pPr>
        <w:spacing w:line="360" w:lineRule="auto"/>
        <w:ind w:firstLine="480" w:firstLineChars="200"/>
        <w:rPr>
          <w:szCs w:val="32"/>
        </w:rPr>
      </w:pPr>
      <w:r>
        <w:rPr>
          <w:szCs w:val="32"/>
        </w:rPr>
        <w:t>（1）基础信息：企业名称、法人代表、所属行业、地理位置、联系方式、委托监测机构名称等；</w:t>
      </w:r>
    </w:p>
    <w:p w14:paraId="78616861">
      <w:pPr>
        <w:spacing w:line="360" w:lineRule="auto"/>
        <w:ind w:firstLine="480" w:firstLineChars="200"/>
        <w:rPr>
          <w:szCs w:val="32"/>
        </w:rPr>
      </w:pPr>
      <w:r>
        <w:rPr>
          <w:szCs w:val="32"/>
        </w:rPr>
        <w:t>（2）自行监测方案；</w:t>
      </w:r>
    </w:p>
    <w:p w14:paraId="4170A186">
      <w:pPr>
        <w:spacing w:line="360" w:lineRule="auto"/>
        <w:ind w:firstLine="480" w:firstLineChars="200"/>
        <w:rPr>
          <w:szCs w:val="32"/>
        </w:rPr>
      </w:pPr>
      <w:r>
        <w:rPr>
          <w:szCs w:val="32"/>
        </w:rPr>
        <w:t>（3）自行监测结果：全部监测点位、监测时间、污染物种类及浓度、标准限值、达标情况、超标倍数、污染物排放方式及排放去向；</w:t>
      </w:r>
    </w:p>
    <w:p w14:paraId="605C8F19">
      <w:pPr>
        <w:spacing w:line="360" w:lineRule="auto"/>
        <w:ind w:firstLine="480" w:firstLineChars="200"/>
        <w:rPr>
          <w:szCs w:val="32"/>
        </w:rPr>
      </w:pPr>
      <w:r>
        <w:rPr>
          <w:szCs w:val="32"/>
        </w:rPr>
        <w:t>（4）未开展自行监测的原因；</w:t>
      </w:r>
    </w:p>
    <w:p w14:paraId="33C5C9E4">
      <w:pPr>
        <w:spacing w:line="360" w:lineRule="auto"/>
        <w:ind w:firstLine="480" w:firstLineChars="200"/>
        <w:rPr>
          <w:szCs w:val="32"/>
        </w:rPr>
      </w:pPr>
      <w:r>
        <w:rPr>
          <w:szCs w:val="32"/>
        </w:rPr>
        <w:t>（5）污染源监测年度报告。</w:t>
      </w:r>
    </w:p>
    <w:p w14:paraId="194D99DB">
      <w:pPr>
        <w:spacing w:line="360" w:lineRule="auto"/>
        <w:ind w:firstLine="480" w:firstLineChars="200"/>
        <w:rPr>
          <w:szCs w:val="32"/>
        </w:rPr>
      </w:pPr>
      <w:r>
        <w:rPr>
          <w:szCs w:val="32"/>
        </w:rPr>
        <w:t xml:space="preserve">2、公开方式 </w:t>
      </w:r>
    </w:p>
    <w:p w14:paraId="6F23E004">
      <w:pPr>
        <w:spacing w:line="360" w:lineRule="auto"/>
        <w:ind w:firstLine="480" w:firstLineChars="200"/>
        <w:rPr>
          <w:szCs w:val="32"/>
        </w:rPr>
      </w:pPr>
      <w:r>
        <w:rPr>
          <w:szCs w:val="32"/>
        </w:rPr>
        <w:t>企业可通过对外网站、报纸、广播、电视等便于公众知晓的方式公开自行监测信息。</w:t>
      </w:r>
    </w:p>
    <w:p w14:paraId="6318F5F3">
      <w:pPr>
        <w:spacing w:line="360" w:lineRule="auto"/>
        <w:ind w:firstLine="480" w:firstLineChars="200"/>
        <w:rPr>
          <w:szCs w:val="32"/>
        </w:rPr>
      </w:pPr>
      <w:r>
        <w:rPr>
          <w:szCs w:val="32"/>
        </w:rPr>
        <w:t xml:space="preserve">3、公开时限 </w:t>
      </w:r>
    </w:p>
    <w:p w14:paraId="1E1AFD05">
      <w:pPr>
        <w:spacing w:line="360" w:lineRule="auto"/>
        <w:ind w:firstLine="480" w:firstLineChars="200"/>
        <w:rPr>
          <w:szCs w:val="32"/>
        </w:rPr>
      </w:pPr>
      <w:r>
        <w:rPr>
          <w:szCs w:val="32"/>
        </w:rPr>
        <w:t>企业自行监测信息按以下要求的时限公开：</w:t>
      </w:r>
    </w:p>
    <w:p w14:paraId="208A4C86">
      <w:pPr>
        <w:spacing w:line="360" w:lineRule="auto"/>
        <w:ind w:firstLine="480" w:firstLineChars="200"/>
        <w:rPr>
          <w:szCs w:val="32"/>
        </w:rPr>
      </w:pPr>
      <w:r>
        <w:rPr>
          <w:szCs w:val="32"/>
        </w:rPr>
        <w:t>（1）企业基础信息应随监测数据一并公布，基础信息、自行监测方案如有调整变化时，应于变更后的五日内公布最新内容；</w:t>
      </w:r>
    </w:p>
    <w:p w14:paraId="55CB3D73">
      <w:pPr>
        <w:spacing w:line="360" w:lineRule="auto"/>
        <w:ind w:firstLine="480" w:firstLineChars="200"/>
      </w:pPr>
      <w:r>
        <w:t>（2）手工监测数据应于每次监测完成后的次日公布；</w:t>
      </w:r>
    </w:p>
    <w:p w14:paraId="4B246CDD">
      <w:pPr>
        <w:spacing w:line="360" w:lineRule="auto"/>
        <w:ind w:firstLine="480" w:firstLineChars="200"/>
      </w:pPr>
      <w:r>
        <w:t>（3）自动监测数据应实时公布监测结果；</w:t>
      </w:r>
    </w:p>
    <w:p w14:paraId="56A31FE9">
      <w:pPr>
        <w:spacing w:line="360" w:lineRule="auto"/>
        <w:ind w:firstLine="480" w:firstLineChars="200"/>
      </w:pPr>
      <w:r>
        <w:t>（4）每年1月底前公布上年度自行监测年度报告。</w:t>
      </w:r>
    </w:p>
    <w:p w14:paraId="2F0A19C3">
      <w:pPr>
        <w:pStyle w:val="3"/>
      </w:pPr>
      <w:bookmarkStart w:id="478" w:name="_Toc4376"/>
      <w:r>
        <w:t>8.3环境监测计划</w:t>
      </w:r>
      <w:bookmarkEnd w:id="478"/>
    </w:p>
    <w:p w14:paraId="7E33600D">
      <w:pPr>
        <w:pStyle w:val="4"/>
      </w:pPr>
      <w:bookmarkStart w:id="479" w:name="8.2.1环境监测的意义"/>
      <w:bookmarkEnd w:id="479"/>
      <w:r>
        <w:t>8.3.1环境监测的意义</w:t>
      </w:r>
    </w:p>
    <w:p w14:paraId="7A40236C">
      <w:pPr>
        <w:spacing w:line="360" w:lineRule="auto"/>
        <w:ind w:firstLine="480" w:firstLineChars="200"/>
      </w:pPr>
      <w:r>
        <w:t>环境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清洁生产的重要保证手段之一。</w:t>
      </w:r>
    </w:p>
    <w:p w14:paraId="3E6BAD0A">
      <w:pPr>
        <w:pStyle w:val="4"/>
      </w:pPr>
      <w:bookmarkStart w:id="480" w:name="8.2.2环境监测计划"/>
      <w:bookmarkEnd w:id="480"/>
      <w:r>
        <w:t>8.3.2环境监测计划</w:t>
      </w:r>
    </w:p>
    <w:p w14:paraId="2FBB0662">
      <w:pPr>
        <w:pStyle w:val="5"/>
      </w:pPr>
      <w:bookmarkStart w:id="481" w:name="8.2.2.1_污染源监测计划"/>
      <w:bookmarkEnd w:id="481"/>
      <w:r>
        <w:t>8.3.2.1环境监测分析方法</w:t>
      </w:r>
    </w:p>
    <w:p w14:paraId="5B3772E1">
      <w:pPr>
        <w:spacing w:line="360" w:lineRule="auto"/>
        <w:ind w:firstLine="480" w:firstLineChars="200"/>
      </w:pPr>
      <w:r>
        <w:t>优先选用所执行的标准中规定的方法。</w:t>
      </w:r>
    </w:p>
    <w:p w14:paraId="600A0CBA">
      <w:pPr>
        <w:pStyle w:val="5"/>
      </w:pPr>
      <w:bookmarkStart w:id="482" w:name="8.2.4_污染物排放清单"/>
      <w:bookmarkEnd w:id="482"/>
      <w:r>
        <w:t>8.3.2.</w:t>
      </w:r>
      <w:r>
        <w:rPr>
          <w:rFonts w:hint="eastAsia"/>
        </w:rPr>
        <w:t>2</w:t>
      </w:r>
      <w:r>
        <w:t>污染物排放清单</w:t>
      </w:r>
    </w:p>
    <w:p w14:paraId="2BF923F6">
      <w:pPr>
        <w:spacing w:line="360" w:lineRule="auto"/>
        <w:ind w:firstLine="480" w:firstLineChars="200"/>
      </w:pPr>
      <w:r>
        <w:rPr>
          <w:rFonts w:hint="eastAsia"/>
          <w:lang w:eastAsia="zh-CN"/>
        </w:rPr>
        <w:t>本项目</w:t>
      </w:r>
      <w:r>
        <w:t>污染物排放清单见表8.3-</w:t>
      </w:r>
      <w:r>
        <w:rPr>
          <w:rFonts w:hint="eastAsia"/>
        </w:rPr>
        <w:t>1</w:t>
      </w:r>
      <w:r>
        <w:t>。</w:t>
      </w:r>
    </w:p>
    <w:p w14:paraId="178B8A40">
      <w:pPr>
        <w:pStyle w:val="5"/>
      </w:pPr>
      <w:r>
        <w:t>8.3.2.</w:t>
      </w:r>
      <w:r>
        <w:rPr>
          <w:rFonts w:hint="eastAsia"/>
        </w:rPr>
        <w:t>3</w:t>
      </w:r>
      <w:r>
        <w:t>污染源监测计划</w:t>
      </w:r>
    </w:p>
    <w:p w14:paraId="10BEA8C4">
      <w:pPr>
        <w:spacing w:line="360" w:lineRule="auto"/>
        <w:ind w:firstLine="480" w:firstLineChars="200"/>
      </w:pPr>
      <w:r>
        <w:rPr>
          <w:rFonts w:hint="eastAsia"/>
          <w:lang w:eastAsia="zh-CN"/>
        </w:rPr>
        <w:t>本项目</w:t>
      </w:r>
      <w:r>
        <w:t>运行期污染源监测计划按照《固定污染源排污许可分类管理名录》中监测要求制定，若企业不具备监测条件进行上述污染源及环境质量监测，可委托有资质的环境监测单位进行监测。污染源监测计划内容见表8.</w:t>
      </w:r>
      <w:r>
        <w:rPr>
          <w:rFonts w:hint="eastAsia"/>
        </w:rPr>
        <w:t>3</w:t>
      </w:r>
      <w:r>
        <w:t>-</w:t>
      </w:r>
      <w:r>
        <w:rPr>
          <w:rFonts w:hint="eastAsia"/>
        </w:rPr>
        <w:t>2</w:t>
      </w:r>
      <w:r>
        <w:t>。</w:t>
      </w:r>
    </w:p>
    <w:p w14:paraId="208E3853">
      <w:pPr>
        <w:pStyle w:val="3"/>
      </w:pPr>
      <w:bookmarkStart w:id="483" w:name="_bookmark38"/>
      <w:bookmarkEnd w:id="483"/>
      <w:bookmarkStart w:id="484" w:name="8.3_环保设施竣工验收"/>
      <w:bookmarkEnd w:id="484"/>
      <w:bookmarkStart w:id="485" w:name="_Toc24340"/>
      <w:r>
        <w:t>8.4环保设施竣工验收</w:t>
      </w:r>
      <w:bookmarkEnd w:id="485"/>
    </w:p>
    <w:p w14:paraId="6F3522D2">
      <w:pPr>
        <w:autoSpaceDE w:val="0"/>
        <w:autoSpaceDN w:val="0"/>
        <w:spacing w:line="360" w:lineRule="auto"/>
        <w:jc w:val="left"/>
        <w:sectPr>
          <w:footerReference r:id="rId16" w:type="default"/>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pPr>
    </w:p>
    <w:p w14:paraId="6AC731A0">
      <w:pPr>
        <w:jc w:val="left"/>
      </w:pPr>
      <w:r>
        <w:rPr>
          <w:rFonts w:hint="eastAsia"/>
          <w:lang w:eastAsia="zh-CN"/>
        </w:rPr>
        <w:t>本项目</w:t>
      </w:r>
      <w:r>
        <w:t>竣工环境保护验收主要内容见表8.4-1。</w:t>
      </w:r>
    </w:p>
    <w:p w14:paraId="5899F74D">
      <w:pPr>
        <w:jc w:val="center"/>
        <w:rPr>
          <w:b/>
        </w:rPr>
      </w:pPr>
      <w:r>
        <w:rPr>
          <w:b/>
        </w:rPr>
        <w:t>表8.3-1  主要污染排放</w:t>
      </w:r>
      <w:bookmarkStart w:id="486" w:name="_Toc23168"/>
      <w:bookmarkStart w:id="487" w:name="_Toc21778"/>
      <w:bookmarkStart w:id="488" w:name="_Toc14252"/>
      <w:bookmarkStart w:id="489" w:name="_Toc21182"/>
      <w:bookmarkStart w:id="490" w:name="_Toc23665"/>
      <w:r>
        <w:rPr>
          <w:b/>
        </w:rPr>
        <w:t>清单</w:t>
      </w:r>
    </w:p>
    <w:tbl>
      <w:tblPr>
        <w:tblStyle w:val="53"/>
        <w:tblW w:w="14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1449"/>
        <w:gridCol w:w="837"/>
        <w:gridCol w:w="1028"/>
        <w:gridCol w:w="995"/>
        <w:gridCol w:w="138"/>
        <w:gridCol w:w="999"/>
        <w:gridCol w:w="86"/>
        <w:gridCol w:w="1061"/>
        <w:gridCol w:w="1824"/>
        <w:gridCol w:w="3251"/>
        <w:gridCol w:w="1658"/>
      </w:tblGrid>
      <w:tr w14:paraId="568AD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729" w:type="dxa"/>
            <w:tcBorders>
              <w:tl2br w:val="nil"/>
              <w:tr2bl w:val="nil"/>
            </w:tcBorders>
            <w:vAlign w:val="center"/>
          </w:tcPr>
          <w:p w14:paraId="6B3BC449">
            <w:pPr>
              <w:jc w:val="center"/>
              <w:rPr>
                <w:b/>
                <w:bCs/>
                <w:color w:val="auto"/>
                <w:sz w:val="21"/>
                <w:szCs w:val="21"/>
              </w:rPr>
            </w:pPr>
            <w:r>
              <w:rPr>
                <w:b/>
                <w:bCs/>
                <w:color w:val="auto"/>
                <w:sz w:val="21"/>
                <w:szCs w:val="21"/>
              </w:rPr>
              <w:t>环境要素</w:t>
            </w:r>
          </w:p>
        </w:tc>
        <w:tc>
          <w:tcPr>
            <w:tcW w:w="1449" w:type="dxa"/>
            <w:tcBorders>
              <w:tl2br w:val="nil"/>
              <w:tr2bl w:val="nil"/>
            </w:tcBorders>
            <w:vAlign w:val="center"/>
          </w:tcPr>
          <w:p w14:paraId="72758B94">
            <w:pPr>
              <w:jc w:val="center"/>
              <w:rPr>
                <w:b/>
                <w:bCs/>
                <w:color w:val="auto"/>
                <w:sz w:val="21"/>
                <w:szCs w:val="21"/>
              </w:rPr>
            </w:pPr>
            <w:r>
              <w:rPr>
                <w:b/>
                <w:bCs/>
                <w:color w:val="auto"/>
                <w:sz w:val="21"/>
                <w:szCs w:val="21"/>
              </w:rPr>
              <w:t>污染因子</w:t>
            </w:r>
          </w:p>
        </w:tc>
        <w:tc>
          <w:tcPr>
            <w:tcW w:w="837" w:type="dxa"/>
            <w:tcBorders>
              <w:tl2br w:val="nil"/>
              <w:tr2bl w:val="nil"/>
            </w:tcBorders>
            <w:vAlign w:val="center"/>
          </w:tcPr>
          <w:p w14:paraId="0BA33B9B">
            <w:pPr>
              <w:jc w:val="center"/>
              <w:rPr>
                <w:b/>
                <w:bCs/>
                <w:color w:val="auto"/>
                <w:sz w:val="21"/>
                <w:szCs w:val="21"/>
              </w:rPr>
            </w:pPr>
            <w:r>
              <w:rPr>
                <w:b/>
                <w:bCs/>
                <w:color w:val="auto"/>
                <w:sz w:val="21"/>
                <w:szCs w:val="21"/>
              </w:rPr>
              <w:t>来源</w:t>
            </w:r>
          </w:p>
        </w:tc>
        <w:tc>
          <w:tcPr>
            <w:tcW w:w="1028" w:type="dxa"/>
            <w:tcBorders>
              <w:tl2br w:val="nil"/>
              <w:tr2bl w:val="nil"/>
            </w:tcBorders>
            <w:vAlign w:val="center"/>
          </w:tcPr>
          <w:p w14:paraId="2942B998">
            <w:pPr>
              <w:jc w:val="center"/>
              <w:rPr>
                <w:b/>
                <w:bCs/>
                <w:color w:val="auto"/>
                <w:sz w:val="21"/>
                <w:szCs w:val="21"/>
              </w:rPr>
            </w:pPr>
            <w:r>
              <w:rPr>
                <w:b/>
                <w:bCs/>
                <w:color w:val="auto"/>
                <w:sz w:val="21"/>
                <w:szCs w:val="21"/>
              </w:rPr>
              <w:t>产生量（t/a）</w:t>
            </w:r>
          </w:p>
        </w:tc>
        <w:tc>
          <w:tcPr>
            <w:tcW w:w="1133" w:type="dxa"/>
            <w:gridSpan w:val="2"/>
            <w:tcBorders>
              <w:tl2br w:val="nil"/>
              <w:tr2bl w:val="nil"/>
            </w:tcBorders>
            <w:vAlign w:val="center"/>
          </w:tcPr>
          <w:p w14:paraId="5939FB10">
            <w:pPr>
              <w:jc w:val="center"/>
              <w:rPr>
                <w:b/>
                <w:bCs/>
                <w:color w:val="auto"/>
                <w:sz w:val="21"/>
                <w:szCs w:val="21"/>
              </w:rPr>
            </w:pPr>
            <w:r>
              <w:rPr>
                <w:b/>
                <w:bCs/>
                <w:color w:val="auto"/>
                <w:sz w:val="21"/>
                <w:szCs w:val="21"/>
              </w:rPr>
              <w:t>产生浓度（mg/m</w:t>
            </w:r>
            <w:r>
              <w:rPr>
                <w:b/>
                <w:bCs/>
                <w:color w:val="auto"/>
                <w:sz w:val="21"/>
                <w:szCs w:val="21"/>
                <w:vertAlign w:val="superscript"/>
              </w:rPr>
              <w:t>3</w:t>
            </w:r>
            <w:r>
              <w:rPr>
                <w:b/>
                <w:bCs/>
                <w:color w:val="auto"/>
                <w:sz w:val="21"/>
                <w:szCs w:val="21"/>
              </w:rPr>
              <w:t>）</w:t>
            </w:r>
          </w:p>
        </w:tc>
        <w:tc>
          <w:tcPr>
            <w:tcW w:w="999" w:type="dxa"/>
            <w:tcBorders>
              <w:tl2br w:val="nil"/>
              <w:tr2bl w:val="nil"/>
            </w:tcBorders>
            <w:vAlign w:val="center"/>
          </w:tcPr>
          <w:p w14:paraId="24A19D2B">
            <w:pPr>
              <w:jc w:val="center"/>
              <w:rPr>
                <w:b/>
                <w:bCs/>
                <w:color w:val="auto"/>
                <w:sz w:val="21"/>
                <w:szCs w:val="21"/>
              </w:rPr>
            </w:pPr>
            <w:r>
              <w:rPr>
                <w:b/>
                <w:bCs/>
                <w:color w:val="auto"/>
                <w:sz w:val="21"/>
                <w:szCs w:val="21"/>
              </w:rPr>
              <w:t>排放量（t/a）</w:t>
            </w:r>
          </w:p>
        </w:tc>
        <w:tc>
          <w:tcPr>
            <w:tcW w:w="1147" w:type="dxa"/>
            <w:gridSpan w:val="2"/>
            <w:tcBorders>
              <w:tl2br w:val="nil"/>
              <w:tr2bl w:val="nil"/>
            </w:tcBorders>
            <w:vAlign w:val="center"/>
          </w:tcPr>
          <w:p w14:paraId="6997526B">
            <w:pPr>
              <w:jc w:val="center"/>
              <w:rPr>
                <w:b/>
                <w:bCs/>
                <w:color w:val="auto"/>
                <w:sz w:val="21"/>
                <w:szCs w:val="21"/>
              </w:rPr>
            </w:pPr>
            <w:r>
              <w:rPr>
                <w:b/>
                <w:bCs/>
                <w:color w:val="auto"/>
                <w:sz w:val="21"/>
                <w:szCs w:val="21"/>
              </w:rPr>
              <w:t>排放浓度（mg/m</w:t>
            </w:r>
            <w:r>
              <w:rPr>
                <w:b/>
                <w:bCs/>
                <w:color w:val="auto"/>
                <w:sz w:val="21"/>
                <w:szCs w:val="21"/>
                <w:vertAlign w:val="superscript"/>
              </w:rPr>
              <w:t>3</w:t>
            </w:r>
            <w:r>
              <w:rPr>
                <w:b/>
                <w:bCs/>
                <w:color w:val="auto"/>
                <w:sz w:val="21"/>
                <w:szCs w:val="21"/>
              </w:rPr>
              <w:t>）</w:t>
            </w:r>
          </w:p>
        </w:tc>
        <w:tc>
          <w:tcPr>
            <w:tcW w:w="1824" w:type="dxa"/>
            <w:tcBorders>
              <w:tl2br w:val="nil"/>
              <w:tr2bl w:val="nil"/>
            </w:tcBorders>
            <w:vAlign w:val="center"/>
          </w:tcPr>
          <w:p w14:paraId="2D36C00E">
            <w:pPr>
              <w:jc w:val="center"/>
              <w:rPr>
                <w:b/>
                <w:bCs/>
                <w:color w:val="auto"/>
                <w:sz w:val="21"/>
                <w:szCs w:val="21"/>
              </w:rPr>
            </w:pPr>
            <w:r>
              <w:rPr>
                <w:b/>
                <w:bCs/>
                <w:color w:val="auto"/>
                <w:sz w:val="21"/>
                <w:szCs w:val="21"/>
              </w:rPr>
              <w:t>治理措施或对策</w:t>
            </w:r>
          </w:p>
        </w:tc>
        <w:tc>
          <w:tcPr>
            <w:tcW w:w="3251" w:type="dxa"/>
            <w:tcBorders>
              <w:tl2br w:val="nil"/>
              <w:tr2bl w:val="nil"/>
            </w:tcBorders>
            <w:vAlign w:val="center"/>
          </w:tcPr>
          <w:p w14:paraId="6ED0C43D">
            <w:pPr>
              <w:jc w:val="center"/>
              <w:rPr>
                <w:b/>
                <w:bCs/>
                <w:color w:val="auto"/>
                <w:sz w:val="21"/>
                <w:szCs w:val="21"/>
              </w:rPr>
            </w:pPr>
            <w:r>
              <w:rPr>
                <w:b/>
                <w:bCs/>
                <w:color w:val="auto"/>
                <w:sz w:val="21"/>
                <w:szCs w:val="21"/>
              </w:rPr>
              <w:t>执行标准</w:t>
            </w:r>
          </w:p>
        </w:tc>
        <w:tc>
          <w:tcPr>
            <w:tcW w:w="1658" w:type="dxa"/>
            <w:tcBorders>
              <w:tl2br w:val="nil"/>
              <w:tr2bl w:val="nil"/>
            </w:tcBorders>
            <w:vAlign w:val="center"/>
          </w:tcPr>
          <w:p w14:paraId="7D6A15BC">
            <w:pPr>
              <w:jc w:val="center"/>
              <w:rPr>
                <w:b/>
                <w:bCs/>
                <w:color w:val="auto"/>
                <w:spacing w:val="-8"/>
                <w:sz w:val="21"/>
                <w:szCs w:val="21"/>
              </w:rPr>
            </w:pPr>
            <w:r>
              <w:rPr>
                <w:b/>
                <w:bCs/>
                <w:color w:val="auto"/>
                <w:spacing w:val="-8"/>
                <w:sz w:val="21"/>
                <w:szCs w:val="21"/>
              </w:rPr>
              <w:t>排污口信息</w:t>
            </w:r>
          </w:p>
        </w:tc>
      </w:tr>
      <w:tr w14:paraId="59062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restart"/>
            <w:tcBorders>
              <w:tl2br w:val="nil"/>
              <w:tr2bl w:val="nil"/>
            </w:tcBorders>
            <w:vAlign w:val="center"/>
          </w:tcPr>
          <w:p w14:paraId="4B7ED8EB">
            <w:pPr>
              <w:pStyle w:val="42"/>
              <w:ind w:left="0" w:leftChars="0" w:firstLine="0" w:firstLineChars="0"/>
              <w:rPr>
                <w:color w:val="auto"/>
                <w:sz w:val="21"/>
                <w:szCs w:val="21"/>
              </w:rPr>
            </w:pPr>
            <w:r>
              <w:rPr>
                <w:color w:val="auto"/>
                <w:sz w:val="21"/>
                <w:szCs w:val="21"/>
              </w:rPr>
              <w:t>废气</w:t>
            </w:r>
          </w:p>
        </w:tc>
        <w:tc>
          <w:tcPr>
            <w:tcW w:w="1449" w:type="dxa"/>
            <w:tcBorders>
              <w:tl2br w:val="nil"/>
              <w:tr2bl w:val="nil"/>
            </w:tcBorders>
            <w:vAlign w:val="center"/>
          </w:tcPr>
          <w:p w14:paraId="428C24D1">
            <w:pPr>
              <w:adjustRightInd w:val="0"/>
              <w:snapToGrid w:val="0"/>
              <w:jc w:val="center"/>
              <w:rPr>
                <w:rFonts w:hint="default"/>
                <w:color w:val="auto"/>
                <w:sz w:val="21"/>
                <w:szCs w:val="21"/>
                <w:lang w:val="en-US" w:eastAsia="zh-CN"/>
              </w:rPr>
            </w:pPr>
            <w:r>
              <w:rPr>
                <w:rFonts w:hint="eastAsia"/>
                <w:color w:val="auto"/>
                <w:sz w:val="21"/>
                <w:szCs w:val="21"/>
                <w:lang w:val="en-US" w:eastAsia="zh-CN"/>
              </w:rPr>
              <w:t>非甲烷总烃</w:t>
            </w:r>
          </w:p>
        </w:tc>
        <w:tc>
          <w:tcPr>
            <w:tcW w:w="837" w:type="dxa"/>
            <w:vMerge w:val="restart"/>
            <w:tcBorders>
              <w:tl2br w:val="nil"/>
              <w:tr2bl w:val="nil"/>
            </w:tcBorders>
            <w:vAlign w:val="center"/>
          </w:tcPr>
          <w:p w14:paraId="4AC4AE36">
            <w:pPr>
              <w:adjustRightInd w:val="0"/>
              <w:snapToGrid w:val="0"/>
              <w:jc w:val="center"/>
              <w:rPr>
                <w:rFonts w:hint="default" w:eastAsia="宋体"/>
                <w:color w:val="auto"/>
                <w:sz w:val="21"/>
                <w:szCs w:val="21"/>
                <w:lang w:val="en-US" w:eastAsia="zh-CN"/>
              </w:rPr>
            </w:pPr>
            <w:r>
              <w:rPr>
                <w:rFonts w:ascii="Times New Roman" w:hAnsi="Times New Roman" w:eastAsia="宋体" w:cs="Times New Roman"/>
                <w:color w:val="auto"/>
                <w:sz w:val="21"/>
                <w:szCs w:val="21"/>
              </w:rPr>
              <w:t>CO2洗涤塔</w:t>
            </w:r>
          </w:p>
        </w:tc>
        <w:tc>
          <w:tcPr>
            <w:tcW w:w="1028" w:type="dxa"/>
            <w:tcBorders>
              <w:tl2br w:val="nil"/>
              <w:tr2bl w:val="nil"/>
            </w:tcBorders>
            <w:vAlign w:val="center"/>
          </w:tcPr>
          <w:p w14:paraId="05CB4077">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37D9B0DF">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49D211FB">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5.923</w:t>
            </w:r>
          </w:p>
        </w:tc>
        <w:tc>
          <w:tcPr>
            <w:tcW w:w="1147" w:type="dxa"/>
            <w:gridSpan w:val="2"/>
            <w:tcBorders>
              <w:tl2br w:val="nil"/>
              <w:tr2bl w:val="nil"/>
            </w:tcBorders>
            <w:vAlign w:val="center"/>
          </w:tcPr>
          <w:p w14:paraId="0C1F179C">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6.38</w:t>
            </w:r>
          </w:p>
        </w:tc>
        <w:tc>
          <w:tcPr>
            <w:tcW w:w="1824" w:type="dxa"/>
            <w:vMerge w:val="restart"/>
            <w:tcBorders>
              <w:tl2br w:val="nil"/>
              <w:tr2bl w:val="nil"/>
            </w:tcBorders>
            <w:vAlign w:val="center"/>
          </w:tcPr>
          <w:p w14:paraId="24B4403A">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CO2洗涤塔</w:t>
            </w:r>
          </w:p>
        </w:tc>
        <w:tc>
          <w:tcPr>
            <w:tcW w:w="3251" w:type="dxa"/>
            <w:tcBorders>
              <w:tl2br w:val="nil"/>
              <w:tr2bl w:val="nil"/>
            </w:tcBorders>
            <w:vAlign w:val="center"/>
          </w:tcPr>
          <w:p w14:paraId="4515C644">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vMerge w:val="restart"/>
            <w:tcBorders>
              <w:tl2br w:val="nil"/>
              <w:tr2bl w:val="nil"/>
            </w:tcBorders>
            <w:shd w:val="clear" w:color="auto" w:fill="auto"/>
            <w:vAlign w:val="center"/>
          </w:tcPr>
          <w:p w14:paraId="77EDFBEE">
            <w:pPr>
              <w:jc w:val="center"/>
              <w:rPr>
                <w:rFonts w:hint="eastAsia"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CO2洗涤塔排气筒1</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DA002</w:t>
            </w:r>
            <w:r>
              <w:rPr>
                <w:rFonts w:hint="eastAsia" w:ascii="Times New Roman" w:hAnsi="Times New Roman" w:eastAsia="宋体" w:cs="Times New Roman"/>
                <w:color w:val="auto"/>
                <w:sz w:val="21"/>
                <w:szCs w:val="21"/>
                <w:lang w:eastAsia="zh-CN"/>
              </w:rPr>
              <w:t>）</w:t>
            </w:r>
          </w:p>
        </w:tc>
      </w:tr>
      <w:tr w14:paraId="1C6CE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3559E410">
            <w:pPr>
              <w:pStyle w:val="42"/>
              <w:ind w:left="0" w:leftChars="0" w:firstLine="0" w:firstLineChars="0"/>
              <w:rPr>
                <w:color w:val="auto"/>
                <w:sz w:val="21"/>
                <w:szCs w:val="21"/>
              </w:rPr>
            </w:pPr>
          </w:p>
        </w:tc>
        <w:tc>
          <w:tcPr>
            <w:tcW w:w="1449" w:type="dxa"/>
            <w:tcBorders>
              <w:tl2br w:val="nil"/>
              <w:tr2bl w:val="nil"/>
            </w:tcBorders>
            <w:vAlign w:val="center"/>
          </w:tcPr>
          <w:p w14:paraId="7A5B3E14">
            <w:pPr>
              <w:adjustRightInd w:val="0"/>
              <w:snapToGrid w:val="0"/>
              <w:jc w:val="center"/>
              <w:rPr>
                <w:rFonts w:hint="default"/>
                <w:color w:val="auto"/>
                <w:sz w:val="21"/>
                <w:szCs w:val="21"/>
                <w:lang w:val="en-US" w:eastAsia="zh-CN"/>
              </w:rPr>
            </w:pPr>
            <w:r>
              <w:rPr>
                <w:rFonts w:hint="eastAsia"/>
                <w:color w:val="auto"/>
                <w:sz w:val="21"/>
                <w:szCs w:val="21"/>
                <w:lang w:val="en-US" w:eastAsia="zh-CN"/>
              </w:rPr>
              <w:t>臭气浓度</w:t>
            </w:r>
          </w:p>
        </w:tc>
        <w:tc>
          <w:tcPr>
            <w:tcW w:w="837" w:type="dxa"/>
            <w:vMerge w:val="continue"/>
            <w:tcBorders>
              <w:tl2br w:val="nil"/>
              <w:tr2bl w:val="nil"/>
            </w:tcBorders>
            <w:vAlign w:val="center"/>
          </w:tcPr>
          <w:p w14:paraId="74835E45">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09D6A605">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6E61365">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6677BDC2">
            <w:pPr>
              <w:jc w:val="center"/>
              <w:rPr>
                <w:rFonts w:hint="default" w:eastAsia="宋体"/>
                <w:b w:val="0"/>
                <w:bCs w:val="0"/>
                <w:color w:val="auto"/>
                <w:sz w:val="21"/>
                <w:szCs w:val="21"/>
                <w:lang w:val="en-US" w:eastAsia="zh-CN"/>
              </w:rPr>
            </w:pPr>
            <w:r>
              <w:rPr>
                <w:b w:val="0"/>
                <w:bCs w:val="0"/>
                <w:color w:val="auto"/>
                <w:sz w:val="21"/>
                <w:szCs w:val="21"/>
              </w:rPr>
              <w:t>——</w:t>
            </w:r>
          </w:p>
        </w:tc>
        <w:tc>
          <w:tcPr>
            <w:tcW w:w="1147" w:type="dxa"/>
            <w:gridSpan w:val="2"/>
            <w:tcBorders>
              <w:tl2br w:val="nil"/>
              <w:tr2bl w:val="nil"/>
            </w:tcBorders>
            <w:vAlign w:val="center"/>
          </w:tcPr>
          <w:p w14:paraId="4ECE6650">
            <w:pPr>
              <w:jc w:val="center"/>
              <w:rPr>
                <w:b w:val="0"/>
                <w:bCs w:val="0"/>
                <w:color w:val="auto"/>
                <w:sz w:val="21"/>
                <w:szCs w:val="21"/>
              </w:rPr>
            </w:pPr>
            <w:r>
              <w:rPr>
                <w:rFonts w:hint="eastAsia"/>
                <w:b w:val="0"/>
                <w:bCs w:val="0"/>
                <w:color w:val="auto"/>
                <w:sz w:val="21"/>
                <w:szCs w:val="21"/>
                <w:lang w:val="en-US" w:eastAsia="zh-CN"/>
              </w:rPr>
              <w:t>549</w:t>
            </w:r>
          </w:p>
        </w:tc>
        <w:tc>
          <w:tcPr>
            <w:tcW w:w="1824" w:type="dxa"/>
            <w:vMerge w:val="continue"/>
            <w:tcBorders>
              <w:tl2br w:val="nil"/>
              <w:tr2bl w:val="nil"/>
            </w:tcBorders>
            <w:vAlign w:val="center"/>
          </w:tcPr>
          <w:p w14:paraId="02647626">
            <w:pPr>
              <w:jc w:val="center"/>
              <w:rPr>
                <w:color w:val="auto"/>
                <w:sz w:val="21"/>
                <w:szCs w:val="21"/>
              </w:rPr>
            </w:pPr>
          </w:p>
        </w:tc>
        <w:tc>
          <w:tcPr>
            <w:tcW w:w="3251" w:type="dxa"/>
            <w:tcBorders>
              <w:tl2br w:val="nil"/>
              <w:tr2bl w:val="nil"/>
            </w:tcBorders>
            <w:vAlign w:val="center"/>
          </w:tcPr>
          <w:p w14:paraId="0B70E6BF">
            <w:pPr>
              <w:jc w:val="center"/>
              <w:rPr>
                <w:color w:val="auto"/>
                <w:sz w:val="21"/>
                <w:szCs w:val="21"/>
              </w:rPr>
            </w:pPr>
            <w:r>
              <w:rPr>
                <w:color w:val="auto"/>
                <w:sz w:val="21"/>
                <w:szCs w:val="21"/>
              </w:rPr>
              <w:t>《恶臭污染物排放标准》（GB14554-93）表2</w:t>
            </w:r>
          </w:p>
        </w:tc>
        <w:tc>
          <w:tcPr>
            <w:tcW w:w="1658" w:type="dxa"/>
            <w:vMerge w:val="continue"/>
            <w:tcBorders>
              <w:tl2br w:val="nil"/>
              <w:tr2bl w:val="nil"/>
            </w:tcBorders>
            <w:shd w:val="clear" w:color="auto" w:fill="auto"/>
            <w:vAlign w:val="center"/>
          </w:tcPr>
          <w:p w14:paraId="55DA18AA">
            <w:pPr>
              <w:jc w:val="center"/>
              <w:rPr>
                <w:rFonts w:ascii="Times New Roman" w:hAnsi="Times New Roman" w:eastAsia="宋体" w:cs="Times New Roman"/>
                <w:color w:val="auto"/>
                <w:sz w:val="21"/>
                <w:szCs w:val="21"/>
              </w:rPr>
            </w:pPr>
          </w:p>
        </w:tc>
      </w:tr>
      <w:tr w14:paraId="4E1B9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17E745EB">
            <w:pPr>
              <w:pStyle w:val="42"/>
              <w:ind w:left="0" w:leftChars="0" w:firstLine="0" w:firstLineChars="0"/>
              <w:rPr>
                <w:color w:val="auto"/>
                <w:sz w:val="21"/>
                <w:szCs w:val="21"/>
              </w:rPr>
            </w:pPr>
          </w:p>
        </w:tc>
        <w:tc>
          <w:tcPr>
            <w:tcW w:w="1449" w:type="dxa"/>
            <w:tcBorders>
              <w:tl2br w:val="nil"/>
              <w:tr2bl w:val="nil"/>
            </w:tcBorders>
            <w:vAlign w:val="center"/>
          </w:tcPr>
          <w:p w14:paraId="70E608DC">
            <w:pPr>
              <w:adjustRightInd w:val="0"/>
              <w:snapToGrid w:val="0"/>
              <w:jc w:val="center"/>
              <w:rPr>
                <w:rFonts w:hint="eastAsia"/>
                <w:color w:val="auto"/>
                <w:sz w:val="21"/>
                <w:szCs w:val="21"/>
                <w:lang w:val="en-US" w:eastAsia="zh-CN"/>
              </w:rPr>
            </w:pPr>
            <w:r>
              <w:rPr>
                <w:rFonts w:hint="eastAsia"/>
                <w:color w:val="auto"/>
                <w:sz w:val="21"/>
                <w:szCs w:val="21"/>
                <w:lang w:val="en-US" w:eastAsia="zh-CN"/>
              </w:rPr>
              <w:t>非甲烷总烃</w:t>
            </w:r>
          </w:p>
        </w:tc>
        <w:tc>
          <w:tcPr>
            <w:tcW w:w="837" w:type="dxa"/>
            <w:vMerge w:val="continue"/>
            <w:tcBorders>
              <w:tl2br w:val="nil"/>
              <w:tr2bl w:val="nil"/>
            </w:tcBorders>
            <w:vAlign w:val="center"/>
          </w:tcPr>
          <w:p w14:paraId="697F21D1">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4F34351F">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785AEEE6">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1F04B3B6">
            <w:pPr>
              <w:jc w:val="center"/>
              <w:rPr>
                <w:b w:val="0"/>
                <w:bCs w:val="0"/>
                <w:color w:val="auto"/>
                <w:sz w:val="21"/>
                <w:szCs w:val="21"/>
              </w:rPr>
            </w:pPr>
            <w:r>
              <w:rPr>
                <w:rFonts w:hint="eastAsia"/>
                <w:b w:val="0"/>
                <w:bCs w:val="0"/>
                <w:color w:val="auto"/>
                <w:sz w:val="21"/>
                <w:szCs w:val="21"/>
                <w:lang w:val="en-US" w:eastAsia="zh-CN"/>
              </w:rPr>
              <w:t>5.923</w:t>
            </w:r>
          </w:p>
        </w:tc>
        <w:tc>
          <w:tcPr>
            <w:tcW w:w="1147" w:type="dxa"/>
            <w:gridSpan w:val="2"/>
            <w:tcBorders>
              <w:tl2br w:val="nil"/>
              <w:tr2bl w:val="nil"/>
            </w:tcBorders>
            <w:vAlign w:val="center"/>
          </w:tcPr>
          <w:p w14:paraId="5664819B">
            <w:pPr>
              <w:jc w:val="center"/>
              <w:rPr>
                <w:b w:val="0"/>
                <w:bCs w:val="0"/>
                <w:color w:val="auto"/>
                <w:sz w:val="21"/>
                <w:szCs w:val="21"/>
              </w:rPr>
            </w:pPr>
            <w:r>
              <w:rPr>
                <w:rFonts w:hint="eastAsia"/>
                <w:b w:val="0"/>
                <w:bCs w:val="0"/>
                <w:color w:val="auto"/>
                <w:sz w:val="21"/>
                <w:szCs w:val="21"/>
                <w:lang w:val="en-US" w:eastAsia="zh-CN"/>
              </w:rPr>
              <w:t>6.38</w:t>
            </w:r>
          </w:p>
        </w:tc>
        <w:tc>
          <w:tcPr>
            <w:tcW w:w="1824" w:type="dxa"/>
            <w:vMerge w:val="restart"/>
            <w:tcBorders>
              <w:tl2br w:val="nil"/>
              <w:tr2bl w:val="nil"/>
            </w:tcBorders>
            <w:vAlign w:val="center"/>
          </w:tcPr>
          <w:p w14:paraId="238D0B9B">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CO2洗涤塔</w:t>
            </w:r>
          </w:p>
        </w:tc>
        <w:tc>
          <w:tcPr>
            <w:tcW w:w="3251" w:type="dxa"/>
            <w:tcBorders>
              <w:tl2br w:val="nil"/>
              <w:tr2bl w:val="nil"/>
            </w:tcBorders>
            <w:vAlign w:val="center"/>
          </w:tcPr>
          <w:p w14:paraId="15E63065">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vMerge w:val="restart"/>
            <w:tcBorders>
              <w:tl2br w:val="nil"/>
              <w:tr2bl w:val="nil"/>
            </w:tcBorders>
            <w:shd w:val="clear" w:color="auto" w:fill="auto"/>
            <w:vAlign w:val="center"/>
          </w:tcPr>
          <w:p w14:paraId="473AF90E">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CO2洗涤塔排气筒2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DA032</w:t>
            </w:r>
            <w:r>
              <w:rPr>
                <w:rFonts w:hint="eastAsia" w:ascii="Times New Roman" w:hAnsi="Times New Roman" w:eastAsia="宋体" w:cs="Times New Roman"/>
                <w:color w:val="auto"/>
                <w:sz w:val="21"/>
                <w:szCs w:val="21"/>
                <w:lang w:eastAsia="zh-CN"/>
              </w:rPr>
              <w:t>）</w:t>
            </w:r>
          </w:p>
        </w:tc>
      </w:tr>
      <w:tr w14:paraId="6F924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23EDBF0F">
            <w:pPr>
              <w:pStyle w:val="42"/>
              <w:ind w:left="0" w:leftChars="0" w:firstLine="0" w:firstLineChars="0"/>
              <w:rPr>
                <w:color w:val="auto"/>
                <w:sz w:val="21"/>
                <w:szCs w:val="21"/>
              </w:rPr>
            </w:pPr>
          </w:p>
        </w:tc>
        <w:tc>
          <w:tcPr>
            <w:tcW w:w="1449" w:type="dxa"/>
            <w:tcBorders>
              <w:tl2br w:val="nil"/>
              <w:tr2bl w:val="nil"/>
            </w:tcBorders>
            <w:vAlign w:val="center"/>
          </w:tcPr>
          <w:p w14:paraId="0252884E">
            <w:pPr>
              <w:adjustRightInd w:val="0"/>
              <w:snapToGrid w:val="0"/>
              <w:jc w:val="center"/>
              <w:rPr>
                <w:rFonts w:hint="eastAsia"/>
                <w:color w:val="auto"/>
                <w:sz w:val="21"/>
                <w:szCs w:val="21"/>
                <w:lang w:val="en-US" w:eastAsia="zh-CN"/>
              </w:rPr>
            </w:pPr>
            <w:r>
              <w:rPr>
                <w:rFonts w:hint="eastAsia"/>
                <w:color w:val="auto"/>
                <w:sz w:val="21"/>
                <w:szCs w:val="21"/>
                <w:lang w:val="en-US" w:eastAsia="zh-CN"/>
              </w:rPr>
              <w:t>臭气浓度</w:t>
            </w:r>
          </w:p>
        </w:tc>
        <w:tc>
          <w:tcPr>
            <w:tcW w:w="837" w:type="dxa"/>
            <w:vMerge w:val="continue"/>
            <w:tcBorders>
              <w:tl2br w:val="nil"/>
              <w:tr2bl w:val="nil"/>
            </w:tcBorders>
            <w:vAlign w:val="center"/>
          </w:tcPr>
          <w:p w14:paraId="19A3F828">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777633A4">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0787F9E">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31618670">
            <w:pPr>
              <w:jc w:val="center"/>
              <w:rPr>
                <w:b w:val="0"/>
                <w:bCs w:val="0"/>
                <w:color w:val="auto"/>
                <w:sz w:val="21"/>
                <w:szCs w:val="21"/>
              </w:rPr>
            </w:pPr>
            <w:r>
              <w:rPr>
                <w:b w:val="0"/>
                <w:bCs w:val="0"/>
                <w:color w:val="auto"/>
                <w:sz w:val="21"/>
                <w:szCs w:val="21"/>
              </w:rPr>
              <w:t>——</w:t>
            </w:r>
          </w:p>
        </w:tc>
        <w:tc>
          <w:tcPr>
            <w:tcW w:w="1147" w:type="dxa"/>
            <w:gridSpan w:val="2"/>
            <w:tcBorders>
              <w:tl2br w:val="nil"/>
              <w:tr2bl w:val="nil"/>
            </w:tcBorders>
            <w:vAlign w:val="center"/>
          </w:tcPr>
          <w:p w14:paraId="40D607FD">
            <w:pPr>
              <w:jc w:val="center"/>
              <w:rPr>
                <w:b w:val="0"/>
                <w:bCs w:val="0"/>
                <w:color w:val="auto"/>
                <w:sz w:val="21"/>
                <w:szCs w:val="21"/>
              </w:rPr>
            </w:pPr>
            <w:r>
              <w:rPr>
                <w:rFonts w:hint="eastAsia"/>
                <w:b w:val="0"/>
                <w:bCs w:val="0"/>
                <w:color w:val="auto"/>
                <w:sz w:val="21"/>
                <w:szCs w:val="21"/>
                <w:lang w:val="en-US" w:eastAsia="zh-CN"/>
              </w:rPr>
              <w:t>549</w:t>
            </w:r>
          </w:p>
        </w:tc>
        <w:tc>
          <w:tcPr>
            <w:tcW w:w="1824" w:type="dxa"/>
            <w:vMerge w:val="continue"/>
            <w:tcBorders>
              <w:tl2br w:val="nil"/>
              <w:tr2bl w:val="nil"/>
            </w:tcBorders>
            <w:vAlign w:val="center"/>
          </w:tcPr>
          <w:p w14:paraId="1F3609DE">
            <w:pPr>
              <w:jc w:val="center"/>
              <w:rPr>
                <w:color w:val="auto"/>
                <w:sz w:val="21"/>
                <w:szCs w:val="21"/>
              </w:rPr>
            </w:pPr>
          </w:p>
        </w:tc>
        <w:tc>
          <w:tcPr>
            <w:tcW w:w="3251" w:type="dxa"/>
            <w:tcBorders>
              <w:tl2br w:val="nil"/>
              <w:tr2bl w:val="nil"/>
            </w:tcBorders>
            <w:vAlign w:val="center"/>
          </w:tcPr>
          <w:p w14:paraId="299C6CB8">
            <w:pPr>
              <w:jc w:val="center"/>
              <w:rPr>
                <w:color w:val="auto"/>
                <w:sz w:val="21"/>
                <w:szCs w:val="21"/>
              </w:rPr>
            </w:pPr>
            <w:r>
              <w:rPr>
                <w:color w:val="auto"/>
                <w:sz w:val="21"/>
                <w:szCs w:val="21"/>
              </w:rPr>
              <w:t>《恶臭污染物排放标准》（GB14554-93）表2</w:t>
            </w:r>
          </w:p>
        </w:tc>
        <w:tc>
          <w:tcPr>
            <w:tcW w:w="1658" w:type="dxa"/>
            <w:vMerge w:val="continue"/>
            <w:tcBorders>
              <w:tl2br w:val="nil"/>
              <w:tr2bl w:val="nil"/>
            </w:tcBorders>
            <w:shd w:val="clear" w:color="auto" w:fill="auto"/>
            <w:vAlign w:val="center"/>
          </w:tcPr>
          <w:p w14:paraId="0D463D18">
            <w:pPr>
              <w:jc w:val="center"/>
              <w:rPr>
                <w:rFonts w:ascii="Times New Roman" w:hAnsi="Times New Roman" w:eastAsia="宋体" w:cs="Times New Roman"/>
                <w:color w:val="auto"/>
                <w:sz w:val="21"/>
                <w:szCs w:val="21"/>
              </w:rPr>
            </w:pPr>
          </w:p>
        </w:tc>
      </w:tr>
      <w:tr w14:paraId="1AFBE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13765525">
            <w:pPr>
              <w:pStyle w:val="42"/>
              <w:ind w:left="0" w:leftChars="0" w:firstLine="0" w:firstLineChars="0"/>
              <w:rPr>
                <w:color w:val="auto"/>
                <w:sz w:val="21"/>
                <w:szCs w:val="21"/>
              </w:rPr>
            </w:pPr>
          </w:p>
        </w:tc>
        <w:tc>
          <w:tcPr>
            <w:tcW w:w="1449" w:type="dxa"/>
            <w:tcBorders>
              <w:tl2br w:val="nil"/>
              <w:tr2bl w:val="nil"/>
            </w:tcBorders>
            <w:vAlign w:val="center"/>
          </w:tcPr>
          <w:p w14:paraId="6FADAE04">
            <w:pPr>
              <w:adjustRightInd w:val="0"/>
              <w:snapToGrid w:val="0"/>
              <w:jc w:val="center"/>
              <w:rPr>
                <w:rFonts w:hint="eastAsia"/>
                <w:color w:val="auto"/>
                <w:sz w:val="21"/>
                <w:szCs w:val="21"/>
                <w:lang w:val="en-US" w:eastAsia="zh-CN"/>
              </w:rPr>
            </w:pPr>
            <w:r>
              <w:rPr>
                <w:rFonts w:hint="eastAsia"/>
                <w:color w:val="auto"/>
                <w:sz w:val="21"/>
                <w:szCs w:val="21"/>
                <w:lang w:val="en-US" w:eastAsia="zh-CN"/>
              </w:rPr>
              <w:t>非甲烷总烃</w:t>
            </w:r>
          </w:p>
        </w:tc>
        <w:tc>
          <w:tcPr>
            <w:tcW w:w="837" w:type="dxa"/>
            <w:vMerge w:val="continue"/>
            <w:tcBorders>
              <w:tl2br w:val="nil"/>
              <w:tr2bl w:val="nil"/>
            </w:tcBorders>
            <w:vAlign w:val="center"/>
          </w:tcPr>
          <w:p w14:paraId="534335E7">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61949E0D">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A527B9F">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19523565">
            <w:pPr>
              <w:jc w:val="center"/>
              <w:rPr>
                <w:b w:val="0"/>
                <w:bCs w:val="0"/>
                <w:color w:val="auto"/>
                <w:sz w:val="21"/>
                <w:szCs w:val="21"/>
              </w:rPr>
            </w:pPr>
            <w:r>
              <w:rPr>
                <w:rFonts w:hint="eastAsia"/>
                <w:b w:val="0"/>
                <w:bCs w:val="0"/>
                <w:color w:val="auto"/>
                <w:sz w:val="21"/>
                <w:szCs w:val="21"/>
                <w:lang w:val="en-US" w:eastAsia="zh-CN"/>
              </w:rPr>
              <w:t>5.923</w:t>
            </w:r>
          </w:p>
        </w:tc>
        <w:tc>
          <w:tcPr>
            <w:tcW w:w="1147" w:type="dxa"/>
            <w:gridSpan w:val="2"/>
            <w:tcBorders>
              <w:tl2br w:val="nil"/>
              <w:tr2bl w:val="nil"/>
            </w:tcBorders>
            <w:vAlign w:val="center"/>
          </w:tcPr>
          <w:p w14:paraId="24074C7D">
            <w:pPr>
              <w:jc w:val="center"/>
              <w:rPr>
                <w:b w:val="0"/>
                <w:bCs w:val="0"/>
                <w:color w:val="auto"/>
                <w:sz w:val="21"/>
                <w:szCs w:val="21"/>
              </w:rPr>
            </w:pPr>
            <w:r>
              <w:rPr>
                <w:rFonts w:hint="eastAsia"/>
                <w:b w:val="0"/>
                <w:bCs w:val="0"/>
                <w:color w:val="auto"/>
                <w:sz w:val="21"/>
                <w:szCs w:val="21"/>
                <w:lang w:val="en-US" w:eastAsia="zh-CN"/>
              </w:rPr>
              <w:t>6.38</w:t>
            </w:r>
          </w:p>
        </w:tc>
        <w:tc>
          <w:tcPr>
            <w:tcW w:w="1824" w:type="dxa"/>
            <w:vMerge w:val="restart"/>
            <w:tcBorders>
              <w:tl2br w:val="nil"/>
              <w:tr2bl w:val="nil"/>
            </w:tcBorders>
            <w:vAlign w:val="center"/>
          </w:tcPr>
          <w:p w14:paraId="301CE157">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CO2洗涤塔</w:t>
            </w:r>
          </w:p>
        </w:tc>
        <w:tc>
          <w:tcPr>
            <w:tcW w:w="3251" w:type="dxa"/>
            <w:tcBorders>
              <w:tl2br w:val="nil"/>
              <w:tr2bl w:val="nil"/>
            </w:tcBorders>
            <w:vAlign w:val="center"/>
          </w:tcPr>
          <w:p w14:paraId="46AF0CC6">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vMerge w:val="restart"/>
            <w:tcBorders>
              <w:tl2br w:val="nil"/>
              <w:tr2bl w:val="nil"/>
            </w:tcBorders>
            <w:shd w:val="clear" w:color="auto" w:fill="auto"/>
            <w:vAlign w:val="center"/>
          </w:tcPr>
          <w:p w14:paraId="31E07F24">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CO2洗涤塔排气筒3</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DA041</w:t>
            </w:r>
            <w:r>
              <w:rPr>
                <w:rFonts w:hint="eastAsia" w:ascii="Times New Roman" w:hAnsi="Times New Roman" w:eastAsia="宋体" w:cs="Times New Roman"/>
                <w:color w:val="auto"/>
                <w:sz w:val="21"/>
                <w:szCs w:val="21"/>
                <w:lang w:eastAsia="zh-CN"/>
              </w:rPr>
              <w:t>）</w:t>
            </w:r>
          </w:p>
        </w:tc>
      </w:tr>
      <w:tr w14:paraId="75216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2EC9BBB7">
            <w:pPr>
              <w:pStyle w:val="42"/>
              <w:ind w:left="0" w:leftChars="0" w:firstLine="0" w:firstLineChars="0"/>
              <w:rPr>
                <w:color w:val="auto"/>
                <w:sz w:val="21"/>
                <w:szCs w:val="21"/>
              </w:rPr>
            </w:pPr>
          </w:p>
        </w:tc>
        <w:tc>
          <w:tcPr>
            <w:tcW w:w="1449" w:type="dxa"/>
            <w:tcBorders>
              <w:tl2br w:val="nil"/>
              <w:tr2bl w:val="nil"/>
            </w:tcBorders>
            <w:vAlign w:val="center"/>
          </w:tcPr>
          <w:p w14:paraId="39121F48">
            <w:pPr>
              <w:adjustRightInd w:val="0"/>
              <w:snapToGrid w:val="0"/>
              <w:jc w:val="center"/>
              <w:rPr>
                <w:rFonts w:hint="eastAsia"/>
                <w:color w:val="auto"/>
                <w:sz w:val="21"/>
                <w:szCs w:val="21"/>
                <w:lang w:val="en-US" w:eastAsia="zh-CN"/>
              </w:rPr>
            </w:pPr>
            <w:r>
              <w:rPr>
                <w:rFonts w:hint="eastAsia"/>
                <w:color w:val="auto"/>
                <w:sz w:val="21"/>
                <w:szCs w:val="21"/>
                <w:lang w:val="en-US" w:eastAsia="zh-CN"/>
              </w:rPr>
              <w:t>臭气浓度</w:t>
            </w:r>
          </w:p>
        </w:tc>
        <w:tc>
          <w:tcPr>
            <w:tcW w:w="837" w:type="dxa"/>
            <w:vMerge w:val="continue"/>
            <w:tcBorders>
              <w:tl2br w:val="nil"/>
              <w:tr2bl w:val="nil"/>
            </w:tcBorders>
            <w:vAlign w:val="center"/>
          </w:tcPr>
          <w:p w14:paraId="154CB903">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40004A75">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3E57AFFB">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0419AE06">
            <w:pPr>
              <w:jc w:val="center"/>
              <w:rPr>
                <w:b w:val="0"/>
                <w:bCs w:val="0"/>
                <w:color w:val="auto"/>
                <w:sz w:val="21"/>
                <w:szCs w:val="21"/>
              </w:rPr>
            </w:pPr>
            <w:r>
              <w:rPr>
                <w:b w:val="0"/>
                <w:bCs w:val="0"/>
                <w:color w:val="auto"/>
                <w:sz w:val="21"/>
                <w:szCs w:val="21"/>
              </w:rPr>
              <w:t>——</w:t>
            </w:r>
          </w:p>
        </w:tc>
        <w:tc>
          <w:tcPr>
            <w:tcW w:w="1147" w:type="dxa"/>
            <w:gridSpan w:val="2"/>
            <w:tcBorders>
              <w:tl2br w:val="nil"/>
              <w:tr2bl w:val="nil"/>
            </w:tcBorders>
            <w:vAlign w:val="center"/>
          </w:tcPr>
          <w:p w14:paraId="27DEACBE">
            <w:pPr>
              <w:jc w:val="center"/>
              <w:rPr>
                <w:b w:val="0"/>
                <w:bCs w:val="0"/>
                <w:color w:val="auto"/>
                <w:sz w:val="21"/>
                <w:szCs w:val="21"/>
              </w:rPr>
            </w:pPr>
            <w:r>
              <w:rPr>
                <w:rFonts w:hint="eastAsia"/>
                <w:b w:val="0"/>
                <w:bCs w:val="0"/>
                <w:color w:val="auto"/>
                <w:sz w:val="21"/>
                <w:szCs w:val="21"/>
                <w:lang w:val="en-US" w:eastAsia="zh-CN"/>
              </w:rPr>
              <w:t>549</w:t>
            </w:r>
          </w:p>
        </w:tc>
        <w:tc>
          <w:tcPr>
            <w:tcW w:w="1824" w:type="dxa"/>
            <w:vMerge w:val="continue"/>
            <w:tcBorders>
              <w:tl2br w:val="nil"/>
              <w:tr2bl w:val="nil"/>
            </w:tcBorders>
            <w:vAlign w:val="center"/>
          </w:tcPr>
          <w:p w14:paraId="36D92A8C">
            <w:pPr>
              <w:jc w:val="center"/>
              <w:rPr>
                <w:color w:val="auto"/>
                <w:sz w:val="21"/>
                <w:szCs w:val="21"/>
              </w:rPr>
            </w:pPr>
          </w:p>
        </w:tc>
        <w:tc>
          <w:tcPr>
            <w:tcW w:w="3251" w:type="dxa"/>
            <w:tcBorders>
              <w:tl2br w:val="nil"/>
              <w:tr2bl w:val="nil"/>
            </w:tcBorders>
            <w:vAlign w:val="center"/>
          </w:tcPr>
          <w:p w14:paraId="5015EEF0">
            <w:pPr>
              <w:jc w:val="center"/>
              <w:rPr>
                <w:color w:val="auto"/>
                <w:sz w:val="21"/>
                <w:szCs w:val="21"/>
              </w:rPr>
            </w:pPr>
            <w:r>
              <w:rPr>
                <w:color w:val="auto"/>
                <w:sz w:val="21"/>
                <w:szCs w:val="21"/>
              </w:rPr>
              <w:t>《恶臭污染物排放标准》（GB14554-93）表2</w:t>
            </w:r>
          </w:p>
        </w:tc>
        <w:tc>
          <w:tcPr>
            <w:tcW w:w="1658" w:type="dxa"/>
            <w:vMerge w:val="continue"/>
            <w:tcBorders>
              <w:tl2br w:val="nil"/>
              <w:tr2bl w:val="nil"/>
            </w:tcBorders>
            <w:shd w:val="clear" w:color="auto" w:fill="auto"/>
            <w:vAlign w:val="center"/>
          </w:tcPr>
          <w:p w14:paraId="2448E278">
            <w:pPr>
              <w:jc w:val="center"/>
              <w:rPr>
                <w:rFonts w:ascii="Times New Roman" w:hAnsi="Times New Roman" w:eastAsia="宋体" w:cs="Times New Roman"/>
                <w:color w:val="auto"/>
                <w:sz w:val="21"/>
                <w:szCs w:val="21"/>
              </w:rPr>
            </w:pPr>
          </w:p>
        </w:tc>
      </w:tr>
      <w:tr w14:paraId="56C47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2892B49D">
            <w:pPr>
              <w:pStyle w:val="42"/>
              <w:ind w:left="0" w:leftChars="0" w:firstLine="0" w:firstLineChars="0"/>
              <w:rPr>
                <w:color w:val="auto"/>
                <w:sz w:val="21"/>
                <w:szCs w:val="21"/>
              </w:rPr>
            </w:pPr>
          </w:p>
        </w:tc>
        <w:tc>
          <w:tcPr>
            <w:tcW w:w="1449" w:type="dxa"/>
            <w:tcBorders>
              <w:tl2br w:val="nil"/>
              <w:tr2bl w:val="nil"/>
            </w:tcBorders>
            <w:vAlign w:val="center"/>
          </w:tcPr>
          <w:p w14:paraId="43C8131A">
            <w:pPr>
              <w:adjustRightInd w:val="0"/>
              <w:snapToGrid w:val="0"/>
              <w:jc w:val="center"/>
              <w:rPr>
                <w:rFonts w:hint="eastAsia"/>
                <w:color w:val="auto"/>
                <w:sz w:val="21"/>
                <w:szCs w:val="21"/>
                <w:lang w:val="en-US" w:eastAsia="zh-CN"/>
              </w:rPr>
            </w:pPr>
            <w:r>
              <w:rPr>
                <w:rFonts w:hint="eastAsia"/>
                <w:color w:val="auto"/>
                <w:sz w:val="21"/>
                <w:szCs w:val="21"/>
                <w:lang w:val="en-US" w:eastAsia="zh-CN"/>
              </w:rPr>
              <w:t>非甲烷总烃</w:t>
            </w:r>
          </w:p>
        </w:tc>
        <w:tc>
          <w:tcPr>
            <w:tcW w:w="837" w:type="dxa"/>
            <w:vMerge w:val="continue"/>
            <w:tcBorders>
              <w:tl2br w:val="nil"/>
              <w:tr2bl w:val="nil"/>
            </w:tcBorders>
            <w:vAlign w:val="center"/>
          </w:tcPr>
          <w:p w14:paraId="215BB322">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1E6C1EEC">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2C253800">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4747D86B">
            <w:pPr>
              <w:jc w:val="center"/>
              <w:rPr>
                <w:b w:val="0"/>
                <w:bCs w:val="0"/>
                <w:color w:val="auto"/>
                <w:sz w:val="21"/>
                <w:szCs w:val="21"/>
              </w:rPr>
            </w:pPr>
            <w:r>
              <w:rPr>
                <w:rFonts w:hint="eastAsia"/>
                <w:b w:val="0"/>
                <w:bCs w:val="0"/>
                <w:color w:val="auto"/>
                <w:sz w:val="21"/>
                <w:szCs w:val="21"/>
                <w:lang w:val="en-US" w:eastAsia="zh-CN"/>
              </w:rPr>
              <w:t>5.923</w:t>
            </w:r>
          </w:p>
        </w:tc>
        <w:tc>
          <w:tcPr>
            <w:tcW w:w="1147" w:type="dxa"/>
            <w:gridSpan w:val="2"/>
            <w:tcBorders>
              <w:tl2br w:val="nil"/>
              <w:tr2bl w:val="nil"/>
            </w:tcBorders>
            <w:vAlign w:val="center"/>
          </w:tcPr>
          <w:p w14:paraId="01870DB3">
            <w:pPr>
              <w:jc w:val="center"/>
              <w:rPr>
                <w:b w:val="0"/>
                <w:bCs w:val="0"/>
                <w:color w:val="auto"/>
                <w:sz w:val="21"/>
                <w:szCs w:val="21"/>
              </w:rPr>
            </w:pPr>
            <w:r>
              <w:rPr>
                <w:rFonts w:hint="eastAsia"/>
                <w:b w:val="0"/>
                <w:bCs w:val="0"/>
                <w:color w:val="auto"/>
                <w:sz w:val="21"/>
                <w:szCs w:val="21"/>
                <w:lang w:val="en-US" w:eastAsia="zh-CN"/>
              </w:rPr>
              <w:t>6.38</w:t>
            </w:r>
          </w:p>
        </w:tc>
        <w:tc>
          <w:tcPr>
            <w:tcW w:w="1824" w:type="dxa"/>
            <w:vMerge w:val="restart"/>
            <w:tcBorders>
              <w:tl2br w:val="nil"/>
              <w:tr2bl w:val="nil"/>
            </w:tcBorders>
            <w:vAlign w:val="center"/>
          </w:tcPr>
          <w:p w14:paraId="09B4401D">
            <w:pPr>
              <w:jc w:val="center"/>
              <w:rPr>
                <w:color w:val="auto"/>
                <w:sz w:val="21"/>
                <w:szCs w:val="21"/>
              </w:rPr>
            </w:pPr>
            <w:r>
              <w:rPr>
                <w:rFonts w:ascii="Times New Roman" w:hAnsi="Times New Roman" w:eastAsia="宋体" w:cs="Times New Roman"/>
                <w:color w:val="auto"/>
                <w:sz w:val="21"/>
                <w:szCs w:val="21"/>
              </w:rPr>
              <w:t>CO2洗涤塔</w:t>
            </w:r>
          </w:p>
        </w:tc>
        <w:tc>
          <w:tcPr>
            <w:tcW w:w="3251" w:type="dxa"/>
            <w:tcBorders>
              <w:tl2br w:val="nil"/>
              <w:tr2bl w:val="nil"/>
            </w:tcBorders>
            <w:vAlign w:val="center"/>
          </w:tcPr>
          <w:p w14:paraId="21951C79">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vMerge w:val="restart"/>
            <w:tcBorders>
              <w:tl2br w:val="nil"/>
              <w:tr2bl w:val="nil"/>
            </w:tcBorders>
            <w:shd w:val="clear" w:color="auto" w:fill="auto"/>
            <w:vAlign w:val="center"/>
          </w:tcPr>
          <w:p w14:paraId="2136D8A4">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CO2洗涤塔排气筒4</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DA042</w:t>
            </w:r>
            <w:r>
              <w:rPr>
                <w:rFonts w:hint="eastAsia" w:ascii="Times New Roman" w:hAnsi="Times New Roman" w:eastAsia="宋体" w:cs="Times New Roman"/>
                <w:color w:val="auto"/>
                <w:sz w:val="21"/>
                <w:szCs w:val="21"/>
                <w:lang w:eastAsia="zh-CN"/>
              </w:rPr>
              <w:t>）</w:t>
            </w:r>
          </w:p>
        </w:tc>
      </w:tr>
      <w:tr w14:paraId="3E38B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63EBB88B">
            <w:pPr>
              <w:pStyle w:val="42"/>
              <w:ind w:left="0" w:leftChars="0" w:firstLine="0" w:firstLineChars="0"/>
              <w:rPr>
                <w:color w:val="auto"/>
                <w:sz w:val="21"/>
                <w:szCs w:val="21"/>
              </w:rPr>
            </w:pPr>
          </w:p>
        </w:tc>
        <w:tc>
          <w:tcPr>
            <w:tcW w:w="1449" w:type="dxa"/>
            <w:tcBorders>
              <w:tl2br w:val="nil"/>
              <w:tr2bl w:val="nil"/>
            </w:tcBorders>
            <w:vAlign w:val="center"/>
          </w:tcPr>
          <w:p w14:paraId="76E41908">
            <w:pPr>
              <w:adjustRightInd w:val="0"/>
              <w:snapToGrid w:val="0"/>
              <w:jc w:val="center"/>
              <w:rPr>
                <w:rFonts w:hint="eastAsia"/>
                <w:color w:val="auto"/>
                <w:sz w:val="21"/>
                <w:szCs w:val="21"/>
                <w:lang w:val="en-US" w:eastAsia="zh-CN"/>
              </w:rPr>
            </w:pPr>
            <w:r>
              <w:rPr>
                <w:rFonts w:hint="eastAsia"/>
                <w:color w:val="auto"/>
                <w:sz w:val="21"/>
                <w:szCs w:val="21"/>
                <w:lang w:val="en-US" w:eastAsia="zh-CN"/>
              </w:rPr>
              <w:t>臭气浓度</w:t>
            </w:r>
          </w:p>
        </w:tc>
        <w:tc>
          <w:tcPr>
            <w:tcW w:w="837" w:type="dxa"/>
            <w:vMerge w:val="continue"/>
            <w:tcBorders>
              <w:tl2br w:val="nil"/>
              <w:tr2bl w:val="nil"/>
            </w:tcBorders>
            <w:vAlign w:val="center"/>
          </w:tcPr>
          <w:p w14:paraId="5B683CFF">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0563CA34">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208F4E46">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5BDADCE5">
            <w:pPr>
              <w:jc w:val="center"/>
              <w:rPr>
                <w:b w:val="0"/>
                <w:bCs w:val="0"/>
                <w:color w:val="auto"/>
                <w:sz w:val="21"/>
                <w:szCs w:val="21"/>
              </w:rPr>
            </w:pPr>
            <w:r>
              <w:rPr>
                <w:b w:val="0"/>
                <w:bCs w:val="0"/>
                <w:color w:val="auto"/>
                <w:sz w:val="21"/>
                <w:szCs w:val="21"/>
              </w:rPr>
              <w:t>——</w:t>
            </w:r>
          </w:p>
        </w:tc>
        <w:tc>
          <w:tcPr>
            <w:tcW w:w="1147" w:type="dxa"/>
            <w:gridSpan w:val="2"/>
            <w:tcBorders>
              <w:tl2br w:val="nil"/>
              <w:tr2bl w:val="nil"/>
            </w:tcBorders>
            <w:vAlign w:val="center"/>
          </w:tcPr>
          <w:p w14:paraId="370FA11D">
            <w:pPr>
              <w:jc w:val="center"/>
              <w:rPr>
                <w:b w:val="0"/>
                <w:bCs w:val="0"/>
                <w:color w:val="auto"/>
                <w:sz w:val="21"/>
                <w:szCs w:val="21"/>
              </w:rPr>
            </w:pPr>
            <w:r>
              <w:rPr>
                <w:rFonts w:hint="eastAsia"/>
                <w:b w:val="0"/>
                <w:bCs w:val="0"/>
                <w:color w:val="auto"/>
                <w:sz w:val="21"/>
                <w:szCs w:val="21"/>
                <w:lang w:val="en-US" w:eastAsia="zh-CN"/>
              </w:rPr>
              <w:t>549</w:t>
            </w:r>
          </w:p>
        </w:tc>
        <w:tc>
          <w:tcPr>
            <w:tcW w:w="1824" w:type="dxa"/>
            <w:vMerge w:val="continue"/>
            <w:tcBorders>
              <w:tl2br w:val="nil"/>
              <w:tr2bl w:val="nil"/>
            </w:tcBorders>
            <w:vAlign w:val="center"/>
          </w:tcPr>
          <w:p w14:paraId="28CEEECA">
            <w:pPr>
              <w:jc w:val="center"/>
              <w:rPr>
                <w:color w:val="auto"/>
                <w:sz w:val="21"/>
                <w:szCs w:val="21"/>
              </w:rPr>
            </w:pPr>
          </w:p>
        </w:tc>
        <w:tc>
          <w:tcPr>
            <w:tcW w:w="3251" w:type="dxa"/>
            <w:tcBorders>
              <w:tl2br w:val="nil"/>
              <w:tr2bl w:val="nil"/>
            </w:tcBorders>
            <w:vAlign w:val="center"/>
          </w:tcPr>
          <w:p w14:paraId="2FCCDB9D">
            <w:pPr>
              <w:jc w:val="center"/>
              <w:rPr>
                <w:color w:val="auto"/>
                <w:sz w:val="21"/>
                <w:szCs w:val="21"/>
              </w:rPr>
            </w:pPr>
            <w:r>
              <w:rPr>
                <w:color w:val="auto"/>
                <w:sz w:val="21"/>
                <w:szCs w:val="21"/>
              </w:rPr>
              <w:t>《恶臭污染物排放标准》（GB14554-93）表2</w:t>
            </w:r>
          </w:p>
        </w:tc>
        <w:tc>
          <w:tcPr>
            <w:tcW w:w="1658" w:type="dxa"/>
            <w:vMerge w:val="continue"/>
            <w:tcBorders>
              <w:tl2br w:val="nil"/>
              <w:tr2bl w:val="nil"/>
            </w:tcBorders>
            <w:shd w:val="clear" w:color="auto" w:fill="auto"/>
            <w:vAlign w:val="center"/>
          </w:tcPr>
          <w:p w14:paraId="4BE7D744">
            <w:pPr>
              <w:jc w:val="center"/>
              <w:rPr>
                <w:rFonts w:ascii="Times New Roman" w:hAnsi="Times New Roman" w:eastAsia="宋体" w:cs="Times New Roman"/>
                <w:color w:val="auto"/>
                <w:sz w:val="21"/>
                <w:szCs w:val="21"/>
              </w:rPr>
            </w:pPr>
          </w:p>
        </w:tc>
      </w:tr>
      <w:tr w14:paraId="2F9CA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193FBADD"/>
          <w:p w14:paraId="1653C841"/>
        </w:tc>
        <w:tc>
          <w:tcPr>
            <w:tcW w:w="1449" w:type="dxa"/>
            <w:tcBorders>
              <w:tl2br w:val="nil"/>
              <w:tr2bl w:val="nil"/>
            </w:tcBorders>
            <w:vAlign w:val="center"/>
          </w:tcPr>
          <w:p w14:paraId="30BDD3B5">
            <w:pPr>
              <w:adjustRightInd w:val="0"/>
              <w:snapToGrid w:val="0"/>
              <w:jc w:val="center"/>
              <w:rPr>
                <w:rFonts w:hint="default"/>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restart"/>
            <w:tcBorders>
              <w:tl2br w:val="nil"/>
              <w:tr2bl w:val="nil"/>
            </w:tcBorders>
            <w:vAlign w:val="center"/>
          </w:tcPr>
          <w:p w14:paraId="58C2036C">
            <w:pPr>
              <w:adjustRightInd w:val="0"/>
              <w:snapToGrid w:val="0"/>
              <w:jc w:val="center"/>
              <w:rPr>
                <w:rFonts w:hint="eastAsia" w:eastAsia="宋体"/>
                <w:color w:val="auto"/>
                <w:sz w:val="21"/>
                <w:szCs w:val="21"/>
                <w:lang w:val="en-US" w:eastAsia="zh-CN"/>
              </w:rPr>
            </w:pPr>
            <w:r>
              <w:rPr>
                <w:rFonts w:ascii="Times New Roman" w:hAnsi="Times New Roman" w:eastAsia="宋体" w:cs="Times New Roman"/>
                <w:color w:val="auto"/>
                <w:sz w:val="21"/>
                <w:szCs w:val="21"/>
              </w:rPr>
              <w:t>粉碎</w:t>
            </w:r>
            <w:r>
              <w:rPr>
                <w:rFonts w:hint="eastAsia" w:cs="Times New Roman"/>
                <w:color w:val="auto"/>
                <w:sz w:val="21"/>
                <w:szCs w:val="21"/>
                <w:lang w:val="en-US" w:eastAsia="zh-CN"/>
              </w:rPr>
              <w:t>工序</w:t>
            </w:r>
          </w:p>
        </w:tc>
        <w:tc>
          <w:tcPr>
            <w:tcW w:w="1028" w:type="dxa"/>
            <w:tcBorders>
              <w:tl2br w:val="nil"/>
              <w:tr2bl w:val="nil"/>
            </w:tcBorders>
            <w:vAlign w:val="center"/>
          </w:tcPr>
          <w:p w14:paraId="263D1551">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23FF00D8">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15F43251">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171D6077">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7C215E88">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0FB0C5BB">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669AF895">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粉碎风机排气筒1（DA005）</w:t>
            </w:r>
          </w:p>
        </w:tc>
      </w:tr>
      <w:tr w14:paraId="67DAA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1FCE2610"/>
        </w:tc>
        <w:tc>
          <w:tcPr>
            <w:tcW w:w="1449" w:type="dxa"/>
            <w:tcBorders>
              <w:tl2br w:val="nil"/>
              <w:tr2bl w:val="nil"/>
            </w:tcBorders>
            <w:vAlign w:val="center"/>
          </w:tcPr>
          <w:p w14:paraId="00F7F33C">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0D64D389">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71AD2488">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0D29293B">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01C538B1">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3F2129E5">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44B8FE5E">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07C8A7A9">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081702F7">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粉碎风机排气筒2（DA006）</w:t>
            </w:r>
          </w:p>
        </w:tc>
      </w:tr>
      <w:tr w14:paraId="22E18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6D22D1A8"/>
        </w:tc>
        <w:tc>
          <w:tcPr>
            <w:tcW w:w="1449" w:type="dxa"/>
            <w:tcBorders>
              <w:tl2br w:val="nil"/>
              <w:tr2bl w:val="nil"/>
            </w:tcBorders>
            <w:vAlign w:val="center"/>
          </w:tcPr>
          <w:p w14:paraId="26F1C79F">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58638748">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13C39046">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7AAB3EEC">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4A2ADA2A">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25E939C3">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539C2F44">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53D211D8">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338F072B">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粉碎风机排气筒3（DA007）</w:t>
            </w:r>
          </w:p>
        </w:tc>
      </w:tr>
      <w:tr w14:paraId="073EE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729" w:type="dxa"/>
            <w:vMerge w:val="continue"/>
            <w:tcBorders>
              <w:tl2br w:val="nil"/>
              <w:tr2bl w:val="nil"/>
            </w:tcBorders>
            <w:vAlign w:val="center"/>
          </w:tcPr>
          <w:p w14:paraId="677381F7"/>
        </w:tc>
        <w:tc>
          <w:tcPr>
            <w:tcW w:w="1449" w:type="dxa"/>
            <w:tcBorders>
              <w:tl2br w:val="nil"/>
              <w:tr2bl w:val="nil"/>
            </w:tcBorders>
            <w:vAlign w:val="center"/>
          </w:tcPr>
          <w:p w14:paraId="5FA1D917">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64080BEC">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73591F67">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1D2A70E3">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3EB463E2">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418A034E">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606E4805">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0D7DE4F9">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052C7108">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粉碎风机排气筒4（DA008）</w:t>
            </w:r>
          </w:p>
        </w:tc>
      </w:tr>
      <w:tr w14:paraId="7AECE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7A43C808"/>
        </w:tc>
        <w:tc>
          <w:tcPr>
            <w:tcW w:w="1449" w:type="dxa"/>
            <w:tcBorders>
              <w:tl2br w:val="nil"/>
              <w:tr2bl w:val="nil"/>
            </w:tcBorders>
            <w:vAlign w:val="center"/>
          </w:tcPr>
          <w:p w14:paraId="123648AF">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659DCE59">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4F084F0D">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1FC58403">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56BBB77C">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0C65161A">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2592FDAD">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1C4844D">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5D172927">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粉碎风机排气筒5（DA009）</w:t>
            </w:r>
          </w:p>
        </w:tc>
      </w:tr>
      <w:tr w14:paraId="56899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0786ADCA"/>
        </w:tc>
        <w:tc>
          <w:tcPr>
            <w:tcW w:w="1449" w:type="dxa"/>
            <w:tcBorders>
              <w:tl2br w:val="nil"/>
              <w:tr2bl w:val="nil"/>
            </w:tcBorders>
            <w:vAlign w:val="center"/>
          </w:tcPr>
          <w:p w14:paraId="398D40D7">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6AE6B255">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5B6F4753">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7A3591D7">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7AB0A5B2">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5BEAB05B">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7834DB4D">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50EFB5E9">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39F86038">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粉碎风机排气筒6（DA010）</w:t>
            </w:r>
          </w:p>
        </w:tc>
      </w:tr>
      <w:tr w14:paraId="06BC6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0F688C0B">
            <w:pPr>
              <w:pStyle w:val="42"/>
              <w:ind w:left="0" w:leftChars="0" w:firstLine="0" w:firstLineChars="0"/>
              <w:rPr>
                <w:color w:val="auto"/>
                <w:sz w:val="21"/>
                <w:szCs w:val="21"/>
              </w:rPr>
            </w:pPr>
          </w:p>
        </w:tc>
        <w:tc>
          <w:tcPr>
            <w:tcW w:w="1449" w:type="dxa"/>
            <w:tcBorders>
              <w:tl2br w:val="nil"/>
              <w:tr2bl w:val="nil"/>
            </w:tcBorders>
            <w:vAlign w:val="center"/>
          </w:tcPr>
          <w:p w14:paraId="3CDA40C6">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19AF7C77">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2C828F3D">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3124D630">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1090240B">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4CF22EB9">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08462F85">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1A98CF5F">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27D12036">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粉碎风机排气筒7（DA014）</w:t>
            </w:r>
          </w:p>
        </w:tc>
      </w:tr>
      <w:tr w14:paraId="3FFC54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2167A581">
            <w:pPr>
              <w:pStyle w:val="42"/>
              <w:ind w:left="0" w:leftChars="0" w:firstLine="0" w:firstLineChars="0"/>
              <w:rPr>
                <w:color w:val="auto"/>
                <w:sz w:val="21"/>
                <w:szCs w:val="21"/>
              </w:rPr>
            </w:pPr>
          </w:p>
        </w:tc>
        <w:tc>
          <w:tcPr>
            <w:tcW w:w="1449" w:type="dxa"/>
            <w:tcBorders>
              <w:tl2br w:val="nil"/>
              <w:tr2bl w:val="nil"/>
            </w:tcBorders>
            <w:vAlign w:val="center"/>
          </w:tcPr>
          <w:p w14:paraId="0C8DDADF">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2F59ED05">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68A10A80">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7DDD7EF0">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724780D3">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7BAC8664">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02863717">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3EBCB35F">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0A46B1F4">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粉碎风机排气筒8（DA015）</w:t>
            </w:r>
          </w:p>
        </w:tc>
      </w:tr>
      <w:tr w14:paraId="02A16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3B2AB730">
            <w:pPr>
              <w:pStyle w:val="42"/>
              <w:ind w:left="0" w:leftChars="0" w:firstLine="0" w:firstLineChars="0"/>
              <w:rPr>
                <w:color w:val="auto"/>
                <w:sz w:val="21"/>
                <w:szCs w:val="21"/>
              </w:rPr>
            </w:pPr>
          </w:p>
        </w:tc>
        <w:tc>
          <w:tcPr>
            <w:tcW w:w="1449" w:type="dxa"/>
            <w:tcBorders>
              <w:tl2br w:val="nil"/>
              <w:tr2bl w:val="nil"/>
            </w:tcBorders>
            <w:vAlign w:val="center"/>
          </w:tcPr>
          <w:p w14:paraId="1760C9FA">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2B255E1F">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5C5EF0C7">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0D525815">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589FBF62">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13180550">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336B04B7">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36B17FDA">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23A48D40">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粉碎风机排气筒10（DA018）</w:t>
            </w:r>
          </w:p>
        </w:tc>
      </w:tr>
      <w:tr w14:paraId="4C424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379929C0">
            <w:pPr>
              <w:pStyle w:val="42"/>
              <w:ind w:left="0" w:leftChars="0" w:firstLine="0" w:firstLineChars="0"/>
              <w:rPr>
                <w:color w:val="auto"/>
                <w:sz w:val="21"/>
                <w:szCs w:val="21"/>
              </w:rPr>
            </w:pPr>
          </w:p>
        </w:tc>
        <w:tc>
          <w:tcPr>
            <w:tcW w:w="1449" w:type="dxa"/>
            <w:tcBorders>
              <w:tl2br w:val="nil"/>
              <w:tr2bl w:val="nil"/>
            </w:tcBorders>
            <w:vAlign w:val="center"/>
          </w:tcPr>
          <w:p w14:paraId="203A932F">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081CD64A">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798F0A89">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2D8AD4CB">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34333C5B">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67E5095A">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4AAE2B06">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46B42133">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1DCAC417">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粉碎风机排气筒20（DA019）</w:t>
            </w:r>
          </w:p>
        </w:tc>
      </w:tr>
      <w:tr w14:paraId="2CD68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7A7B7317"/>
          <w:p w14:paraId="5BA80411"/>
        </w:tc>
        <w:tc>
          <w:tcPr>
            <w:tcW w:w="1449" w:type="dxa"/>
            <w:tcBorders>
              <w:tl2br w:val="nil"/>
              <w:tr2bl w:val="nil"/>
            </w:tcBorders>
            <w:vAlign w:val="center"/>
          </w:tcPr>
          <w:p w14:paraId="0CFFEB33">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3CEAE0A4">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60D9BA38">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4EEBEAEA">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4AFBC806">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1EE6D2BB">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25DFA39B">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645DD36F">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2D9E41E0">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粉碎风机排气筒11（DA020）</w:t>
            </w:r>
          </w:p>
        </w:tc>
      </w:tr>
      <w:tr w14:paraId="0CBCA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3CFAD9D1"/>
        </w:tc>
        <w:tc>
          <w:tcPr>
            <w:tcW w:w="1449" w:type="dxa"/>
            <w:tcBorders>
              <w:tl2br w:val="nil"/>
              <w:tr2bl w:val="nil"/>
            </w:tcBorders>
            <w:vAlign w:val="center"/>
          </w:tcPr>
          <w:p w14:paraId="247DF934">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633E856B">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42C19BE4">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FB111D5">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783CC694">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2F5B7A40">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49A77A7F">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5E25431A">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1B855341">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粉碎风机排气筒9（DA021）</w:t>
            </w:r>
          </w:p>
        </w:tc>
      </w:tr>
      <w:tr w14:paraId="2C6E8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35563D03"/>
        </w:tc>
        <w:tc>
          <w:tcPr>
            <w:tcW w:w="1449" w:type="dxa"/>
            <w:tcBorders>
              <w:tl2br w:val="nil"/>
              <w:tr2bl w:val="nil"/>
            </w:tcBorders>
            <w:vAlign w:val="center"/>
          </w:tcPr>
          <w:p w14:paraId="03F6417E">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6CBD5715">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36CCAD43">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4200309">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30BBB2ED">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0C87A699">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09F4954E">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74A5F1F">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6F06AA1E">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粉碎风机排气筒14（DA022）</w:t>
            </w:r>
          </w:p>
        </w:tc>
      </w:tr>
      <w:tr w14:paraId="6334F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1B4BB5F2"/>
        </w:tc>
        <w:tc>
          <w:tcPr>
            <w:tcW w:w="1449" w:type="dxa"/>
            <w:tcBorders>
              <w:tl2br w:val="nil"/>
              <w:tr2bl w:val="nil"/>
            </w:tcBorders>
            <w:vAlign w:val="center"/>
          </w:tcPr>
          <w:p w14:paraId="463448F1">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0E788694">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1B8A940E">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FB0C763">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406E730A">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536776B8">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70E35332">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52872204">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0666B18C">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粉碎风机排气筒12（DA023）</w:t>
            </w:r>
          </w:p>
        </w:tc>
      </w:tr>
      <w:tr w14:paraId="4C4E7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27A0CFC3"/>
        </w:tc>
        <w:tc>
          <w:tcPr>
            <w:tcW w:w="1449" w:type="dxa"/>
            <w:tcBorders>
              <w:tl2br w:val="nil"/>
              <w:tr2bl w:val="nil"/>
            </w:tcBorders>
            <w:vAlign w:val="center"/>
          </w:tcPr>
          <w:p w14:paraId="12F0E148">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53BB23E0">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2764991E">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35C9917E">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0564D479">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08552C15">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0D487FF5">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FCED26B">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13ED9E92">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粉碎风机排气筒16（DA024）</w:t>
            </w:r>
          </w:p>
        </w:tc>
      </w:tr>
      <w:tr w14:paraId="59FFD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0B3F6882"/>
        </w:tc>
        <w:tc>
          <w:tcPr>
            <w:tcW w:w="1449" w:type="dxa"/>
            <w:tcBorders>
              <w:tl2br w:val="nil"/>
              <w:tr2bl w:val="nil"/>
            </w:tcBorders>
            <w:vAlign w:val="center"/>
          </w:tcPr>
          <w:p w14:paraId="7DBF2090">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461CB095">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07B7E82A">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259002BF">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197DA7C6">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489D4D01">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4DDD7085">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54092CF">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6E99BC3F">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粉碎风机排气筒17（DA025）</w:t>
            </w:r>
          </w:p>
        </w:tc>
      </w:tr>
      <w:tr w14:paraId="46322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650D8985"/>
        </w:tc>
        <w:tc>
          <w:tcPr>
            <w:tcW w:w="1449" w:type="dxa"/>
            <w:tcBorders>
              <w:tl2br w:val="nil"/>
              <w:tr2bl w:val="nil"/>
            </w:tcBorders>
            <w:vAlign w:val="center"/>
          </w:tcPr>
          <w:p w14:paraId="4DB5DE93">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1FB34FB7">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3C5A383C">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2EFE2C07">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1BDBE677">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701A127E">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67A0D8F1">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374B5DD5">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4CE87210">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粉碎风机排气筒15（DA026）</w:t>
            </w:r>
          </w:p>
        </w:tc>
      </w:tr>
      <w:tr w14:paraId="0584E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1A216FA3"/>
        </w:tc>
        <w:tc>
          <w:tcPr>
            <w:tcW w:w="1449" w:type="dxa"/>
            <w:tcBorders>
              <w:tl2br w:val="nil"/>
              <w:tr2bl w:val="nil"/>
            </w:tcBorders>
            <w:vAlign w:val="center"/>
          </w:tcPr>
          <w:p w14:paraId="4F05CFE9">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13E19CF1">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0D5BC30C">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75F2738">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151EE199">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16ACDA1F">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29D855A9">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B59D5B5">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5CA24148">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粉碎风机排气筒18（DA027）</w:t>
            </w:r>
          </w:p>
        </w:tc>
      </w:tr>
      <w:tr w14:paraId="682F8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1D8C83CF"/>
        </w:tc>
        <w:tc>
          <w:tcPr>
            <w:tcW w:w="1449" w:type="dxa"/>
            <w:tcBorders>
              <w:tl2br w:val="nil"/>
              <w:tr2bl w:val="nil"/>
            </w:tcBorders>
            <w:vAlign w:val="center"/>
          </w:tcPr>
          <w:p w14:paraId="09866864">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63556B71">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65B8B44A">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42E980BF">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4D83032B">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6219C70D">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45D60C02">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9E6E66D">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25C5784B">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粉碎风机排气筒13（DA028）</w:t>
            </w:r>
          </w:p>
        </w:tc>
      </w:tr>
      <w:tr w14:paraId="36E52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4CBF8F51"/>
        </w:tc>
        <w:tc>
          <w:tcPr>
            <w:tcW w:w="1449" w:type="dxa"/>
            <w:tcBorders>
              <w:tl2br w:val="nil"/>
              <w:tr2bl w:val="nil"/>
            </w:tcBorders>
            <w:vAlign w:val="center"/>
          </w:tcPr>
          <w:p w14:paraId="443E5269">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11A3D6D9">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5733A47A">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2D4C272D">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3B1A19F8">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4F87FFE3">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0885B5AE">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D1FDDE1">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2D1CF8F9">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粉碎风机排气筒19（DA029）</w:t>
            </w:r>
          </w:p>
        </w:tc>
      </w:tr>
      <w:tr w14:paraId="30E2B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49643C4C"/>
        </w:tc>
        <w:tc>
          <w:tcPr>
            <w:tcW w:w="1449" w:type="dxa"/>
            <w:tcBorders>
              <w:tl2br w:val="nil"/>
              <w:tr2bl w:val="nil"/>
            </w:tcBorders>
            <w:vAlign w:val="center"/>
          </w:tcPr>
          <w:p w14:paraId="294069AC">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329EC2E2">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1ECD52AB">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54226B7">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0FEEF8EB">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23BF40F4">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1AF4C6F5">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2401F5DD">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3CCE63C6">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粉碎风机排气筒22（DA035）</w:t>
            </w:r>
          </w:p>
        </w:tc>
      </w:tr>
      <w:tr w14:paraId="5C62B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729" w:type="dxa"/>
            <w:vMerge w:val="continue"/>
            <w:tcBorders>
              <w:tl2br w:val="nil"/>
              <w:tr2bl w:val="nil"/>
            </w:tcBorders>
            <w:vAlign w:val="center"/>
          </w:tcPr>
          <w:p w14:paraId="281404BF"/>
        </w:tc>
        <w:tc>
          <w:tcPr>
            <w:tcW w:w="1449" w:type="dxa"/>
            <w:tcBorders>
              <w:tl2br w:val="nil"/>
              <w:tr2bl w:val="nil"/>
            </w:tcBorders>
            <w:vAlign w:val="center"/>
          </w:tcPr>
          <w:p w14:paraId="239C3DBD">
            <w:pPr>
              <w:adjustRightInd w:val="0"/>
              <w:snapToGrid w:val="0"/>
              <w:jc w:val="center"/>
              <w:rPr>
                <w:rFonts w:hint="eastAsia"/>
                <w:color w:val="auto"/>
                <w:sz w:val="21"/>
                <w:szCs w:val="21"/>
                <w:lang w:val="en-US" w:eastAsia="zh-CN"/>
              </w:rPr>
            </w:pPr>
            <w:r>
              <w:rPr>
                <w:rFonts w:hint="eastAsia"/>
                <w:color w:val="auto"/>
                <w:sz w:val="21"/>
                <w:szCs w:val="21"/>
                <w:lang w:val="en-US" w:eastAsia="zh-CN"/>
              </w:rPr>
              <w:t>PM</w:t>
            </w:r>
            <w:r>
              <w:rPr>
                <w:rFonts w:hint="eastAsia"/>
                <w:color w:val="auto"/>
                <w:sz w:val="21"/>
                <w:szCs w:val="21"/>
                <w:vertAlign w:val="subscript"/>
                <w:lang w:val="en-US" w:eastAsia="zh-CN"/>
              </w:rPr>
              <w:t>10</w:t>
            </w:r>
          </w:p>
        </w:tc>
        <w:tc>
          <w:tcPr>
            <w:tcW w:w="837" w:type="dxa"/>
            <w:vMerge w:val="continue"/>
            <w:tcBorders>
              <w:tl2br w:val="nil"/>
              <w:tr2bl w:val="nil"/>
            </w:tcBorders>
            <w:vAlign w:val="center"/>
          </w:tcPr>
          <w:p w14:paraId="66E10644">
            <w:pPr>
              <w:adjustRightInd w:val="0"/>
              <w:snapToGrid w:val="0"/>
              <w:jc w:val="center"/>
              <w:rPr>
                <w:rFonts w:hint="default" w:eastAsia="宋体"/>
                <w:color w:val="auto"/>
                <w:sz w:val="21"/>
                <w:szCs w:val="21"/>
                <w:lang w:val="en-US" w:eastAsia="zh-CN"/>
              </w:rPr>
            </w:pPr>
          </w:p>
        </w:tc>
        <w:tc>
          <w:tcPr>
            <w:tcW w:w="1028" w:type="dxa"/>
            <w:tcBorders>
              <w:tl2br w:val="nil"/>
              <w:tr2bl w:val="nil"/>
            </w:tcBorders>
            <w:vAlign w:val="center"/>
          </w:tcPr>
          <w:p w14:paraId="44A6606D">
            <w:pPr>
              <w:jc w:val="center"/>
              <w:rPr>
                <w:b/>
                <w:bCs/>
                <w:color w:val="auto"/>
                <w:sz w:val="21"/>
                <w:szCs w:val="21"/>
              </w:rPr>
            </w:pPr>
            <w:r>
              <w:rPr>
                <w:color w:val="auto"/>
                <w:sz w:val="21"/>
                <w:szCs w:val="21"/>
              </w:rPr>
              <w:t>——</w:t>
            </w:r>
          </w:p>
        </w:tc>
        <w:tc>
          <w:tcPr>
            <w:tcW w:w="1133" w:type="dxa"/>
            <w:gridSpan w:val="2"/>
            <w:tcBorders>
              <w:tl2br w:val="nil"/>
              <w:tr2bl w:val="nil"/>
            </w:tcBorders>
            <w:vAlign w:val="center"/>
          </w:tcPr>
          <w:p w14:paraId="690F2F93">
            <w:pPr>
              <w:jc w:val="center"/>
              <w:rPr>
                <w:rFonts w:hint="default" w:eastAsia="宋体"/>
                <w:b w:val="0"/>
                <w:bCs w:val="0"/>
                <w:color w:val="auto"/>
                <w:sz w:val="21"/>
                <w:szCs w:val="21"/>
                <w:lang w:val="en-US" w:eastAsia="zh-CN"/>
              </w:rPr>
            </w:pPr>
            <w:r>
              <w:rPr>
                <w:b w:val="0"/>
                <w:bCs w:val="0"/>
                <w:color w:val="auto"/>
                <w:sz w:val="21"/>
                <w:szCs w:val="21"/>
              </w:rPr>
              <w:t>——</w:t>
            </w:r>
          </w:p>
        </w:tc>
        <w:tc>
          <w:tcPr>
            <w:tcW w:w="999" w:type="dxa"/>
            <w:tcBorders>
              <w:tl2br w:val="nil"/>
              <w:tr2bl w:val="nil"/>
            </w:tcBorders>
            <w:vAlign w:val="center"/>
          </w:tcPr>
          <w:p w14:paraId="749F8E21">
            <w:pPr>
              <w:jc w:val="center"/>
              <w:rPr>
                <w:b w:val="0"/>
                <w:bCs w:val="0"/>
                <w:color w:val="auto"/>
                <w:sz w:val="21"/>
                <w:szCs w:val="21"/>
              </w:rPr>
            </w:pPr>
            <w:r>
              <w:rPr>
                <w:rFonts w:hint="eastAsia"/>
                <w:b w:val="0"/>
                <w:bCs w:val="0"/>
                <w:color w:val="auto"/>
                <w:sz w:val="21"/>
                <w:szCs w:val="21"/>
                <w:lang w:val="en-US" w:eastAsia="zh-CN"/>
              </w:rPr>
              <w:t>2.184</w:t>
            </w:r>
          </w:p>
        </w:tc>
        <w:tc>
          <w:tcPr>
            <w:tcW w:w="1147" w:type="dxa"/>
            <w:gridSpan w:val="2"/>
            <w:tcBorders>
              <w:tl2br w:val="nil"/>
              <w:tr2bl w:val="nil"/>
            </w:tcBorders>
            <w:vAlign w:val="center"/>
          </w:tcPr>
          <w:p w14:paraId="01C833DE">
            <w:pPr>
              <w:jc w:val="center"/>
              <w:rPr>
                <w:b w:val="0"/>
                <w:bCs w:val="0"/>
                <w:color w:val="auto"/>
                <w:sz w:val="21"/>
                <w:szCs w:val="21"/>
              </w:rPr>
            </w:pPr>
            <w:r>
              <w:rPr>
                <w:rFonts w:hint="eastAsia"/>
                <w:b w:val="0"/>
                <w:bCs w:val="0"/>
                <w:color w:val="auto"/>
                <w:sz w:val="21"/>
                <w:szCs w:val="21"/>
                <w:lang w:val="en-US" w:eastAsia="zh-CN"/>
              </w:rPr>
              <w:t>21.1</w:t>
            </w:r>
          </w:p>
        </w:tc>
        <w:tc>
          <w:tcPr>
            <w:tcW w:w="1824" w:type="dxa"/>
            <w:tcBorders>
              <w:tl2br w:val="nil"/>
              <w:tr2bl w:val="nil"/>
            </w:tcBorders>
            <w:vAlign w:val="center"/>
          </w:tcPr>
          <w:p w14:paraId="508152C8">
            <w:pPr>
              <w:jc w:val="center"/>
              <w:rPr>
                <w:color w:val="auto"/>
                <w:sz w:val="21"/>
                <w:szCs w:val="21"/>
              </w:rPr>
            </w:pPr>
            <w:r>
              <w:rPr>
                <w:rFonts w:hint="eastAsia"/>
                <w:color w:val="auto"/>
                <w:sz w:val="21"/>
                <w:lang w:val="en-US" w:eastAsia="zh-CN"/>
              </w:rPr>
              <w:t>布袋除尘器除尘</w:t>
            </w:r>
          </w:p>
        </w:tc>
        <w:tc>
          <w:tcPr>
            <w:tcW w:w="3251" w:type="dxa"/>
            <w:tcBorders>
              <w:tl2br w:val="nil"/>
              <w:tr2bl w:val="nil"/>
            </w:tcBorders>
            <w:vAlign w:val="center"/>
          </w:tcPr>
          <w:p w14:paraId="09210B57">
            <w:pPr>
              <w:jc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1658" w:type="dxa"/>
            <w:tcBorders>
              <w:tl2br w:val="nil"/>
              <w:tr2bl w:val="nil"/>
            </w:tcBorders>
            <w:shd w:val="clear" w:color="auto" w:fill="auto"/>
            <w:vAlign w:val="center"/>
          </w:tcPr>
          <w:p w14:paraId="19DB23BA">
            <w:pPr>
              <w:jc w:val="center"/>
              <w:rPr>
                <w:rFonts w:ascii="Times New Roman" w:hAnsi="Times New Roman" w:eastAsia="宋体" w:cs="Times New Roman"/>
                <w:color w:val="auto"/>
                <w:sz w:val="21"/>
                <w:szCs w:val="21"/>
                <w:lang w:val="en-US" w:eastAsia="zh-CN"/>
              </w:rPr>
            </w:pPr>
            <w:r>
              <w:rPr>
                <w:rFonts w:ascii="Times New Roman" w:hAnsi="Times New Roman" w:eastAsia="宋体" w:cs="Times New Roman"/>
                <w:color w:val="auto"/>
                <w:sz w:val="21"/>
                <w:szCs w:val="21"/>
              </w:rPr>
              <w:t>粉碎风机排气筒21（DA040）</w:t>
            </w:r>
          </w:p>
        </w:tc>
      </w:tr>
      <w:tr w14:paraId="28FB2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4DAFB965">
            <w:pPr>
              <w:pStyle w:val="42"/>
              <w:ind w:left="0" w:leftChars="0" w:firstLine="0" w:firstLineChars="0"/>
              <w:rPr>
                <w:color w:val="auto"/>
                <w:sz w:val="21"/>
                <w:szCs w:val="21"/>
              </w:rPr>
            </w:pPr>
          </w:p>
        </w:tc>
        <w:tc>
          <w:tcPr>
            <w:tcW w:w="1449" w:type="dxa"/>
            <w:tcBorders>
              <w:tl2br w:val="nil"/>
              <w:tr2bl w:val="nil"/>
            </w:tcBorders>
            <w:vAlign w:val="center"/>
          </w:tcPr>
          <w:p w14:paraId="7315334C">
            <w:pPr>
              <w:jc w:val="center"/>
              <w:rPr>
                <w:rFonts w:hint="default" w:eastAsia="宋体"/>
                <w:color w:val="auto"/>
                <w:sz w:val="21"/>
                <w:szCs w:val="21"/>
                <w:lang w:val="en-US" w:eastAsia="zh-CN"/>
              </w:rPr>
            </w:pPr>
            <w:r>
              <w:rPr>
                <w:rFonts w:hint="eastAsia"/>
                <w:color w:val="auto"/>
                <w:sz w:val="21"/>
                <w:szCs w:val="21"/>
                <w:lang w:val="en-US" w:eastAsia="zh-CN"/>
              </w:rPr>
              <w:t>NH</w:t>
            </w:r>
            <w:r>
              <w:rPr>
                <w:rFonts w:hint="eastAsia"/>
                <w:color w:val="auto"/>
                <w:sz w:val="21"/>
                <w:szCs w:val="21"/>
                <w:vertAlign w:val="subscript"/>
                <w:lang w:val="en-US" w:eastAsia="zh-CN"/>
              </w:rPr>
              <w:t>3</w:t>
            </w:r>
          </w:p>
        </w:tc>
        <w:tc>
          <w:tcPr>
            <w:tcW w:w="837" w:type="dxa"/>
            <w:vMerge w:val="restart"/>
            <w:tcBorders>
              <w:tl2br w:val="nil"/>
              <w:tr2bl w:val="nil"/>
            </w:tcBorders>
            <w:vAlign w:val="center"/>
          </w:tcPr>
          <w:p w14:paraId="55A0DF9E">
            <w:pPr>
              <w:jc w:val="center"/>
              <w:rPr>
                <w:rFonts w:hint="eastAsia" w:eastAsia="宋体"/>
                <w:color w:val="auto"/>
                <w:sz w:val="21"/>
                <w:szCs w:val="21"/>
                <w:lang w:eastAsia="zh-CN"/>
              </w:rPr>
            </w:pPr>
            <w:r>
              <w:rPr>
                <w:rFonts w:hint="eastAsia"/>
                <w:color w:val="auto"/>
                <w:sz w:val="21"/>
                <w:szCs w:val="21"/>
                <w:lang w:val="en-US" w:eastAsia="zh-CN"/>
              </w:rPr>
              <w:t>污水处理</w:t>
            </w:r>
          </w:p>
        </w:tc>
        <w:tc>
          <w:tcPr>
            <w:tcW w:w="1028" w:type="dxa"/>
            <w:tcBorders>
              <w:tl2br w:val="nil"/>
              <w:tr2bl w:val="nil"/>
            </w:tcBorders>
            <w:vAlign w:val="center"/>
          </w:tcPr>
          <w:p w14:paraId="7EEB96C9">
            <w:pPr>
              <w:jc w:val="center"/>
              <w:rPr>
                <w:rFonts w:hint="default" w:eastAsia="宋体"/>
                <w:color w:val="auto"/>
                <w:sz w:val="21"/>
                <w:szCs w:val="21"/>
                <w:lang w:val="en-US" w:eastAsia="zh-CN"/>
              </w:rPr>
            </w:pPr>
            <w:r>
              <w:rPr>
                <w:color w:val="auto"/>
                <w:sz w:val="21"/>
                <w:szCs w:val="21"/>
              </w:rPr>
              <w:t>——</w:t>
            </w:r>
          </w:p>
        </w:tc>
        <w:tc>
          <w:tcPr>
            <w:tcW w:w="1133" w:type="dxa"/>
            <w:gridSpan w:val="2"/>
            <w:tcBorders>
              <w:tl2br w:val="nil"/>
              <w:tr2bl w:val="nil"/>
            </w:tcBorders>
            <w:vAlign w:val="center"/>
          </w:tcPr>
          <w:p w14:paraId="679019FA">
            <w:pPr>
              <w:jc w:val="center"/>
              <w:rPr>
                <w:color w:val="auto"/>
                <w:sz w:val="21"/>
                <w:szCs w:val="21"/>
              </w:rPr>
            </w:pPr>
            <w:r>
              <w:rPr>
                <w:b w:val="0"/>
                <w:bCs w:val="0"/>
                <w:color w:val="auto"/>
                <w:sz w:val="21"/>
                <w:szCs w:val="21"/>
              </w:rPr>
              <w:t>——</w:t>
            </w:r>
          </w:p>
        </w:tc>
        <w:tc>
          <w:tcPr>
            <w:tcW w:w="999" w:type="dxa"/>
            <w:tcBorders>
              <w:tl2br w:val="nil"/>
              <w:tr2bl w:val="nil"/>
            </w:tcBorders>
            <w:vAlign w:val="center"/>
          </w:tcPr>
          <w:p w14:paraId="1FD8788A">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0.27</w:t>
            </w:r>
          </w:p>
        </w:tc>
        <w:tc>
          <w:tcPr>
            <w:tcW w:w="1147" w:type="dxa"/>
            <w:gridSpan w:val="2"/>
            <w:tcBorders>
              <w:tl2br w:val="nil"/>
              <w:tr2bl w:val="nil"/>
            </w:tcBorders>
            <w:vAlign w:val="center"/>
          </w:tcPr>
          <w:p w14:paraId="10A42080">
            <w:pPr>
              <w:jc w:val="center"/>
              <w:rPr>
                <w:rFonts w:hint="default" w:eastAsia="宋体"/>
                <w:color w:val="auto"/>
                <w:sz w:val="21"/>
                <w:szCs w:val="21"/>
                <w:lang w:val="en-US" w:eastAsia="zh-CN"/>
              </w:rPr>
            </w:pPr>
            <w:r>
              <w:rPr>
                <w:rFonts w:hint="eastAsia"/>
                <w:color w:val="auto"/>
                <w:sz w:val="21"/>
                <w:szCs w:val="21"/>
                <w:lang w:val="en-US" w:eastAsia="zh-CN"/>
              </w:rPr>
              <w:t>47.8</w:t>
            </w:r>
          </w:p>
        </w:tc>
        <w:tc>
          <w:tcPr>
            <w:tcW w:w="1824" w:type="dxa"/>
            <w:vMerge w:val="restart"/>
            <w:tcBorders>
              <w:tl2br w:val="nil"/>
              <w:tr2bl w:val="nil"/>
            </w:tcBorders>
            <w:vAlign w:val="center"/>
          </w:tcPr>
          <w:p w14:paraId="153E207D">
            <w:pPr>
              <w:jc w:val="center"/>
              <w:rPr>
                <w:color w:val="auto"/>
                <w:sz w:val="21"/>
                <w:szCs w:val="21"/>
              </w:rPr>
            </w:pPr>
            <w:r>
              <w:rPr>
                <w:rFonts w:hint="eastAsia" w:ascii="Times New Roman" w:hAnsi="Times New Roman" w:cs="Times New Roman"/>
                <w:color w:val="auto"/>
                <w:sz w:val="21"/>
                <w:szCs w:val="21"/>
                <w:lang w:val="en-US" w:eastAsia="zh-CN"/>
              </w:rPr>
              <w:t>设置集排风装置，收集的恶臭气体通过活性炭吸附净化处理后排放，净化效率不低于90%</w:t>
            </w:r>
          </w:p>
        </w:tc>
        <w:tc>
          <w:tcPr>
            <w:tcW w:w="3251" w:type="dxa"/>
            <w:vMerge w:val="restart"/>
            <w:tcBorders>
              <w:tl2br w:val="nil"/>
              <w:tr2bl w:val="nil"/>
            </w:tcBorders>
            <w:vAlign w:val="center"/>
          </w:tcPr>
          <w:p w14:paraId="6B1030AB">
            <w:pPr>
              <w:jc w:val="center"/>
              <w:rPr>
                <w:color w:val="auto"/>
                <w:sz w:val="21"/>
                <w:szCs w:val="21"/>
              </w:rPr>
            </w:pPr>
            <w:r>
              <w:rPr>
                <w:color w:val="auto"/>
                <w:sz w:val="21"/>
                <w:szCs w:val="21"/>
              </w:rPr>
              <w:t>《恶臭污染物排放标准》（GB14554-93）表2</w:t>
            </w:r>
          </w:p>
        </w:tc>
        <w:tc>
          <w:tcPr>
            <w:tcW w:w="1658" w:type="dxa"/>
            <w:vMerge w:val="restart"/>
            <w:tcBorders>
              <w:tl2br w:val="nil"/>
              <w:tr2bl w:val="nil"/>
            </w:tcBorders>
            <w:vAlign w:val="center"/>
          </w:tcPr>
          <w:p w14:paraId="277FBF77">
            <w:pPr>
              <w:jc w:val="center"/>
              <w:rPr>
                <w:rFonts w:hint="default" w:eastAsia="宋体"/>
                <w:color w:val="auto"/>
                <w:sz w:val="21"/>
                <w:szCs w:val="21"/>
                <w:lang w:val="en-US" w:eastAsia="zh-CN"/>
              </w:rPr>
            </w:pPr>
            <w:r>
              <w:rPr>
                <w:rFonts w:hint="eastAsia"/>
                <w:color w:val="auto"/>
                <w:sz w:val="21"/>
                <w:szCs w:val="21"/>
                <w:lang w:val="en-US" w:eastAsia="zh-CN"/>
              </w:rPr>
              <w:t>15m高排气筒（DA011）</w:t>
            </w:r>
          </w:p>
        </w:tc>
      </w:tr>
      <w:tr w14:paraId="3E139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1A236A7A">
            <w:pPr>
              <w:pStyle w:val="42"/>
              <w:ind w:left="0" w:leftChars="0" w:firstLine="0" w:firstLineChars="0"/>
              <w:rPr>
                <w:color w:val="auto"/>
                <w:sz w:val="21"/>
                <w:szCs w:val="21"/>
              </w:rPr>
            </w:pPr>
          </w:p>
        </w:tc>
        <w:tc>
          <w:tcPr>
            <w:tcW w:w="1449" w:type="dxa"/>
            <w:tcBorders>
              <w:tl2br w:val="nil"/>
              <w:tr2bl w:val="nil"/>
            </w:tcBorders>
            <w:vAlign w:val="center"/>
          </w:tcPr>
          <w:p w14:paraId="39F91067">
            <w:pPr>
              <w:jc w:val="center"/>
              <w:rPr>
                <w:rFonts w:hint="default" w:eastAsia="宋体"/>
                <w:color w:val="auto"/>
                <w:sz w:val="21"/>
                <w:szCs w:val="21"/>
                <w:lang w:val="en-US" w:eastAsia="zh-CN"/>
              </w:rPr>
            </w:pP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p>
        </w:tc>
        <w:tc>
          <w:tcPr>
            <w:tcW w:w="837" w:type="dxa"/>
            <w:vMerge w:val="continue"/>
            <w:tcBorders>
              <w:tl2br w:val="nil"/>
              <w:tr2bl w:val="nil"/>
            </w:tcBorders>
            <w:vAlign w:val="center"/>
          </w:tcPr>
          <w:p w14:paraId="089E26A1">
            <w:pPr>
              <w:jc w:val="center"/>
              <w:rPr>
                <w:color w:val="auto"/>
                <w:sz w:val="21"/>
                <w:szCs w:val="21"/>
              </w:rPr>
            </w:pPr>
          </w:p>
        </w:tc>
        <w:tc>
          <w:tcPr>
            <w:tcW w:w="1028" w:type="dxa"/>
            <w:tcBorders>
              <w:tl2br w:val="nil"/>
              <w:tr2bl w:val="nil"/>
            </w:tcBorders>
            <w:vAlign w:val="center"/>
          </w:tcPr>
          <w:p w14:paraId="3323575F">
            <w:pPr>
              <w:jc w:val="center"/>
              <w:rPr>
                <w:color w:val="auto"/>
                <w:sz w:val="21"/>
                <w:szCs w:val="21"/>
              </w:rPr>
            </w:pPr>
            <w:r>
              <w:rPr>
                <w:color w:val="auto"/>
                <w:sz w:val="21"/>
                <w:szCs w:val="21"/>
              </w:rPr>
              <w:t>——</w:t>
            </w:r>
          </w:p>
        </w:tc>
        <w:tc>
          <w:tcPr>
            <w:tcW w:w="1133" w:type="dxa"/>
            <w:gridSpan w:val="2"/>
            <w:tcBorders>
              <w:tl2br w:val="nil"/>
              <w:tr2bl w:val="nil"/>
            </w:tcBorders>
            <w:vAlign w:val="center"/>
          </w:tcPr>
          <w:p w14:paraId="2FEAAA28">
            <w:pPr>
              <w:jc w:val="center"/>
              <w:rPr>
                <w:color w:val="auto"/>
                <w:sz w:val="21"/>
                <w:szCs w:val="21"/>
              </w:rPr>
            </w:pPr>
            <w:r>
              <w:rPr>
                <w:b w:val="0"/>
                <w:bCs w:val="0"/>
                <w:color w:val="auto"/>
                <w:sz w:val="21"/>
                <w:szCs w:val="21"/>
              </w:rPr>
              <w:t>——</w:t>
            </w:r>
          </w:p>
        </w:tc>
        <w:tc>
          <w:tcPr>
            <w:tcW w:w="999" w:type="dxa"/>
            <w:tcBorders>
              <w:tl2br w:val="nil"/>
              <w:tr2bl w:val="nil"/>
            </w:tcBorders>
            <w:vAlign w:val="center"/>
          </w:tcPr>
          <w:p w14:paraId="7033357D">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0.024</w:t>
            </w:r>
          </w:p>
        </w:tc>
        <w:tc>
          <w:tcPr>
            <w:tcW w:w="1147" w:type="dxa"/>
            <w:gridSpan w:val="2"/>
            <w:tcBorders>
              <w:tl2br w:val="nil"/>
              <w:tr2bl w:val="nil"/>
            </w:tcBorders>
            <w:vAlign w:val="center"/>
          </w:tcPr>
          <w:p w14:paraId="127F416F">
            <w:pPr>
              <w:jc w:val="center"/>
              <w:rPr>
                <w:rFonts w:hint="default" w:eastAsia="宋体"/>
                <w:color w:val="auto"/>
                <w:sz w:val="21"/>
                <w:szCs w:val="21"/>
                <w:lang w:val="en-US" w:eastAsia="zh-CN"/>
              </w:rPr>
            </w:pPr>
            <w:r>
              <w:rPr>
                <w:rFonts w:hint="eastAsia"/>
                <w:color w:val="auto"/>
                <w:sz w:val="21"/>
                <w:szCs w:val="21"/>
                <w:lang w:val="en-US" w:eastAsia="zh-CN"/>
              </w:rPr>
              <w:t>4.38</w:t>
            </w:r>
          </w:p>
        </w:tc>
        <w:tc>
          <w:tcPr>
            <w:tcW w:w="1824" w:type="dxa"/>
            <w:vMerge w:val="continue"/>
            <w:tcBorders>
              <w:tl2br w:val="nil"/>
              <w:tr2bl w:val="nil"/>
            </w:tcBorders>
            <w:vAlign w:val="center"/>
          </w:tcPr>
          <w:p w14:paraId="4905DBF2">
            <w:pPr>
              <w:jc w:val="center"/>
              <w:rPr>
                <w:rFonts w:hint="eastAsia"/>
                <w:color w:val="auto"/>
                <w:sz w:val="21"/>
                <w:szCs w:val="21"/>
              </w:rPr>
            </w:pPr>
          </w:p>
        </w:tc>
        <w:tc>
          <w:tcPr>
            <w:tcW w:w="3251" w:type="dxa"/>
            <w:vMerge w:val="continue"/>
            <w:tcBorders>
              <w:tl2br w:val="nil"/>
              <w:tr2bl w:val="nil"/>
            </w:tcBorders>
            <w:vAlign w:val="center"/>
          </w:tcPr>
          <w:p w14:paraId="3DE65D42">
            <w:pPr>
              <w:jc w:val="center"/>
              <w:rPr>
                <w:color w:val="auto"/>
                <w:sz w:val="21"/>
                <w:szCs w:val="21"/>
              </w:rPr>
            </w:pPr>
          </w:p>
        </w:tc>
        <w:tc>
          <w:tcPr>
            <w:tcW w:w="1658" w:type="dxa"/>
            <w:vMerge w:val="continue"/>
            <w:tcBorders>
              <w:tl2br w:val="nil"/>
              <w:tr2bl w:val="nil"/>
            </w:tcBorders>
            <w:vAlign w:val="center"/>
          </w:tcPr>
          <w:p w14:paraId="1B4E0A36">
            <w:pPr>
              <w:jc w:val="center"/>
              <w:rPr>
                <w:rFonts w:hint="eastAsia"/>
                <w:color w:val="auto"/>
                <w:sz w:val="21"/>
                <w:szCs w:val="21"/>
                <w:lang w:val="en-US" w:eastAsia="zh-CN"/>
              </w:rPr>
            </w:pPr>
          </w:p>
        </w:tc>
      </w:tr>
      <w:tr w14:paraId="74164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729" w:type="dxa"/>
            <w:vMerge w:val="continue"/>
            <w:tcBorders>
              <w:tl2br w:val="nil"/>
              <w:tr2bl w:val="nil"/>
            </w:tcBorders>
            <w:vAlign w:val="center"/>
          </w:tcPr>
          <w:p w14:paraId="24E47A92">
            <w:pPr>
              <w:pStyle w:val="42"/>
              <w:ind w:left="0" w:leftChars="0" w:firstLine="0" w:firstLineChars="0"/>
              <w:rPr>
                <w:color w:val="auto"/>
                <w:sz w:val="21"/>
                <w:szCs w:val="21"/>
              </w:rPr>
            </w:pPr>
          </w:p>
        </w:tc>
        <w:tc>
          <w:tcPr>
            <w:tcW w:w="1449" w:type="dxa"/>
            <w:tcBorders>
              <w:tl2br w:val="nil"/>
              <w:tr2bl w:val="nil"/>
            </w:tcBorders>
            <w:vAlign w:val="center"/>
          </w:tcPr>
          <w:p w14:paraId="4CB4675C">
            <w:pPr>
              <w:jc w:val="center"/>
              <w:rPr>
                <w:rFonts w:hint="default" w:eastAsia="宋体"/>
                <w:color w:val="auto"/>
                <w:sz w:val="21"/>
                <w:szCs w:val="21"/>
                <w:lang w:val="en-US" w:eastAsia="zh-CN"/>
              </w:rPr>
            </w:pPr>
            <w:r>
              <w:rPr>
                <w:rFonts w:hint="eastAsia"/>
                <w:color w:val="auto"/>
                <w:sz w:val="21"/>
                <w:szCs w:val="21"/>
                <w:lang w:val="en-US" w:eastAsia="zh-CN"/>
              </w:rPr>
              <w:t>臭气浓度</w:t>
            </w:r>
          </w:p>
        </w:tc>
        <w:tc>
          <w:tcPr>
            <w:tcW w:w="837" w:type="dxa"/>
            <w:vMerge w:val="continue"/>
            <w:tcBorders>
              <w:tl2br w:val="nil"/>
              <w:tr2bl w:val="nil"/>
            </w:tcBorders>
            <w:vAlign w:val="center"/>
          </w:tcPr>
          <w:p w14:paraId="6B062808">
            <w:pPr>
              <w:jc w:val="center"/>
              <w:rPr>
                <w:color w:val="auto"/>
                <w:sz w:val="21"/>
                <w:szCs w:val="21"/>
              </w:rPr>
            </w:pPr>
          </w:p>
        </w:tc>
        <w:tc>
          <w:tcPr>
            <w:tcW w:w="1028" w:type="dxa"/>
            <w:tcBorders>
              <w:tl2br w:val="nil"/>
              <w:tr2bl w:val="nil"/>
            </w:tcBorders>
            <w:vAlign w:val="center"/>
          </w:tcPr>
          <w:p w14:paraId="39E81B00">
            <w:pPr>
              <w:jc w:val="center"/>
              <w:rPr>
                <w:color w:val="auto"/>
                <w:sz w:val="21"/>
                <w:szCs w:val="21"/>
              </w:rPr>
            </w:pPr>
            <w:r>
              <w:rPr>
                <w:color w:val="auto"/>
                <w:sz w:val="21"/>
                <w:szCs w:val="21"/>
              </w:rPr>
              <w:t>——</w:t>
            </w:r>
          </w:p>
        </w:tc>
        <w:tc>
          <w:tcPr>
            <w:tcW w:w="1133" w:type="dxa"/>
            <w:gridSpan w:val="2"/>
            <w:tcBorders>
              <w:tl2br w:val="nil"/>
              <w:tr2bl w:val="nil"/>
            </w:tcBorders>
            <w:vAlign w:val="center"/>
          </w:tcPr>
          <w:p w14:paraId="2693DB0D">
            <w:pPr>
              <w:jc w:val="center"/>
              <w:rPr>
                <w:color w:val="auto"/>
                <w:sz w:val="21"/>
                <w:szCs w:val="21"/>
              </w:rPr>
            </w:pPr>
            <w:r>
              <w:rPr>
                <w:b w:val="0"/>
                <w:bCs w:val="0"/>
                <w:color w:val="auto"/>
                <w:sz w:val="21"/>
                <w:szCs w:val="21"/>
              </w:rPr>
              <w:t>——</w:t>
            </w:r>
          </w:p>
        </w:tc>
        <w:tc>
          <w:tcPr>
            <w:tcW w:w="999" w:type="dxa"/>
            <w:tcBorders>
              <w:tl2br w:val="nil"/>
              <w:tr2bl w:val="nil"/>
            </w:tcBorders>
            <w:vAlign w:val="center"/>
          </w:tcPr>
          <w:p w14:paraId="7CAF94CD">
            <w:pPr>
              <w:jc w:val="center"/>
              <w:rPr>
                <w:color w:val="auto"/>
                <w:sz w:val="21"/>
                <w:szCs w:val="21"/>
              </w:rPr>
            </w:pPr>
            <w:r>
              <w:rPr>
                <w:color w:val="auto"/>
                <w:sz w:val="21"/>
                <w:szCs w:val="21"/>
              </w:rPr>
              <w:t>——</w:t>
            </w:r>
          </w:p>
        </w:tc>
        <w:tc>
          <w:tcPr>
            <w:tcW w:w="1147" w:type="dxa"/>
            <w:gridSpan w:val="2"/>
            <w:tcBorders>
              <w:tl2br w:val="nil"/>
              <w:tr2bl w:val="nil"/>
            </w:tcBorders>
            <w:vAlign w:val="center"/>
          </w:tcPr>
          <w:p w14:paraId="338DD5E3">
            <w:pPr>
              <w:jc w:val="center"/>
              <w:rPr>
                <w:rFonts w:hint="default" w:eastAsia="宋体"/>
                <w:color w:val="auto"/>
                <w:sz w:val="21"/>
                <w:szCs w:val="21"/>
                <w:lang w:val="en-US" w:eastAsia="zh-CN"/>
              </w:rPr>
            </w:pPr>
            <w:r>
              <w:rPr>
                <w:rFonts w:hint="eastAsia"/>
                <w:b w:val="0"/>
                <w:bCs w:val="0"/>
                <w:color w:val="auto"/>
                <w:sz w:val="21"/>
                <w:szCs w:val="21"/>
                <w:lang w:val="en-US" w:eastAsia="zh-CN"/>
              </w:rPr>
              <w:t>416（无量纲）</w:t>
            </w:r>
          </w:p>
        </w:tc>
        <w:tc>
          <w:tcPr>
            <w:tcW w:w="1824" w:type="dxa"/>
            <w:vMerge w:val="continue"/>
            <w:tcBorders>
              <w:tl2br w:val="nil"/>
              <w:tr2bl w:val="nil"/>
            </w:tcBorders>
            <w:vAlign w:val="center"/>
          </w:tcPr>
          <w:p w14:paraId="5C522BC6">
            <w:pPr>
              <w:jc w:val="center"/>
              <w:rPr>
                <w:rFonts w:hint="eastAsia"/>
                <w:color w:val="auto"/>
                <w:sz w:val="21"/>
                <w:szCs w:val="21"/>
              </w:rPr>
            </w:pPr>
          </w:p>
        </w:tc>
        <w:tc>
          <w:tcPr>
            <w:tcW w:w="3251" w:type="dxa"/>
            <w:vMerge w:val="continue"/>
            <w:tcBorders>
              <w:tl2br w:val="nil"/>
              <w:tr2bl w:val="nil"/>
            </w:tcBorders>
            <w:vAlign w:val="center"/>
          </w:tcPr>
          <w:p w14:paraId="294ADD8D">
            <w:pPr>
              <w:jc w:val="center"/>
              <w:rPr>
                <w:color w:val="auto"/>
                <w:sz w:val="21"/>
                <w:szCs w:val="21"/>
              </w:rPr>
            </w:pPr>
          </w:p>
        </w:tc>
        <w:tc>
          <w:tcPr>
            <w:tcW w:w="1658" w:type="dxa"/>
            <w:vMerge w:val="continue"/>
            <w:tcBorders>
              <w:tl2br w:val="nil"/>
              <w:tr2bl w:val="nil"/>
            </w:tcBorders>
            <w:vAlign w:val="center"/>
          </w:tcPr>
          <w:p w14:paraId="6E17AFB3">
            <w:pPr>
              <w:jc w:val="center"/>
              <w:rPr>
                <w:rFonts w:hint="eastAsia"/>
                <w:color w:val="auto"/>
                <w:sz w:val="21"/>
                <w:szCs w:val="21"/>
                <w:lang w:val="en-US" w:eastAsia="zh-CN"/>
              </w:rPr>
            </w:pPr>
          </w:p>
        </w:tc>
      </w:tr>
      <w:tr w14:paraId="7FD28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729" w:type="dxa"/>
            <w:vMerge w:val="continue"/>
            <w:tcBorders>
              <w:tl2br w:val="nil"/>
              <w:tr2bl w:val="nil"/>
            </w:tcBorders>
            <w:vAlign w:val="center"/>
          </w:tcPr>
          <w:p w14:paraId="5EB87F2F">
            <w:pPr>
              <w:pStyle w:val="42"/>
              <w:rPr>
                <w:color w:val="auto"/>
                <w:sz w:val="21"/>
                <w:szCs w:val="21"/>
              </w:rPr>
            </w:pPr>
          </w:p>
        </w:tc>
        <w:tc>
          <w:tcPr>
            <w:tcW w:w="1449" w:type="dxa"/>
            <w:tcBorders>
              <w:tl2br w:val="nil"/>
              <w:tr2bl w:val="nil"/>
            </w:tcBorders>
            <w:vAlign w:val="center"/>
          </w:tcPr>
          <w:p w14:paraId="1AD96A14">
            <w:pPr>
              <w:jc w:val="center"/>
              <w:rPr>
                <w:color w:val="auto"/>
                <w:sz w:val="21"/>
                <w:szCs w:val="21"/>
              </w:rPr>
            </w:pPr>
            <w:r>
              <w:rPr>
                <w:rFonts w:hint="eastAsia"/>
                <w:color w:val="auto"/>
                <w:sz w:val="21"/>
                <w:szCs w:val="21"/>
                <w:lang w:val="en-US" w:eastAsia="zh-CN"/>
              </w:rPr>
              <w:t>NH</w:t>
            </w:r>
            <w:r>
              <w:rPr>
                <w:rFonts w:hint="eastAsia"/>
                <w:color w:val="auto"/>
                <w:sz w:val="21"/>
                <w:szCs w:val="21"/>
                <w:vertAlign w:val="subscript"/>
                <w:lang w:val="en-US" w:eastAsia="zh-CN"/>
              </w:rPr>
              <w:t>3</w:t>
            </w:r>
          </w:p>
        </w:tc>
        <w:tc>
          <w:tcPr>
            <w:tcW w:w="837" w:type="dxa"/>
            <w:vMerge w:val="restart"/>
            <w:tcBorders>
              <w:tl2br w:val="nil"/>
              <w:tr2bl w:val="nil"/>
            </w:tcBorders>
            <w:vAlign w:val="center"/>
          </w:tcPr>
          <w:p w14:paraId="4DF8BCBE">
            <w:pPr>
              <w:jc w:val="center"/>
              <w:rPr>
                <w:rFonts w:hint="eastAsia" w:eastAsia="宋体"/>
                <w:color w:val="auto"/>
                <w:sz w:val="21"/>
                <w:szCs w:val="21"/>
                <w:lang w:eastAsia="zh-CN"/>
              </w:rPr>
            </w:pPr>
            <w:r>
              <w:rPr>
                <w:rFonts w:hint="eastAsia"/>
                <w:color w:val="auto"/>
                <w:sz w:val="21"/>
                <w:szCs w:val="21"/>
                <w:lang w:val="en-US" w:eastAsia="zh-CN"/>
              </w:rPr>
              <w:t>污水处理</w:t>
            </w:r>
          </w:p>
        </w:tc>
        <w:tc>
          <w:tcPr>
            <w:tcW w:w="1028" w:type="dxa"/>
            <w:tcBorders>
              <w:tl2br w:val="nil"/>
              <w:tr2bl w:val="nil"/>
            </w:tcBorders>
            <w:vAlign w:val="center"/>
          </w:tcPr>
          <w:p w14:paraId="69E75FFF">
            <w:pPr>
              <w:jc w:val="center"/>
              <w:rPr>
                <w:color w:val="auto"/>
                <w:sz w:val="21"/>
                <w:szCs w:val="21"/>
              </w:rPr>
            </w:pPr>
            <w:r>
              <w:rPr>
                <w:color w:val="auto"/>
                <w:sz w:val="21"/>
                <w:szCs w:val="21"/>
              </w:rPr>
              <w:t>——</w:t>
            </w:r>
          </w:p>
        </w:tc>
        <w:tc>
          <w:tcPr>
            <w:tcW w:w="1133" w:type="dxa"/>
            <w:gridSpan w:val="2"/>
            <w:tcBorders>
              <w:tl2br w:val="nil"/>
              <w:tr2bl w:val="nil"/>
            </w:tcBorders>
            <w:vAlign w:val="center"/>
          </w:tcPr>
          <w:p w14:paraId="063A1520">
            <w:pPr>
              <w:jc w:val="center"/>
              <w:rPr>
                <w:color w:val="auto"/>
                <w:sz w:val="21"/>
                <w:szCs w:val="21"/>
              </w:rPr>
            </w:pPr>
            <w:r>
              <w:rPr>
                <w:b w:val="0"/>
                <w:bCs w:val="0"/>
                <w:color w:val="auto"/>
                <w:sz w:val="21"/>
                <w:szCs w:val="21"/>
              </w:rPr>
              <w:t>——</w:t>
            </w:r>
          </w:p>
        </w:tc>
        <w:tc>
          <w:tcPr>
            <w:tcW w:w="999" w:type="dxa"/>
            <w:tcBorders>
              <w:tl2br w:val="nil"/>
              <w:tr2bl w:val="nil"/>
            </w:tcBorders>
            <w:vAlign w:val="center"/>
          </w:tcPr>
          <w:p w14:paraId="541F46B6">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0.33</w:t>
            </w:r>
          </w:p>
        </w:tc>
        <w:tc>
          <w:tcPr>
            <w:tcW w:w="1147" w:type="dxa"/>
            <w:gridSpan w:val="2"/>
            <w:tcBorders>
              <w:tl2br w:val="nil"/>
              <w:tr2bl w:val="nil"/>
            </w:tcBorders>
            <w:vAlign w:val="center"/>
          </w:tcPr>
          <w:p w14:paraId="7813A9A4">
            <w:pPr>
              <w:jc w:val="center"/>
              <w:rPr>
                <w:color w:val="auto"/>
                <w:sz w:val="21"/>
                <w:szCs w:val="21"/>
              </w:rPr>
            </w:pPr>
            <w:r>
              <w:rPr>
                <w:color w:val="auto"/>
                <w:sz w:val="21"/>
                <w:szCs w:val="21"/>
              </w:rPr>
              <w:t>——</w:t>
            </w:r>
          </w:p>
        </w:tc>
        <w:tc>
          <w:tcPr>
            <w:tcW w:w="1824" w:type="dxa"/>
            <w:vMerge w:val="restart"/>
            <w:tcBorders>
              <w:tl2br w:val="nil"/>
              <w:tr2bl w:val="nil"/>
            </w:tcBorders>
            <w:vAlign w:val="center"/>
          </w:tcPr>
          <w:p w14:paraId="3F956699">
            <w:pPr>
              <w:jc w:val="center"/>
              <w:rPr>
                <w:rFonts w:hint="default" w:eastAsia="宋体"/>
                <w:color w:val="auto"/>
                <w:sz w:val="21"/>
                <w:szCs w:val="21"/>
                <w:lang w:val="en-US" w:eastAsia="zh-CN"/>
              </w:rPr>
            </w:pPr>
            <w:r>
              <w:rPr>
                <w:rFonts w:hint="eastAsia"/>
                <w:color w:val="auto"/>
                <w:sz w:val="21"/>
                <w:szCs w:val="21"/>
                <w:lang w:val="en-US" w:eastAsia="zh-CN"/>
              </w:rPr>
              <w:t>厂区绿化</w:t>
            </w:r>
          </w:p>
        </w:tc>
        <w:tc>
          <w:tcPr>
            <w:tcW w:w="3251" w:type="dxa"/>
            <w:vMerge w:val="restart"/>
            <w:tcBorders>
              <w:tl2br w:val="nil"/>
              <w:tr2bl w:val="nil"/>
            </w:tcBorders>
            <w:vAlign w:val="center"/>
          </w:tcPr>
          <w:p w14:paraId="3C77A5F5">
            <w:pPr>
              <w:jc w:val="center"/>
              <w:rPr>
                <w:color w:val="auto"/>
                <w:sz w:val="21"/>
                <w:szCs w:val="21"/>
              </w:rPr>
            </w:pPr>
            <w:r>
              <w:rPr>
                <w:color w:val="auto"/>
                <w:sz w:val="21"/>
                <w:szCs w:val="21"/>
              </w:rPr>
              <w:t>《恶臭污染物排放标准》（GB14554-93）表</w:t>
            </w:r>
            <w:r>
              <w:rPr>
                <w:rFonts w:hint="eastAsia"/>
                <w:color w:val="auto"/>
                <w:sz w:val="21"/>
                <w:szCs w:val="21"/>
              </w:rPr>
              <w:t>1</w:t>
            </w:r>
            <w:r>
              <w:rPr>
                <w:rFonts w:hint="eastAsia"/>
                <w:color w:val="auto"/>
                <w:sz w:val="21"/>
                <w:szCs w:val="21"/>
                <w:lang w:val="en-US" w:eastAsia="zh-CN"/>
              </w:rPr>
              <w:t>厂界标准值</w:t>
            </w:r>
          </w:p>
        </w:tc>
        <w:tc>
          <w:tcPr>
            <w:tcW w:w="1658" w:type="dxa"/>
            <w:vMerge w:val="restart"/>
            <w:tcBorders>
              <w:tl2br w:val="nil"/>
              <w:tr2bl w:val="nil"/>
            </w:tcBorders>
            <w:vAlign w:val="center"/>
          </w:tcPr>
          <w:p w14:paraId="7F3337D6">
            <w:pPr>
              <w:jc w:val="center"/>
              <w:rPr>
                <w:color w:val="auto"/>
                <w:sz w:val="21"/>
                <w:szCs w:val="21"/>
              </w:rPr>
            </w:pPr>
            <w:r>
              <w:rPr>
                <w:color w:val="auto"/>
                <w:sz w:val="21"/>
                <w:szCs w:val="21"/>
              </w:rPr>
              <w:t>厂界</w:t>
            </w:r>
          </w:p>
        </w:tc>
      </w:tr>
      <w:tr w14:paraId="408B2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71CD0365">
            <w:pPr>
              <w:pStyle w:val="42"/>
              <w:rPr>
                <w:color w:val="auto"/>
                <w:sz w:val="21"/>
                <w:szCs w:val="21"/>
              </w:rPr>
            </w:pPr>
          </w:p>
        </w:tc>
        <w:tc>
          <w:tcPr>
            <w:tcW w:w="1449" w:type="dxa"/>
            <w:tcBorders>
              <w:tl2br w:val="nil"/>
              <w:tr2bl w:val="nil"/>
            </w:tcBorders>
            <w:vAlign w:val="center"/>
          </w:tcPr>
          <w:p w14:paraId="10FA1E72">
            <w:pPr>
              <w:jc w:val="center"/>
              <w:rPr>
                <w:color w:val="auto"/>
                <w:sz w:val="21"/>
                <w:szCs w:val="21"/>
              </w:rPr>
            </w:pP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p>
        </w:tc>
        <w:tc>
          <w:tcPr>
            <w:tcW w:w="837" w:type="dxa"/>
            <w:vMerge w:val="continue"/>
            <w:tcBorders>
              <w:tl2br w:val="nil"/>
              <w:tr2bl w:val="nil"/>
            </w:tcBorders>
            <w:vAlign w:val="center"/>
          </w:tcPr>
          <w:p w14:paraId="6649E12D">
            <w:pPr>
              <w:jc w:val="center"/>
              <w:rPr>
                <w:color w:val="auto"/>
                <w:sz w:val="21"/>
                <w:szCs w:val="21"/>
              </w:rPr>
            </w:pPr>
          </w:p>
        </w:tc>
        <w:tc>
          <w:tcPr>
            <w:tcW w:w="1028" w:type="dxa"/>
            <w:tcBorders>
              <w:tl2br w:val="nil"/>
              <w:tr2bl w:val="nil"/>
            </w:tcBorders>
            <w:vAlign w:val="center"/>
          </w:tcPr>
          <w:p w14:paraId="3471C340">
            <w:pPr>
              <w:jc w:val="center"/>
              <w:rPr>
                <w:color w:val="auto"/>
                <w:sz w:val="21"/>
                <w:szCs w:val="21"/>
              </w:rPr>
            </w:pPr>
            <w:r>
              <w:rPr>
                <w:color w:val="auto"/>
                <w:sz w:val="21"/>
                <w:szCs w:val="21"/>
              </w:rPr>
              <w:t>——</w:t>
            </w:r>
          </w:p>
        </w:tc>
        <w:tc>
          <w:tcPr>
            <w:tcW w:w="1133" w:type="dxa"/>
            <w:gridSpan w:val="2"/>
            <w:tcBorders>
              <w:tl2br w:val="nil"/>
              <w:tr2bl w:val="nil"/>
            </w:tcBorders>
            <w:vAlign w:val="center"/>
          </w:tcPr>
          <w:p w14:paraId="6073AC98">
            <w:pPr>
              <w:jc w:val="center"/>
              <w:rPr>
                <w:color w:val="auto"/>
                <w:sz w:val="21"/>
                <w:szCs w:val="21"/>
              </w:rPr>
            </w:pPr>
            <w:r>
              <w:rPr>
                <w:b w:val="0"/>
                <w:bCs w:val="0"/>
                <w:color w:val="auto"/>
                <w:sz w:val="21"/>
                <w:szCs w:val="21"/>
              </w:rPr>
              <w:t>——</w:t>
            </w:r>
          </w:p>
        </w:tc>
        <w:tc>
          <w:tcPr>
            <w:tcW w:w="999" w:type="dxa"/>
            <w:tcBorders>
              <w:tl2br w:val="nil"/>
              <w:tr2bl w:val="nil"/>
            </w:tcBorders>
            <w:vAlign w:val="center"/>
          </w:tcPr>
          <w:p w14:paraId="179E5B4E">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0.026</w:t>
            </w:r>
          </w:p>
        </w:tc>
        <w:tc>
          <w:tcPr>
            <w:tcW w:w="1147" w:type="dxa"/>
            <w:gridSpan w:val="2"/>
            <w:tcBorders>
              <w:tl2br w:val="nil"/>
              <w:tr2bl w:val="nil"/>
            </w:tcBorders>
            <w:vAlign w:val="center"/>
          </w:tcPr>
          <w:p w14:paraId="2A869E3A">
            <w:pPr>
              <w:jc w:val="center"/>
              <w:rPr>
                <w:color w:val="auto"/>
                <w:sz w:val="21"/>
                <w:szCs w:val="21"/>
              </w:rPr>
            </w:pPr>
            <w:r>
              <w:rPr>
                <w:color w:val="auto"/>
                <w:sz w:val="21"/>
                <w:szCs w:val="21"/>
              </w:rPr>
              <w:t>——</w:t>
            </w:r>
          </w:p>
        </w:tc>
        <w:tc>
          <w:tcPr>
            <w:tcW w:w="1824" w:type="dxa"/>
            <w:vMerge w:val="continue"/>
            <w:tcBorders>
              <w:tl2br w:val="nil"/>
              <w:tr2bl w:val="nil"/>
            </w:tcBorders>
            <w:vAlign w:val="center"/>
          </w:tcPr>
          <w:p w14:paraId="430EE833">
            <w:pPr>
              <w:jc w:val="center"/>
              <w:rPr>
                <w:rFonts w:hint="eastAsia"/>
                <w:color w:val="auto"/>
                <w:sz w:val="21"/>
                <w:szCs w:val="21"/>
              </w:rPr>
            </w:pPr>
          </w:p>
        </w:tc>
        <w:tc>
          <w:tcPr>
            <w:tcW w:w="3251" w:type="dxa"/>
            <w:vMerge w:val="continue"/>
            <w:tcBorders>
              <w:tl2br w:val="nil"/>
              <w:tr2bl w:val="nil"/>
            </w:tcBorders>
            <w:vAlign w:val="center"/>
          </w:tcPr>
          <w:p w14:paraId="0FA8D8D1">
            <w:pPr>
              <w:jc w:val="center"/>
              <w:rPr>
                <w:color w:val="auto"/>
                <w:sz w:val="21"/>
                <w:szCs w:val="21"/>
              </w:rPr>
            </w:pPr>
          </w:p>
        </w:tc>
        <w:tc>
          <w:tcPr>
            <w:tcW w:w="1658" w:type="dxa"/>
            <w:vMerge w:val="continue"/>
            <w:tcBorders>
              <w:tl2br w:val="nil"/>
              <w:tr2bl w:val="nil"/>
            </w:tcBorders>
            <w:vAlign w:val="center"/>
          </w:tcPr>
          <w:p w14:paraId="68242F62">
            <w:pPr>
              <w:jc w:val="center"/>
              <w:rPr>
                <w:color w:val="auto"/>
                <w:sz w:val="21"/>
                <w:szCs w:val="21"/>
              </w:rPr>
            </w:pPr>
          </w:p>
        </w:tc>
      </w:tr>
      <w:tr w14:paraId="334EC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729" w:type="dxa"/>
            <w:vMerge w:val="continue"/>
            <w:tcBorders>
              <w:tl2br w:val="nil"/>
              <w:tr2bl w:val="nil"/>
            </w:tcBorders>
            <w:vAlign w:val="center"/>
          </w:tcPr>
          <w:p w14:paraId="5AE77877">
            <w:pPr>
              <w:pStyle w:val="42"/>
              <w:rPr>
                <w:color w:val="auto"/>
                <w:sz w:val="21"/>
                <w:szCs w:val="21"/>
              </w:rPr>
            </w:pPr>
          </w:p>
        </w:tc>
        <w:tc>
          <w:tcPr>
            <w:tcW w:w="1449" w:type="dxa"/>
            <w:tcBorders>
              <w:tl2br w:val="nil"/>
              <w:tr2bl w:val="nil"/>
            </w:tcBorders>
            <w:vAlign w:val="center"/>
          </w:tcPr>
          <w:p w14:paraId="52647525">
            <w:pPr>
              <w:jc w:val="center"/>
              <w:rPr>
                <w:color w:val="auto"/>
                <w:sz w:val="21"/>
                <w:szCs w:val="21"/>
              </w:rPr>
            </w:pPr>
            <w:r>
              <w:rPr>
                <w:rFonts w:hint="eastAsia"/>
                <w:color w:val="auto"/>
                <w:sz w:val="21"/>
                <w:szCs w:val="21"/>
                <w:lang w:val="en-US" w:eastAsia="zh-CN"/>
              </w:rPr>
              <w:t>臭气浓度</w:t>
            </w:r>
          </w:p>
        </w:tc>
        <w:tc>
          <w:tcPr>
            <w:tcW w:w="837" w:type="dxa"/>
            <w:vMerge w:val="continue"/>
            <w:tcBorders>
              <w:tl2br w:val="nil"/>
              <w:tr2bl w:val="nil"/>
            </w:tcBorders>
            <w:vAlign w:val="center"/>
          </w:tcPr>
          <w:p w14:paraId="78CD0E7F">
            <w:pPr>
              <w:jc w:val="center"/>
              <w:rPr>
                <w:color w:val="auto"/>
                <w:sz w:val="21"/>
                <w:szCs w:val="21"/>
              </w:rPr>
            </w:pPr>
          </w:p>
        </w:tc>
        <w:tc>
          <w:tcPr>
            <w:tcW w:w="1028" w:type="dxa"/>
            <w:tcBorders>
              <w:tl2br w:val="nil"/>
              <w:tr2bl w:val="nil"/>
            </w:tcBorders>
            <w:vAlign w:val="center"/>
          </w:tcPr>
          <w:p w14:paraId="470B908F">
            <w:pPr>
              <w:jc w:val="center"/>
              <w:rPr>
                <w:color w:val="auto"/>
                <w:sz w:val="21"/>
                <w:szCs w:val="21"/>
              </w:rPr>
            </w:pPr>
            <w:r>
              <w:rPr>
                <w:color w:val="auto"/>
                <w:sz w:val="21"/>
                <w:szCs w:val="21"/>
              </w:rPr>
              <w:t>——</w:t>
            </w:r>
          </w:p>
        </w:tc>
        <w:tc>
          <w:tcPr>
            <w:tcW w:w="1133" w:type="dxa"/>
            <w:gridSpan w:val="2"/>
            <w:tcBorders>
              <w:tl2br w:val="nil"/>
              <w:tr2bl w:val="nil"/>
            </w:tcBorders>
            <w:vAlign w:val="center"/>
          </w:tcPr>
          <w:p w14:paraId="6D24FABE">
            <w:pPr>
              <w:jc w:val="center"/>
              <w:rPr>
                <w:color w:val="auto"/>
                <w:sz w:val="21"/>
                <w:szCs w:val="21"/>
              </w:rPr>
            </w:pPr>
            <w:r>
              <w:rPr>
                <w:b w:val="0"/>
                <w:bCs w:val="0"/>
                <w:color w:val="auto"/>
                <w:sz w:val="21"/>
                <w:szCs w:val="21"/>
              </w:rPr>
              <w:t>——</w:t>
            </w:r>
          </w:p>
        </w:tc>
        <w:tc>
          <w:tcPr>
            <w:tcW w:w="999" w:type="dxa"/>
            <w:tcBorders>
              <w:tl2br w:val="nil"/>
              <w:tr2bl w:val="nil"/>
            </w:tcBorders>
            <w:vAlign w:val="center"/>
          </w:tcPr>
          <w:p w14:paraId="6DCCF2C3">
            <w:pPr>
              <w:adjustRightInd w:val="0"/>
              <w:snapToGrid w:val="0"/>
              <w:jc w:val="center"/>
              <w:rPr>
                <w:color w:val="auto"/>
                <w:sz w:val="21"/>
                <w:szCs w:val="21"/>
              </w:rPr>
            </w:pPr>
            <w:r>
              <w:rPr>
                <w:color w:val="auto"/>
                <w:sz w:val="21"/>
                <w:szCs w:val="21"/>
              </w:rPr>
              <w:t>——</w:t>
            </w:r>
          </w:p>
        </w:tc>
        <w:tc>
          <w:tcPr>
            <w:tcW w:w="1147" w:type="dxa"/>
            <w:gridSpan w:val="2"/>
            <w:tcBorders>
              <w:tl2br w:val="nil"/>
              <w:tr2bl w:val="nil"/>
            </w:tcBorders>
            <w:vAlign w:val="center"/>
          </w:tcPr>
          <w:p w14:paraId="6EE1AC98">
            <w:pPr>
              <w:jc w:val="center"/>
              <w:rPr>
                <w:color w:val="auto"/>
                <w:sz w:val="21"/>
                <w:szCs w:val="21"/>
              </w:rPr>
            </w:pPr>
            <w:r>
              <w:rPr>
                <w:rFonts w:hint="eastAsia"/>
                <w:b w:val="0"/>
                <w:bCs w:val="0"/>
                <w:color w:val="auto"/>
                <w:sz w:val="21"/>
                <w:szCs w:val="21"/>
                <w:lang w:val="en-US" w:eastAsia="zh-CN"/>
              </w:rPr>
              <w:t>19（无量纲）</w:t>
            </w:r>
          </w:p>
        </w:tc>
        <w:tc>
          <w:tcPr>
            <w:tcW w:w="1824" w:type="dxa"/>
            <w:vMerge w:val="continue"/>
            <w:tcBorders>
              <w:tl2br w:val="nil"/>
              <w:tr2bl w:val="nil"/>
            </w:tcBorders>
            <w:vAlign w:val="center"/>
          </w:tcPr>
          <w:p w14:paraId="5C044532">
            <w:pPr>
              <w:jc w:val="center"/>
              <w:rPr>
                <w:rFonts w:hint="eastAsia"/>
                <w:color w:val="auto"/>
                <w:sz w:val="21"/>
                <w:szCs w:val="21"/>
              </w:rPr>
            </w:pPr>
          </w:p>
        </w:tc>
        <w:tc>
          <w:tcPr>
            <w:tcW w:w="3251" w:type="dxa"/>
            <w:vMerge w:val="continue"/>
            <w:tcBorders>
              <w:tl2br w:val="nil"/>
              <w:tr2bl w:val="nil"/>
            </w:tcBorders>
            <w:vAlign w:val="center"/>
          </w:tcPr>
          <w:p w14:paraId="31938E0F">
            <w:pPr>
              <w:jc w:val="center"/>
              <w:rPr>
                <w:color w:val="auto"/>
                <w:sz w:val="21"/>
                <w:szCs w:val="21"/>
              </w:rPr>
            </w:pPr>
          </w:p>
        </w:tc>
        <w:tc>
          <w:tcPr>
            <w:tcW w:w="1658" w:type="dxa"/>
            <w:vMerge w:val="continue"/>
            <w:tcBorders>
              <w:tl2br w:val="nil"/>
              <w:tr2bl w:val="nil"/>
            </w:tcBorders>
            <w:vAlign w:val="center"/>
          </w:tcPr>
          <w:p w14:paraId="55EF210A">
            <w:pPr>
              <w:jc w:val="center"/>
              <w:rPr>
                <w:color w:val="auto"/>
                <w:sz w:val="21"/>
                <w:szCs w:val="21"/>
              </w:rPr>
            </w:pPr>
          </w:p>
        </w:tc>
      </w:tr>
      <w:tr w14:paraId="635D6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restart"/>
            <w:tcBorders>
              <w:tl2br w:val="nil"/>
              <w:tr2bl w:val="nil"/>
            </w:tcBorders>
            <w:vAlign w:val="center"/>
          </w:tcPr>
          <w:p w14:paraId="68BADC80">
            <w:pPr>
              <w:pStyle w:val="42"/>
              <w:ind w:left="0" w:leftChars="0" w:firstLine="0" w:firstLineChars="0"/>
              <w:rPr>
                <w:rFonts w:hint="eastAsia" w:eastAsia="宋体"/>
                <w:color w:val="auto"/>
                <w:sz w:val="21"/>
                <w:szCs w:val="21"/>
                <w:lang w:val="en-US" w:eastAsia="zh-CN"/>
              </w:rPr>
            </w:pPr>
            <w:r>
              <w:rPr>
                <w:rFonts w:hint="eastAsia"/>
                <w:color w:val="auto"/>
                <w:sz w:val="21"/>
                <w:szCs w:val="21"/>
                <w:lang w:val="en-US" w:eastAsia="zh-CN"/>
              </w:rPr>
              <w:t>废水</w:t>
            </w:r>
          </w:p>
        </w:tc>
        <w:tc>
          <w:tcPr>
            <w:tcW w:w="1449" w:type="dxa"/>
            <w:tcBorders>
              <w:tl2br w:val="nil"/>
              <w:tr2bl w:val="nil"/>
            </w:tcBorders>
            <w:vAlign w:val="center"/>
          </w:tcPr>
          <w:p w14:paraId="47639F0D">
            <w:pPr>
              <w:jc w:val="center"/>
              <w:rPr>
                <w:rFonts w:hint="default" w:eastAsia="宋体"/>
                <w:color w:val="auto"/>
                <w:sz w:val="21"/>
                <w:szCs w:val="21"/>
                <w:lang w:val="en-US" w:eastAsia="zh-CN"/>
              </w:rPr>
            </w:pPr>
            <w:r>
              <w:rPr>
                <w:rFonts w:hint="eastAsia"/>
                <w:color w:val="auto"/>
                <w:sz w:val="21"/>
                <w:szCs w:val="21"/>
                <w:lang w:val="en-US" w:eastAsia="zh-CN"/>
              </w:rPr>
              <w:t>COD</w:t>
            </w:r>
          </w:p>
        </w:tc>
        <w:tc>
          <w:tcPr>
            <w:tcW w:w="837" w:type="dxa"/>
            <w:vMerge w:val="restart"/>
            <w:tcBorders>
              <w:tl2br w:val="nil"/>
              <w:tr2bl w:val="nil"/>
            </w:tcBorders>
            <w:vAlign w:val="center"/>
          </w:tcPr>
          <w:p w14:paraId="58BE57C7">
            <w:pPr>
              <w:jc w:val="center"/>
              <w:rPr>
                <w:rFonts w:hint="default" w:eastAsia="宋体"/>
                <w:color w:val="auto"/>
                <w:sz w:val="21"/>
                <w:szCs w:val="21"/>
                <w:lang w:val="en-US" w:eastAsia="zh-CN"/>
              </w:rPr>
            </w:pPr>
            <w:r>
              <w:rPr>
                <w:rFonts w:hint="eastAsia"/>
                <w:color w:val="auto"/>
                <w:sz w:val="21"/>
                <w:szCs w:val="21"/>
                <w:lang w:val="en-US" w:eastAsia="zh-CN"/>
              </w:rPr>
              <w:t>生产废水</w:t>
            </w:r>
          </w:p>
        </w:tc>
        <w:tc>
          <w:tcPr>
            <w:tcW w:w="1028" w:type="dxa"/>
            <w:tcBorders>
              <w:tl2br w:val="nil"/>
              <w:tr2bl w:val="nil"/>
            </w:tcBorders>
            <w:vAlign w:val="center"/>
          </w:tcPr>
          <w:p w14:paraId="5512FFFC">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4128.15</w:t>
            </w:r>
          </w:p>
        </w:tc>
        <w:tc>
          <w:tcPr>
            <w:tcW w:w="1133" w:type="dxa"/>
            <w:gridSpan w:val="2"/>
            <w:tcBorders>
              <w:tl2br w:val="nil"/>
              <w:tr2bl w:val="nil"/>
            </w:tcBorders>
            <w:vAlign w:val="center"/>
          </w:tcPr>
          <w:p w14:paraId="20D42F09">
            <w:pPr>
              <w:jc w:val="center"/>
              <w:rPr>
                <w:rFonts w:hint="default" w:eastAsia="宋体"/>
                <w:color w:val="auto"/>
                <w:sz w:val="21"/>
                <w:szCs w:val="21"/>
                <w:lang w:val="en-US" w:eastAsia="zh-CN"/>
              </w:rPr>
            </w:pPr>
            <w:r>
              <w:rPr>
                <w:rFonts w:hint="eastAsia"/>
                <w:color w:val="auto"/>
                <w:sz w:val="21"/>
                <w:szCs w:val="21"/>
                <w:lang w:val="en-US" w:eastAsia="zh-CN"/>
              </w:rPr>
              <w:t>1885</w:t>
            </w:r>
          </w:p>
        </w:tc>
        <w:tc>
          <w:tcPr>
            <w:tcW w:w="999" w:type="dxa"/>
            <w:tcBorders>
              <w:tl2br w:val="nil"/>
              <w:tr2bl w:val="nil"/>
            </w:tcBorders>
            <w:vAlign w:val="center"/>
          </w:tcPr>
          <w:p w14:paraId="3D079311">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109.5</w:t>
            </w:r>
          </w:p>
        </w:tc>
        <w:tc>
          <w:tcPr>
            <w:tcW w:w="1147" w:type="dxa"/>
            <w:gridSpan w:val="2"/>
            <w:tcBorders>
              <w:tl2br w:val="nil"/>
              <w:tr2bl w:val="nil"/>
            </w:tcBorders>
            <w:vAlign w:val="center"/>
          </w:tcPr>
          <w:p w14:paraId="5E1BF997">
            <w:pPr>
              <w:jc w:val="center"/>
              <w:rPr>
                <w:rFonts w:hint="default" w:eastAsia="宋体"/>
                <w:color w:val="auto"/>
                <w:sz w:val="21"/>
                <w:szCs w:val="21"/>
                <w:lang w:val="en-US" w:eastAsia="zh-CN"/>
              </w:rPr>
            </w:pPr>
            <w:r>
              <w:rPr>
                <w:rFonts w:hint="eastAsia"/>
                <w:color w:val="auto"/>
                <w:sz w:val="21"/>
                <w:szCs w:val="21"/>
                <w:lang w:val="en-US" w:eastAsia="zh-CN"/>
              </w:rPr>
              <w:t>50</w:t>
            </w:r>
          </w:p>
        </w:tc>
        <w:tc>
          <w:tcPr>
            <w:tcW w:w="1824" w:type="dxa"/>
            <w:vMerge w:val="restart"/>
            <w:tcBorders>
              <w:tl2br w:val="nil"/>
              <w:tr2bl w:val="nil"/>
            </w:tcBorders>
            <w:vAlign w:val="center"/>
          </w:tcPr>
          <w:p w14:paraId="71CDE71B">
            <w:pPr>
              <w:jc w:val="center"/>
              <w:rPr>
                <w:rFonts w:hint="eastAsia"/>
                <w:color w:val="auto"/>
                <w:sz w:val="21"/>
                <w:szCs w:val="21"/>
                <w:lang w:eastAsia="zh-CN"/>
              </w:rPr>
            </w:pPr>
            <w:r>
              <w:rPr>
                <w:color w:val="auto"/>
                <w:sz w:val="21"/>
                <w:szCs w:val="21"/>
              </w:rPr>
              <w:t>SPIC厌氧+生物接触氧化+</w:t>
            </w:r>
            <w:r>
              <w:rPr>
                <w:rFonts w:hint="eastAsia"/>
                <w:color w:val="auto"/>
                <w:sz w:val="21"/>
                <w:szCs w:val="21"/>
                <w:lang w:val="en-US" w:eastAsia="zh-CN"/>
              </w:rPr>
              <w:t>活性砂滤</w:t>
            </w:r>
          </w:p>
        </w:tc>
        <w:tc>
          <w:tcPr>
            <w:tcW w:w="3251" w:type="dxa"/>
            <w:vMerge w:val="restart"/>
            <w:tcBorders>
              <w:tl2br w:val="nil"/>
              <w:tr2bl w:val="nil"/>
            </w:tcBorders>
            <w:vAlign w:val="center"/>
          </w:tcPr>
          <w:p w14:paraId="5C09B940">
            <w:pPr>
              <w:jc w:val="center"/>
              <w:rPr>
                <w:color w:val="auto"/>
                <w:sz w:val="21"/>
                <w:szCs w:val="21"/>
              </w:rPr>
            </w:pPr>
            <w:r>
              <w:rPr>
                <w:color w:val="auto"/>
                <w:sz w:val="21"/>
                <w:szCs w:val="21"/>
              </w:rPr>
              <w:t>《城镇污水处理厂污染物排放标准》（GB18918-2002）中一级标准中的</w:t>
            </w:r>
            <w:r>
              <w:rPr>
                <w:rFonts w:hint="eastAsia"/>
                <w:color w:val="auto"/>
                <w:sz w:val="21"/>
                <w:szCs w:val="21"/>
              </w:rPr>
              <w:t>A标准</w:t>
            </w:r>
          </w:p>
        </w:tc>
        <w:tc>
          <w:tcPr>
            <w:tcW w:w="1658" w:type="dxa"/>
            <w:vMerge w:val="restart"/>
            <w:tcBorders>
              <w:tl2br w:val="nil"/>
              <w:tr2bl w:val="nil"/>
            </w:tcBorders>
            <w:vAlign w:val="center"/>
          </w:tcPr>
          <w:p w14:paraId="42F4B657">
            <w:pPr>
              <w:jc w:val="center"/>
              <w:rPr>
                <w:rFonts w:hint="eastAsia" w:eastAsia="宋体"/>
                <w:color w:val="auto"/>
                <w:sz w:val="21"/>
                <w:szCs w:val="21"/>
                <w:lang w:eastAsia="zh-CN"/>
              </w:rPr>
            </w:pPr>
            <w:r>
              <w:rPr>
                <w:rFonts w:hint="eastAsia"/>
                <w:color w:val="auto"/>
                <w:sz w:val="21"/>
                <w:szCs w:val="21"/>
                <w:lang w:eastAsia="zh-CN"/>
              </w:rPr>
              <w:t>拉哈生物技术与化学制药产业园区污水处理厂入河排污口</w:t>
            </w:r>
          </w:p>
        </w:tc>
      </w:tr>
      <w:tr w14:paraId="09A11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7D610A71">
            <w:pPr>
              <w:pStyle w:val="42"/>
              <w:rPr>
                <w:color w:val="auto"/>
                <w:sz w:val="21"/>
                <w:szCs w:val="21"/>
              </w:rPr>
            </w:pPr>
          </w:p>
        </w:tc>
        <w:tc>
          <w:tcPr>
            <w:tcW w:w="1449" w:type="dxa"/>
            <w:tcBorders>
              <w:tl2br w:val="nil"/>
              <w:tr2bl w:val="nil"/>
            </w:tcBorders>
            <w:vAlign w:val="center"/>
          </w:tcPr>
          <w:p w14:paraId="561F38D9">
            <w:pPr>
              <w:jc w:val="center"/>
              <w:rPr>
                <w:rFonts w:hint="default" w:eastAsia="宋体"/>
                <w:color w:val="auto"/>
                <w:sz w:val="21"/>
                <w:szCs w:val="21"/>
                <w:lang w:val="en-US" w:eastAsia="zh-CN"/>
              </w:rPr>
            </w:pPr>
            <w:r>
              <w:rPr>
                <w:rFonts w:hint="eastAsia"/>
                <w:color w:val="auto"/>
                <w:sz w:val="21"/>
                <w:szCs w:val="21"/>
                <w:lang w:val="en-US" w:eastAsia="zh-CN"/>
              </w:rPr>
              <w:t>BOD</w:t>
            </w:r>
            <w:r>
              <w:rPr>
                <w:rFonts w:hint="eastAsia"/>
                <w:color w:val="auto"/>
                <w:sz w:val="21"/>
                <w:szCs w:val="21"/>
                <w:vertAlign w:val="subscript"/>
                <w:lang w:val="en-US" w:eastAsia="zh-CN"/>
              </w:rPr>
              <w:t>5</w:t>
            </w:r>
          </w:p>
        </w:tc>
        <w:tc>
          <w:tcPr>
            <w:tcW w:w="837" w:type="dxa"/>
            <w:vMerge w:val="continue"/>
            <w:tcBorders>
              <w:tl2br w:val="nil"/>
              <w:tr2bl w:val="nil"/>
            </w:tcBorders>
            <w:vAlign w:val="center"/>
          </w:tcPr>
          <w:p w14:paraId="0AECBABE">
            <w:pPr>
              <w:jc w:val="center"/>
              <w:rPr>
                <w:color w:val="auto"/>
                <w:sz w:val="21"/>
                <w:szCs w:val="21"/>
              </w:rPr>
            </w:pPr>
          </w:p>
        </w:tc>
        <w:tc>
          <w:tcPr>
            <w:tcW w:w="1028" w:type="dxa"/>
            <w:tcBorders>
              <w:tl2br w:val="nil"/>
              <w:tr2bl w:val="nil"/>
            </w:tcBorders>
            <w:vAlign w:val="center"/>
          </w:tcPr>
          <w:p w14:paraId="3AFD3C91">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1007.8</w:t>
            </w:r>
          </w:p>
        </w:tc>
        <w:tc>
          <w:tcPr>
            <w:tcW w:w="1133" w:type="dxa"/>
            <w:gridSpan w:val="2"/>
            <w:tcBorders>
              <w:tl2br w:val="nil"/>
              <w:tr2bl w:val="nil"/>
            </w:tcBorders>
            <w:vAlign w:val="center"/>
          </w:tcPr>
          <w:p w14:paraId="25DB7948">
            <w:pPr>
              <w:jc w:val="center"/>
              <w:rPr>
                <w:rFonts w:hint="default" w:eastAsia="宋体"/>
                <w:color w:val="auto"/>
                <w:sz w:val="21"/>
                <w:szCs w:val="21"/>
                <w:lang w:val="en-US" w:eastAsia="zh-CN"/>
              </w:rPr>
            </w:pPr>
            <w:r>
              <w:rPr>
                <w:rFonts w:hint="eastAsia"/>
                <w:color w:val="auto"/>
                <w:sz w:val="21"/>
                <w:szCs w:val="21"/>
                <w:lang w:val="en-US" w:eastAsia="zh-CN"/>
              </w:rPr>
              <w:t>460.2</w:t>
            </w:r>
          </w:p>
        </w:tc>
        <w:tc>
          <w:tcPr>
            <w:tcW w:w="999" w:type="dxa"/>
            <w:tcBorders>
              <w:tl2br w:val="nil"/>
              <w:tr2bl w:val="nil"/>
            </w:tcBorders>
            <w:vAlign w:val="center"/>
          </w:tcPr>
          <w:p w14:paraId="72BA9496">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21.9</w:t>
            </w:r>
          </w:p>
        </w:tc>
        <w:tc>
          <w:tcPr>
            <w:tcW w:w="1147" w:type="dxa"/>
            <w:gridSpan w:val="2"/>
            <w:tcBorders>
              <w:tl2br w:val="nil"/>
              <w:tr2bl w:val="nil"/>
            </w:tcBorders>
            <w:vAlign w:val="center"/>
          </w:tcPr>
          <w:p w14:paraId="6272EBC0">
            <w:pPr>
              <w:jc w:val="center"/>
              <w:rPr>
                <w:rFonts w:hint="default" w:eastAsia="宋体"/>
                <w:color w:val="auto"/>
                <w:sz w:val="21"/>
                <w:szCs w:val="21"/>
                <w:lang w:val="en-US" w:eastAsia="zh-CN"/>
              </w:rPr>
            </w:pPr>
            <w:r>
              <w:rPr>
                <w:rFonts w:hint="eastAsia"/>
                <w:color w:val="auto"/>
                <w:sz w:val="21"/>
                <w:szCs w:val="21"/>
                <w:lang w:val="en-US" w:eastAsia="zh-CN"/>
              </w:rPr>
              <w:t>10</w:t>
            </w:r>
          </w:p>
        </w:tc>
        <w:tc>
          <w:tcPr>
            <w:tcW w:w="1824" w:type="dxa"/>
            <w:vMerge w:val="continue"/>
            <w:tcBorders>
              <w:tl2br w:val="nil"/>
              <w:tr2bl w:val="nil"/>
            </w:tcBorders>
            <w:vAlign w:val="center"/>
          </w:tcPr>
          <w:p w14:paraId="69F3160A">
            <w:pPr>
              <w:jc w:val="center"/>
              <w:rPr>
                <w:rFonts w:hint="eastAsia"/>
                <w:color w:val="auto"/>
                <w:sz w:val="21"/>
                <w:szCs w:val="21"/>
              </w:rPr>
            </w:pPr>
          </w:p>
        </w:tc>
        <w:tc>
          <w:tcPr>
            <w:tcW w:w="3251" w:type="dxa"/>
            <w:vMerge w:val="continue"/>
            <w:tcBorders>
              <w:tl2br w:val="nil"/>
              <w:tr2bl w:val="nil"/>
            </w:tcBorders>
            <w:vAlign w:val="center"/>
          </w:tcPr>
          <w:p w14:paraId="68AB9BCF">
            <w:pPr>
              <w:adjustRightInd w:val="0"/>
              <w:snapToGrid w:val="0"/>
              <w:jc w:val="center"/>
              <w:rPr>
                <w:color w:val="auto"/>
                <w:sz w:val="21"/>
                <w:szCs w:val="21"/>
              </w:rPr>
            </w:pPr>
          </w:p>
        </w:tc>
        <w:tc>
          <w:tcPr>
            <w:tcW w:w="1658" w:type="dxa"/>
            <w:vMerge w:val="continue"/>
            <w:tcBorders>
              <w:tl2br w:val="nil"/>
              <w:tr2bl w:val="nil"/>
            </w:tcBorders>
            <w:vAlign w:val="center"/>
          </w:tcPr>
          <w:p w14:paraId="5CA86C8A">
            <w:pPr>
              <w:jc w:val="center"/>
              <w:rPr>
                <w:color w:val="auto"/>
                <w:sz w:val="21"/>
                <w:szCs w:val="21"/>
              </w:rPr>
            </w:pPr>
          </w:p>
        </w:tc>
      </w:tr>
      <w:tr w14:paraId="787A2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1FB0FC0E">
            <w:pPr>
              <w:pStyle w:val="42"/>
              <w:rPr>
                <w:color w:val="auto"/>
                <w:sz w:val="21"/>
                <w:szCs w:val="21"/>
              </w:rPr>
            </w:pPr>
          </w:p>
        </w:tc>
        <w:tc>
          <w:tcPr>
            <w:tcW w:w="1449" w:type="dxa"/>
            <w:tcBorders>
              <w:tl2br w:val="nil"/>
              <w:tr2bl w:val="nil"/>
            </w:tcBorders>
            <w:vAlign w:val="center"/>
          </w:tcPr>
          <w:p w14:paraId="011DF72A">
            <w:pPr>
              <w:jc w:val="center"/>
              <w:rPr>
                <w:rFonts w:hint="default" w:eastAsia="宋体"/>
                <w:color w:val="auto"/>
                <w:sz w:val="21"/>
                <w:szCs w:val="21"/>
                <w:lang w:val="en-US" w:eastAsia="zh-CN"/>
              </w:rPr>
            </w:pPr>
            <w:r>
              <w:rPr>
                <w:rFonts w:hint="eastAsia"/>
                <w:color w:val="auto"/>
                <w:sz w:val="21"/>
                <w:szCs w:val="21"/>
                <w:lang w:val="en-US" w:eastAsia="zh-CN"/>
              </w:rPr>
              <w:t>SS</w:t>
            </w:r>
          </w:p>
        </w:tc>
        <w:tc>
          <w:tcPr>
            <w:tcW w:w="837" w:type="dxa"/>
            <w:vMerge w:val="continue"/>
            <w:tcBorders>
              <w:tl2br w:val="nil"/>
              <w:tr2bl w:val="nil"/>
            </w:tcBorders>
            <w:vAlign w:val="center"/>
          </w:tcPr>
          <w:p w14:paraId="3B4BB365">
            <w:pPr>
              <w:jc w:val="center"/>
              <w:rPr>
                <w:color w:val="auto"/>
                <w:sz w:val="21"/>
                <w:szCs w:val="21"/>
              </w:rPr>
            </w:pPr>
          </w:p>
        </w:tc>
        <w:tc>
          <w:tcPr>
            <w:tcW w:w="1028" w:type="dxa"/>
            <w:tcBorders>
              <w:tl2br w:val="nil"/>
              <w:tr2bl w:val="nil"/>
            </w:tcBorders>
            <w:vAlign w:val="center"/>
          </w:tcPr>
          <w:p w14:paraId="7F3B9870">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1936</w:t>
            </w:r>
          </w:p>
        </w:tc>
        <w:tc>
          <w:tcPr>
            <w:tcW w:w="1133" w:type="dxa"/>
            <w:gridSpan w:val="2"/>
            <w:tcBorders>
              <w:tl2br w:val="nil"/>
              <w:tr2bl w:val="nil"/>
            </w:tcBorders>
            <w:vAlign w:val="center"/>
          </w:tcPr>
          <w:p w14:paraId="6C2BE186">
            <w:pPr>
              <w:jc w:val="center"/>
              <w:rPr>
                <w:rFonts w:hint="default" w:eastAsia="宋体"/>
                <w:color w:val="auto"/>
                <w:sz w:val="21"/>
                <w:szCs w:val="21"/>
                <w:lang w:val="en-US" w:eastAsia="zh-CN"/>
              </w:rPr>
            </w:pPr>
            <w:r>
              <w:rPr>
                <w:rFonts w:hint="eastAsia"/>
                <w:color w:val="auto"/>
                <w:sz w:val="21"/>
                <w:szCs w:val="21"/>
                <w:lang w:val="en-US" w:eastAsia="zh-CN"/>
              </w:rPr>
              <w:t>884</w:t>
            </w:r>
          </w:p>
        </w:tc>
        <w:tc>
          <w:tcPr>
            <w:tcW w:w="999" w:type="dxa"/>
            <w:tcBorders>
              <w:tl2br w:val="nil"/>
              <w:tr2bl w:val="nil"/>
            </w:tcBorders>
            <w:vAlign w:val="center"/>
          </w:tcPr>
          <w:p w14:paraId="07566240">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21.9</w:t>
            </w:r>
          </w:p>
        </w:tc>
        <w:tc>
          <w:tcPr>
            <w:tcW w:w="1147" w:type="dxa"/>
            <w:gridSpan w:val="2"/>
            <w:tcBorders>
              <w:tl2br w:val="nil"/>
              <w:tr2bl w:val="nil"/>
            </w:tcBorders>
            <w:vAlign w:val="center"/>
          </w:tcPr>
          <w:p w14:paraId="78CF0306">
            <w:pPr>
              <w:jc w:val="center"/>
              <w:rPr>
                <w:rFonts w:hint="default" w:eastAsia="宋体"/>
                <w:color w:val="auto"/>
                <w:sz w:val="21"/>
                <w:szCs w:val="21"/>
                <w:lang w:val="en-US" w:eastAsia="zh-CN"/>
              </w:rPr>
            </w:pPr>
            <w:r>
              <w:rPr>
                <w:rFonts w:hint="eastAsia"/>
                <w:color w:val="auto"/>
                <w:sz w:val="21"/>
                <w:szCs w:val="21"/>
                <w:lang w:val="en-US" w:eastAsia="zh-CN"/>
              </w:rPr>
              <w:t>10</w:t>
            </w:r>
          </w:p>
        </w:tc>
        <w:tc>
          <w:tcPr>
            <w:tcW w:w="1824" w:type="dxa"/>
            <w:vMerge w:val="continue"/>
            <w:tcBorders>
              <w:tl2br w:val="nil"/>
              <w:tr2bl w:val="nil"/>
            </w:tcBorders>
            <w:vAlign w:val="center"/>
          </w:tcPr>
          <w:p w14:paraId="0684E341">
            <w:pPr>
              <w:jc w:val="center"/>
              <w:rPr>
                <w:rFonts w:hint="eastAsia"/>
                <w:color w:val="auto"/>
                <w:sz w:val="21"/>
                <w:szCs w:val="21"/>
              </w:rPr>
            </w:pPr>
          </w:p>
        </w:tc>
        <w:tc>
          <w:tcPr>
            <w:tcW w:w="3251" w:type="dxa"/>
            <w:vMerge w:val="continue"/>
            <w:tcBorders>
              <w:tl2br w:val="nil"/>
              <w:tr2bl w:val="nil"/>
            </w:tcBorders>
            <w:vAlign w:val="center"/>
          </w:tcPr>
          <w:p w14:paraId="5B7AE3E9">
            <w:pPr>
              <w:adjustRightInd w:val="0"/>
              <w:snapToGrid w:val="0"/>
              <w:jc w:val="center"/>
              <w:rPr>
                <w:color w:val="auto"/>
                <w:sz w:val="21"/>
                <w:szCs w:val="21"/>
              </w:rPr>
            </w:pPr>
          </w:p>
        </w:tc>
        <w:tc>
          <w:tcPr>
            <w:tcW w:w="1658" w:type="dxa"/>
            <w:vMerge w:val="continue"/>
            <w:tcBorders>
              <w:tl2br w:val="nil"/>
              <w:tr2bl w:val="nil"/>
            </w:tcBorders>
            <w:vAlign w:val="center"/>
          </w:tcPr>
          <w:p w14:paraId="6BBAADA9">
            <w:pPr>
              <w:jc w:val="center"/>
              <w:rPr>
                <w:color w:val="auto"/>
                <w:sz w:val="21"/>
                <w:szCs w:val="21"/>
              </w:rPr>
            </w:pPr>
          </w:p>
        </w:tc>
      </w:tr>
      <w:tr w14:paraId="321D0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2CD58C85">
            <w:pPr>
              <w:pStyle w:val="42"/>
              <w:rPr>
                <w:color w:val="auto"/>
                <w:sz w:val="21"/>
                <w:szCs w:val="21"/>
              </w:rPr>
            </w:pPr>
          </w:p>
        </w:tc>
        <w:tc>
          <w:tcPr>
            <w:tcW w:w="1449" w:type="dxa"/>
            <w:tcBorders>
              <w:tl2br w:val="nil"/>
              <w:tr2bl w:val="nil"/>
            </w:tcBorders>
            <w:vAlign w:val="center"/>
          </w:tcPr>
          <w:p w14:paraId="33031EF5">
            <w:pPr>
              <w:jc w:val="center"/>
              <w:rPr>
                <w:rFonts w:hint="default" w:eastAsia="宋体"/>
                <w:color w:val="auto"/>
                <w:sz w:val="21"/>
                <w:szCs w:val="21"/>
                <w:lang w:val="en-US" w:eastAsia="zh-CN"/>
              </w:rPr>
            </w:pPr>
            <w:r>
              <w:rPr>
                <w:rFonts w:hint="eastAsia"/>
                <w:color w:val="auto"/>
                <w:sz w:val="21"/>
                <w:szCs w:val="21"/>
                <w:lang w:val="en-US" w:eastAsia="zh-CN"/>
              </w:rPr>
              <w:t>NH3-N</w:t>
            </w:r>
          </w:p>
        </w:tc>
        <w:tc>
          <w:tcPr>
            <w:tcW w:w="837" w:type="dxa"/>
            <w:vMerge w:val="continue"/>
            <w:tcBorders>
              <w:tl2br w:val="nil"/>
              <w:tr2bl w:val="nil"/>
            </w:tcBorders>
            <w:vAlign w:val="center"/>
          </w:tcPr>
          <w:p w14:paraId="43B1EF34">
            <w:pPr>
              <w:jc w:val="center"/>
              <w:rPr>
                <w:color w:val="auto"/>
                <w:sz w:val="21"/>
                <w:szCs w:val="21"/>
              </w:rPr>
            </w:pPr>
          </w:p>
        </w:tc>
        <w:tc>
          <w:tcPr>
            <w:tcW w:w="1028" w:type="dxa"/>
            <w:tcBorders>
              <w:tl2br w:val="nil"/>
              <w:tr2bl w:val="nil"/>
            </w:tcBorders>
            <w:vAlign w:val="center"/>
          </w:tcPr>
          <w:p w14:paraId="3F97761F">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33.5</w:t>
            </w:r>
          </w:p>
        </w:tc>
        <w:tc>
          <w:tcPr>
            <w:tcW w:w="1133" w:type="dxa"/>
            <w:gridSpan w:val="2"/>
            <w:tcBorders>
              <w:tl2br w:val="nil"/>
              <w:tr2bl w:val="nil"/>
            </w:tcBorders>
            <w:vAlign w:val="center"/>
          </w:tcPr>
          <w:p w14:paraId="0D384358">
            <w:pPr>
              <w:jc w:val="center"/>
              <w:rPr>
                <w:rFonts w:hint="default" w:eastAsia="宋体"/>
                <w:color w:val="auto"/>
                <w:sz w:val="21"/>
                <w:szCs w:val="21"/>
                <w:lang w:val="en-US" w:eastAsia="zh-CN"/>
              </w:rPr>
            </w:pPr>
            <w:r>
              <w:rPr>
                <w:rFonts w:hint="eastAsia"/>
                <w:color w:val="auto"/>
                <w:sz w:val="21"/>
                <w:szCs w:val="21"/>
                <w:lang w:val="en-US" w:eastAsia="zh-CN"/>
              </w:rPr>
              <w:t>15.3</w:t>
            </w:r>
          </w:p>
        </w:tc>
        <w:tc>
          <w:tcPr>
            <w:tcW w:w="999" w:type="dxa"/>
            <w:tcBorders>
              <w:tl2br w:val="nil"/>
              <w:tr2bl w:val="nil"/>
            </w:tcBorders>
            <w:vAlign w:val="center"/>
          </w:tcPr>
          <w:p w14:paraId="1118C1AE">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10.95</w:t>
            </w:r>
          </w:p>
        </w:tc>
        <w:tc>
          <w:tcPr>
            <w:tcW w:w="1147" w:type="dxa"/>
            <w:gridSpan w:val="2"/>
            <w:tcBorders>
              <w:tl2br w:val="nil"/>
              <w:tr2bl w:val="nil"/>
            </w:tcBorders>
            <w:vAlign w:val="center"/>
          </w:tcPr>
          <w:p w14:paraId="433EE31D">
            <w:pPr>
              <w:jc w:val="center"/>
              <w:rPr>
                <w:rFonts w:hint="eastAsia" w:eastAsia="宋体"/>
                <w:color w:val="auto"/>
                <w:sz w:val="21"/>
                <w:szCs w:val="21"/>
                <w:lang w:val="en-US" w:eastAsia="zh-CN"/>
              </w:rPr>
            </w:pPr>
            <w:r>
              <w:rPr>
                <w:rFonts w:hint="eastAsia"/>
                <w:color w:val="auto"/>
                <w:sz w:val="21"/>
                <w:szCs w:val="21"/>
                <w:lang w:val="en-US" w:eastAsia="zh-CN"/>
              </w:rPr>
              <w:t>5</w:t>
            </w:r>
          </w:p>
        </w:tc>
        <w:tc>
          <w:tcPr>
            <w:tcW w:w="1824" w:type="dxa"/>
            <w:vMerge w:val="continue"/>
            <w:tcBorders>
              <w:tl2br w:val="nil"/>
              <w:tr2bl w:val="nil"/>
            </w:tcBorders>
            <w:vAlign w:val="center"/>
          </w:tcPr>
          <w:p w14:paraId="7F1AE046">
            <w:pPr>
              <w:jc w:val="center"/>
              <w:rPr>
                <w:rFonts w:hint="eastAsia"/>
                <w:color w:val="auto"/>
                <w:sz w:val="21"/>
                <w:szCs w:val="21"/>
              </w:rPr>
            </w:pPr>
          </w:p>
        </w:tc>
        <w:tc>
          <w:tcPr>
            <w:tcW w:w="3251" w:type="dxa"/>
            <w:vMerge w:val="continue"/>
            <w:tcBorders>
              <w:tl2br w:val="nil"/>
              <w:tr2bl w:val="nil"/>
            </w:tcBorders>
            <w:vAlign w:val="center"/>
          </w:tcPr>
          <w:p w14:paraId="3323D9BF">
            <w:pPr>
              <w:adjustRightInd w:val="0"/>
              <w:snapToGrid w:val="0"/>
              <w:jc w:val="center"/>
              <w:rPr>
                <w:color w:val="auto"/>
                <w:sz w:val="21"/>
                <w:szCs w:val="21"/>
              </w:rPr>
            </w:pPr>
          </w:p>
        </w:tc>
        <w:tc>
          <w:tcPr>
            <w:tcW w:w="1658" w:type="dxa"/>
            <w:vMerge w:val="continue"/>
            <w:tcBorders>
              <w:tl2br w:val="nil"/>
              <w:tr2bl w:val="nil"/>
            </w:tcBorders>
            <w:vAlign w:val="center"/>
          </w:tcPr>
          <w:p w14:paraId="24311737">
            <w:pPr>
              <w:jc w:val="center"/>
              <w:rPr>
                <w:color w:val="auto"/>
                <w:sz w:val="21"/>
                <w:szCs w:val="21"/>
              </w:rPr>
            </w:pPr>
          </w:p>
        </w:tc>
      </w:tr>
      <w:tr w14:paraId="0962E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2ABC0068">
            <w:pPr>
              <w:pStyle w:val="42"/>
              <w:rPr>
                <w:color w:val="auto"/>
                <w:sz w:val="21"/>
                <w:szCs w:val="21"/>
              </w:rPr>
            </w:pPr>
          </w:p>
        </w:tc>
        <w:tc>
          <w:tcPr>
            <w:tcW w:w="1449" w:type="dxa"/>
            <w:tcBorders>
              <w:tl2br w:val="nil"/>
              <w:tr2bl w:val="nil"/>
            </w:tcBorders>
            <w:vAlign w:val="center"/>
          </w:tcPr>
          <w:p w14:paraId="575FCFC5">
            <w:pPr>
              <w:jc w:val="center"/>
              <w:rPr>
                <w:rFonts w:hint="default" w:eastAsia="宋体"/>
                <w:color w:val="auto"/>
                <w:sz w:val="21"/>
                <w:szCs w:val="21"/>
                <w:lang w:val="en-US" w:eastAsia="zh-CN"/>
              </w:rPr>
            </w:pPr>
            <w:r>
              <w:rPr>
                <w:rFonts w:hint="eastAsia"/>
                <w:color w:val="auto"/>
                <w:sz w:val="21"/>
                <w:szCs w:val="21"/>
                <w:lang w:val="en-US" w:eastAsia="zh-CN"/>
              </w:rPr>
              <w:t>TN</w:t>
            </w:r>
          </w:p>
        </w:tc>
        <w:tc>
          <w:tcPr>
            <w:tcW w:w="837" w:type="dxa"/>
            <w:vMerge w:val="continue"/>
            <w:tcBorders>
              <w:tl2br w:val="nil"/>
              <w:tr2bl w:val="nil"/>
            </w:tcBorders>
            <w:vAlign w:val="center"/>
          </w:tcPr>
          <w:p w14:paraId="4EDA86EF">
            <w:pPr>
              <w:jc w:val="center"/>
              <w:rPr>
                <w:color w:val="auto"/>
                <w:sz w:val="21"/>
                <w:szCs w:val="21"/>
              </w:rPr>
            </w:pPr>
          </w:p>
        </w:tc>
        <w:tc>
          <w:tcPr>
            <w:tcW w:w="1028" w:type="dxa"/>
            <w:tcBorders>
              <w:tl2br w:val="nil"/>
              <w:tr2bl w:val="nil"/>
            </w:tcBorders>
            <w:vAlign w:val="center"/>
          </w:tcPr>
          <w:p w14:paraId="6C9F1540">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62.6</w:t>
            </w:r>
          </w:p>
        </w:tc>
        <w:tc>
          <w:tcPr>
            <w:tcW w:w="1133" w:type="dxa"/>
            <w:gridSpan w:val="2"/>
            <w:tcBorders>
              <w:tl2br w:val="nil"/>
              <w:tr2bl w:val="nil"/>
            </w:tcBorders>
            <w:vAlign w:val="center"/>
          </w:tcPr>
          <w:p w14:paraId="7A3CDEDD">
            <w:pPr>
              <w:jc w:val="center"/>
              <w:rPr>
                <w:rFonts w:hint="default" w:eastAsia="宋体"/>
                <w:color w:val="auto"/>
                <w:sz w:val="21"/>
                <w:szCs w:val="21"/>
                <w:lang w:val="en-US" w:eastAsia="zh-CN"/>
              </w:rPr>
            </w:pPr>
            <w:r>
              <w:rPr>
                <w:rFonts w:hint="eastAsia"/>
                <w:color w:val="auto"/>
                <w:sz w:val="21"/>
                <w:szCs w:val="21"/>
                <w:lang w:val="en-US" w:eastAsia="zh-CN"/>
              </w:rPr>
              <w:t>28.6</w:t>
            </w:r>
          </w:p>
        </w:tc>
        <w:tc>
          <w:tcPr>
            <w:tcW w:w="999" w:type="dxa"/>
            <w:tcBorders>
              <w:tl2br w:val="nil"/>
              <w:tr2bl w:val="nil"/>
            </w:tcBorders>
            <w:vAlign w:val="center"/>
          </w:tcPr>
          <w:p w14:paraId="125E0D6F">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32.85</w:t>
            </w:r>
          </w:p>
        </w:tc>
        <w:tc>
          <w:tcPr>
            <w:tcW w:w="1147" w:type="dxa"/>
            <w:gridSpan w:val="2"/>
            <w:tcBorders>
              <w:tl2br w:val="nil"/>
              <w:tr2bl w:val="nil"/>
            </w:tcBorders>
            <w:vAlign w:val="center"/>
          </w:tcPr>
          <w:p w14:paraId="6F5A3E6B">
            <w:pPr>
              <w:jc w:val="center"/>
              <w:rPr>
                <w:rFonts w:hint="default" w:eastAsia="宋体"/>
                <w:color w:val="auto"/>
                <w:sz w:val="21"/>
                <w:szCs w:val="21"/>
                <w:lang w:val="en-US" w:eastAsia="zh-CN"/>
              </w:rPr>
            </w:pPr>
            <w:r>
              <w:rPr>
                <w:rFonts w:hint="eastAsia"/>
                <w:color w:val="auto"/>
                <w:sz w:val="21"/>
                <w:szCs w:val="21"/>
                <w:lang w:val="en-US" w:eastAsia="zh-CN"/>
              </w:rPr>
              <w:t>15</w:t>
            </w:r>
          </w:p>
        </w:tc>
        <w:tc>
          <w:tcPr>
            <w:tcW w:w="1824" w:type="dxa"/>
            <w:vMerge w:val="continue"/>
            <w:tcBorders>
              <w:tl2br w:val="nil"/>
              <w:tr2bl w:val="nil"/>
            </w:tcBorders>
            <w:vAlign w:val="center"/>
          </w:tcPr>
          <w:p w14:paraId="5C2D6D23">
            <w:pPr>
              <w:jc w:val="center"/>
              <w:rPr>
                <w:rFonts w:hint="eastAsia"/>
                <w:color w:val="auto"/>
                <w:sz w:val="21"/>
                <w:szCs w:val="21"/>
              </w:rPr>
            </w:pPr>
          </w:p>
        </w:tc>
        <w:tc>
          <w:tcPr>
            <w:tcW w:w="3251" w:type="dxa"/>
            <w:vMerge w:val="continue"/>
            <w:tcBorders>
              <w:tl2br w:val="nil"/>
              <w:tr2bl w:val="nil"/>
            </w:tcBorders>
            <w:vAlign w:val="center"/>
          </w:tcPr>
          <w:p w14:paraId="2B8A9EF6">
            <w:pPr>
              <w:adjustRightInd w:val="0"/>
              <w:snapToGrid w:val="0"/>
              <w:jc w:val="center"/>
              <w:rPr>
                <w:color w:val="auto"/>
                <w:sz w:val="21"/>
                <w:szCs w:val="21"/>
              </w:rPr>
            </w:pPr>
          </w:p>
        </w:tc>
        <w:tc>
          <w:tcPr>
            <w:tcW w:w="1658" w:type="dxa"/>
            <w:vMerge w:val="continue"/>
            <w:tcBorders>
              <w:tl2br w:val="nil"/>
              <w:tr2bl w:val="nil"/>
            </w:tcBorders>
            <w:vAlign w:val="center"/>
          </w:tcPr>
          <w:p w14:paraId="24479807">
            <w:pPr>
              <w:jc w:val="center"/>
              <w:rPr>
                <w:color w:val="auto"/>
                <w:sz w:val="21"/>
                <w:szCs w:val="21"/>
              </w:rPr>
            </w:pPr>
          </w:p>
        </w:tc>
      </w:tr>
      <w:tr w14:paraId="2CC20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29" w:type="dxa"/>
            <w:vMerge w:val="continue"/>
            <w:tcBorders>
              <w:tl2br w:val="nil"/>
              <w:tr2bl w:val="nil"/>
            </w:tcBorders>
            <w:vAlign w:val="center"/>
          </w:tcPr>
          <w:p w14:paraId="50ABF0F4">
            <w:pPr>
              <w:pStyle w:val="42"/>
              <w:rPr>
                <w:color w:val="auto"/>
                <w:sz w:val="21"/>
                <w:szCs w:val="21"/>
              </w:rPr>
            </w:pPr>
          </w:p>
        </w:tc>
        <w:tc>
          <w:tcPr>
            <w:tcW w:w="1449" w:type="dxa"/>
            <w:tcBorders>
              <w:tl2br w:val="nil"/>
              <w:tr2bl w:val="nil"/>
            </w:tcBorders>
            <w:vAlign w:val="center"/>
          </w:tcPr>
          <w:p w14:paraId="6D2BADD7">
            <w:pPr>
              <w:jc w:val="center"/>
              <w:rPr>
                <w:rFonts w:hint="default" w:eastAsia="宋体"/>
                <w:color w:val="auto"/>
                <w:sz w:val="21"/>
                <w:szCs w:val="21"/>
                <w:lang w:val="en-US" w:eastAsia="zh-CN"/>
              </w:rPr>
            </w:pPr>
            <w:r>
              <w:rPr>
                <w:rFonts w:hint="eastAsia"/>
                <w:color w:val="auto"/>
                <w:sz w:val="21"/>
                <w:szCs w:val="21"/>
                <w:lang w:val="en-US" w:eastAsia="zh-CN"/>
              </w:rPr>
              <w:t>TP</w:t>
            </w:r>
          </w:p>
        </w:tc>
        <w:tc>
          <w:tcPr>
            <w:tcW w:w="837" w:type="dxa"/>
            <w:vMerge w:val="continue"/>
            <w:tcBorders>
              <w:tl2br w:val="nil"/>
              <w:tr2bl w:val="nil"/>
            </w:tcBorders>
            <w:vAlign w:val="center"/>
          </w:tcPr>
          <w:p w14:paraId="423A5E61">
            <w:pPr>
              <w:jc w:val="center"/>
              <w:rPr>
                <w:color w:val="auto"/>
                <w:sz w:val="21"/>
                <w:szCs w:val="21"/>
              </w:rPr>
            </w:pPr>
          </w:p>
        </w:tc>
        <w:tc>
          <w:tcPr>
            <w:tcW w:w="1028" w:type="dxa"/>
            <w:tcBorders>
              <w:tl2br w:val="nil"/>
              <w:tr2bl w:val="nil"/>
            </w:tcBorders>
            <w:vAlign w:val="center"/>
          </w:tcPr>
          <w:p w14:paraId="5807D252">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10.4</w:t>
            </w:r>
          </w:p>
        </w:tc>
        <w:tc>
          <w:tcPr>
            <w:tcW w:w="1133" w:type="dxa"/>
            <w:gridSpan w:val="2"/>
            <w:tcBorders>
              <w:tl2br w:val="nil"/>
              <w:tr2bl w:val="nil"/>
            </w:tcBorders>
            <w:vAlign w:val="center"/>
          </w:tcPr>
          <w:p w14:paraId="7CA77883">
            <w:pPr>
              <w:jc w:val="center"/>
              <w:rPr>
                <w:rFonts w:hint="default" w:eastAsia="宋体"/>
                <w:color w:val="auto"/>
                <w:sz w:val="21"/>
                <w:szCs w:val="21"/>
                <w:lang w:val="en-US" w:eastAsia="zh-CN"/>
              </w:rPr>
            </w:pPr>
            <w:r>
              <w:rPr>
                <w:rFonts w:hint="eastAsia"/>
                <w:color w:val="auto"/>
                <w:sz w:val="21"/>
                <w:szCs w:val="21"/>
                <w:lang w:val="en-US" w:eastAsia="zh-CN"/>
              </w:rPr>
              <w:t>4.74</w:t>
            </w:r>
          </w:p>
        </w:tc>
        <w:tc>
          <w:tcPr>
            <w:tcW w:w="999" w:type="dxa"/>
            <w:tcBorders>
              <w:tl2br w:val="nil"/>
              <w:tr2bl w:val="nil"/>
            </w:tcBorders>
            <w:vAlign w:val="center"/>
          </w:tcPr>
          <w:p w14:paraId="10ABC858">
            <w:pPr>
              <w:adjustRightInd w:val="0"/>
              <w:snapToGrid w:val="0"/>
              <w:jc w:val="center"/>
              <w:rPr>
                <w:rFonts w:hint="default" w:eastAsia="宋体"/>
                <w:color w:val="auto"/>
                <w:sz w:val="21"/>
                <w:szCs w:val="21"/>
                <w:lang w:val="en-US" w:eastAsia="zh-CN"/>
              </w:rPr>
            </w:pPr>
            <w:r>
              <w:rPr>
                <w:rFonts w:hint="eastAsia"/>
                <w:color w:val="auto"/>
                <w:sz w:val="21"/>
                <w:szCs w:val="21"/>
                <w:lang w:val="en-US" w:eastAsia="zh-CN"/>
              </w:rPr>
              <w:t>1.095</w:t>
            </w:r>
          </w:p>
        </w:tc>
        <w:tc>
          <w:tcPr>
            <w:tcW w:w="1147" w:type="dxa"/>
            <w:gridSpan w:val="2"/>
            <w:tcBorders>
              <w:tl2br w:val="nil"/>
              <w:tr2bl w:val="nil"/>
            </w:tcBorders>
            <w:vAlign w:val="center"/>
          </w:tcPr>
          <w:p w14:paraId="44347904">
            <w:pPr>
              <w:jc w:val="center"/>
              <w:rPr>
                <w:rFonts w:hint="default" w:eastAsia="宋体"/>
                <w:color w:val="auto"/>
                <w:sz w:val="21"/>
                <w:szCs w:val="21"/>
                <w:lang w:val="en-US" w:eastAsia="zh-CN"/>
              </w:rPr>
            </w:pPr>
            <w:r>
              <w:rPr>
                <w:rFonts w:hint="eastAsia"/>
                <w:color w:val="auto"/>
                <w:sz w:val="21"/>
                <w:szCs w:val="21"/>
                <w:lang w:val="en-US" w:eastAsia="zh-CN"/>
              </w:rPr>
              <w:t>0.5</w:t>
            </w:r>
          </w:p>
        </w:tc>
        <w:tc>
          <w:tcPr>
            <w:tcW w:w="1824" w:type="dxa"/>
            <w:vMerge w:val="continue"/>
            <w:tcBorders>
              <w:tl2br w:val="nil"/>
              <w:tr2bl w:val="nil"/>
            </w:tcBorders>
            <w:vAlign w:val="center"/>
          </w:tcPr>
          <w:p w14:paraId="58598DC5">
            <w:pPr>
              <w:jc w:val="center"/>
              <w:rPr>
                <w:rFonts w:hint="eastAsia"/>
                <w:color w:val="auto"/>
                <w:sz w:val="21"/>
                <w:szCs w:val="21"/>
              </w:rPr>
            </w:pPr>
          </w:p>
        </w:tc>
        <w:tc>
          <w:tcPr>
            <w:tcW w:w="3251" w:type="dxa"/>
            <w:vMerge w:val="continue"/>
            <w:tcBorders>
              <w:tl2br w:val="nil"/>
              <w:tr2bl w:val="nil"/>
            </w:tcBorders>
            <w:vAlign w:val="center"/>
          </w:tcPr>
          <w:p w14:paraId="2B08642B">
            <w:pPr>
              <w:adjustRightInd w:val="0"/>
              <w:snapToGrid w:val="0"/>
              <w:jc w:val="center"/>
              <w:rPr>
                <w:color w:val="auto"/>
                <w:sz w:val="21"/>
                <w:szCs w:val="21"/>
              </w:rPr>
            </w:pPr>
          </w:p>
        </w:tc>
        <w:tc>
          <w:tcPr>
            <w:tcW w:w="1658" w:type="dxa"/>
            <w:vMerge w:val="continue"/>
            <w:tcBorders>
              <w:tl2br w:val="nil"/>
              <w:tr2bl w:val="nil"/>
            </w:tcBorders>
            <w:vAlign w:val="center"/>
          </w:tcPr>
          <w:p w14:paraId="04FB6223">
            <w:pPr>
              <w:jc w:val="center"/>
              <w:rPr>
                <w:color w:val="auto"/>
                <w:sz w:val="21"/>
                <w:szCs w:val="21"/>
              </w:rPr>
            </w:pPr>
          </w:p>
        </w:tc>
      </w:tr>
      <w:tr w14:paraId="4EC6A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729" w:type="dxa"/>
            <w:tcBorders>
              <w:tl2br w:val="nil"/>
              <w:tr2bl w:val="nil"/>
            </w:tcBorders>
            <w:vAlign w:val="center"/>
          </w:tcPr>
          <w:p w14:paraId="049116C8">
            <w:pPr>
              <w:jc w:val="center"/>
              <w:rPr>
                <w:color w:val="auto"/>
                <w:sz w:val="21"/>
                <w:szCs w:val="21"/>
              </w:rPr>
            </w:pPr>
            <w:r>
              <w:rPr>
                <w:color w:val="auto"/>
                <w:sz w:val="21"/>
                <w:szCs w:val="21"/>
              </w:rPr>
              <w:t>噪声</w:t>
            </w:r>
          </w:p>
        </w:tc>
        <w:tc>
          <w:tcPr>
            <w:tcW w:w="1449" w:type="dxa"/>
            <w:tcBorders>
              <w:tl2br w:val="nil"/>
              <w:tr2bl w:val="nil"/>
            </w:tcBorders>
            <w:vAlign w:val="center"/>
          </w:tcPr>
          <w:p w14:paraId="5DFF75A3">
            <w:pPr>
              <w:jc w:val="center"/>
              <w:rPr>
                <w:color w:val="auto"/>
                <w:sz w:val="21"/>
                <w:szCs w:val="21"/>
              </w:rPr>
            </w:pPr>
            <w:r>
              <w:rPr>
                <w:color w:val="auto"/>
                <w:sz w:val="21"/>
                <w:szCs w:val="21"/>
              </w:rPr>
              <w:t>设备噪声</w:t>
            </w:r>
          </w:p>
        </w:tc>
        <w:tc>
          <w:tcPr>
            <w:tcW w:w="5144" w:type="dxa"/>
            <w:gridSpan w:val="7"/>
            <w:tcBorders>
              <w:tl2br w:val="nil"/>
              <w:tr2bl w:val="nil"/>
            </w:tcBorders>
            <w:vAlign w:val="center"/>
          </w:tcPr>
          <w:p w14:paraId="1EF43574">
            <w:pPr>
              <w:jc w:val="center"/>
              <w:rPr>
                <w:rFonts w:hint="eastAsia" w:eastAsia="宋体"/>
                <w:color w:val="auto"/>
                <w:sz w:val="21"/>
                <w:szCs w:val="21"/>
                <w:lang w:eastAsia="zh-CN"/>
              </w:rPr>
            </w:pPr>
            <w:r>
              <w:rPr>
                <w:rFonts w:hint="eastAsia"/>
                <w:color w:val="auto"/>
                <w:sz w:val="21"/>
                <w:szCs w:val="21"/>
                <w:lang w:eastAsia="zh-CN" w:bidi="ar"/>
              </w:rPr>
              <w:t>本项目</w:t>
            </w:r>
            <w:r>
              <w:rPr>
                <w:color w:val="auto"/>
                <w:sz w:val="21"/>
                <w:szCs w:val="21"/>
                <w:lang w:bidi="ar"/>
              </w:rPr>
              <w:t>运行期间产生的噪声主要来自风机、水泵等发出噪声。噪声源大多分布在厂房内，噪声源强在70-120</w:t>
            </w:r>
            <w:r>
              <w:rPr>
                <w:color w:val="auto"/>
                <w:sz w:val="21"/>
                <w:szCs w:val="21"/>
              </w:rPr>
              <w:t>dB(A)</w:t>
            </w:r>
            <w:r>
              <w:rPr>
                <w:color w:val="auto"/>
                <w:sz w:val="21"/>
                <w:szCs w:val="21"/>
                <w:lang w:bidi="ar"/>
              </w:rPr>
              <w:t>间</w:t>
            </w:r>
            <w:r>
              <w:rPr>
                <w:rFonts w:hint="eastAsia"/>
                <w:color w:val="auto"/>
                <w:sz w:val="21"/>
                <w:szCs w:val="21"/>
                <w:lang w:eastAsia="zh-CN" w:bidi="ar"/>
              </w:rPr>
              <w:t>。</w:t>
            </w:r>
          </w:p>
        </w:tc>
        <w:tc>
          <w:tcPr>
            <w:tcW w:w="1824" w:type="dxa"/>
            <w:tcBorders>
              <w:tl2br w:val="nil"/>
              <w:tr2bl w:val="nil"/>
            </w:tcBorders>
            <w:vAlign w:val="center"/>
          </w:tcPr>
          <w:p w14:paraId="48974BC8">
            <w:pPr>
              <w:jc w:val="center"/>
              <w:rPr>
                <w:color w:val="auto"/>
                <w:sz w:val="21"/>
                <w:szCs w:val="21"/>
              </w:rPr>
            </w:pPr>
            <w:r>
              <w:rPr>
                <w:color w:val="auto"/>
                <w:sz w:val="21"/>
                <w:szCs w:val="21"/>
              </w:rPr>
              <w:t>减震、隔声和消声处理，场区四周绿化</w:t>
            </w:r>
          </w:p>
        </w:tc>
        <w:tc>
          <w:tcPr>
            <w:tcW w:w="3251" w:type="dxa"/>
            <w:tcBorders>
              <w:tl2br w:val="nil"/>
              <w:tr2bl w:val="nil"/>
            </w:tcBorders>
            <w:vAlign w:val="center"/>
          </w:tcPr>
          <w:p w14:paraId="02EA5370">
            <w:pPr>
              <w:jc w:val="center"/>
              <w:rPr>
                <w:rFonts w:hint="eastAsia" w:eastAsia="宋体"/>
                <w:color w:val="auto"/>
                <w:sz w:val="21"/>
                <w:szCs w:val="21"/>
                <w:lang w:eastAsia="zh-CN"/>
              </w:rPr>
            </w:pPr>
            <w:r>
              <w:rPr>
                <w:color w:val="auto"/>
                <w:sz w:val="21"/>
                <w:szCs w:val="21"/>
              </w:rPr>
              <w:t>厂界噪声满足《工业企业厂界环境噪声排放标准》（GB12348-2008）中</w:t>
            </w:r>
            <w:r>
              <w:rPr>
                <w:rFonts w:hint="eastAsia"/>
                <w:color w:val="auto"/>
                <w:sz w:val="21"/>
                <w:szCs w:val="21"/>
                <w:lang w:eastAsia="zh-CN"/>
              </w:rPr>
              <w:t>3类</w:t>
            </w:r>
          </w:p>
        </w:tc>
        <w:tc>
          <w:tcPr>
            <w:tcW w:w="1658" w:type="dxa"/>
            <w:tcBorders>
              <w:tl2br w:val="nil"/>
              <w:tr2bl w:val="nil"/>
            </w:tcBorders>
            <w:vAlign w:val="center"/>
          </w:tcPr>
          <w:p w14:paraId="356F7583">
            <w:pPr>
              <w:jc w:val="center"/>
              <w:rPr>
                <w:color w:val="auto"/>
                <w:sz w:val="21"/>
                <w:szCs w:val="21"/>
              </w:rPr>
            </w:pPr>
            <w:r>
              <w:rPr>
                <w:color w:val="auto"/>
                <w:sz w:val="21"/>
                <w:szCs w:val="21"/>
              </w:rPr>
              <w:t>场界四周</w:t>
            </w:r>
          </w:p>
        </w:tc>
      </w:tr>
      <w:tr w14:paraId="7BB0F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729" w:type="dxa"/>
            <w:vMerge w:val="restart"/>
            <w:tcBorders>
              <w:tl2br w:val="nil"/>
              <w:tr2bl w:val="nil"/>
            </w:tcBorders>
            <w:vAlign w:val="center"/>
          </w:tcPr>
          <w:p w14:paraId="194A21D3">
            <w:pPr>
              <w:jc w:val="center"/>
              <w:rPr>
                <w:color w:val="auto"/>
                <w:sz w:val="21"/>
                <w:szCs w:val="21"/>
              </w:rPr>
            </w:pPr>
            <w:r>
              <w:rPr>
                <w:color w:val="auto"/>
                <w:sz w:val="21"/>
                <w:szCs w:val="21"/>
              </w:rPr>
              <w:t>固体废物</w:t>
            </w:r>
          </w:p>
        </w:tc>
        <w:tc>
          <w:tcPr>
            <w:tcW w:w="1449" w:type="dxa"/>
            <w:tcBorders>
              <w:tl2br w:val="nil"/>
              <w:tr2bl w:val="nil"/>
            </w:tcBorders>
            <w:vAlign w:val="center"/>
          </w:tcPr>
          <w:p w14:paraId="06F3C678">
            <w:pPr>
              <w:jc w:val="center"/>
              <w:rPr>
                <w:color w:val="auto"/>
                <w:sz w:val="21"/>
                <w:szCs w:val="21"/>
              </w:rPr>
            </w:pPr>
            <w:r>
              <w:rPr>
                <w:rFonts w:hint="eastAsia"/>
                <w:color w:val="auto"/>
                <w:sz w:val="21"/>
                <w:szCs w:val="21"/>
                <w:lang w:val="en-US" w:eastAsia="zh-CN"/>
              </w:rPr>
              <w:t>污泥</w:t>
            </w:r>
          </w:p>
        </w:tc>
        <w:tc>
          <w:tcPr>
            <w:tcW w:w="837" w:type="dxa"/>
            <w:vMerge w:val="restart"/>
            <w:tcBorders>
              <w:tl2br w:val="nil"/>
              <w:tr2bl w:val="nil"/>
            </w:tcBorders>
            <w:vAlign w:val="center"/>
          </w:tcPr>
          <w:p w14:paraId="7E8CDD48">
            <w:pPr>
              <w:jc w:val="center"/>
              <w:rPr>
                <w:rFonts w:hint="default" w:eastAsia="宋体"/>
                <w:color w:val="auto"/>
                <w:sz w:val="21"/>
                <w:szCs w:val="21"/>
                <w:lang w:val="en-US" w:eastAsia="zh-CN"/>
              </w:rPr>
            </w:pPr>
            <w:r>
              <w:rPr>
                <w:rFonts w:hint="eastAsia"/>
                <w:color w:val="auto"/>
                <w:sz w:val="21"/>
                <w:szCs w:val="21"/>
                <w:lang w:val="en-US" w:eastAsia="zh-CN"/>
              </w:rPr>
              <w:t>污水处理站</w:t>
            </w:r>
          </w:p>
        </w:tc>
        <w:tc>
          <w:tcPr>
            <w:tcW w:w="1028" w:type="dxa"/>
            <w:tcBorders>
              <w:tl2br w:val="nil"/>
              <w:tr2bl w:val="nil"/>
            </w:tcBorders>
            <w:vAlign w:val="center"/>
          </w:tcPr>
          <w:p w14:paraId="489AD36A">
            <w:pPr>
              <w:jc w:val="center"/>
              <w:rPr>
                <w:rFonts w:hint="eastAsia" w:eastAsia="宋体"/>
                <w:color w:val="auto"/>
                <w:sz w:val="21"/>
                <w:szCs w:val="21"/>
                <w:lang w:eastAsia="zh-CN"/>
              </w:rPr>
            </w:pPr>
            <w:r>
              <w:rPr>
                <w:rFonts w:hint="eastAsia"/>
                <w:color w:val="auto"/>
                <w:sz w:val="21"/>
                <w:szCs w:val="21"/>
                <w:lang w:val="en-US" w:eastAsia="zh-CN"/>
              </w:rPr>
              <w:t>390.9</w:t>
            </w:r>
          </w:p>
        </w:tc>
        <w:tc>
          <w:tcPr>
            <w:tcW w:w="995" w:type="dxa"/>
            <w:tcBorders>
              <w:tl2br w:val="nil"/>
              <w:tr2bl w:val="nil"/>
            </w:tcBorders>
            <w:vAlign w:val="center"/>
          </w:tcPr>
          <w:p w14:paraId="60863CB0">
            <w:pPr>
              <w:jc w:val="center"/>
              <w:rPr>
                <w:color w:val="auto"/>
                <w:sz w:val="21"/>
                <w:szCs w:val="21"/>
              </w:rPr>
            </w:pPr>
            <w:r>
              <w:rPr>
                <w:color w:val="auto"/>
                <w:sz w:val="21"/>
                <w:szCs w:val="21"/>
              </w:rPr>
              <w:t>——</w:t>
            </w:r>
          </w:p>
        </w:tc>
        <w:tc>
          <w:tcPr>
            <w:tcW w:w="1223" w:type="dxa"/>
            <w:gridSpan w:val="3"/>
            <w:tcBorders>
              <w:tl2br w:val="nil"/>
              <w:tr2bl w:val="nil"/>
            </w:tcBorders>
            <w:vAlign w:val="center"/>
          </w:tcPr>
          <w:p w14:paraId="0340125C">
            <w:pPr>
              <w:jc w:val="center"/>
              <w:rPr>
                <w:color w:val="auto"/>
                <w:sz w:val="21"/>
                <w:szCs w:val="21"/>
              </w:rPr>
            </w:pPr>
            <w:r>
              <w:rPr>
                <w:color w:val="auto"/>
                <w:sz w:val="21"/>
                <w:szCs w:val="21"/>
              </w:rPr>
              <w:t>0</w:t>
            </w:r>
          </w:p>
        </w:tc>
        <w:tc>
          <w:tcPr>
            <w:tcW w:w="1061" w:type="dxa"/>
            <w:tcBorders>
              <w:tl2br w:val="nil"/>
              <w:tr2bl w:val="nil"/>
            </w:tcBorders>
            <w:vAlign w:val="center"/>
          </w:tcPr>
          <w:p w14:paraId="5526F2C0">
            <w:pPr>
              <w:jc w:val="center"/>
              <w:rPr>
                <w:color w:val="auto"/>
                <w:sz w:val="21"/>
                <w:szCs w:val="21"/>
              </w:rPr>
            </w:pPr>
            <w:r>
              <w:rPr>
                <w:color w:val="auto"/>
                <w:sz w:val="21"/>
                <w:szCs w:val="21"/>
              </w:rPr>
              <w:t>——</w:t>
            </w:r>
          </w:p>
        </w:tc>
        <w:tc>
          <w:tcPr>
            <w:tcW w:w="1824" w:type="dxa"/>
            <w:tcBorders>
              <w:tl2br w:val="nil"/>
              <w:tr2bl w:val="nil"/>
            </w:tcBorders>
            <w:vAlign w:val="center"/>
          </w:tcPr>
          <w:p w14:paraId="1F0DF4D7">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掺混入燃煤进入锅炉燃烧</w:t>
            </w:r>
          </w:p>
        </w:tc>
        <w:tc>
          <w:tcPr>
            <w:tcW w:w="3251" w:type="dxa"/>
            <w:vMerge w:val="restart"/>
            <w:tcBorders>
              <w:tl2br w:val="nil"/>
              <w:tr2bl w:val="nil"/>
            </w:tcBorders>
            <w:vAlign w:val="center"/>
          </w:tcPr>
          <w:p w14:paraId="34D0021A">
            <w:pPr>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《一般工业固体废物贮存和填埋污染控制标准》（GB18599－2020）</w:t>
            </w:r>
          </w:p>
        </w:tc>
        <w:tc>
          <w:tcPr>
            <w:tcW w:w="1658" w:type="dxa"/>
            <w:tcBorders>
              <w:tl2br w:val="nil"/>
              <w:tr2bl w:val="nil"/>
            </w:tcBorders>
            <w:vAlign w:val="center"/>
          </w:tcPr>
          <w:p w14:paraId="00F8BDE2">
            <w:pPr>
              <w:jc w:val="center"/>
              <w:rPr>
                <w:color w:val="auto"/>
                <w:sz w:val="21"/>
                <w:szCs w:val="21"/>
              </w:rPr>
            </w:pPr>
            <w:r>
              <w:rPr>
                <w:color w:val="auto"/>
                <w:sz w:val="21"/>
                <w:szCs w:val="21"/>
              </w:rPr>
              <w:t>——</w:t>
            </w:r>
          </w:p>
        </w:tc>
      </w:tr>
      <w:tr w14:paraId="1423D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729" w:type="dxa"/>
            <w:vMerge w:val="continue"/>
            <w:tcBorders>
              <w:tl2br w:val="nil"/>
              <w:tr2bl w:val="nil"/>
            </w:tcBorders>
            <w:vAlign w:val="center"/>
          </w:tcPr>
          <w:p w14:paraId="719DA008">
            <w:pPr>
              <w:rPr>
                <w:color w:val="auto"/>
                <w:sz w:val="21"/>
                <w:szCs w:val="21"/>
              </w:rPr>
            </w:pPr>
          </w:p>
        </w:tc>
        <w:tc>
          <w:tcPr>
            <w:tcW w:w="1449" w:type="dxa"/>
            <w:tcBorders>
              <w:tl2br w:val="nil"/>
              <w:tr2bl w:val="nil"/>
            </w:tcBorders>
            <w:vAlign w:val="center"/>
          </w:tcPr>
          <w:p w14:paraId="7B32FA51">
            <w:pPr>
              <w:jc w:val="center"/>
              <w:rPr>
                <w:color w:val="auto"/>
                <w:sz w:val="21"/>
                <w:szCs w:val="21"/>
                <w:lang w:bidi="ar"/>
              </w:rPr>
            </w:pPr>
            <w:r>
              <w:rPr>
                <w:color w:val="auto"/>
                <w:sz w:val="21"/>
                <w:szCs w:val="21"/>
              </w:rPr>
              <w:t>废</w:t>
            </w:r>
            <w:r>
              <w:rPr>
                <w:rFonts w:hint="eastAsia"/>
                <w:color w:val="auto"/>
                <w:sz w:val="21"/>
                <w:szCs w:val="21"/>
                <w:lang w:val="en-US" w:eastAsia="zh-CN"/>
              </w:rPr>
              <w:t>活性炭</w:t>
            </w:r>
          </w:p>
        </w:tc>
        <w:tc>
          <w:tcPr>
            <w:tcW w:w="837" w:type="dxa"/>
            <w:vMerge w:val="continue"/>
            <w:tcBorders>
              <w:tl2br w:val="nil"/>
              <w:tr2bl w:val="nil"/>
            </w:tcBorders>
            <w:vAlign w:val="center"/>
          </w:tcPr>
          <w:p w14:paraId="27DFE26E">
            <w:pPr>
              <w:jc w:val="center"/>
              <w:rPr>
                <w:color w:val="auto"/>
                <w:sz w:val="21"/>
                <w:szCs w:val="21"/>
                <w:lang w:bidi="ar"/>
              </w:rPr>
            </w:pPr>
          </w:p>
        </w:tc>
        <w:tc>
          <w:tcPr>
            <w:tcW w:w="1028" w:type="dxa"/>
            <w:tcBorders>
              <w:tl2br w:val="nil"/>
              <w:tr2bl w:val="nil"/>
            </w:tcBorders>
            <w:vAlign w:val="center"/>
          </w:tcPr>
          <w:p w14:paraId="3708CFF7">
            <w:pPr>
              <w:jc w:val="center"/>
              <w:rPr>
                <w:color w:val="auto"/>
                <w:sz w:val="21"/>
                <w:szCs w:val="21"/>
                <w:lang w:bidi="ar"/>
              </w:rPr>
            </w:pPr>
            <w:r>
              <w:rPr>
                <w:color w:val="auto"/>
                <w:sz w:val="21"/>
                <w:szCs w:val="21"/>
              </w:rPr>
              <w:t>1</w:t>
            </w:r>
          </w:p>
        </w:tc>
        <w:tc>
          <w:tcPr>
            <w:tcW w:w="995" w:type="dxa"/>
            <w:tcBorders>
              <w:tl2br w:val="nil"/>
              <w:tr2bl w:val="nil"/>
            </w:tcBorders>
            <w:vAlign w:val="center"/>
          </w:tcPr>
          <w:p w14:paraId="1F130BCB">
            <w:pPr>
              <w:jc w:val="center"/>
              <w:rPr>
                <w:color w:val="auto"/>
                <w:sz w:val="21"/>
                <w:szCs w:val="21"/>
              </w:rPr>
            </w:pPr>
            <w:r>
              <w:rPr>
                <w:color w:val="auto"/>
                <w:sz w:val="21"/>
                <w:szCs w:val="21"/>
              </w:rPr>
              <w:t>——</w:t>
            </w:r>
          </w:p>
        </w:tc>
        <w:tc>
          <w:tcPr>
            <w:tcW w:w="1223" w:type="dxa"/>
            <w:gridSpan w:val="3"/>
            <w:tcBorders>
              <w:tl2br w:val="nil"/>
              <w:tr2bl w:val="nil"/>
            </w:tcBorders>
            <w:vAlign w:val="center"/>
          </w:tcPr>
          <w:p w14:paraId="348894B6">
            <w:pPr>
              <w:jc w:val="center"/>
              <w:rPr>
                <w:color w:val="auto"/>
                <w:sz w:val="21"/>
                <w:szCs w:val="21"/>
              </w:rPr>
            </w:pPr>
            <w:r>
              <w:rPr>
                <w:rFonts w:hint="eastAsia"/>
                <w:color w:val="auto"/>
                <w:sz w:val="21"/>
                <w:szCs w:val="21"/>
              </w:rPr>
              <w:t>0</w:t>
            </w:r>
          </w:p>
        </w:tc>
        <w:tc>
          <w:tcPr>
            <w:tcW w:w="1061" w:type="dxa"/>
            <w:tcBorders>
              <w:tl2br w:val="nil"/>
              <w:tr2bl w:val="nil"/>
            </w:tcBorders>
            <w:vAlign w:val="center"/>
          </w:tcPr>
          <w:p w14:paraId="2F551AE8">
            <w:pPr>
              <w:jc w:val="center"/>
              <w:rPr>
                <w:color w:val="auto"/>
                <w:sz w:val="21"/>
                <w:szCs w:val="21"/>
              </w:rPr>
            </w:pPr>
            <w:r>
              <w:rPr>
                <w:color w:val="auto"/>
                <w:sz w:val="21"/>
                <w:szCs w:val="21"/>
              </w:rPr>
              <w:t>——</w:t>
            </w:r>
          </w:p>
        </w:tc>
        <w:tc>
          <w:tcPr>
            <w:tcW w:w="1824" w:type="dxa"/>
            <w:tcBorders>
              <w:tl2br w:val="nil"/>
              <w:tr2bl w:val="nil"/>
            </w:tcBorders>
            <w:vAlign w:val="center"/>
          </w:tcPr>
          <w:p w14:paraId="195A368A">
            <w:pPr>
              <w:jc w:val="center"/>
              <w:rPr>
                <w:color w:val="auto"/>
                <w:sz w:val="21"/>
                <w:szCs w:val="21"/>
              </w:rPr>
            </w:pPr>
            <w:r>
              <w:rPr>
                <w:rFonts w:hint="eastAsia"/>
                <w:color w:val="auto"/>
                <w:sz w:val="21"/>
                <w:szCs w:val="21"/>
              </w:rPr>
              <w:t>由生产厂家回收</w:t>
            </w:r>
          </w:p>
        </w:tc>
        <w:tc>
          <w:tcPr>
            <w:tcW w:w="3251" w:type="dxa"/>
            <w:vMerge w:val="continue"/>
            <w:tcBorders>
              <w:tl2br w:val="nil"/>
              <w:tr2bl w:val="nil"/>
            </w:tcBorders>
            <w:vAlign w:val="center"/>
          </w:tcPr>
          <w:p w14:paraId="5DA40384">
            <w:pPr>
              <w:jc w:val="center"/>
              <w:rPr>
                <w:color w:val="auto"/>
                <w:sz w:val="21"/>
                <w:szCs w:val="21"/>
              </w:rPr>
            </w:pPr>
          </w:p>
        </w:tc>
        <w:tc>
          <w:tcPr>
            <w:tcW w:w="1658" w:type="dxa"/>
            <w:tcBorders>
              <w:tl2br w:val="nil"/>
              <w:tr2bl w:val="nil"/>
            </w:tcBorders>
            <w:vAlign w:val="center"/>
          </w:tcPr>
          <w:p w14:paraId="1373EF38">
            <w:pPr>
              <w:jc w:val="center"/>
              <w:rPr>
                <w:color w:val="auto"/>
                <w:sz w:val="21"/>
                <w:szCs w:val="21"/>
              </w:rPr>
            </w:pPr>
            <w:r>
              <w:rPr>
                <w:color w:val="auto"/>
                <w:sz w:val="21"/>
                <w:szCs w:val="21"/>
              </w:rPr>
              <w:t>——</w:t>
            </w:r>
          </w:p>
        </w:tc>
      </w:tr>
      <w:bookmarkEnd w:id="486"/>
      <w:bookmarkEnd w:id="487"/>
      <w:bookmarkEnd w:id="488"/>
      <w:bookmarkEnd w:id="489"/>
      <w:bookmarkEnd w:id="490"/>
    </w:tbl>
    <w:p w14:paraId="26712185">
      <w:pPr>
        <w:spacing w:line="360" w:lineRule="auto"/>
        <w:jc w:val="center"/>
        <w:rPr>
          <w:b/>
          <w:bCs/>
        </w:rPr>
      </w:pPr>
      <w:bookmarkStart w:id="491" w:name="_Toc476903571"/>
    </w:p>
    <w:p w14:paraId="778696F9">
      <w:pPr>
        <w:spacing w:line="360" w:lineRule="auto"/>
        <w:jc w:val="center"/>
        <w:rPr>
          <w:b/>
          <w:bCs/>
        </w:rPr>
      </w:pPr>
    </w:p>
    <w:p w14:paraId="2B4F8F10">
      <w:pPr>
        <w:spacing w:line="360" w:lineRule="auto"/>
        <w:jc w:val="center"/>
        <w:rPr>
          <w:b/>
          <w:bCs/>
        </w:rPr>
      </w:pPr>
    </w:p>
    <w:p w14:paraId="36C57A5A">
      <w:pPr>
        <w:spacing w:line="360" w:lineRule="auto"/>
        <w:jc w:val="center"/>
        <w:rPr>
          <w:b/>
          <w:bCs/>
        </w:rPr>
      </w:pPr>
      <w:r>
        <w:rPr>
          <w:b/>
          <w:bCs/>
        </w:rPr>
        <w:t>表8.3-2    污染源监测计划一览表</w:t>
      </w:r>
    </w:p>
    <w:tbl>
      <w:tblPr>
        <w:tblStyle w:val="5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1128"/>
        <w:gridCol w:w="1292"/>
        <w:gridCol w:w="1582"/>
        <w:gridCol w:w="2693"/>
        <w:gridCol w:w="2520"/>
        <w:gridCol w:w="1080"/>
        <w:gridCol w:w="1383"/>
        <w:gridCol w:w="1964"/>
      </w:tblGrid>
      <w:tr w14:paraId="44968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 w:type="pct"/>
            <w:tcBorders>
              <w:tl2br w:val="nil"/>
              <w:tr2bl w:val="nil"/>
            </w:tcBorders>
            <w:shd w:val="clear" w:color="000000" w:fill="auto"/>
            <w:vAlign w:val="center"/>
          </w:tcPr>
          <w:p w14:paraId="1BD9D35A">
            <w:pPr>
              <w:jc w:val="center"/>
              <w:rPr>
                <w:b/>
                <w:bCs/>
                <w:color w:val="auto"/>
                <w:sz w:val="21"/>
                <w:szCs w:val="21"/>
              </w:rPr>
            </w:pPr>
            <w:r>
              <w:rPr>
                <w:b/>
                <w:bCs/>
                <w:color w:val="auto"/>
                <w:sz w:val="21"/>
                <w:szCs w:val="21"/>
              </w:rPr>
              <w:t>项目</w:t>
            </w:r>
          </w:p>
        </w:tc>
        <w:tc>
          <w:tcPr>
            <w:tcW w:w="398" w:type="pct"/>
            <w:tcBorders>
              <w:tl2br w:val="nil"/>
              <w:tr2bl w:val="nil"/>
            </w:tcBorders>
            <w:shd w:val="clear" w:color="000000" w:fill="auto"/>
            <w:vAlign w:val="center"/>
          </w:tcPr>
          <w:p w14:paraId="6B3063E0">
            <w:pPr>
              <w:jc w:val="center"/>
              <w:rPr>
                <w:b/>
                <w:bCs/>
                <w:color w:val="auto"/>
                <w:sz w:val="21"/>
                <w:szCs w:val="21"/>
              </w:rPr>
            </w:pPr>
            <w:r>
              <w:rPr>
                <w:b/>
                <w:bCs/>
                <w:color w:val="auto"/>
                <w:sz w:val="21"/>
                <w:szCs w:val="21"/>
              </w:rPr>
              <w:t>污染源</w:t>
            </w:r>
          </w:p>
        </w:tc>
        <w:tc>
          <w:tcPr>
            <w:tcW w:w="456" w:type="pct"/>
            <w:tcBorders>
              <w:tl2br w:val="nil"/>
              <w:tr2bl w:val="nil"/>
            </w:tcBorders>
            <w:shd w:val="clear" w:color="000000" w:fill="auto"/>
            <w:vAlign w:val="center"/>
          </w:tcPr>
          <w:p w14:paraId="1E3AD05D">
            <w:pPr>
              <w:jc w:val="center"/>
              <w:rPr>
                <w:b/>
                <w:bCs/>
                <w:color w:val="auto"/>
                <w:sz w:val="21"/>
                <w:szCs w:val="21"/>
              </w:rPr>
            </w:pPr>
            <w:r>
              <w:rPr>
                <w:b/>
                <w:bCs/>
                <w:color w:val="auto"/>
                <w:sz w:val="21"/>
                <w:szCs w:val="21"/>
              </w:rPr>
              <w:t>监测指标</w:t>
            </w:r>
          </w:p>
        </w:tc>
        <w:tc>
          <w:tcPr>
            <w:tcW w:w="558" w:type="pct"/>
            <w:tcBorders>
              <w:tl2br w:val="nil"/>
              <w:tr2bl w:val="nil"/>
            </w:tcBorders>
            <w:shd w:val="clear" w:color="000000" w:fill="auto"/>
            <w:vAlign w:val="center"/>
          </w:tcPr>
          <w:p w14:paraId="6BA81271">
            <w:pPr>
              <w:jc w:val="center"/>
              <w:rPr>
                <w:b/>
                <w:bCs/>
                <w:color w:val="auto"/>
                <w:sz w:val="21"/>
                <w:szCs w:val="21"/>
              </w:rPr>
            </w:pPr>
            <w:r>
              <w:rPr>
                <w:b/>
                <w:bCs/>
                <w:color w:val="auto"/>
                <w:sz w:val="21"/>
                <w:szCs w:val="21"/>
              </w:rPr>
              <w:t>环境保护措施</w:t>
            </w:r>
          </w:p>
        </w:tc>
        <w:tc>
          <w:tcPr>
            <w:tcW w:w="950" w:type="pct"/>
            <w:tcBorders>
              <w:tl2br w:val="nil"/>
              <w:tr2bl w:val="nil"/>
            </w:tcBorders>
            <w:shd w:val="clear" w:color="000000" w:fill="auto"/>
            <w:vAlign w:val="center"/>
          </w:tcPr>
          <w:p w14:paraId="49491209">
            <w:pPr>
              <w:jc w:val="center"/>
              <w:rPr>
                <w:b/>
                <w:bCs/>
                <w:color w:val="auto"/>
                <w:sz w:val="21"/>
                <w:szCs w:val="21"/>
              </w:rPr>
            </w:pPr>
            <w:r>
              <w:rPr>
                <w:b/>
                <w:bCs/>
                <w:color w:val="auto"/>
                <w:sz w:val="21"/>
                <w:szCs w:val="21"/>
              </w:rPr>
              <w:t>监测点位</w:t>
            </w:r>
          </w:p>
        </w:tc>
        <w:tc>
          <w:tcPr>
            <w:tcW w:w="889" w:type="pct"/>
            <w:tcBorders>
              <w:tl2br w:val="nil"/>
              <w:tr2bl w:val="nil"/>
            </w:tcBorders>
            <w:shd w:val="clear" w:color="000000" w:fill="auto"/>
            <w:vAlign w:val="center"/>
          </w:tcPr>
          <w:p w14:paraId="4F50A6CA">
            <w:pPr>
              <w:jc w:val="center"/>
              <w:rPr>
                <w:b/>
                <w:bCs/>
                <w:color w:val="auto"/>
                <w:sz w:val="21"/>
                <w:szCs w:val="21"/>
              </w:rPr>
            </w:pPr>
            <w:r>
              <w:rPr>
                <w:b/>
                <w:bCs/>
                <w:color w:val="auto"/>
                <w:sz w:val="21"/>
                <w:szCs w:val="21"/>
              </w:rPr>
              <w:t>执行标准</w:t>
            </w:r>
          </w:p>
        </w:tc>
        <w:tc>
          <w:tcPr>
            <w:tcW w:w="381" w:type="pct"/>
            <w:tcBorders>
              <w:tl2br w:val="nil"/>
              <w:tr2bl w:val="nil"/>
            </w:tcBorders>
            <w:shd w:val="clear" w:color="000000" w:fill="auto"/>
            <w:vAlign w:val="center"/>
          </w:tcPr>
          <w:p w14:paraId="24380557">
            <w:pPr>
              <w:jc w:val="center"/>
              <w:rPr>
                <w:b/>
                <w:bCs/>
                <w:color w:val="auto"/>
                <w:sz w:val="21"/>
                <w:szCs w:val="21"/>
              </w:rPr>
            </w:pPr>
            <w:r>
              <w:rPr>
                <w:b/>
                <w:bCs/>
                <w:color w:val="auto"/>
                <w:sz w:val="21"/>
                <w:szCs w:val="21"/>
              </w:rPr>
              <w:t>监测频次</w:t>
            </w:r>
          </w:p>
        </w:tc>
        <w:tc>
          <w:tcPr>
            <w:tcW w:w="488" w:type="pct"/>
            <w:tcBorders>
              <w:tl2br w:val="nil"/>
              <w:tr2bl w:val="nil"/>
            </w:tcBorders>
            <w:shd w:val="clear" w:color="000000" w:fill="auto"/>
            <w:vAlign w:val="center"/>
          </w:tcPr>
          <w:p w14:paraId="14601E94">
            <w:pPr>
              <w:jc w:val="center"/>
              <w:rPr>
                <w:b/>
                <w:bCs/>
                <w:color w:val="auto"/>
                <w:sz w:val="21"/>
                <w:szCs w:val="21"/>
              </w:rPr>
            </w:pPr>
            <w:r>
              <w:rPr>
                <w:b/>
                <w:bCs/>
                <w:color w:val="auto"/>
                <w:sz w:val="21"/>
                <w:szCs w:val="21"/>
              </w:rPr>
              <w:t>监测技术</w:t>
            </w:r>
          </w:p>
        </w:tc>
        <w:tc>
          <w:tcPr>
            <w:tcW w:w="693" w:type="pct"/>
            <w:tcBorders>
              <w:tl2br w:val="nil"/>
              <w:tr2bl w:val="nil"/>
            </w:tcBorders>
            <w:shd w:val="clear" w:color="000000" w:fill="auto"/>
            <w:vAlign w:val="center"/>
          </w:tcPr>
          <w:p w14:paraId="065AB35D">
            <w:pPr>
              <w:jc w:val="center"/>
              <w:rPr>
                <w:b/>
                <w:bCs/>
                <w:color w:val="auto"/>
                <w:sz w:val="21"/>
                <w:szCs w:val="21"/>
              </w:rPr>
            </w:pPr>
            <w:r>
              <w:rPr>
                <w:b/>
                <w:bCs/>
                <w:color w:val="auto"/>
                <w:sz w:val="21"/>
                <w:szCs w:val="21"/>
              </w:rPr>
              <w:t>采样方法</w:t>
            </w:r>
          </w:p>
        </w:tc>
      </w:tr>
      <w:tr w14:paraId="6BFDE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4" w:hRule="atLeast"/>
        </w:trPr>
        <w:tc>
          <w:tcPr>
            <w:tcW w:w="184" w:type="pct"/>
            <w:vMerge w:val="restart"/>
            <w:tcBorders>
              <w:tl2br w:val="nil"/>
              <w:tr2bl w:val="nil"/>
            </w:tcBorders>
            <w:shd w:val="clear" w:color="000000" w:fill="auto"/>
            <w:vAlign w:val="center"/>
          </w:tcPr>
          <w:p w14:paraId="174B9786">
            <w:pPr>
              <w:jc w:val="center"/>
              <w:rPr>
                <w:color w:val="auto"/>
                <w:sz w:val="21"/>
                <w:szCs w:val="21"/>
              </w:rPr>
            </w:pPr>
            <w:r>
              <w:rPr>
                <w:color w:val="auto"/>
                <w:sz w:val="21"/>
                <w:szCs w:val="21"/>
              </w:rPr>
              <w:t>废气</w:t>
            </w:r>
          </w:p>
        </w:tc>
        <w:tc>
          <w:tcPr>
            <w:tcW w:w="398" w:type="pct"/>
            <w:tcBorders>
              <w:tl2br w:val="nil"/>
              <w:tr2bl w:val="nil"/>
            </w:tcBorders>
            <w:shd w:val="clear" w:color="000000" w:fill="auto"/>
            <w:vAlign w:val="center"/>
          </w:tcPr>
          <w:p w14:paraId="10C4A62A">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玉米破碎</w:t>
            </w:r>
          </w:p>
        </w:tc>
        <w:tc>
          <w:tcPr>
            <w:tcW w:w="456" w:type="pct"/>
            <w:tcBorders>
              <w:tl2br w:val="nil"/>
              <w:tr2bl w:val="nil"/>
            </w:tcBorders>
            <w:shd w:val="clear" w:color="000000" w:fill="auto"/>
            <w:vAlign w:val="center"/>
          </w:tcPr>
          <w:p w14:paraId="6569B6E6">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颗粒物</w:t>
            </w:r>
          </w:p>
        </w:tc>
        <w:tc>
          <w:tcPr>
            <w:tcW w:w="558" w:type="pct"/>
            <w:tcBorders>
              <w:tl2br w:val="nil"/>
              <w:tr2bl w:val="nil"/>
            </w:tcBorders>
            <w:shd w:val="clear" w:color="000000" w:fill="auto"/>
            <w:vAlign w:val="center"/>
          </w:tcPr>
          <w:p w14:paraId="5640CB7C">
            <w:pPr>
              <w:jc w:val="center"/>
              <w:rPr>
                <w:rFonts w:hint="default" w:eastAsia="宋体"/>
                <w:b/>
                <w:bCs/>
                <w:color w:val="auto"/>
                <w:sz w:val="21"/>
                <w:szCs w:val="21"/>
                <w:lang w:val="en-US" w:eastAsia="zh-CN"/>
              </w:rPr>
            </w:pPr>
            <w:r>
              <w:rPr>
                <w:rFonts w:hint="eastAsia"/>
                <w:b w:val="0"/>
                <w:bCs w:val="0"/>
                <w:color w:val="auto"/>
                <w:sz w:val="21"/>
                <w:szCs w:val="21"/>
                <w:lang w:val="en-US" w:eastAsia="zh-CN"/>
              </w:rPr>
              <w:t>布袋除尘器</w:t>
            </w:r>
          </w:p>
        </w:tc>
        <w:tc>
          <w:tcPr>
            <w:tcW w:w="950" w:type="pct"/>
            <w:tcBorders>
              <w:tl2br w:val="nil"/>
              <w:tr2bl w:val="nil"/>
            </w:tcBorders>
            <w:shd w:val="clear" w:color="000000" w:fill="auto"/>
            <w:vAlign w:val="center"/>
          </w:tcPr>
          <w:p w14:paraId="58F06D07">
            <w:pPr>
              <w:jc w:val="center"/>
              <w:rPr>
                <w:b/>
                <w:bCs/>
                <w:color w:val="auto"/>
                <w:sz w:val="21"/>
                <w:szCs w:val="21"/>
              </w:rPr>
            </w:pPr>
            <w:r>
              <w:rPr>
                <w:rFonts w:hint="eastAsia" w:ascii="Times New Roman" w:hAnsi="Times New Roman" w:eastAsia="宋体" w:cs="Times New Roman"/>
                <w:color w:val="auto"/>
                <w:sz w:val="21"/>
                <w:szCs w:val="21"/>
                <w:lang w:val="en-US" w:eastAsia="zh-CN"/>
              </w:rPr>
              <w:t>22.5m高排气筒（DA005-DA010、DA014、DA015、DA040）、25m高排气筒（DA018-DA029、DA035）</w:t>
            </w:r>
          </w:p>
        </w:tc>
        <w:tc>
          <w:tcPr>
            <w:tcW w:w="889" w:type="pct"/>
            <w:vMerge w:val="restart"/>
            <w:tcBorders>
              <w:tl2br w:val="nil"/>
              <w:tr2bl w:val="nil"/>
            </w:tcBorders>
            <w:shd w:val="clear" w:color="000000" w:fill="auto"/>
            <w:vAlign w:val="center"/>
          </w:tcPr>
          <w:p w14:paraId="4F87686A">
            <w:pPr>
              <w:jc w:val="center"/>
              <w:rPr>
                <w:b/>
                <w:bCs/>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c>
          <w:tcPr>
            <w:tcW w:w="381" w:type="pct"/>
            <w:tcBorders>
              <w:tl2br w:val="nil"/>
              <w:tr2bl w:val="nil"/>
            </w:tcBorders>
            <w:shd w:val="clear" w:color="000000" w:fill="auto"/>
            <w:vAlign w:val="center"/>
          </w:tcPr>
          <w:p w14:paraId="454B8779">
            <w:pPr>
              <w:jc w:val="center"/>
              <w:rPr>
                <w:b/>
                <w:bCs/>
                <w:color w:val="auto"/>
                <w:sz w:val="21"/>
                <w:szCs w:val="21"/>
              </w:rPr>
            </w:pPr>
            <w:r>
              <w:rPr>
                <w:color w:val="auto"/>
                <w:sz w:val="21"/>
                <w:szCs w:val="21"/>
              </w:rPr>
              <w:t>1次/</w:t>
            </w:r>
            <w:r>
              <w:rPr>
                <w:rFonts w:hint="eastAsia"/>
                <w:color w:val="auto"/>
                <w:sz w:val="21"/>
                <w:szCs w:val="21"/>
                <w:lang w:val="en-US" w:eastAsia="zh-CN"/>
              </w:rPr>
              <w:t>半年</w:t>
            </w:r>
          </w:p>
        </w:tc>
        <w:tc>
          <w:tcPr>
            <w:tcW w:w="488" w:type="pct"/>
            <w:vMerge w:val="restart"/>
            <w:tcBorders>
              <w:tl2br w:val="nil"/>
              <w:tr2bl w:val="nil"/>
            </w:tcBorders>
            <w:shd w:val="clear" w:color="000000" w:fill="auto"/>
            <w:vAlign w:val="center"/>
          </w:tcPr>
          <w:p w14:paraId="12D3295A">
            <w:pPr>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手工监测技术</w:t>
            </w:r>
          </w:p>
        </w:tc>
        <w:tc>
          <w:tcPr>
            <w:tcW w:w="693" w:type="pct"/>
            <w:vMerge w:val="restart"/>
            <w:tcBorders>
              <w:tl2br w:val="nil"/>
              <w:tr2bl w:val="nil"/>
            </w:tcBorders>
            <w:shd w:val="clear" w:color="000000" w:fill="auto"/>
            <w:vAlign w:val="center"/>
          </w:tcPr>
          <w:p w14:paraId="3093A698">
            <w:pPr>
              <w:jc w:val="center"/>
              <w:rPr>
                <w:rFonts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p>
        </w:tc>
      </w:tr>
      <w:tr w14:paraId="6ABAA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184" w:type="pct"/>
            <w:vMerge w:val="continue"/>
            <w:tcBorders>
              <w:tl2br w:val="nil"/>
              <w:tr2bl w:val="nil"/>
            </w:tcBorders>
            <w:shd w:val="clear" w:color="000000" w:fill="auto"/>
            <w:vAlign w:val="center"/>
          </w:tcPr>
          <w:p w14:paraId="4B65D15F">
            <w:pPr>
              <w:jc w:val="center"/>
              <w:rPr>
                <w:b/>
                <w:bCs/>
                <w:color w:val="auto"/>
                <w:sz w:val="21"/>
                <w:szCs w:val="21"/>
              </w:rPr>
            </w:pPr>
          </w:p>
        </w:tc>
        <w:tc>
          <w:tcPr>
            <w:tcW w:w="398" w:type="pct"/>
            <w:vMerge w:val="restart"/>
            <w:tcBorders>
              <w:tl2br w:val="nil"/>
              <w:tr2bl w:val="nil"/>
            </w:tcBorders>
            <w:shd w:val="clear" w:color="000000" w:fill="auto"/>
            <w:vAlign w:val="center"/>
          </w:tcPr>
          <w:p w14:paraId="5C2B58AC">
            <w:pPr>
              <w:jc w:val="center"/>
              <w:rPr>
                <w:rFonts w:hint="eastAsia" w:eastAsia="宋体"/>
                <w:b w:val="0"/>
                <w:bCs w:val="0"/>
                <w:color w:val="auto"/>
                <w:sz w:val="21"/>
                <w:szCs w:val="21"/>
                <w:lang w:val="en-US" w:eastAsia="zh-CN"/>
              </w:rPr>
            </w:pPr>
            <w:r>
              <w:rPr>
                <w:rFonts w:hint="eastAsia"/>
                <w:b w:val="0"/>
                <w:bCs w:val="0"/>
                <w:color w:val="auto"/>
                <w:sz w:val="21"/>
                <w:szCs w:val="21"/>
                <w:lang w:val="en-US" w:eastAsia="zh-CN"/>
              </w:rPr>
              <w:t>发酵</w:t>
            </w:r>
          </w:p>
        </w:tc>
        <w:tc>
          <w:tcPr>
            <w:tcW w:w="456" w:type="pct"/>
            <w:tcBorders>
              <w:tl2br w:val="nil"/>
              <w:tr2bl w:val="nil"/>
            </w:tcBorders>
            <w:shd w:val="clear" w:color="000000" w:fill="auto"/>
            <w:vAlign w:val="center"/>
          </w:tcPr>
          <w:p w14:paraId="50C196C4">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非甲烷总烃</w:t>
            </w:r>
          </w:p>
        </w:tc>
        <w:tc>
          <w:tcPr>
            <w:tcW w:w="558" w:type="pct"/>
            <w:vMerge w:val="restart"/>
            <w:tcBorders>
              <w:tl2br w:val="nil"/>
              <w:tr2bl w:val="nil"/>
            </w:tcBorders>
            <w:shd w:val="clear" w:color="000000" w:fill="auto"/>
            <w:vAlign w:val="center"/>
          </w:tcPr>
          <w:p w14:paraId="6B42CFC4">
            <w:pPr>
              <w:jc w:val="center"/>
              <w:rPr>
                <w:color w:val="auto"/>
                <w:sz w:val="21"/>
                <w:szCs w:val="21"/>
              </w:rPr>
            </w:pPr>
            <w:r>
              <w:rPr>
                <w:rFonts w:hint="eastAsia" w:ascii="Times New Roman" w:hAnsi="Times New Roman" w:cs="Times New Roman"/>
                <w:color w:val="auto"/>
                <w:sz w:val="21"/>
                <w:szCs w:val="21"/>
                <w:lang w:val="en-US" w:eastAsia="zh-CN"/>
              </w:rPr>
              <w:t>洗涤塔洗涤</w:t>
            </w:r>
          </w:p>
        </w:tc>
        <w:tc>
          <w:tcPr>
            <w:tcW w:w="950" w:type="pct"/>
            <w:vMerge w:val="restart"/>
            <w:tcBorders>
              <w:tl2br w:val="nil"/>
              <w:tr2bl w:val="nil"/>
            </w:tcBorders>
            <w:shd w:val="clear" w:color="000000" w:fill="auto"/>
            <w:vAlign w:val="center"/>
          </w:tcPr>
          <w:p w14:paraId="7077FA5A">
            <w:pPr>
              <w:jc w:val="center"/>
              <w:rPr>
                <w:color w:val="auto"/>
                <w:sz w:val="21"/>
                <w:szCs w:val="21"/>
              </w:rPr>
            </w:pPr>
            <w:r>
              <w:rPr>
                <w:rFonts w:hint="eastAsia" w:ascii="Times New Roman" w:hAnsi="Times New Roman" w:eastAsia="宋体" w:cs="Times New Roman"/>
                <w:color w:val="auto"/>
                <w:sz w:val="21"/>
                <w:szCs w:val="21"/>
                <w:lang w:val="en-US" w:eastAsia="zh-CN"/>
              </w:rPr>
              <w:t>15m高排气筒（DA002、DA032、DA041、DA042）</w:t>
            </w:r>
          </w:p>
        </w:tc>
        <w:tc>
          <w:tcPr>
            <w:tcW w:w="889" w:type="pct"/>
            <w:vMerge w:val="continue"/>
            <w:tcBorders>
              <w:tl2br w:val="nil"/>
              <w:tr2bl w:val="nil"/>
            </w:tcBorders>
            <w:shd w:val="clear" w:color="000000" w:fill="auto"/>
            <w:vAlign w:val="center"/>
          </w:tcPr>
          <w:p w14:paraId="07FB0737">
            <w:pPr>
              <w:jc w:val="center"/>
              <w:rPr>
                <w:b/>
                <w:bCs/>
                <w:color w:val="auto"/>
                <w:sz w:val="21"/>
                <w:szCs w:val="21"/>
              </w:rPr>
            </w:pPr>
          </w:p>
        </w:tc>
        <w:tc>
          <w:tcPr>
            <w:tcW w:w="381" w:type="pct"/>
            <w:tcBorders>
              <w:tl2br w:val="nil"/>
              <w:tr2bl w:val="nil"/>
            </w:tcBorders>
            <w:shd w:val="clear" w:color="000000" w:fill="auto"/>
            <w:vAlign w:val="center"/>
          </w:tcPr>
          <w:p w14:paraId="642242B4">
            <w:pPr>
              <w:keepNext w:val="0"/>
              <w:keepLines w:val="0"/>
              <w:widowControl/>
              <w:suppressLineNumbers w:val="0"/>
              <w:jc w:val="left"/>
            </w:pPr>
            <w:r>
              <w:rPr>
                <w:rFonts w:hint="eastAsia" w:ascii="宋体" w:hAnsi="宋体" w:eastAsia="宋体" w:cs="宋体"/>
                <w:color w:val="000000"/>
                <w:kern w:val="0"/>
                <w:sz w:val="21"/>
                <w:szCs w:val="21"/>
                <w:lang w:val="en-US" w:eastAsia="zh-CN" w:bidi="ar"/>
              </w:rPr>
              <w:t>1次/季</w:t>
            </w:r>
          </w:p>
          <w:p w14:paraId="1F55A965">
            <w:pPr>
              <w:jc w:val="center"/>
              <w:rPr>
                <w:rFonts w:hint="eastAsia" w:eastAsia="宋体"/>
                <w:b/>
                <w:bCs/>
                <w:color w:val="auto"/>
                <w:sz w:val="21"/>
                <w:szCs w:val="21"/>
                <w:lang w:eastAsia="zh-CN"/>
              </w:rPr>
            </w:pPr>
          </w:p>
        </w:tc>
        <w:tc>
          <w:tcPr>
            <w:tcW w:w="488" w:type="pct"/>
            <w:vMerge w:val="continue"/>
            <w:tcBorders>
              <w:tl2br w:val="nil"/>
              <w:tr2bl w:val="nil"/>
            </w:tcBorders>
            <w:shd w:val="clear" w:color="000000" w:fill="auto"/>
            <w:vAlign w:val="center"/>
          </w:tcPr>
          <w:p w14:paraId="77DC8E0E">
            <w:pPr>
              <w:jc w:val="center"/>
              <w:rPr>
                <w:b/>
                <w:bCs/>
                <w:color w:val="auto"/>
                <w:sz w:val="21"/>
                <w:szCs w:val="21"/>
              </w:rPr>
            </w:pPr>
          </w:p>
        </w:tc>
        <w:tc>
          <w:tcPr>
            <w:tcW w:w="693" w:type="pct"/>
            <w:vMerge w:val="continue"/>
            <w:tcBorders>
              <w:tl2br w:val="nil"/>
              <w:tr2bl w:val="nil"/>
            </w:tcBorders>
            <w:shd w:val="clear" w:color="000000" w:fill="auto"/>
            <w:vAlign w:val="center"/>
          </w:tcPr>
          <w:p w14:paraId="7E182D3B">
            <w:pPr>
              <w:jc w:val="center"/>
              <w:rPr>
                <w:b/>
                <w:bCs/>
                <w:color w:val="auto"/>
                <w:sz w:val="21"/>
                <w:szCs w:val="21"/>
              </w:rPr>
            </w:pPr>
          </w:p>
        </w:tc>
      </w:tr>
      <w:tr w14:paraId="3E029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trPr>
        <w:tc>
          <w:tcPr>
            <w:tcW w:w="184" w:type="pct"/>
            <w:vMerge w:val="continue"/>
            <w:tcBorders>
              <w:tl2br w:val="nil"/>
              <w:tr2bl w:val="nil"/>
            </w:tcBorders>
            <w:shd w:val="clear" w:color="000000" w:fill="auto"/>
            <w:vAlign w:val="center"/>
          </w:tcPr>
          <w:p w14:paraId="74F5AA81">
            <w:pPr>
              <w:jc w:val="center"/>
              <w:rPr>
                <w:color w:val="auto"/>
                <w:sz w:val="21"/>
                <w:szCs w:val="21"/>
              </w:rPr>
            </w:pPr>
          </w:p>
        </w:tc>
        <w:tc>
          <w:tcPr>
            <w:tcW w:w="398" w:type="pct"/>
            <w:vMerge w:val="continue"/>
            <w:tcBorders>
              <w:tl2br w:val="nil"/>
              <w:tr2bl w:val="nil"/>
            </w:tcBorders>
            <w:shd w:val="clear" w:color="000000" w:fill="auto"/>
            <w:vAlign w:val="center"/>
          </w:tcPr>
          <w:p w14:paraId="73E1D147">
            <w:pPr>
              <w:jc w:val="center"/>
              <w:rPr>
                <w:rFonts w:hint="default" w:eastAsia="宋体"/>
                <w:color w:val="auto"/>
                <w:sz w:val="21"/>
                <w:szCs w:val="21"/>
                <w:lang w:val="en-US" w:eastAsia="zh-CN"/>
              </w:rPr>
            </w:pPr>
          </w:p>
        </w:tc>
        <w:tc>
          <w:tcPr>
            <w:tcW w:w="456" w:type="pct"/>
            <w:tcBorders>
              <w:tl2br w:val="nil"/>
              <w:tr2bl w:val="nil"/>
            </w:tcBorders>
            <w:shd w:val="clear" w:color="000000" w:fill="auto"/>
            <w:vAlign w:val="center"/>
          </w:tcPr>
          <w:p w14:paraId="132E907D">
            <w:pPr>
              <w:adjustRightInd w:val="0"/>
              <w:snapToGrid w:val="0"/>
              <w:jc w:val="center"/>
              <w:rPr>
                <w:color w:val="auto"/>
                <w:sz w:val="21"/>
                <w:szCs w:val="21"/>
              </w:rPr>
            </w:pPr>
            <w:r>
              <w:rPr>
                <w:rFonts w:hint="eastAsia"/>
                <w:color w:val="auto"/>
                <w:sz w:val="21"/>
                <w:szCs w:val="21"/>
                <w:lang w:val="en-US" w:eastAsia="zh-CN"/>
              </w:rPr>
              <w:t>臭气浓度</w:t>
            </w:r>
          </w:p>
        </w:tc>
        <w:tc>
          <w:tcPr>
            <w:tcW w:w="558" w:type="pct"/>
            <w:vMerge w:val="continue"/>
            <w:tcBorders>
              <w:tl2br w:val="nil"/>
              <w:tr2bl w:val="nil"/>
            </w:tcBorders>
            <w:shd w:val="clear" w:color="000000" w:fill="auto"/>
            <w:vAlign w:val="center"/>
          </w:tcPr>
          <w:p w14:paraId="489A79F4">
            <w:pPr>
              <w:jc w:val="center"/>
              <w:rPr>
                <w:color w:val="auto"/>
                <w:sz w:val="21"/>
                <w:szCs w:val="21"/>
              </w:rPr>
            </w:pPr>
          </w:p>
        </w:tc>
        <w:tc>
          <w:tcPr>
            <w:tcW w:w="950" w:type="pct"/>
            <w:vMerge w:val="continue"/>
            <w:tcBorders>
              <w:tl2br w:val="nil"/>
              <w:tr2bl w:val="nil"/>
            </w:tcBorders>
            <w:shd w:val="clear" w:color="000000" w:fill="auto"/>
            <w:vAlign w:val="center"/>
          </w:tcPr>
          <w:p w14:paraId="5B2914FE">
            <w:pPr>
              <w:jc w:val="center"/>
              <w:rPr>
                <w:color w:val="auto"/>
                <w:sz w:val="21"/>
                <w:szCs w:val="21"/>
              </w:rPr>
            </w:pPr>
          </w:p>
        </w:tc>
        <w:tc>
          <w:tcPr>
            <w:tcW w:w="889" w:type="pct"/>
            <w:tcBorders>
              <w:tl2br w:val="nil"/>
              <w:tr2bl w:val="nil"/>
            </w:tcBorders>
            <w:shd w:val="clear" w:color="000000" w:fill="auto"/>
            <w:vAlign w:val="center"/>
          </w:tcPr>
          <w:p w14:paraId="2D89D409">
            <w:pPr>
              <w:jc w:val="center"/>
              <w:rPr>
                <w:color w:val="auto"/>
              </w:rPr>
            </w:pPr>
            <w:r>
              <w:rPr>
                <w:color w:val="auto"/>
                <w:sz w:val="21"/>
                <w:szCs w:val="21"/>
              </w:rPr>
              <w:t>《恶臭污染物排放标准》（GB14554-93）表2</w:t>
            </w:r>
          </w:p>
        </w:tc>
        <w:tc>
          <w:tcPr>
            <w:tcW w:w="381" w:type="pct"/>
            <w:tcBorders>
              <w:tl2br w:val="nil"/>
              <w:tr2bl w:val="nil"/>
            </w:tcBorders>
            <w:shd w:val="clear" w:color="000000" w:fill="auto"/>
            <w:vAlign w:val="center"/>
          </w:tcPr>
          <w:p w14:paraId="441DA1B0">
            <w:pPr>
              <w:jc w:val="center"/>
              <w:rPr>
                <w:color w:val="auto"/>
                <w:sz w:val="21"/>
                <w:szCs w:val="21"/>
              </w:rPr>
            </w:pPr>
            <w:r>
              <w:rPr>
                <w:color w:val="auto"/>
                <w:sz w:val="21"/>
                <w:szCs w:val="21"/>
              </w:rPr>
              <w:t>1次/</w:t>
            </w:r>
            <w:r>
              <w:rPr>
                <w:rFonts w:hint="eastAsia"/>
                <w:color w:val="auto"/>
                <w:sz w:val="21"/>
                <w:szCs w:val="21"/>
                <w:lang w:val="en-US" w:eastAsia="zh-CN"/>
              </w:rPr>
              <w:t>半年</w:t>
            </w:r>
          </w:p>
        </w:tc>
        <w:tc>
          <w:tcPr>
            <w:tcW w:w="488" w:type="pct"/>
            <w:tcBorders>
              <w:tl2br w:val="nil"/>
              <w:tr2bl w:val="nil"/>
            </w:tcBorders>
            <w:shd w:val="clear" w:color="000000" w:fill="auto"/>
            <w:vAlign w:val="center"/>
          </w:tcPr>
          <w:p w14:paraId="464EAAA9">
            <w:pPr>
              <w:jc w:val="center"/>
              <w:rPr>
                <w:color w:val="auto"/>
                <w:sz w:val="21"/>
                <w:szCs w:val="21"/>
              </w:rPr>
            </w:pPr>
            <w:r>
              <w:rPr>
                <w:color w:val="auto"/>
                <w:sz w:val="21"/>
                <w:szCs w:val="21"/>
              </w:rPr>
              <w:t>手工监测技术</w:t>
            </w:r>
          </w:p>
        </w:tc>
        <w:tc>
          <w:tcPr>
            <w:tcW w:w="693" w:type="pct"/>
            <w:vMerge w:val="restart"/>
            <w:tcBorders>
              <w:tl2br w:val="nil"/>
              <w:tr2bl w:val="nil"/>
            </w:tcBorders>
            <w:shd w:val="clear" w:color="000000" w:fill="auto"/>
            <w:vAlign w:val="center"/>
          </w:tcPr>
          <w:p w14:paraId="119C4D21">
            <w:pPr>
              <w:jc w:val="center"/>
              <w:rPr>
                <w:color w:val="auto"/>
                <w:sz w:val="21"/>
                <w:szCs w:val="21"/>
              </w:rPr>
            </w:pPr>
            <w:r>
              <w:rPr>
                <w:color w:val="auto"/>
                <w:sz w:val="21"/>
                <w:szCs w:val="21"/>
              </w:rPr>
              <w:t>《恶臭污染物排放标准》（GB14554-93）</w:t>
            </w:r>
          </w:p>
        </w:tc>
      </w:tr>
      <w:tr w14:paraId="1673F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53991468">
            <w:pPr>
              <w:jc w:val="center"/>
              <w:rPr>
                <w:color w:val="auto"/>
                <w:sz w:val="21"/>
                <w:szCs w:val="21"/>
              </w:rPr>
            </w:pPr>
          </w:p>
        </w:tc>
        <w:tc>
          <w:tcPr>
            <w:tcW w:w="398" w:type="pct"/>
            <w:vMerge w:val="restart"/>
            <w:tcBorders>
              <w:tl2br w:val="nil"/>
              <w:tr2bl w:val="nil"/>
            </w:tcBorders>
            <w:shd w:val="clear" w:color="000000" w:fill="auto"/>
            <w:vAlign w:val="center"/>
          </w:tcPr>
          <w:p w14:paraId="056AB1A6">
            <w:pPr>
              <w:jc w:val="center"/>
              <w:rPr>
                <w:rFonts w:hint="default" w:eastAsia="宋体"/>
                <w:color w:val="auto"/>
                <w:sz w:val="21"/>
                <w:szCs w:val="21"/>
                <w:lang w:val="en-US" w:eastAsia="zh-CN"/>
              </w:rPr>
            </w:pPr>
            <w:r>
              <w:rPr>
                <w:rFonts w:hint="eastAsia"/>
                <w:color w:val="auto"/>
                <w:sz w:val="21"/>
                <w:szCs w:val="21"/>
                <w:lang w:val="en-US" w:eastAsia="zh-CN"/>
              </w:rPr>
              <w:t>污水处理站</w:t>
            </w:r>
          </w:p>
        </w:tc>
        <w:tc>
          <w:tcPr>
            <w:tcW w:w="456" w:type="pct"/>
            <w:tcBorders>
              <w:tl2br w:val="nil"/>
              <w:tr2bl w:val="nil"/>
            </w:tcBorders>
            <w:shd w:val="clear" w:color="000000" w:fill="auto"/>
            <w:vAlign w:val="center"/>
          </w:tcPr>
          <w:p w14:paraId="4470345B">
            <w:pPr>
              <w:jc w:val="center"/>
              <w:rPr>
                <w:color w:val="auto"/>
                <w:sz w:val="21"/>
                <w:szCs w:val="21"/>
              </w:rPr>
            </w:pPr>
            <w:r>
              <w:rPr>
                <w:rFonts w:hint="eastAsia"/>
                <w:color w:val="auto"/>
                <w:sz w:val="21"/>
                <w:szCs w:val="21"/>
                <w:lang w:val="en-US" w:eastAsia="zh-CN"/>
              </w:rPr>
              <w:t>NH</w:t>
            </w:r>
            <w:r>
              <w:rPr>
                <w:rFonts w:hint="eastAsia"/>
                <w:color w:val="auto"/>
                <w:sz w:val="21"/>
                <w:szCs w:val="21"/>
                <w:vertAlign w:val="subscript"/>
                <w:lang w:val="en-US" w:eastAsia="zh-CN"/>
              </w:rPr>
              <w:t>3</w:t>
            </w:r>
          </w:p>
        </w:tc>
        <w:tc>
          <w:tcPr>
            <w:tcW w:w="558" w:type="pct"/>
            <w:vMerge w:val="restart"/>
            <w:tcBorders>
              <w:tl2br w:val="nil"/>
              <w:tr2bl w:val="nil"/>
            </w:tcBorders>
            <w:shd w:val="clear" w:color="000000" w:fill="auto"/>
            <w:vAlign w:val="center"/>
          </w:tcPr>
          <w:p w14:paraId="1E7027A3">
            <w:pPr>
              <w:jc w:val="center"/>
              <w:rPr>
                <w:color w:val="auto"/>
                <w:sz w:val="21"/>
                <w:szCs w:val="21"/>
              </w:rPr>
            </w:pPr>
            <w:r>
              <w:rPr>
                <w:rFonts w:hint="eastAsia" w:ascii="Times New Roman" w:hAnsi="Times New Roman" w:cs="Times New Roman"/>
                <w:color w:val="auto"/>
                <w:sz w:val="21"/>
                <w:szCs w:val="21"/>
                <w:lang w:val="en-US" w:eastAsia="zh-CN"/>
              </w:rPr>
              <w:t>收集的恶臭气体通过活性炭吸附净化处理后排放</w:t>
            </w:r>
          </w:p>
        </w:tc>
        <w:tc>
          <w:tcPr>
            <w:tcW w:w="950" w:type="pct"/>
            <w:vMerge w:val="restart"/>
            <w:tcBorders>
              <w:tl2br w:val="nil"/>
              <w:tr2bl w:val="nil"/>
            </w:tcBorders>
            <w:shd w:val="clear" w:color="000000" w:fill="auto"/>
            <w:vAlign w:val="center"/>
          </w:tcPr>
          <w:p w14:paraId="6E1D376D">
            <w:pPr>
              <w:jc w:val="center"/>
              <w:rPr>
                <w:color w:val="auto"/>
                <w:sz w:val="21"/>
                <w:szCs w:val="21"/>
              </w:rPr>
            </w:pPr>
            <w:r>
              <w:rPr>
                <w:rFonts w:hint="eastAsia"/>
                <w:color w:val="auto"/>
                <w:sz w:val="21"/>
                <w:szCs w:val="21"/>
                <w:lang w:val="en-US" w:eastAsia="zh-CN"/>
              </w:rPr>
              <w:t>15m高排气筒（DA011）</w:t>
            </w:r>
          </w:p>
        </w:tc>
        <w:tc>
          <w:tcPr>
            <w:tcW w:w="889" w:type="pct"/>
            <w:vMerge w:val="restart"/>
            <w:tcBorders>
              <w:tl2br w:val="nil"/>
              <w:tr2bl w:val="nil"/>
            </w:tcBorders>
            <w:shd w:val="clear" w:color="000000" w:fill="auto"/>
            <w:vAlign w:val="center"/>
          </w:tcPr>
          <w:p w14:paraId="2449AA11">
            <w:pPr>
              <w:jc w:val="center"/>
              <w:rPr>
                <w:color w:val="auto"/>
                <w:sz w:val="21"/>
                <w:szCs w:val="21"/>
              </w:rPr>
            </w:pPr>
            <w:r>
              <w:rPr>
                <w:color w:val="auto"/>
                <w:sz w:val="21"/>
                <w:szCs w:val="21"/>
              </w:rPr>
              <w:t>《恶臭污染物排放标准》（GB14554-93）表2</w:t>
            </w:r>
          </w:p>
        </w:tc>
        <w:tc>
          <w:tcPr>
            <w:tcW w:w="381" w:type="pct"/>
            <w:vMerge w:val="restart"/>
            <w:tcBorders>
              <w:tl2br w:val="nil"/>
              <w:tr2bl w:val="nil"/>
            </w:tcBorders>
            <w:shd w:val="clear" w:color="000000" w:fill="auto"/>
            <w:vAlign w:val="center"/>
          </w:tcPr>
          <w:p w14:paraId="562E62EA">
            <w:pPr>
              <w:jc w:val="center"/>
              <w:rPr>
                <w:color w:val="auto"/>
                <w:sz w:val="21"/>
                <w:szCs w:val="21"/>
              </w:rPr>
            </w:pPr>
            <w:r>
              <w:rPr>
                <w:color w:val="auto"/>
                <w:sz w:val="21"/>
                <w:szCs w:val="21"/>
              </w:rPr>
              <w:t>1次/</w:t>
            </w:r>
            <w:r>
              <w:rPr>
                <w:rFonts w:hint="eastAsia"/>
                <w:color w:val="auto"/>
                <w:sz w:val="21"/>
                <w:szCs w:val="21"/>
                <w:lang w:val="en-US" w:eastAsia="zh-CN"/>
              </w:rPr>
              <w:t>季</w:t>
            </w:r>
          </w:p>
        </w:tc>
        <w:tc>
          <w:tcPr>
            <w:tcW w:w="488" w:type="pct"/>
            <w:vMerge w:val="restart"/>
            <w:tcBorders>
              <w:tl2br w:val="nil"/>
              <w:tr2bl w:val="nil"/>
            </w:tcBorders>
            <w:shd w:val="clear" w:color="000000" w:fill="auto"/>
            <w:vAlign w:val="center"/>
          </w:tcPr>
          <w:p w14:paraId="187A177C">
            <w:pPr>
              <w:jc w:val="center"/>
              <w:rPr>
                <w:color w:val="auto"/>
                <w:sz w:val="21"/>
                <w:szCs w:val="21"/>
              </w:rPr>
            </w:pPr>
            <w:r>
              <w:rPr>
                <w:color w:val="auto"/>
                <w:sz w:val="21"/>
                <w:szCs w:val="21"/>
              </w:rPr>
              <w:t>手工监测技术</w:t>
            </w:r>
          </w:p>
        </w:tc>
        <w:tc>
          <w:tcPr>
            <w:tcW w:w="693" w:type="pct"/>
            <w:vMerge w:val="continue"/>
            <w:tcBorders>
              <w:tl2br w:val="nil"/>
              <w:tr2bl w:val="nil"/>
            </w:tcBorders>
            <w:shd w:val="clear" w:color="000000" w:fill="auto"/>
            <w:vAlign w:val="center"/>
          </w:tcPr>
          <w:p w14:paraId="071FA85C">
            <w:pPr>
              <w:jc w:val="center"/>
              <w:rPr>
                <w:color w:val="auto"/>
                <w:sz w:val="21"/>
                <w:szCs w:val="21"/>
              </w:rPr>
            </w:pPr>
          </w:p>
        </w:tc>
      </w:tr>
      <w:tr w14:paraId="3C301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35FF1CA9">
            <w:pPr>
              <w:jc w:val="center"/>
              <w:rPr>
                <w:color w:val="auto"/>
                <w:sz w:val="21"/>
                <w:szCs w:val="21"/>
              </w:rPr>
            </w:pPr>
          </w:p>
        </w:tc>
        <w:tc>
          <w:tcPr>
            <w:tcW w:w="398" w:type="pct"/>
            <w:vMerge w:val="continue"/>
            <w:tcBorders>
              <w:tl2br w:val="nil"/>
              <w:tr2bl w:val="nil"/>
            </w:tcBorders>
            <w:shd w:val="clear" w:color="000000" w:fill="auto"/>
            <w:vAlign w:val="center"/>
          </w:tcPr>
          <w:p w14:paraId="2AC6FDB6">
            <w:pPr>
              <w:jc w:val="center"/>
              <w:rPr>
                <w:color w:val="auto"/>
                <w:sz w:val="21"/>
                <w:szCs w:val="21"/>
              </w:rPr>
            </w:pPr>
          </w:p>
        </w:tc>
        <w:tc>
          <w:tcPr>
            <w:tcW w:w="456" w:type="pct"/>
            <w:tcBorders>
              <w:tl2br w:val="nil"/>
              <w:tr2bl w:val="nil"/>
            </w:tcBorders>
            <w:shd w:val="clear" w:color="000000" w:fill="auto"/>
            <w:vAlign w:val="center"/>
          </w:tcPr>
          <w:p w14:paraId="0FC54727">
            <w:pPr>
              <w:jc w:val="center"/>
              <w:rPr>
                <w:color w:val="auto"/>
                <w:sz w:val="21"/>
                <w:szCs w:val="21"/>
              </w:rPr>
            </w:pP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p>
        </w:tc>
        <w:tc>
          <w:tcPr>
            <w:tcW w:w="558" w:type="pct"/>
            <w:vMerge w:val="continue"/>
            <w:tcBorders>
              <w:tl2br w:val="nil"/>
              <w:tr2bl w:val="nil"/>
            </w:tcBorders>
            <w:shd w:val="clear" w:color="000000" w:fill="auto"/>
            <w:vAlign w:val="center"/>
          </w:tcPr>
          <w:p w14:paraId="2694AA16">
            <w:pPr>
              <w:jc w:val="center"/>
              <w:rPr>
                <w:color w:val="auto"/>
                <w:sz w:val="21"/>
                <w:szCs w:val="21"/>
              </w:rPr>
            </w:pPr>
          </w:p>
        </w:tc>
        <w:tc>
          <w:tcPr>
            <w:tcW w:w="950" w:type="pct"/>
            <w:vMerge w:val="continue"/>
            <w:tcBorders>
              <w:tl2br w:val="nil"/>
              <w:tr2bl w:val="nil"/>
            </w:tcBorders>
            <w:shd w:val="clear" w:color="000000" w:fill="auto"/>
            <w:vAlign w:val="center"/>
          </w:tcPr>
          <w:p w14:paraId="77D9A236">
            <w:pPr>
              <w:jc w:val="center"/>
              <w:rPr>
                <w:color w:val="auto"/>
                <w:sz w:val="21"/>
                <w:szCs w:val="21"/>
              </w:rPr>
            </w:pPr>
          </w:p>
        </w:tc>
        <w:tc>
          <w:tcPr>
            <w:tcW w:w="889" w:type="pct"/>
            <w:vMerge w:val="continue"/>
            <w:tcBorders>
              <w:tl2br w:val="nil"/>
              <w:tr2bl w:val="nil"/>
            </w:tcBorders>
            <w:shd w:val="clear" w:color="000000" w:fill="auto"/>
            <w:vAlign w:val="center"/>
          </w:tcPr>
          <w:p w14:paraId="262338CE">
            <w:pPr>
              <w:jc w:val="center"/>
              <w:rPr>
                <w:color w:val="auto"/>
                <w:sz w:val="21"/>
                <w:szCs w:val="21"/>
              </w:rPr>
            </w:pPr>
          </w:p>
        </w:tc>
        <w:tc>
          <w:tcPr>
            <w:tcW w:w="381" w:type="pct"/>
            <w:vMerge w:val="continue"/>
            <w:tcBorders>
              <w:tl2br w:val="nil"/>
              <w:tr2bl w:val="nil"/>
            </w:tcBorders>
            <w:shd w:val="clear" w:color="000000" w:fill="auto"/>
            <w:vAlign w:val="center"/>
          </w:tcPr>
          <w:p w14:paraId="296FE0FC">
            <w:pPr>
              <w:jc w:val="center"/>
              <w:rPr>
                <w:color w:val="auto"/>
                <w:sz w:val="21"/>
                <w:szCs w:val="21"/>
              </w:rPr>
            </w:pPr>
          </w:p>
        </w:tc>
        <w:tc>
          <w:tcPr>
            <w:tcW w:w="488" w:type="pct"/>
            <w:vMerge w:val="continue"/>
            <w:tcBorders>
              <w:tl2br w:val="nil"/>
              <w:tr2bl w:val="nil"/>
            </w:tcBorders>
            <w:shd w:val="clear" w:color="000000" w:fill="auto"/>
            <w:vAlign w:val="center"/>
          </w:tcPr>
          <w:p w14:paraId="3CC2B7A3">
            <w:pPr>
              <w:jc w:val="center"/>
              <w:rPr>
                <w:color w:val="auto"/>
                <w:sz w:val="21"/>
                <w:szCs w:val="21"/>
              </w:rPr>
            </w:pPr>
          </w:p>
        </w:tc>
        <w:tc>
          <w:tcPr>
            <w:tcW w:w="693" w:type="pct"/>
            <w:vMerge w:val="continue"/>
            <w:tcBorders>
              <w:tl2br w:val="nil"/>
              <w:tr2bl w:val="nil"/>
            </w:tcBorders>
            <w:shd w:val="clear" w:color="000000" w:fill="auto"/>
            <w:vAlign w:val="center"/>
          </w:tcPr>
          <w:p w14:paraId="0B6E0630">
            <w:pPr>
              <w:jc w:val="center"/>
              <w:rPr>
                <w:color w:val="auto"/>
                <w:sz w:val="21"/>
                <w:szCs w:val="21"/>
              </w:rPr>
            </w:pPr>
          </w:p>
        </w:tc>
      </w:tr>
      <w:tr w14:paraId="15732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0319ADAB">
            <w:pPr>
              <w:jc w:val="center"/>
              <w:rPr>
                <w:color w:val="auto"/>
                <w:sz w:val="21"/>
                <w:szCs w:val="21"/>
              </w:rPr>
            </w:pPr>
          </w:p>
        </w:tc>
        <w:tc>
          <w:tcPr>
            <w:tcW w:w="398" w:type="pct"/>
            <w:vMerge w:val="continue"/>
            <w:tcBorders>
              <w:tl2br w:val="nil"/>
              <w:tr2bl w:val="nil"/>
            </w:tcBorders>
            <w:shd w:val="clear" w:color="000000" w:fill="auto"/>
            <w:vAlign w:val="center"/>
          </w:tcPr>
          <w:p w14:paraId="4BF49476">
            <w:pPr>
              <w:jc w:val="center"/>
              <w:rPr>
                <w:color w:val="auto"/>
                <w:sz w:val="21"/>
                <w:szCs w:val="21"/>
              </w:rPr>
            </w:pPr>
          </w:p>
        </w:tc>
        <w:tc>
          <w:tcPr>
            <w:tcW w:w="456" w:type="pct"/>
            <w:tcBorders>
              <w:tl2br w:val="nil"/>
              <w:tr2bl w:val="nil"/>
            </w:tcBorders>
            <w:shd w:val="clear" w:color="000000" w:fill="auto"/>
            <w:vAlign w:val="center"/>
          </w:tcPr>
          <w:p w14:paraId="1DD9C253">
            <w:pPr>
              <w:jc w:val="center"/>
              <w:rPr>
                <w:color w:val="auto"/>
                <w:sz w:val="21"/>
                <w:szCs w:val="21"/>
              </w:rPr>
            </w:pPr>
            <w:r>
              <w:rPr>
                <w:rFonts w:hint="eastAsia"/>
                <w:color w:val="auto"/>
                <w:sz w:val="21"/>
                <w:szCs w:val="21"/>
                <w:lang w:val="en-US" w:eastAsia="zh-CN"/>
              </w:rPr>
              <w:t>臭气浓度</w:t>
            </w:r>
          </w:p>
        </w:tc>
        <w:tc>
          <w:tcPr>
            <w:tcW w:w="558" w:type="pct"/>
            <w:vMerge w:val="continue"/>
            <w:tcBorders>
              <w:tl2br w:val="nil"/>
              <w:tr2bl w:val="nil"/>
            </w:tcBorders>
            <w:shd w:val="clear" w:color="000000" w:fill="auto"/>
            <w:vAlign w:val="center"/>
          </w:tcPr>
          <w:p w14:paraId="40A08365">
            <w:pPr>
              <w:jc w:val="center"/>
              <w:rPr>
                <w:color w:val="auto"/>
                <w:sz w:val="21"/>
                <w:szCs w:val="21"/>
              </w:rPr>
            </w:pPr>
          </w:p>
        </w:tc>
        <w:tc>
          <w:tcPr>
            <w:tcW w:w="950" w:type="pct"/>
            <w:vMerge w:val="continue"/>
            <w:tcBorders>
              <w:tl2br w:val="nil"/>
              <w:tr2bl w:val="nil"/>
            </w:tcBorders>
            <w:shd w:val="clear" w:color="000000" w:fill="auto"/>
            <w:vAlign w:val="center"/>
          </w:tcPr>
          <w:p w14:paraId="4D01E960">
            <w:pPr>
              <w:jc w:val="center"/>
              <w:rPr>
                <w:color w:val="auto"/>
                <w:sz w:val="21"/>
                <w:szCs w:val="21"/>
              </w:rPr>
            </w:pPr>
          </w:p>
        </w:tc>
        <w:tc>
          <w:tcPr>
            <w:tcW w:w="889" w:type="pct"/>
            <w:vMerge w:val="continue"/>
            <w:tcBorders>
              <w:tl2br w:val="nil"/>
              <w:tr2bl w:val="nil"/>
            </w:tcBorders>
            <w:shd w:val="clear" w:color="000000" w:fill="auto"/>
            <w:vAlign w:val="center"/>
          </w:tcPr>
          <w:p w14:paraId="5B605B4D">
            <w:pPr>
              <w:jc w:val="center"/>
              <w:rPr>
                <w:color w:val="auto"/>
                <w:sz w:val="21"/>
                <w:szCs w:val="21"/>
              </w:rPr>
            </w:pPr>
          </w:p>
        </w:tc>
        <w:tc>
          <w:tcPr>
            <w:tcW w:w="381" w:type="pct"/>
            <w:vMerge w:val="continue"/>
            <w:tcBorders>
              <w:tl2br w:val="nil"/>
              <w:tr2bl w:val="nil"/>
            </w:tcBorders>
            <w:shd w:val="clear" w:color="000000" w:fill="auto"/>
            <w:vAlign w:val="center"/>
          </w:tcPr>
          <w:p w14:paraId="6F885FEA">
            <w:pPr>
              <w:jc w:val="center"/>
              <w:rPr>
                <w:color w:val="auto"/>
                <w:sz w:val="21"/>
                <w:szCs w:val="21"/>
              </w:rPr>
            </w:pPr>
          </w:p>
        </w:tc>
        <w:tc>
          <w:tcPr>
            <w:tcW w:w="488" w:type="pct"/>
            <w:vMerge w:val="continue"/>
            <w:tcBorders>
              <w:tl2br w:val="nil"/>
              <w:tr2bl w:val="nil"/>
            </w:tcBorders>
            <w:shd w:val="clear" w:color="000000" w:fill="auto"/>
            <w:vAlign w:val="center"/>
          </w:tcPr>
          <w:p w14:paraId="4C4A0DEE">
            <w:pPr>
              <w:jc w:val="center"/>
              <w:rPr>
                <w:color w:val="auto"/>
                <w:sz w:val="21"/>
                <w:szCs w:val="21"/>
              </w:rPr>
            </w:pPr>
          </w:p>
        </w:tc>
        <w:tc>
          <w:tcPr>
            <w:tcW w:w="693" w:type="pct"/>
            <w:vMerge w:val="continue"/>
            <w:tcBorders>
              <w:tl2br w:val="nil"/>
              <w:tr2bl w:val="nil"/>
            </w:tcBorders>
            <w:shd w:val="clear" w:color="000000" w:fill="auto"/>
            <w:vAlign w:val="center"/>
          </w:tcPr>
          <w:p w14:paraId="59AF5AA2">
            <w:pPr>
              <w:jc w:val="center"/>
              <w:rPr>
                <w:color w:val="auto"/>
                <w:sz w:val="21"/>
                <w:szCs w:val="21"/>
              </w:rPr>
            </w:pPr>
          </w:p>
        </w:tc>
      </w:tr>
      <w:tr w14:paraId="3F517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28818CE2">
            <w:pPr>
              <w:jc w:val="center"/>
              <w:rPr>
                <w:color w:val="auto"/>
                <w:sz w:val="21"/>
                <w:szCs w:val="21"/>
              </w:rPr>
            </w:pPr>
          </w:p>
        </w:tc>
        <w:tc>
          <w:tcPr>
            <w:tcW w:w="398" w:type="pct"/>
            <w:vMerge w:val="restart"/>
            <w:tcBorders>
              <w:tl2br w:val="nil"/>
              <w:tr2bl w:val="nil"/>
            </w:tcBorders>
            <w:shd w:val="clear" w:color="000000" w:fill="auto"/>
            <w:vAlign w:val="center"/>
          </w:tcPr>
          <w:p w14:paraId="6AE2CED9">
            <w:pPr>
              <w:jc w:val="center"/>
              <w:rPr>
                <w:color w:val="auto"/>
                <w:sz w:val="21"/>
                <w:szCs w:val="21"/>
              </w:rPr>
            </w:pPr>
            <w:r>
              <w:rPr>
                <w:rFonts w:hint="eastAsia"/>
                <w:color w:val="auto"/>
                <w:sz w:val="21"/>
                <w:szCs w:val="21"/>
                <w:lang w:val="en-US" w:eastAsia="zh-CN"/>
              </w:rPr>
              <w:t>污水处理站</w:t>
            </w:r>
          </w:p>
        </w:tc>
        <w:tc>
          <w:tcPr>
            <w:tcW w:w="456" w:type="pct"/>
            <w:tcBorders>
              <w:tl2br w:val="nil"/>
              <w:tr2bl w:val="nil"/>
            </w:tcBorders>
            <w:shd w:val="clear" w:color="000000" w:fill="auto"/>
            <w:vAlign w:val="center"/>
          </w:tcPr>
          <w:p w14:paraId="40FDB0D5">
            <w:pPr>
              <w:jc w:val="center"/>
              <w:rPr>
                <w:color w:val="auto"/>
                <w:sz w:val="21"/>
                <w:szCs w:val="21"/>
              </w:rPr>
            </w:pPr>
            <w:r>
              <w:rPr>
                <w:rFonts w:hint="eastAsia"/>
                <w:color w:val="auto"/>
                <w:sz w:val="21"/>
                <w:szCs w:val="21"/>
                <w:lang w:val="en-US" w:eastAsia="zh-CN"/>
              </w:rPr>
              <w:t>NH</w:t>
            </w:r>
            <w:r>
              <w:rPr>
                <w:rFonts w:hint="eastAsia"/>
                <w:color w:val="auto"/>
                <w:sz w:val="21"/>
                <w:szCs w:val="21"/>
                <w:vertAlign w:val="subscript"/>
                <w:lang w:val="en-US" w:eastAsia="zh-CN"/>
              </w:rPr>
              <w:t>3</w:t>
            </w:r>
          </w:p>
        </w:tc>
        <w:tc>
          <w:tcPr>
            <w:tcW w:w="558" w:type="pct"/>
            <w:vMerge w:val="restart"/>
            <w:tcBorders>
              <w:tl2br w:val="nil"/>
              <w:tr2bl w:val="nil"/>
            </w:tcBorders>
            <w:shd w:val="clear" w:color="000000" w:fill="auto"/>
            <w:vAlign w:val="center"/>
          </w:tcPr>
          <w:p w14:paraId="78A0603E">
            <w:pPr>
              <w:jc w:val="center"/>
              <w:rPr>
                <w:color w:val="auto"/>
                <w:sz w:val="21"/>
                <w:szCs w:val="21"/>
              </w:rPr>
            </w:pPr>
            <w:r>
              <w:rPr>
                <w:rFonts w:hint="eastAsia"/>
                <w:color w:val="auto"/>
                <w:sz w:val="21"/>
                <w:szCs w:val="21"/>
                <w:lang w:val="en-US" w:eastAsia="zh-CN"/>
              </w:rPr>
              <w:t>厂区绿化</w:t>
            </w:r>
          </w:p>
        </w:tc>
        <w:tc>
          <w:tcPr>
            <w:tcW w:w="950" w:type="pct"/>
            <w:vMerge w:val="restart"/>
            <w:tcBorders>
              <w:tl2br w:val="nil"/>
              <w:tr2bl w:val="nil"/>
            </w:tcBorders>
            <w:shd w:val="clear" w:color="000000" w:fill="auto"/>
            <w:vAlign w:val="center"/>
          </w:tcPr>
          <w:p w14:paraId="76EB88F4">
            <w:pPr>
              <w:jc w:val="center"/>
              <w:rPr>
                <w:color w:val="auto"/>
                <w:sz w:val="21"/>
                <w:szCs w:val="21"/>
              </w:rPr>
            </w:pPr>
            <w:r>
              <w:rPr>
                <w:color w:val="auto"/>
                <w:sz w:val="21"/>
                <w:szCs w:val="21"/>
              </w:rPr>
              <w:t>厂界</w:t>
            </w:r>
          </w:p>
        </w:tc>
        <w:tc>
          <w:tcPr>
            <w:tcW w:w="889" w:type="pct"/>
            <w:vMerge w:val="restart"/>
            <w:tcBorders>
              <w:tl2br w:val="nil"/>
              <w:tr2bl w:val="nil"/>
            </w:tcBorders>
            <w:shd w:val="clear" w:color="000000" w:fill="auto"/>
            <w:vAlign w:val="center"/>
          </w:tcPr>
          <w:p w14:paraId="1A57F02E">
            <w:pPr>
              <w:jc w:val="center"/>
              <w:rPr>
                <w:color w:val="auto"/>
                <w:sz w:val="21"/>
                <w:szCs w:val="21"/>
              </w:rPr>
            </w:pPr>
            <w:r>
              <w:rPr>
                <w:color w:val="auto"/>
                <w:sz w:val="21"/>
                <w:szCs w:val="21"/>
              </w:rPr>
              <w:t>《恶臭污染物排放标准》（GB14554-1993）表1恶臭污染物厂界标准值要求</w:t>
            </w:r>
          </w:p>
        </w:tc>
        <w:tc>
          <w:tcPr>
            <w:tcW w:w="381" w:type="pct"/>
            <w:vMerge w:val="restart"/>
            <w:tcBorders>
              <w:tl2br w:val="nil"/>
              <w:tr2bl w:val="nil"/>
            </w:tcBorders>
            <w:shd w:val="clear" w:color="000000" w:fill="auto"/>
            <w:vAlign w:val="center"/>
          </w:tcPr>
          <w:p w14:paraId="0895D481">
            <w:pPr>
              <w:jc w:val="center"/>
              <w:rPr>
                <w:color w:val="auto"/>
                <w:sz w:val="21"/>
                <w:szCs w:val="21"/>
              </w:rPr>
            </w:pPr>
            <w:r>
              <w:rPr>
                <w:color w:val="auto"/>
                <w:sz w:val="21"/>
                <w:szCs w:val="21"/>
              </w:rPr>
              <w:t>1次/季度</w:t>
            </w:r>
          </w:p>
        </w:tc>
        <w:tc>
          <w:tcPr>
            <w:tcW w:w="488" w:type="pct"/>
            <w:vMerge w:val="restart"/>
            <w:tcBorders>
              <w:tl2br w:val="nil"/>
              <w:tr2bl w:val="nil"/>
            </w:tcBorders>
            <w:shd w:val="clear" w:color="000000" w:fill="auto"/>
            <w:vAlign w:val="center"/>
          </w:tcPr>
          <w:p w14:paraId="52D17568">
            <w:pPr>
              <w:jc w:val="center"/>
              <w:rPr>
                <w:color w:val="auto"/>
                <w:sz w:val="21"/>
                <w:szCs w:val="21"/>
              </w:rPr>
            </w:pPr>
            <w:r>
              <w:rPr>
                <w:color w:val="auto"/>
                <w:sz w:val="21"/>
                <w:szCs w:val="21"/>
              </w:rPr>
              <w:t>手工监测技术</w:t>
            </w:r>
          </w:p>
          <w:p w14:paraId="312B5D0F">
            <w:pPr>
              <w:jc w:val="center"/>
              <w:rPr>
                <w:color w:val="auto"/>
                <w:sz w:val="21"/>
                <w:szCs w:val="21"/>
              </w:rPr>
            </w:pPr>
          </w:p>
        </w:tc>
        <w:tc>
          <w:tcPr>
            <w:tcW w:w="693" w:type="pct"/>
            <w:vMerge w:val="continue"/>
            <w:tcBorders>
              <w:tl2br w:val="nil"/>
              <w:tr2bl w:val="nil"/>
            </w:tcBorders>
            <w:shd w:val="clear" w:color="000000" w:fill="auto"/>
            <w:vAlign w:val="center"/>
          </w:tcPr>
          <w:p w14:paraId="1404C611">
            <w:pPr>
              <w:jc w:val="center"/>
              <w:rPr>
                <w:color w:val="auto"/>
                <w:sz w:val="21"/>
                <w:szCs w:val="21"/>
              </w:rPr>
            </w:pPr>
          </w:p>
        </w:tc>
      </w:tr>
      <w:tr w14:paraId="6C237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23485CAA">
            <w:pPr>
              <w:jc w:val="center"/>
              <w:rPr>
                <w:color w:val="auto"/>
                <w:sz w:val="21"/>
                <w:szCs w:val="21"/>
              </w:rPr>
            </w:pPr>
          </w:p>
        </w:tc>
        <w:tc>
          <w:tcPr>
            <w:tcW w:w="398" w:type="pct"/>
            <w:vMerge w:val="continue"/>
            <w:tcBorders>
              <w:tl2br w:val="nil"/>
              <w:tr2bl w:val="nil"/>
            </w:tcBorders>
            <w:shd w:val="clear" w:color="000000" w:fill="auto"/>
            <w:vAlign w:val="center"/>
          </w:tcPr>
          <w:p w14:paraId="52D2540B">
            <w:pPr>
              <w:jc w:val="center"/>
              <w:rPr>
                <w:color w:val="auto"/>
                <w:sz w:val="21"/>
                <w:szCs w:val="21"/>
              </w:rPr>
            </w:pPr>
          </w:p>
        </w:tc>
        <w:tc>
          <w:tcPr>
            <w:tcW w:w="456" w:type="pct"/>
            <w:tcBorders>
              <w:tl2br w:val="nil"/>
              <w:tr2bl w:val="nil"/>
            </w:tcBorders>
            <w:shd w:val="clear" w:color="000000" w:fill="auto"/>
            <w:vAlign w:val="center"/>
          </w:tcPr>
          <w:p w14:paraId="7FCDD847">
            <w:pPr>
              <w:jc w:val="center"/>
              <w:rPr>
                <w:color w:val="auto"/>
                <w:sz w:val="21"/>
                <w:szCs w:val="21"/>
              </w:rPr>
            </w:pP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p>
        </w:tc>
        <w:tc>
          <w:tcPr>
            <w:tcW w:w="558" w:type="pct"/>
            <w:vMerge w:val="continue"/>
            <w:tcBorders>
              <w:tl2br w:val="nil"/>
              <w:tr2bl w:val="nil"/>
            </w:tcBorders>
            <w:shd w:val="clear" w:color="000000" w:fill="auto"/>
            <w:vAlign w:val="center"/>
          </w:tcPr>
          <w:p w14:paraId="58068D7A">
            <w:pPr>
              <w:jc w:val="center"/>
              <w:rPr>
                <w:color w:val="auto"/>
                <w:sz w:val="21"/>
                <w:szCs w:val="21"/>
              </w:rPr>
            </w:pPr>
          </w:p>
        </w:tc>
        <w:tc>
          <w:tcPr>
            <w:tcW w:w="950" w:type="pct"/>
            <w:vMerge w:val="continue"/>
            <w:tcBorders>
              <w:tl2br w:val="nil"/>
              <w:tr2bl w:val="nil"/>
            </w:tcBorders>
            <w:shd w:val="clear" w:color="000000" w:fill="auto"/>
            <w:vAlign w:val="center"/>
          </w:tcPr>
          <w:p w14:paraId="7A9CD640">
            <w:pPr>
              <w:jc w:val="center"/>
              <w:rPr>
                <w:color w:val="auto"/>
                <w:sz w:val="21"/>
                <w:szCs w:val="21"/>
              </w:rPr>
            </w:pPr>
          </w:p>
        </w:tc>
        <w:tc>
          <w:tcPr>
            <w:tcW w:w="889" w:type="pct"/>
            <w:vMerge w:val="continue"/>
            <w:tcBorders>
              <w:tl2br w:val="nil"/>
              <w:tr2bl w:val="nil"/>
            </w:tcBorders>
            <w:shd w:val="clear" w:color="000000" w:fill="auto"/>
            <w:vAlign w:val="center"/>
          </w:tcPr>
          <w:p w14:paraId="3D2FB6B8">
            <w:pPr>
              <w:jc w:val="center"/>
              <w:rPr>
                <w:color w:val="auto"/>
                <w:sz w:val="21"/>
                <w:szCs w:val="21"/>
              </w:rPr>
            </w:pPr>
          </w:p>
        </w:tc>
        <w:tc>
          <w:tcPr>
            <w:tcW w:w="381" w:type="pct"/>
            <w:vMerge w:val="continue"/>
            <w:tcBorders>
              <w:tl2br w:val="nil"/>
              <w:tr2bl w:val="nil"/>
            </w:tcBorders>
            <w:shd w:val="clear" w:color="000000" w:fill="auto"/>
            <w:vAlign w:val="center"/>
          </w:tcPr>
          <w:p w14:paraId="048A0FF9">
            <w:pPr>
              <w:jc w:val="center"/>
              <w:rPr>
                <w:color w:val="auto"/>
                <w:sz w:val="21"/>
                <w:szCs w:val="21"/>
              </w:rPr>
            </w:pPr>
          </w:p>
        </w:tc>
        <w:tc>
          <w:tcPr>
            <w:tcW w:w="488" w:type="pct"/>
            <w:vMerge w:val="continue"/>
            <w:tcBorders>
              <w:tl2br w:val="nil"/>
              <w:tr2bl w:val="nil"/>
            </w:tcBorders>
            <w:shd w:val="clear" w:color="000000" w:fill="auto"/>
            <w:vAlign w:val="center"/>
          </w:tcPr>
          <w:p w14:paraId="6A65D64A">
            <w:pPr>
              <w:jc w:val="center"/>
              <w:rPr>
                <w:color w:val="auto"/>
                <w:sz w:val="21"/>
                <w:szCs w:val="21"/>
              </w:rPr>
            </w:pPr>
          </w:p>
        </w:tc>
        <w:tc>
          <w:tcPr>
            <w:tcW w:w="693" w:type="pct"/>
            <w:vMerge w:val="continue"/>
            <w:tcBorders>
              <w:tl2br w:val="nil"/>
              <w:tr2bl w:val="nil"/>
            </w:tcBorders>
            <w:shd w:val="clear" w:color="000000" w:fill="auto"/>
            <w:vAlign w:val="center"/>
          </w:tcPr>
          <w:p w14:paraId="494E79E9">
            <w:pPr>
              <w:jc w:val="center"/>
              <w:rPr>
                <w:color w:val="auto"/>
                <w:sz w:val="21"/>
                <w:szCs w:val="21"/>
              </w:rPr>
            </w:pPr>
          </w:p>
        </w:tc>
      </w:tr>
      <w:tr w14:paraId="21BDB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4BEB7253">
            <w:pPr>
              <w:jc w:val="center"/>
              <w:rPr>
                <w:color w:val="auto"/>
                <w:sz w:val="21"/>
                <w:szCs w:val="21"/>
              </w:rPr>
            </w:pPr>
          </w:p>
        </w:tc>
        <w:tc>
          <w:tcPr>
            <w:tcW w:w="398" w:type="pct"/>
            <w:vMerge w:val="continue"/>
            <w:tcBorders>
              <w:tl2br w:val="nil"/>
              <w:tr2bl w:val="nil"/>
            </w:tcBorders>
            <w:shd w:val="clear" w:color="000000" w:fill="auto"/>
            <w:vAlign w:val="center"/>
          </w:tcPr>
          <w:p w14:paraId="4449B976">
            <w:pPr>
              <w:jc w:val="center"/>
              <w:rPr>
                <w:color w:val="auto"/>
                <w:sz w:val="21"/>
                <w:szCs w:val="21"/>
              </w:rPr>
            </w:pPr>
          </w:p>
        </w:tc>
        <w:tc>
          <w:tcPr>
            <w:tcW w:w="456" w:type="pct"/>
            <w:tcBorders>
              <w:tl2br w:val="nil"/>
              <w:tr2bl w:val="nil"/>
            </w:tcBorders>
            <w:shd w:val="clear" w:color="000000" w:fill="auto"/>
            <w:vAlign w:val="center"/>
          </w:tcPr>
          <w:p w14:paraId="2A40A2F4">
            <w:pPr>
              <w:jc w:val="center"/>
              <w:rPr>
                <w:color w:val="auto"/>
                <w:sz w:val="21"/>
                <w:szCs w:val="21"/>
              </w:rPr>
            </w:pPr>
            <w:r>
              <w:rPr>
                <w:rFonts w:hint="eastAsia"/>
                <w:color w:val="auto"/>
                <w:sz w:val="21"/>
                <w:szCs w:val="21"/>
                <w:lang w:val="en-US" w:eastAsia="zh-CN"/>
              </w:rPr>
              <w:t>臭气浓度</w:t>
            </w:r>
          </w:p>
        </w:tc>
        <w:tc>
          <w:tcPr>
            <w:tcW w:w="558" w:type="pct"/>
            <w:vMerge w:val="continue"/>
            <w:tcBorders>
              <w:tl2br w:val="nil"/>
              <w:tr2bl w:val="nil"/>
            </w:tcBorders>
            <w:shd w:val="clear" w:color="000000" w:fill="auto"/>
            <w:vAlign w:val="center"/>
          </w:tcPr>
          <w:p w14:paraId="1B600986">
            <w:pPr>
              <w:jc w:val="center"/>
              <w:rPr>
                <w:color w:val="auto"/>
                <w:sz w:val="21"/>
                <w:szCs w:val="21"/>
              </w:rPr>
            </w:pPr>
          </w:p>
        </w:tc>
        <w:tc>
          <w:tcPr>
            <w:tcW w:w="950" w:type="pct"/>
            <w:vMerge w:val="continue"/>
            <w:tcBorders>
              <w:tl2br w:val="nil"/>
              <w:tr2bl w:val="nil"/>
            </w:tcBorders>
            <w:shd w:val="clear" w:color="000000" w:fill="auto"/>
            <w:vAlign w:val="center"/>
          </w:tcPr>
          <w:p w14:paraId="67053B26">
            <w:pPr>
              <w:jc w:val="center"/>
              <w:rPr>
                <w:color w:val="auto"/>
                <w:sz w:val="21"/>
                <w:szCs w:val="21"/>
              </w:rPr>
            </w:pPr>
          </w:p>
        </w:tc>
        <w:tc>
          <w:tcPr>
            <w:tcW w:w="889" w:type="pct"/>
            <w:vMerge w:val="continue"/>
            <w:tcBorders>
              <w:tl2br w:val="nil"/>
              <w:tr2bl w:val="nil"/>
            </w:tcBorders>
            <w:shd w:val="clear" w:color="000000" w:fill="auto"/>
            <w:vAlign w:val="center"/>
          </w:tcPr>
          <w:p w14:paraId="6DF7D5ED">
            <w:pPr>
              <w:jc w:val="center"/>
              <w:rPr>
                <w:color w:val="auto"/>
                <w:sz w:val="21"/>
                <w:szCs w:val="21"/>
              </w:rPr>
            </w:pPr>
          </w:p>
        </w:tc>
        <w:tc>
          <w:tcPr>
            <w:tcW w:w="381" w:type="pct"/>
            <w:vMerge w:val="continue"/>
            <w:tcBorders>
              <w:tl2br w:val="nil"/>
              <w:tr2bl w:val="nil"/>
            </w:tcBorders>
            <w:shd w:val="clear" w:color="000000" w:fill="auto"/>
            <w:vAlign w:val="center"/>
          </w:tcPr>
          <w:p w14:paraId="542041E8">
            <w:pPr>
              <w:jc w:val="center"/>
              <w:rPr>
                <w:color w:val="auto"/>
                <w:sz w:val="21"/>
                <w:szCs w:val="21"/>
              </w:rPr>
            </w:pPr>
          </w:p>
        </w:tc>
        <w:tc>
          <w:tcPr>
            <w:tcW w:w="488" w:type="pct"/>
            <w:vMerge w:val="continue"/>
            <w:tcBorders>
              <w:tl2br w:val="nil"/>
              <w:tr2bl w:val="nil"/>
            </w:tcBorders>
            <w:shd w:val="clear" w:color="000000" w:fill="auto"/>
            <w:vAlign w:val="center"/>
          </w:tcPr>
          <w:p w14:paraId="04FA7E33">
            <w:pPr>
              <w:jc w:val="center"/>
              <w:rPr>
                <w:color w:val="auto"/>
                <w:sz w:val="21"/>
                <w:szCs w:val="21"/>
              </w:rPr>
            </w:pPr>
          </w:p>
        </w:tc>
        <w:tc>
          <w:tcPr>
            <w:tcW w:w="693" w:type="pct"/>
            <w:vMerge w:val="continue"/>
            <w:tcBorders>
              <w:tl2br w:val="nil"/>
              <w:tr2bl w:val="nil"/>
            </w:tcBorders>
            <w:shd w:val="clear" w:color="000000" w:fill="auto"/>
            <w:vAlign w:val="center"/>
          </w:tcPr>
          <w:p w14:paraId="368D6B4C">
            <w:pPr>
              <w:jc w:val="center"/>
              <w:rPr>
                <w:color w:val="auto"/>
                <w:sz w:val="21"/>
                <w:szCs w:val="21"/>
              </w:rPr>
            </w:pPr>
          </w:p>
        </w:tc>
      </w:tr>
      <w:tr w14:paraId="54DBE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restart"/>
            <w:tcBorders>
              <w:tl2br w:val="nil"/>
              <w:tr2bl w:val="nil"/>
            </w:tcBorders>
            <w:shd w:val="clear" w:color="000000" w:fill="auto"/>
            <w:vAlign w:val="center"/>
          </w:tcPr>
          <w:p w14:paraId="30952097">
            <w:pPr>
              <w:jc w:val="center"/>
              <w:rPr>
                <w:rFonts w:hint="eastAsia" w:eastAsia="宋体"/>
                <w:color w:val="auto"/>
                <w:sz w:val="21"/>
                <w:szCs w:val="21"/>
                <w:lang w:val="en-US" w:eastAsia="zh-CN"/>
              </w:rPr>
            </w:pPr>
            <w:r>
              <w:rPr>
                <w:rFonts w:hint="eastAsia"/>
                <w:color w:val="auto"/>
                <w:sz w:val="21"/>
                <w:szCs w:val="21"/>
                <w:lang w:val="en-US" w:eastAsia="zh-CN"/>
              </w:rPr>
              <w:t>废水</w:t>
            </w:r>
          </w:p>
        </w:tc>
        <w:tc>
          <w:tcPr>
            <w:tcW w:w="398" w:type="pct"/>
            <w:vMerge w:val="restart"/>
            <w:tcBorders>
              <w:tl2br w:val="nil"/>
              <w:tr2bl w:val="nil"/>
            </w:tcBorders>
            <w:shd w:val="clear" w:color="000000" w:fill="auto"/>
            <w:vAlign w:val="center"/>
          </w:tcPr>
          <w:p w14:paraId="1B2993CF">
            <w:pPr>
              <w:jc w:val="center"/>
              <w:rPr>
                <w:rFonts w:hint="default" w:eastAsia="宋体"/>
                <w:color w:val="auto"/>
                <w:sz w:val="21"/>
                <w:szCs w:val="21"/>
                <w:lang w:val="en-US" w:eastAsia="zh-CN"/>
              </w:rPr>
            </w:pPr>
            <w:r>
              <w:rPr>
                <w:rFonts w:hint="eastAsia"/>
                <w:color w:val="auto"/>
                <w:sz w:val="21"/>
                <w:szCs w:val="21"/>
                <w:lang w:val="en-US" w:eastAsia="zh-CN"/>
              </w:rPr>
              <w:t>生产废水</w:t>
            </w:r>
          </w:p>
        </w:tc>
        <w:tc>
          <w:tcPr>
            <w:tcW w:w="456" w:type="pct"/>
            <w:tcBorders>
              <w:tl2br w:val="nil"/>
              <w:tr2bl w:val="nil"/>
            </w:tcBorders>
            <w:shd w:val="clear" w:color="000000" w:fill="auto"/>
            <w:vAlign w:val="center"/>
          </w:tcPr>
          <w:p w14:paraId="2B298E67">
            <w:pPr>
              <w:jc w:val="center"/>
              <w:rPr>
                <w:rFonts w:hint="eastAsia"/>
                <w:color w:val="auto"/>
                <w:sz w:val="21"/>
                <w:szCs w:val="21"/>
                <w:lang w:val="en-US" w:eastAsia="zh-CN"/>
              </w:rPr>
            </w:pPr>
            <w:r>
              <w:rPr>
                <w:rFonts w:hint="eastAsia"/>
                <w:color w:val="auto"/>
                <w:sz w:val="21"/>
                <w:szCs w:val="21"/>
                <w:lang w:val="en-US" w:eastAsia="zh-CN"/>
              </w:rPr>
              <w:t>COD</w:t>
            </w:r>
          </w:p>
        </w:tc>
        <w:tc>
          <w:tcPr>
            <w:tcW w:w="558" w:type="pct"/>
            <w:vMerge w:val="restart"/>
            <w:tcBorders>
              <w:tl2br w:val="nil"/>
              <w:tr2bl w:val="nil"/>
            </w:tcBorders>
            <w:shd w:val="clear" w:color="000000" w:fill="auto"/>
            <w:vAlign w:val="center"/>
          </w:tcPr>
          <w:p w14:paraId="3517E2B9">
            <w:pPr>
              <w:jc w:val="center"/>
              <w:rPr>
                <w:color w:val="auto"/>
                <w:sz w:val="21"/>
                <w:szCs w:val="21"/>
              </w:rPr>
            </w:pPr>
            <w:r>
              <w:rPr>
                <w:color w:val="auto"/>
                <w:sz w:val="21"/>
                <w:szCs w:val="21"/>
              </w:rPr>
              <w:t>SPIC厌氧+生物接触氧化+</w:t>
            </w:r>
            <w:r>
              <w:rPr>
                <w:rFonts w:hint="eastAsia"/>
                <w:color w:val="auto"/>
                <w:sz w:val="21"/>
                <w:szCs w:val="21"/>
                <w:lang w:val="en-US" w:eastAsia="zh-CN"/>
              </w:rPr>
              <w:t>活性砂滤</w:t>
            </w:r>
          </w:p>
        </w:tc>
        <w:tc>
          <w:tcPr>
            <w:tcW w:w="950" w:type="pct"/>
            <w:vMerge w:val="restart"/>
            <w:tcBorders>
              <w:tl2br w:val="nil"/>
              <w:tr2bl w:val="nil"/>
            </w:tcBorders>
            <w:shd w:val="clear" w:color="000000" w:fill="auto"/>
            <w:vAlign w:val="center"/>
          </w:tcPr>
          <w:p w14:paraId="4125F18C">
            <w:pPr>
              <w:jc w:val="center"/>
              <w:rPr>
                <w:rFonts w:hint="default" w:eastAsia="宋体"/>
                <w:color w:val="auto"/>
                <w:sz w:val="21"/>
                <w:szCs w:val="21"/>
                <w:lang w:val="en-US" w:eastAsia="zh-CN"/>
              </w:rPr>
            </w:pPr>
            <w:r>
              <w:rPr>
                <w:rFonts w:hint="eastAsia"/>
                <w:color w:val="auto"/>
                <w:sz w:val="21"/>
                <w:szCs w:val="21"/>
                <w:lang w:val="en-US" w:eastAsia="zh-CN"/>
              </w:rPr>
              <w:t>总排口</w:t>
            </w:r>
          </w:p>
        </w:tc>
        <w:tc>
          <w:tcPr>
            <w:tcW w:w="889" w:type="pct"/>
            <w:vMerge w:val="restart"/>
            <w:tcBorders>
              <w:tl2br w:val="nil"/>
              <w:tr2bl w:val="nil"/>
            </w:tcBorders>
            <w:shd w:val="clear" w:color="000000" w:fill="auto"/>
            <w:vAlign w:val="center"/>
          </w:tcPr>
          <w:p w14:paraId="6E108B07">
            <w:pPr>
              <w:jc w:val="center"/>
              <w:rPr>
                <w:color w:val="auto"/>
                <w:sz w:val="21"/>
                <w:szCs w:val="21"/>
              </w:rPr>
            </w:pPr>
            <w:r>
              <w:rPr>
                <w:color w:val="auto"/>
                <w:sz w:val="21"/>
                <w:szCs w:val="21"/>
              </w:rPr>
              <w:t>《城镇污水处理厂污染物排放标准》（GB18918-2002）中一级标准中的</w:t>
            </w:r>
            <w:r>
              <w:rPr>
                <w:rFonts w:hint="eastAsia"/>
                <w:color w:val="auto"/>
                <w:sz w:val="21"/>
                <w:szCs w:val="21"/>
              </w:rPr>
              <w:t>A标准</w:t>
            </w:r>
          </w:p>
        </w:tc>
        <w:tc>
          <w:tcPr>
            <w:tcW w:w="381" w:type="pct"/>
            <w:vMerge w:val="restart"/>
            <w:tcBorders>
              <w:tl2br w:val="nil"/>
              <w:tr2bl w:val="nil"/>
            </w:tcBorders>
            <w:shd w:val="clear" w:color="000000" w:fill="auto"/>
            <w:vAlign w:val="center"/>
          </w:tcPr>
          <w:p w14:paraId="60F7CEC7">
            <w:pPr>
              <w:jc w:val="center"/>
              <w:rPr>
                <w:rFonts w:hint="eastAsia" w:eastAsia="宋体"/>
                <w:color w:val="auto"/>
                <w:sz w:val="21"/>
                <w:szCs w:val="21"/>
                <w:lang w:val="en-US" w:eastAsia="zh-CN"/>
              </w:rPr>
            </w:pPr>
            <w:r>
              <w:rPr>
                <w:rFonts w:hint="eastAsia"/>
                <w:color w:val="auto"/>
                <w:sz w:val="21"/>
                <w:szCs w:val="21"/>
                <w:lang w:val="en-US" w:eastAsia="zh-CN"/>
              </w:rPr>
              <w:t>自动监测</w:t>
            </w:r>
          </w:p>
        </w:tc>
        <w:tc>
          <w:tcPr>
            <w:tcW w:w="488" w:type="pct"/>
            <w:vMerge w:val="restart"/>
            <w:tcBorders>
              <w:tl2br w:val="nil"/>
              <w:tr2bl w:val="nil"/>
            </w:tcBorders>
            <w:shd w:val="clear" w:color="000000" w:fill="auto"/>
            <w:vAlign w:val="center"/>
          </w:tcPr>
          <w:p w14:paraId="237E14DF">
            <w:pPr>
              <w:jc w:val="center"/>
              <w:rPr>
                <w:rFonts w:hint="default" w:eastAsia="宋体"/>
                <w:color w:val="auto"/>
                <w:sz w:val="21"/>
                <w:szCs w:val="21"/>
                <w:lang w:val="en-US" w:eastAsia="zh-CN"/>
              </w:rPr>
            </w:pPr>
            <w:r>
              <w:rPr>
                <w:rFonts w:hint="eastAsia"/>
                <w:color w:val="auto"/>
                <w:sz w:val="21"/>
                <w:szCs w:val="21"/>
                <w:lang w:val="en-US" w:eastAsia="zh-CN"/>
              </w:rPr>
              <w:t>在线监测</w:t>
            </w:r>
          </w:p>
        </w:tc>
        <w:tc>
          <w:tcPr>
            <w:tcW w:w="693" w:type="pct"/>
            <w:vMerge w:val="restart"/>
            <w:tcBorders>
              <w:tl2br w:val="nil"/>
              <w:tr2bl w:val="nil"/>
            </w:tcBorders>
            <w:shd w:val="clear" w:color="000000" w:fill="auto"/>
            <w:vAlign w:val="center"/>
          </w:tcPr>
          <w:p w14:paraId="0EB4B5E4">
            <w:pPr>
              <w:jc w:val="center"/>
              <w:rPr>
                <w:color w:val="auto"/>
                <w:sz w:val="21"/>
                <w:szCs w:val="21"/>
              </w:rPr>
            </w:pPr>
            <w:r>
              <w:rPr>
                <w:color w:val="auto"/>
                <w:sz w:val="21"/>
                <w:szCs w:val="21"/>
              </w:rPr>
              <w:t>《城镇污水处理厂污染物排放标准》（GB18918-2002）</w:t>
            </w:r>
          </w:p>
        </w:tc>
      </w:tr>
      <w:tr w14:paraId="721E3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7A164F5E">
            <w:pPr>
              <w:jc w:val="center"/>
              <w:rPr>
                <w:color w:val="auto"/>
                <w:sz w:val="21"/>
                <w:szCs w:val="21"/>
              </w:rPr>
            </w:pPr>
          </w:p>
        </w:tc>
        <w:tc>
          <w:tcPr>
            <w:tcW w:w="398" w:type="pct"/>
            <w:vMerge w:val="continue"/>
            <w:tcBorders>
              <w:tl2br w:val="nil"/>
              <w:tr2bl w:val="nil"/>
            </w:tcBorders>
            <w:shd w:val="clear" w:color="000000" w:fill="auto"/>
            <w:vAlign w:val="center"/>
          </w:tcPr>
          <w:p w14:paraId="1E8F4262">
            <w:pPr>
              <w:jc w:val="center"/>
              <w:rPr>
                <w:color w:val="auto"/>
                <w:sz w:val="21"/>
                <w:szCs w:val="21"/>
              </w:rPr>
            </w:pPr>
          </w:p>
        </w:tc>
        <w:tc>
          <w:tcPr>
            <w:tcW w:w="456" w:type="pct"/>
            <w:tcBorders>
              <w:tl2br w:val="nil"/>
              <w:tr2bl w:val="nil"/>
            </w:tcBorders>
            <w:shd w:val="clear" w:color="000000" w:fill="auto"/>
            <w:vAlign w:val="center"/>
          </w:tcPr>
          <w:p w14:paraId="15BD3370">
            <w:pPr>
              <w:jc w:val="center"/>
              <w:rPr>
                <w:rFonts w:hint="eastAsia"/>
                <w:color w:val="auto"/>
                <w:sz w:val="21"/>
                <w:szCs w:val="21"/>
                <w:lang w:val="en-US" w:eastAsia="zh-CN"/>
              </w:rPr>
            </w:pPr>
            <w:r>
              <w:rPr>
                <w:rFonts w:hint="eastAsia"/>
                <w:color w:val="auto"/>
                <w:sz w:val="21"/>
                <w:szCs w:val="21"/>
                <w:lang w:val="en-US" w:eastAsia="zh-CN"/>
              </w:rPr>
              <w:t>NH</w:t>
            </w:r>
            <w:r>
              <w:rPr>
                <w:rFonts w:hint="eastAsia"/>
                <w:color w:val="auto"/>
                <w:sz w:val="21"/>
                <w:szCs w:val="21"/>
                <w:vertAlign w:val="subscript"/>
                <w:lang w:val="en-US" w:eastAsia="zh-CN"/>
              </w:rPr>
              <w:t>3</w:t>
            </w:r>
            <w:r>
              <w:rPr>
                <w:rFonts w:hint="eastAsia"/>
                <w:color w:val="auto"/>
                <w:sz w:val="21"/>
                <w:szCs w:val="21"/>
                <w:lang w:val="en-US" w:eastAsia="zh-CN"/>
              </w:rPr>
              <w:t>-N</w:t>
            </w:r>
          </w:p>
        </w:tc>
        <w:tc>
          <w:tcPr>
            <w:tcW w:w="558" w:type="pct"/>
            <w:vMerge w:val="continue"/>
            <w:tcBorders>
              <w:tl2br w:val="nil"/>
              <w:tr2bl w:val="nil"/>
            </w:tcBorders>
            <w:shd w:val="clear" w:color="000000" w:fill="auto"/>
            <w:vAlign w:val="center"/>
          </w:tcPr>
          <w:p w14:paraId="1E1E3A91">
            <w:pPr>
              <w:jc w:val="center"/>
              <w:rPr>
                <w:color w:val="auto"/>
                <w:sz w:val="21"/>
                <w:szCs w:val="21"/>
              </w:rPr>
            </w:pPr>
          </w:p>
        </w:tc>
        <w:tc>
          <w:tcPr>
            <w:tcW w:w="950" w:type="pct"/>
            <w:vMerge w:val="continue"/>
            <w:tcBorders>
              <w:tl2br w:val="nil"/>
              <w:tr2bl w:val="nil"/>
            </w:tcBorders>
            <w:shd w:val="clear" w:color="000000" w:fill="auto"/>
            <w:vAlign w:val="center"/>
          </w:tcPr>
          <w:p w14:paraId="2BEF1EE2">
            <w:pPr>
              <w:jc w:val="center"/>
              <w:rPr>
                <w:color w:val="auto"/>
                <w:sz w:val="21"/>
                <w:szCs w:val="21"/>
              </w:rPr>
            </w:pPr>
          </w:p>
        </w:tc>
        <w:tc>
          <w:tcPr>
            <w:tcW w:w="889" w:type="pct"/>
            <w:vMerge w:val="continue"/>
            <w:tcBorders>
              <w:tl2br w:val="nil"/>
              <w:tr2bl w:val="nil"/>
            </w:tcBorders>
            <w:shd w:val="clear" w:color="000000" w:fill="auto"/>
            <w:vAlign w:val="center"/>
          </w:tcPr>
          <w:p w14:paraId="08621F01">
            <w:pPr>
              <w:jc w:val="center"/>
              <w:rPr>
                <w:color w:val="auto"/>
                <w:sz w:val="21"/>
                <w:szCs w:val="21"/>
              </w:rPr>
            </w:pPr>
          </w:p>
        </w:tc>
        <w:tc>
          <w:tcPr>
            <w:tcW w:w="381" w:type="pct"/>
            <w:vMerge w:val="continue"/>
            <w:tcBorders>
              <w:tl2br w:val="nil"/>
              <w:tr2bl w:val="nil"/>
            </w:tcBorders>
            <w:shd w:val="clear" w:color="000000" w:fill="auto"/>
            <w:vAlign w:val="center"/>
          </w:tcPr>
          <w:p w14:paraId="758488A3">
            <w:pPr>
              <w:jc w:val="center"/>
              <w:rPr>
                <w:color w:val="auto"/>
                <w:sz w:val="21"/>
                <w:szCs w:val="21"/>
              </w:rPr>
            </w:pPr>
          </w:p>
        </w:tc>
        <w:tc>
          <w:tcPr>
            <w:tcW w:w="488" w:type="pct"/>
            <w:vMerge w:val="continue"/>
            <w:tcBorders>
              <w:tl2br w:val="nil"/>
              <w:tr2bl w:val="nil"/>
            </w:tcBorders>
            <w:shd w:val="clear" w:color="000000" w:fill="auto"/>
            <w:vAlign w:val="center"/>
          </w:tcPr>
          <w:p w14:paraId="5DC31B26">
            <w:pPr>
              <w:jc w:val="center"/>
              <w:rPr>
                <w:color w:val="auto"/>
                <w:sz w:val="21"/>
                <w:szCs w:val="21"/>
              </w:rPr>
            </w:pPr>
          </w:p>
        </w:tc>
        <w:tc>
          <w:tcPr>
            <w:tcW w:w="693" w:type="pct"/>
            <w:vMerge w:val="continue"/>
            <w:tcBorders>
              <w:tl2br w:val="nil"/>
              <w:tr2bl w:val="nil"/>
            </w:tcBorders>
            <w:shd w:val="clear" w:color="000000" w:fill="auto"/>
            <w:vAlign w:val="center"/>
          </w:tcPr>
          <w:p w14:paraId="2EC653CD">
            <w:pPr>
              <w:jc w:val="center"/>
              <w:rPr>
                <w:color w:val="auto"/>
                <w:sz w:val="21"/>
                <w:szCs w:val="21"/>
              </w:rPr>
            </w:pPr>
          </w:p>
        </w:tc>
      </w:tr>
      <w:tr w14:paraId="680AF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62EA4907">
            <w:pPr>
              <w:jc w:val="center"/>
              <w:rPr>
                <w:color w:val="auto"/>
                <w:sz w:val="21"/>
                <w:szCs w:val="21"/>
              </w:rPr>
            </w:pPr>
          </w:p>
        </w:tc>
        <w:tc>
          <w:tcPr>
            <w:tcW w:w="398" w:type="pct"/>
            <w:vMerge w:val="continue"/>
            <w:tcBorders>
              <w:tl2br w:val="nil"/>
              <w:tr2bl w:val="nil"/>
            </w:tcBorders>
            <w:shd w:val="clear" w:color="000000" w:fill="auto"/>
            <w:vAlign w:val="center"/>
          </w:tcPr>
          <w:p w14:paraId="6B766BE1">
            <w:pPr>
              <w:jc w:val="center"/>
              <w:rPr>
                <w:color w:val="auto"/>
                <w:sz w:val="21"/>
                <w:szCs w:val="21"/>
              </w:rPr>
            </w:pPr>
          </w:p>
        </w:tc>
        <w:tc>
          <w:tcPr>
            <w:tcW w:w="456" w:type="pct"/>
            <w:tcBorders>
              <w:tl2br w:val="nil"/>
              <w:tr2bl w:val="nil"/>
            </w:tcBorders>
            <w:shd w:val="clear" w:color="000000" w:fill="auto"/>
            <w:vAlign w:val="center"/>
          </w:tcPr>
          <w:p w14:paraId="6BE3311E">
            <w:pPr>
              <w:jc w:val="center"/>
              <w:rPr>
                <w:rFonts w:hint="eastAsia"/>
                <w:color w:val="auto"/>
                <w:sz w:val="21"/>
                <w:szCs w:val="21"/>
                <w:lang w:val="en-US" w:eastAsia="zh-CN"/>
              </w:rPr>
            </w:pPr>
            <w:r>
              <w:rPr>
                <w:rFonts w:hint="eastAsia"/>
                <w:color w:val="auto"/>
                <w:sz w:val="21"/>
                <w:szCs w:val="21"/>
                <w:lang w:val="en-US" w:eastAsia="zh-CN"/>
              </w:rPr>
              <w:t>TN</w:t>
            </w:r>
          </w:p>
        </w:tc>
        <w:tc>
          <w:tcPr>
            <w:tcW w:w="558" w:type="pct"/>
            <w:vMerge w:val="continue"/>
            <w:tcBorders>
              <w:tl2br w:val="nil"/>
              <w:tr2bl w:val="nil"/>
            </w:tcBorders>
            <w:shd w:val="clear" w:color="000000" w:fill="auto"/>
            <w:vAlign w:val="center"/>
          </w:tcPr>
          <w:p w14:paraId="158F66F7">
            <w:pPr>
              <w:jc w:val="center"/>
              <w:rPr>
                <w:color w:val="auto"/>
                <w:sz w:val="21"/>
                <w:szCs w:val="21"/>
              </w:rPr>
            </w:pPr>
          </w:p>
        </w:tc>
        <w:tc>
          <w:tcPr>
            <w:tcW w:w="950" w:type="pct"/>
            <w:vMerge w:val="continue"/>
            <w:tcBorders>
              <w:tl2br w:val="nil"/>
              <w:tr2bl w:val="nil"/>
            </w:tcBorders>
            <w:shd w:val="clear" w:color="000000" w:fill="auto"/>
            <w:vAlign w:val="center"/>
          </w:tcPr>
          <w:p w14:paraId="381FAE91">
            <w:pPr>
              <w:jc w:val="center"/>
              <w:rPr>
                <w:color w:val="auto"/>
                <w:sz w:val="21"/>
                <w:szCs w:val="21"/>
              </w:rPr>
            </w:pPr>
          </w:p>
        </w:tc>
        <w:tc>
          <w:tcPr>
            <w:tcW w:w="889" w:type="pct"/>
            <w:vMerge w:val="continue"/>
            <w:tcBorders>
              <w:tl2br w:val="nil"/>
              <w:tr2bl w:val="nil"/>
            </w:tcBorders>
            <w:shd w:val="clear" w:color="000000" w:fill="auto"/>
            <w:vAlign w:val="center"/>
          </w:tcPr>
          <w:p w14:paraId="43DE80EE">
            <w:pPr>
              <w:jc w:val="center"/>
              <w:rPr>
                <w:color w:val="auto"/>
                <w:sz w:val="21"/>
                <w:szCs w:val="21"/>
              </w:rPr>
            </w:pPr>
          </w:p>
        </w:tc>
        <w:tc>
          <w:tcPr>
            <w:tcW w:w="381" w:type="pct"/>
            <w:vMerge w:val="continue"/>
            <w:tcBorders>
              <w:tl2br w:val="nil"/>
              <w:tr2bl w:val="nil"/>
            </w:tcBorders>
            <w:shd w:val="clear" w:color="000000" w:fill="auto"/>
            <w:vAlign w:val="center"/>
          </w:tcPr>
          <w:p w14:paraId="7F05655D">
            <w:pPr>
              <w:jc w:val="center"/>
              <w:rPr>
                <w:color w:val="auto"/>
                <w:sz w:val="21"/>
                <w:szCs w:val="21"/>
              </w:rPr>
            </w:pPr>
          </w:p>
        </w:tc>
        <w:tc>
          <w:tcPr>
            <w:tcW w:w="488" w:type="pct"/>
            <w:vMerge w:val="continue"/>
            <w:tcBorders>
              <w:tl2br w:val="nil"/>
              <w:tr2bl w:val="nil"/>
            </w:tcBorders>
            <w:shd w:val="clear" w:color="000000" w:fill="auto"/>
            <w:vAlign w:val="center"/>
          </w:tcPr>
          <w:p w14:paraId="0B3126D0">
            <w:pPr>
              <w:jc w:val="center"/>
              <w:rPr>
                <w:color w:val="auto"/>
                <w:sz w:val="21"/>
                <w:szCs w:val="21"/>
              </w:rPr>
            </w:pPr>
          </w:p>
        </w:tc>
        <w:tc>
          <w:tcPr>
            <w:tcW w:w="693" w:type="pct"/>
            <w:vMerge w:val="continue"/>
            <w:tcBorders>
              <w:tl2br w:val="nil"/>
              <w:tr2bl w:val="nil"/>
            </w:tcBorders>
            <w:shd w:val="clear" w:color="000000" w:fill="auto"/>
            <w:vAlign w:val="center"/>
          </w:tcPr>
          <w:p w14:paraId="082E82E4">
            <w:pPr>
              <w:jc w:val="center"/>
              <w:rPr>
                <w:color w:val="auto"/>
                <w:sz w:val="21"/>
                <w:szCs w:val="21"/>
              </w:rPr>
            </w:pPr>
          </w:p>
        </w:tc>
      </w:tr>
      <w:tr w14:paraId="4ECCF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51166858">
            <w:pPr>
              <w:jc w:val="center"/>
              <w:rPr>
                <w:color w:val="auto"/>
                <w:sz w:val="21"/>
                <w:szCs w:val="21"/>
              </w:rPr>
            </w:pPr>
          </w:p>
        </w:tc>
        <w:tc>
          <w:tcPr>
            <w:tcW w:w="398" w:type="pct"/>
            <w:vMerge w:val="continue"/>
            <w:tcBorders>
              <w:tl2br w:val="nil"/>
              <w:tr2bl w:val="nil"/>
            </w:tcBorders>
            <w:shd w:val="clear" w:color="000000" w:fill="auto"/>
            <w:vAlign w:val="center"/>
          </w:tcPr>
          <w:p w14:paraId="36269BBD">
            <w:pPr>
              <w:jc w:val="center"/>
              <w:rPr>
                <w:color w:val="auto"/>
                <w:sz w:val="21"/>
                <w:szCs w:val="21"/>
              </w:rPr>
            </w:pPr>
          </w:p>
        </w:tc>
        <w:tc>
          <w:tcPr>
            <w:tcW w:w="456" w:type="pct"/>
            <w:tcBorders>
              <w:tl2br w:val="nil"/>
              <w:tr2bl w:val="nil"/>
            </w:tcBorders>
            <w:shd w:val="clear" w:color="000000" w:fill="auto"/>
            <w:vAlign w:val="center"/>
          </w:tcPr>
          <w:p w14:paraId="6303814B">
            <w:pPr>
              <w:jc w:val="center"/>
              <w:rPr>
                <w:rFonts w:hint="eastAsia"/>
                <w:color w:val="auto"/>
                <w:sz w:val="21"/>
                <w:szCs w:val="21"/>
                <w:lang w:val="en-US" w:eastAsia="zh-CN"/>
              </w:rPr>
            </w:pPr>
            <w:r>
              <w:rPr>
                <w:rFonts w:hint="eastAsia"/>
                <w:color w:val="auto"/>
                <w:sz w:val="21"/>
                <w:szCs w:val="21"/>
                <w:lang w:val="en-US" w:eastAsia="zh-CN"/>
              </w:rPr>
              <w:t>TP</w:t>
            </w:r>
          </w:p>
        </w:tc>
        <w:tc>
          <w:tcPr>
            <w:tcW w:w="558" w:type="pct"/>
            <w:vMerge w:val="continue"/>
            <w:tcBorders>
              <w:tl2br w:val="nil"/>
              <w:tr2bl w:val="nil"/>
            </w:tcBorders>
            <w:shd w:val="clear" w:color="000000" w:fill="auto"/>
            <w:vAlign w:val="center"/>
          </w:tcPr>
          <w:p w14:paraId="29B7A971">
            <w:pPr>
              <w:jc w:val="center"/>
              <w:rPr>
                <w:color w:val="auto"/>
                <w:sz w:val="21"/>
                <w:szCs w:val="21"/>
              </w:rPr>
            </w:pPr>
          </w:p>
        </w:tc>
        <w:tc>
          <w:tcPr>
            <w:tcW w:w="950" w:type="pct"/>
            <w:vMerge w:val="continue"/>
            <w:tcBorders>
              <w:tl2br w:val="nil"/>
              <w:tr2bl w:val="nil"/>
            </w:tcBorders>
            <w:shd w:val="clear" w:color="000000" w:fill="auto"/>
            <w:vAlign w:val="center"/>
          </w:tcPr>
          <w:p w14:paraId="37826BEC">
            <w:pPr>
              <w:jc w:val="center"/>
              <w:rPr>
                <w:color w:val="auto"/>
                <w:sz w:val="21"/>
                <w:szCs w:val="21"/>
              </w:rPr>
            </w:pPr>
          </w:p>
        </w:tc>
        <w:tc>
          <w:tcPr>
            <w:tcW w:w="889" w:type="pct"/>
            <w:vMerge w:val="continue"/>
            <w:tcBorders>
              <w:tl2br w:val="nil"/>
              <w:tr2bl w:val="nil"/>
            </w:tcBorders>
            <w:shd w:val="clear" w:color="000000" w:fill="auto"/>
            <w:vAlign w:val="center"/>
          </w:tcPr>
          <w:p w14:paraId="092177AD">
            <w:pPr>
              <w:jc w:val="center"/>
              <w:rPr>
                <w:color w:val="auto"/>
                <w:sz w:val="21"/>
                <w:szCs w:val="21"/>
              </w:rPr>
            </w:pPr>
          </w:p>
        </w:tc>
        <w:tc>
          <w:tcPr>
            <w:tcW w:w="381" w:type="pct"/>
            <w:vMerge w:val="continue"/>
            <w:tcBorders>
              <w:tl2br w:val="nil"/>
              <w:tr2bl w:val="nil"/>
            </w:tcBorders>
            <w:shd w:val="clear" w:color="000000" w:fill="auto"/>
            <w:vAlign w:val="center"/>
          </w:tcPr>
          <w:p w14:paraId="0A604CFD">
            <w:pPr>
              <w:jc w:val="center"/>
              <w:rPr>
                <w:color w:val="auto"/>
                <w:sz w:val="21"/>
                <w:szCs w:val="21"/>
              </w:rPr>
            </w:pPr>
          </w:p>
        </w:tc>
        <w:tc>
          <w:tcPr>
            <w:tcW w:w="488" w:type="pct"/>
            <w:vMerge w:val="continue"/>
            <w:tcBorders>
              <w:tl2br w:val="nil"/>
              <w:tr2bl w:val="nil"/>
            </w:tcBorders>
            <w:shd w:val="clear" w:color="000000" w:fill="auto"/>
            <w:vAlign w:val="center"/>
          </w:tcPr>
          <w:p w14:paraId="4AB3C7AF">
            <w:pPr>
              <w:jc w:val="center"/>
              <w:rPr>
                <w:color w:val="auto"/>
                <w:sz w:val="21"/>
                <w:szCs w:val="21"/>
              </w:rPr>
            </w:pPr>
          </w:p>
        </w:tc>
        <w:tc>
          <w:tcPr>
            <w:tcW w:w="693" w:type="pct"/>
            <w:vMerge w:val="continue"/>
            <w:tcBorders>
              <w:tl2br w:val="nil"/>
              <w:tr2bl w:val="nil"/>
            </w:tcBorders>
            <w:shd w:val="clear" w:color="000000" w:fill="auto"/>
            <w:vAlign w:val="center"/>
          </w:tcPr>
          <w:p w14:paraId="17415F90">
            <w:pPr>
              <w:jc w:val="center"/>
              <w:rPr>
                <w:color w:val="auto"/>
                <w:sz w:val="21"/>
                <w:szCs w:val="21"/>
              </w:rPr>
            </w:pPr>
          </w:p>
        </w:tc>
      </w:tr>
      <w:tr w14:paraId="49634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60C17D22">
            <w:pPr>
              <w:jc w:val="center"/>
              <w:rPr>
                <w:color w:val="auto"/>
                <w:sz w:val="21"/>
                <w:szCs w:val="21"/>
              </w:rPr>
            </w:pPr>
          </w:p>
        </w:tc>
        <w:tc>
          <w:tcPr>
            <w:tcW w:w="398" w:type="pct"/>
            <w:vMerge w:val="continue"/>
            <w:tcBorders>
              <w:tl2br w:val="nil"/>
              <w:tr2bl w:val="nil"/>
            </w:tcBorders>
            <w:shd w:val="clear" w:color="000000" w:fill="auto"/>
            <w:vAlign w:val="center"/>
          </w:tcPr>
          <w:p w14:paraId="13ADEF29">
            <w:pPr>
              <w:jc w:val="center"/>
              <w:rPr>
                <w:color w:val="auto"/>
                <w:sz w:val="21"/>
                <w:szCs w:val="21"/>
              </w:rPr>
            </w:pPr>
          </w:p>
        </w:tc>
        <w:tc>
          <w:tcPr>
            <w:tcW w:w="456" w:type="pct"/>
            <w:tcBorders>
              <w:tl2br w:val="nil"/>
              <w:tr2bl w:val="nil"/>
            </w:tcBorders>
            <w:shd w:val="clear" w:color="000000" w:fill="auto"/>
            <w:vAlign w:val="center"/>
          </w:tcPr>
          <w:p w14:paraId="4230409F">
            <w:pPr>
              <w:jc w:val="center"/>
              <w:rPr>
                <w:rFonts w:hint="eastAsia"/>
                <w:color w:val="auto"/>
                <w:sz w:val="21"/>
                <w:szCs w:val="21"/>
                <w:lang w:val="en-US" w:eastAsia="zh-CN"/>
              </w:rPr>
            </w:pPr>
            <w:r>
              <w:rPr>
                <w:rFonts w:hint="eastAsia"/>
                <w:color w:val="auto"/>
                <w:sz w:val="21"/>
                <w:szCs w:val="21"/>
                <w:lang w:val="en-US" w:eastAsia="zh-CN"/>
              </w:rPr>
              <w:t>BOD</w:t>
            </w:r>
            <w:r>
              <w:rPr>
                <w:rFonts w:hint="eastAsia"/>
                <w:color w:val="auto"/>
                <w:sz w:val="21"/>
                <w:szCs w:val="21"/>
                <w:vertAlign w:val="subscript"/>
                <w:lang w:val="en-US" w:eastAsia="zh-CN"/>
              </w:rPr>
              <w:t>5</w:t>
            </w:r>
          </w:p>
        </w:tc>
        <w:tc>
          <w:tcPr>
            <w:tcW w:w="558" w:type="pct"/>
            <w:vMerge w:val="continue"/>
            <w:tcBorders>
              <w:tl2br w:val="nil"/>
              <w:tr2bl w:val="nil"/>
            </w:tcBorders>
            <w:shd w:val="clear" w:color="000000" w:fill="auto"/>
            <w:vAlign w:val="center"/>
          </w:tcPr>
          <w:p w14:paraId="39D563A6">
            <w:pPr>
              <w:jc w:val="center"/>
              <w:rPr>
                <w:color w:val="auto"/>
                <w:sz w:val="21"/>
                <w:szCs w:val="21"/>
              </w:rPr>
            </w:pPr>
          </w:p>
        </w:tc>
        <w:tc>
          <w:tcPr>
            <w:tcW w:w="950" w:type="pct"/>
            <w:vMerge w:val="continue"/>
            <w:tcBorders>
              <w:tl2br w:val="nil"/>
              <w:tr2bl w:val="nil"/>
            </w:tcBorders>
            <w:shd w:val="clear" w:color="000000" w:fill="auto"/>
            <w:vAlign w:val="center"/>
          </w:tcPr>
          <w:p w14:paraId="2ED5BE9D">
            <w:pPr>
              <w:jc w:val="center"/>
              <w:rPr>
                <w:color w:val="auto"/>
                <w:sz w:val="21"/>
                <w:szCs w:val="21"/>
              </w:rPr>
            </w:pPr>
          </w:p>
        </w:tc>
        <w:tc>
          <w:tcPr>
            <w:tcW w:w="889" w:type="pct"/>
            <w:vMerge w:val="continue"/>
            <w:tcBorders>
              <w:tl2br w:val="nil"/>
              <w:tr2bl w:val="nil"/>
            </w:tcBorders>
            <w:shd w:val="clear" w:color="000000" w:fill="auto"/>
            <w:vAlign w:val="center"/>
          </w:tcPr>
          <w:p w14:paraId="273FD18E">
            <w:pPr>
              <w:jc w:val="center"/>
              <w:rPr>
                <w:color w:val="auto"/>
                <w:sz w:val="21"/>
                <w:szCs w:val="21"/>
              </w:rPr>
            </w:pPr>
          </w:p>
        </w:tc>
        <w:tc>
          <w:tcPr>
            <w:tcW w:w="381" w:type="pct"/>
            <w:vMerge w:val="restart"/>
            <w:tcBorders>
              <w:tl2br w:val="nil"/>
              <w:tr2bl w:val="nil"/>
            </w:tcBorders>
            <w:shd w:val="clear" w:color="000000" w:fill="auto"/>
            <w:vAlign w:val="center"/>
          </w:tcPr>
          <w:p w14:paraId="0B71B8D7">
            <w:pPr>
              <w:jc w:val="center"/>
              <w:rPr>
                <w:color w:val="auto"/>
                <w:sz w:val="21"/>
                <w:szCs w:val="21"/>
              </w:rPr>
            </w:pPr>
            <w:r>
              <w:rPr>
                <w:color w:val="auto"/>
                <w:sz w:val="21"/>
                <w:szCs w:val="21"/>
              </w:rPr>
              <w:t>1次/</w:t>
            </w:r>
            <w:r>
              <w:rPr>
                <w:rFonts w:hint="eastAsia"/>
                <w:color w:val="auto"/>
                <w:sz w:val="21"/>
                <w:szCs w:val="21"/>
                <w:lang w:val="en-US" w:eastAsia="zh-CN"/>
              </w:rPr>
              <w:t>月</w:t>
            </w:r>
          </w:p>
        </w:tc>
        <w:tc>
          <w:tcPr>
            <w:tcW w:w="488" w:type="pct"/>
            <w:vMerge w:val="restart"/>
            <w:tcBorders>
              <w:tl2br w:val="nil"/>
              <w:tr2bl w:val="nil"/>
            </w:tcBorders>
            <w:shd w:val="clear" w:color="000000" w:fill="auto"/>
            <w:vAlign w:val="center"/>
          </w:tcPr>
          <w:p w14:paraId="5CC7E08E">
            <w:pPr>
              <w:jc w:val="center"/>
              <w:rPr>
                <w:color w:val="auto"/>
                <w:sz w:val="21"/>
                <w:szCs w:val="21"/>
              </w:rPr>
            </w:pPr>
            <w:r>
              <w:rPr>
                <w:color w:val="auto"/>
                <w:sz w:val="21"/>
                <w:szCs w:val="21"/>
              </w:rPr>
              <w:t>手工监测技术</w:t>
            </w:r>
          </w:p>
        </w:tc>
        <w:tc>
          <w:tcPr>
            <w:tcW w:w="693" w:type="pct"/>
            <w:vMerge w:val="continue"/>
            <w:tcBorders>
              <w:tl2br w:val="nil"/>
              <w:tr2bl w:val="nil"/>
            </w:tcBorders>
            <w:shd w:val="clear" w:color="000000" w:fill="auto"/>
            <w:vAlign w:val="center"/>
          </w:tcPr>
          <w:p w14:paraId="3C765DD1">
            <w:pPr>
              <w:jc w:val="center"/>
              <w:rPr>
                <w:color w:val="auto"/>
                <w:sz w:val="21"/>
                <w:szCs w:val="21"/>
              </w:rPr>
            </w:pPr>
          </w:p>
        </w:tc>
      </w:tr>
      <w:tr w14:paraId="746C1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84" w:type="pct"/>
            <w:vMerge w:val="continue"/>
            <w:tcBorders>
              <w:tl2br w:val="nil"/>
              <w:tr2bl w:val="nil"/>
            </w:tcBorders>
            <w:shd w:val="clear" w:color="000000" w:fill="auto"/>
            <w:vAlign w:val="center"/>
          </w:tcPr>
          <w:p w14:paraId="47F35114">
            <w:pPr>
              <w:jc w:val="center"/>
              <w:rPr>
                <w:color w:val="auto"/>
                <w:sz w:val="21"/>
                <w:szCs w:val="21"/>
              </w:rPr>
            </w:pPr>
          </w:p>
        </w:tc>
        <w:tc>
          <w:tcPr>
            <w:tcW w:w="398" w:type="pct"/>
            <w:vMerge w:val="continue"/>
            <w:tcBorders>
              <w:tl2br w:val="nil"/>
              <w:tr2bl w:val="nil"/>
            </w:tcBorders>
            <w:shd w:val="clear" w:color="000000" w:fill="auto"/>
            <w:vAlign w:val="center"/>
          </w:tcPr>
          <w:p w14:paraId="1E9802AD">
            <w:pPr>
              <w:jc w:val="center"/>
              <w:rPr>
                <w:color w:val="auto"/>
                <w:sz w:val="21"/>
                <w:szCs w:val="21"/>
              </w:rPr>
            </w:pPr>
          </w:p>
        </w:tc>
        <w:tc>
          <w:tcPr>
            <w:tcW w:w="456" w:type="pct"/>
            <w:tcBorders>
              <w:tl2br w:val="nil"/>
              <w:tr2bl w:val="nil"/>
            </w:tcBorders>
            <w:shd w:val="clear" w:color="000000" w:fill="auto"/>
            <w:vAlign w:val="center"/>
          </w:tcPr>
          <w:p w14:paraId="752A2DF3">
            <w:pPr>
              <w:jc w:val="center"/>
              <w:rPr>
                <w:rFonts w:hint="eastAsia"/>
                <w:color w:val="auto"/>
                <w:sz w:val="21"/>
                <w:szCs w:val="21"/>
                <w:lang w:val="en-US" w:eastAsia="zh-CN"/>
              </w:rPr>
            </w:pPr>
            <w:r>
              <w:rPr>
                <w:rFonts w:hint="eastAsia"/>
                <w:color w:val="auto"/>
                <w:sz w:val="21"/>
                <w:szCs w:val="21"/>
                <w:lang w:val="en-US" w:eastAsia="zh-CN"/>
              </w:rPr>
              <w:t>SS</w:t>
            </w:r>
          </w:p>
        </w:tc>
        <w:tc>
          <w:tcPr>
            <w:tcW w:w="558" w:type="pct"/>
            <w:vMerge w:val="continue"/>
            <w:tcBorders>
              <w:tl2br w:val="nil"/>
              <w:tr2bl w:val="nil"/>
            </w:tcBorders>
            <w:shd w:val="clear" w:color="000000" w:fill="auto"/>
            <w:vAlign w:val="center"/>
          </w:tcPr>
          <w:p w14:paraId="60B7D053">
            <w:pPr>
              <w:jc w:val="center"/>
              <w:rPr>
                <w:color w:val="auto"/>
                <w:sz w:val="21"/>
                <w:szCs w:val="21"/>
              </w:rPr>
            </w:pPr>
          </w:p>
        </w:tc>
        <w:tc>
          <w:tcPr>
            <w:tcW w:w="950" w:type="pct"/>
            <w:vMerge w:val="continue"/>
            <w:tcBorders>
              <w:tl2br w:val="nil"/>
              <w:tr2bl w:val="nil"/>
            </w:tcBorders>
            <w:shd w:val="clear" w:color="000000" w:fill="auto"/>
            <w:vAlign w:val="center"/>
          </w:tcPr>
          <w:p w14:paraId="2269DCBD">
            <w:pPr>
              <w:jc w:val="center"/>
              <w:rPr>
                <w:color w:val="auto"/>
                <w:sz w:val="21"/>
                <w:szCs w:val="21"/>
              </w:rPr>
            </w:pPr>
          </w:p>
        </w:tc>
        <w:tc>
          <w:tcPr>
            <w:tcW w:w="889" w:type="pct"/>
            <w:vMerge w:val="continue"/>
            <w:tcBorders>
              <w:tl2br w:val="nil"/>
              <w:tr2bl w:val="nil"/>
            </w:tcBorders>
            <w:shd w:val="clear" w:color="000000" w:fill="auto"/>
            <w:vAlign w:val="center"/>
          </w:tcPr>
          <w:p w14:paraId="139C7EC9">
            <w:pPr>
              <w:jc w:val="center"/>
              <w:rPr>
                <w:color w:val="auto"/>
                <w:sz w:val="21"/>
                <w:szCs w:val="21"/>
              </w:rPr>
            </w:pPr>
          </w:p>
        </w:tc>
        <w:tc>
          <w:tcPr>
            <w:tcW w:w="381" w:type="pct"/>
            <w:vMerge w:val="continue"/>
            <w:tcBorders>
              <w:tl2br w:val="nil"/>
              <w:tr2bl w:val="nil"/>
            </w:tcBorders>
            <w:shd w:val="clear" w:color="000000" w:fill="auto"/>
            <w:vAlign w:val="center"/>
          </w:tcPr>
          <w:p w14:paraId="6508B83B">
            <w:pPr>
              <w:jc w:val="center"/>
              <w:rPr>
                <w:color w:val="auto"/>
                <w:sz w:val="21"/>
                <w:szCs w:val="21"/>
              </w:rPr>
            </w:pPr>
          </w:p>
        </w:tc>
        <w:tc>
          <w:tcPr>
            <w:tcW w:w="488" w:type="pct"/>
            <w:vMerge w:val="continue"/>
            <w:tcBorders>
              <w:tl2br w:val="nil"/>
              <w:tr2bl w:val="nil"/>
            </w:tcBorders>
            <w:shd w:val="clear" w:color="000000" w:fill="auto"/>
            <w:vAlign w:val="center"/>
          </w:tcPr>
          <w:p w14:paraId="419D8013">
            <w:pPr>
              <w:jc w:val="center"/>
              <w:rPr>
                <w:color w:val="auto"/>
                <w:sz w:val="21"/>
                <w:szCs w:val="21"/>
              </w:rPr>
            </w:pPr>
          </w:p>
        </w:tc>
        <w:tc>
          <w:tcPr>
            <w:tcW w:w="693" w:type="pct"/>
            <w:vMerge w:val="continue"/>
            <w:tcBorders>
              <w:tl2br w:val="nil"/>
              <w:tr2bl w:val="nil"/>
            </w:tcBorders>
            <w:shd w:val="clear" w:color="000000" w:fill="auto"/>
            <w:vAlign w:val="center"/>
          </w:tcPr>
          <w:p w14:paraId="2B628446">
            <w:pPr>
              <w:jc w:val="center"/>
              <w:rPr>
                <w:color w:val="auto"/>
                <w:sz w:val="21"/>
                <w:szCs w:val="21"/>
              </w:rPr>
            </w:pPr>
          </w:p>
        </w:tc>
      </w:tr>
      <w:tr w14:paraId="0F9C8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 w:type="pct"/>
            <w:tcBorders>
              <w:tl2br w:val="nil"/>
              <w:tr2bl w:val="nil"/>
            </w:tcBorders>
            <w:shd w:val="clear" w:color="000000" w:fill="auto"/>
            <w:vAlign w:val="center"/>
          </w:tcPr>
          <w:p w14:paraId="340B3742">
            <w:pPr>
              <w:jc w:val="center"/>
              <w:rPr>
                <w:color w:val="auto"/>
                <w:sz w:val="21"/>
                <w:szCs w:val="21"/>
              </w:rPr>
            </w:pPr>
            <w:r>
              <w:rPr>
                <w:color w:val="auto"/>
                <w:sz w:val="21"/>
                <w:szCs w:val="21"/>
              </w:rPr>
              <w:t>场界噪声</w:t>
            </w:r>
          </w:p>
        </w:tc>
        <w:tc>
          <w:tcPr>
            <w:tcW w:w="398" w:type="pct"/>
            <w:tcBorders>
              <w:tl2br w:val="nil"/>
              <w:tr2bl w:val="nil"/>
            </w:tcBorders>
            <w:shd w:val="clear" w:color="000000" w:fill="auto"/>
            <w:vAlign w:val="center"/>
          </w:tcPr>
          <w:p w14:paraId="3AE8D7E3">
            <w:pPr>
              <w:jc w:val="center"/>
              <w:rPr>
                <w:color w:val="auto"/>
                <w:sz w:val="21"/>
                <w:szCs w:val="21"/>
              </w:rPr>
            </w:pPr>
            <w:r>
              <w:rPr>
                <w:color w:val="auto"/>
                <w:sz w:val="21"/>
                <w:szCs w:val="21"/>
              </w:rPr>
              <w:t>场界</w:t>
            </w:r>
          </w:p>
        </w:tc>
        <w:tc>
          <w:tcPr>
            <w:tcW w:w="456" w:type="pct"/>
            <w:tcBorders>
              <w:tl2br w:val="nil"/>
              <w:tr2bl w:val="nil"/>
            </w:tcBorders>
            <w:shd w:val="clear" w:color="000000" w:fill="auto"/>
            <w:vAlign w:val="center"/>
          </w:tcPr>
          <w:p w14:paraId="2570C78E">
            <w:pPr>
              <w:jc w:val="center"/>
              <w:rPr>
                <w:color w:val="auto"/>
                <w:sz w:val="21"/>
                <w:szCs w:val="21"/>
              </w:rPr>
            </w:pPr>
            <w:r>
              <w:rPr>
                <w:color w:val="auto"/>
                <w:sz w:val="21"/>
                <w:szCs w:val="21"/>
              </w:rPr>
              <w:t>昼夜噪声等效A声级</w:t>
            </w:r>
          </w:p>
        </w:tc>
        <w:tc>
          <w:tcPr>
            <w:tcW w:w="558" w:type="pct"/>
            <w:tcBorders>
              <w:tl2br w:val="nil"/>
              <w:tr2bl w:val="nil"/>
            </w:tcBorders>
            <w:shd w:val="clear" w:color="000000" w:fill="auto"/>
            <w:vAlign w:val="center"/>
          </w:tcPr>
          <w:p w14:paraId="50D5839F">
            <w:pPr>
              <w:jc w:val="center"/>
              <w:rPr>
                <w:color w:val="auto"/>
                <w:sz w:val="21"/>
                <w:szCs w:val="21"/>
              </w:rPr>
            </w:pPr>
            <w:r>
              <w:rPr>
                <w:color w:val="auto"/>
                <w:sz w:val="21"/>
                <w:szCs w:val="21"/>
              </w:rPr>
              <w:t>为水泵、风机等设备采取隔声、减振、消声等降噪措施</w:t>
            </w:r>
          </w:p>
        </w:tc>
        <w:tc>
          <w:tcPr>
            <w:tcW w:w="950" w:type="pct"/>
            <w:tcBorders>
              <w:tl2br w:val="nil"/>
              <w:tr2bl w:val="nil"/>
            </w:tcBorders>
            <w:shd w:val="clear" w:color="000000" w:fill="auto"/>
            <w:vAlign w:val="center"/>
          </w:tcPr>
          <w:p w14:paraId="31B65640">
            <w:pPr>
              <w:jc w:val="center"/>
              <w:rPr>
                <w:color w:val="auto"/>
                <w:sz w:val="21"/>
                <w:szCs w:val="21"/>
              </w:rPr>
            </w:pPr>
            <w:r>
              <w:rPr>
                <w:color w:val="auto"/>
                <w:sz w:val="21"/>
                <w:szCs w:val="21"/>
              </w:rPr>
              <w:t>场界外1m，高度1.2m以上</w:t>
            </w:r>
          </w:p>
        </w:tc>
        <w:tc>
          <w:tcPr>
            <w:tcW w:w="889" w:type="pct"/>
            <w:tcBorders>
              <w:tl2br w:val="nil"/>
              <w:tr2bl w:val="nil"/>
            </w:tcBorders>
            <w:shd w:val="clear" w:color="000000" w:fill="auto"/>
            <w:vAlign w:val="center"/>
          </w:tcPr>
          <w:p w14:paraId="0793BA08">
            <w:pPr>
              <w:jc w:val="center"/>
              <w:rPr>
                <w:color w:val="auto"/>
                <w:sz w:val="21"/>
                <w:szCs w:val="21"/>
              </w:rPr>
            </w:pPr>
            <w:r>
              <w:rPr>
                <w:color w:val="auto"/>
                <w:sz w:val="21"/>
                <w:szCs w:val="21"/>
              </w:rPr>
              <w:t>满足《工业企业厂界环境噪声排放标准》（GB12348-2008）表1中的</w:t>
            </w:r>
            <w:r>
              <w:rPr>
                <w:rFonts w:hint="eastAsia"/>
                <w:color w:val="auto"/>
                <w:sz w:val="21"/>
                <w:szCs w:val="21"/>
                <w:lang w:eastAsia="zh-CN"/>
              </w:rPr>
              <w:t>3类</w:t>
            </w:r>
            <w:r>
              <w:rPr>
                <w:color w:val="auto"/>
                <w:sz w:val="21"/>
                <w:szCs w:val="21"/>
              </w:rPr>
              <w:t>标准</w:t>
            </w:r>
          </w:p>
        </w:tc>
        <w:tc>
          <w:tcPr>
            <w:tcW w:w="381" w:type="pct"/>
            <w:tcBorders>
              <w:tl2br w:val="nil"/>
              <w:tr2bl w:val="nil"/>
            </w:tcBorders>
            <w:shd w:val="clear" w:color="000000" w:fill="auto"/>
            <w:vAlign w:val="center"/>
          </w:tcPr>
          <w:p w14:paraId="5033DBC6">
            <w:pPr>
              <w:jc w:val="center"/>
              <w:rPr>
                <w:color w:val="auto"/>
                <w:sz w:val="21"/>
                <w:szCs w:val="21"/>
              </w:rPr>
            </w:pPr>
            <w:r>
              <w:rPr>
                <w:color w:val="auto"/>
                <w:sz w:val="21"/>
                <w:szCs w:val="21"/>
              </w:rPr>
              <w:t>1次/季度，2d/次</w:t>
            </w:r>
          </w:p>
        </w:tc>
        <w:tc>
          <w:tcPr>
            <w:tcW w:w="488" w:type="pct"/>
            <w:tcBorders>
              <w:tl2br w:val="nil"/>
              <w:tr2bl w:val="nil"/>
            </w:tcBorders>
            <w:shd w:val="clear" w:color="000000" w:fill="auto"/>
            <w:vAlign w:val="center"/>
          </w:tcPr>
          <w:p w14:paraId="60E90887">
            <w:pPr>
              <w:jc w:val="center"/>
              <w:rPr>
                <w:color w:val="auto"/>
                <w:sz w:val="21"/>
                <w:szCs w:val="21"/>
              </w:rPr>
            </w:pPr>
            <w:r>
              <w:rPr>
                <w:color w:val="auto"/>
                <w:sz w:val="21"/>
                <w:szCs w:val="21"/>
              </w:rPr>
              <w:t>手工监测技术</w:t>
            </w:r>
          </w:p>
        </w:tc>
        <w:tc>
          <w:tcPr>
            <w:tcW w:w="693" w:type="pct"/>
            <w:tcBorders>
              <w:tl2br w:val="nil"/>
              <w:tr2bl w:val="nil"/>
            </w:tcBorders>
            <w:shd w:val="clear" w:color="000000" w:fill="auto"/>
            <w:vAlign w:val="center"/>
          </w:tcPr>
          <w:p w14:paraId="19B3BBBA">
            <w:pPr>
              <w:jc w:val="center"/>
              <w:rPr>
                <w:color w:val="auto"/>
                <w:sz w:val="21"/>
                <w:szCs w:val="21"/>
              </w:rPr>
            </w:pPr>
            <w:r>
              <w:rPr>
                <w:color w:val="auto"/>
                <w:sz w:val="21"/>
                <w:szCs w:val="21"/>
              </w:rPr>
              <w:t>参照《工业企业厂界环境噪声排放标准》（GB12348-2008）</w:t>
            </w:r>
          </w:p>
        </w:tc>
      </w:tr>
    </w:tbl>
    <w:p w14:paraId="54CB1C50">
      <w:pPr>
        <w:autoSpaceDE w:val="0"/>
        <w:autoSpaceDN w:val="0"/>
        <w:adjustRightInd w:val="0"/>
        <w:jc w:val="center"/>
        <w:rPr>
          <w:b/>
        </w:rPr>
      </w:pPr>
      <w:r>
        <w:rPr>
          <w:b/>
        </w:rPr>
        <w:t>表8.4-1  环保验收一览表</w:t>
      </w:r>
    </w:p>
    <w:tbl>
      <w:tblPr>
        <w:tblStyle w:val="53"/>
        <w:tblW w:w="14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6"/>
        <w:gridCol w:w="1417"/>
        <w:gridCol w:w="3946"/>
        <w:gridCol w:w="2940"/>
        <w:gridCol w:w="4938"/>
      </w:tblGrid>
      <w:tr w14:paraId="1BF98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76" w:type="dxa"/>
            <w:tcBorders>
              <w:tl2br w:val="nil"/>
              <w:tr2bl w:val="nil"/>
            </w:tcBorders>
            <w:vAlign w:val="center"/>
          </w:tcPr>
          <w:p w14:paraId="20C0A0F3">
            <w:pPr>
              <w:adjustRightInd w:val="0"/>
              <w:snapToGrid w:val="0"/>
              <w:jc w:val="center"/>
              <w:textAlignment w:val="center"/>
              <w:rPr>
                <w:b/>
                <w:bCs/>
                <w:color w:val="auto"/>
                <w:sz w:val="21"/>
                <w:szCs w:val="21"/>
              </w:rPr>
            </w:pPr>
            <w:r>
              <w:rPr>
                <w:b/>
                <w:bCs/>
                <w:color w:val="auto"/>
                <w:sz w:val="21"/>
                <w:szCs w:val="21"/>
              </w:rPr>
              <w:t>种类</w:t>
            </w:r>
          </w:p>
        </w:tc>
        <w:tc>
          <w:tcPr>
            <w:tcW w:w="1417" w:type="dxa"/>
            <w:tcBorders>
              <w:tl2br w:val="nil"/>
              <w:tr2bl w:val="nil"/>
            </w:tcBorders>
            <w:vAlign w:val="center"/>
          </w:tcPr>
          <w:p w14:paraId="01A7EB89">
            <w:pPr>
              <w:adjustRightInd w:val="0"/>
              <w:snapToGrid w:val="0"/>
              <w:jc w:val="center"/>
              <w:textAlignment w:val="center"/>
              <w:rPr>
                <w:b/>
                <w:bCs/>
                <w:color w:val="auto"/>
                <w:sz w:val="21"/>
                <w:szCs w:val="21"/>
              </w:rPr>
            </w:pPr>
            <w:r>
              <w:rPr>
                <w:b/>
                <w:bCs/>
                <w:color w:val="auto"/>
                <w:sz w:val="21"/>
                <w:szCs w:val="21"/>
              </w:rPr>
              <w:t>污染源</w:t>
            </w:r>
          </w:p>
        </w:tc>
        <w:tc>
          <w:tcPr>
            <w:tcW w:w="3946" w:type="dxa"/>
            <w:tcBorders>
              <w:tl2br w:val="nil"/>
              <w:tr2bl w:val="nil"/>
            </w:tcBorders>
            <w:vAlign w:val="center"/>
          </w:tcPr>
          <w:p w14:paraId="70195EC6">
            <w:pPr>
              <w:adjustRightInd w:val="0"/>
              <w:snapToGrid w:val="0"/>
              <w:jc w:val="center"/>
              <w:textAlignment w:val="center"/>
              <w:rPr>
                <w:b/>
                <w:bCs/>
                <w:color w:val="auto"/>
                <w:sz w:val="21"/>
                <w:szCs w:val="21"/>
              </w:rPr>
            </w:pPr>
            <w:r>
              <w:rPr>
                <w:b/>
                <w:bCs/>
                <w:color w:val="auto"/>
                <w:sz w:val="21"/>
                <w:szCs w:val="21"/>
              </w:rPr>
              <w:t>环境保护措施</w:t>
            </w:r>
          </w:p>
        </w:tc>
        <w:tc>
          <w:tcPr>
            <w:tcW w:w="2940" w:type="dxa"/>
            <w:tcBorders>
              <w:tl2br w:val="nil"/>
              <w:tr2bl w:val="nil"/>
            </w:tcBorders>
            <w:vAlign w:val="center"/>
          </w:tcPr>
          <w:p w14:paraId="0A3824B2">
            <w:pPr>
              <w:adjustRightInd w:val="0"/>
              <w:snapToGrid w:val="0"/>
              <w:jc w:val="center"/>
              <w:textAlignment w:val="center"/>
              <w:rPr>
                <w:b/>
                <w:bCs/>
                <w:color w:val="auto"/>
                <w:sz w:val="21"/>
                <w:szCs w:val="21"/>
              </w:rPr>
            </w:pPr>
            <w:r>
              <w:rPr>
                <w:b/>
                <w:bCs/>
                <w:color w:val="auto"/>
                <w:sz w:val="21"/>
                <w:szCs w:val="21"/>
              </w:rPr>
              <w:t>监测点位</w:t>
            </w:r>
          </w:p>
        </w:tc>
        <w:tc>
          <w:tcPr>
            <w:tcW w:w="4938" w:type="dxa"/>
            <w:tcBorders>
              <w:tl2br w:val="nil"/>
              <w:tr2bl w:val="nil"/>
            </w:tcBorders>
            <w:vAlign w:val="center"/>
          </w:tcPr>
          <w:p w14:paraId="715FA067">
            <w:pPr>
              <w:adjustRightInd w:val="0"/>
              <w:snapToGrid w:val="0"/>
              <w:jc w:val="center"/>
              <w:textAlignment w:val="center"/>
              <w:rPr>
                <w:b/>
                <w:bCs/>
                <w:color w:val="auto"/>
                <w:sz w:val="21"/>
                <w:szCs w:val="21"/>
              </w:rPr>
            </w:pPr>
            <w:r>
              <w:rPr>
                <w:b/>
                <w:bCs/>
                <w:color w:val="auto"/>
                <w:sz w:val="21"/>
                <w:szCs w:val="21"/>
              </w:rPr>
              <w:t>验收标准</w:t>
            </w:r>
          </w:p>
        </w:tc>
      </w:tr>
      <w:tr w14:paraId="66C4D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1076" w:type="dxa"/>
            <w:vMerge w:val="restart"/>
            <w:tcBorders>
              <w:tl2br w:val="nil"/>
              <w:tr2bl w:val="nil"/>
            </w:tcBorders>
            <w:vAlign w:val="center"/>
          </w:tcPr>
          <w:p w14:paraId="7BC09560">
            <w:pPr>
              <w:adjustRightInd w:val="0"/>
              <w:snapToGrid w:val="0"/>
              <w:jc w:val="center"/>
              <w:textAlignment w:val="center"/>
              <w:rPr>
                <w:color w:val="auto"/>
                <w:sz w:val="21"/>
                <w:szCs w:val="21"/>
              </w:rPr>
            </w:pPr>
            <w:r>
              <w:rPr>
                <w:color w:val="auto"/>
                <w:sz w:val="21"/>
                <w:szCs w:val="21"/>
              </w:rPr>
              <w:t>废气</w:t>
            </w:r>
          </w:p>
        </w:tc>
        <w:tc>
          <w:tcPr>
            <w:tcW w:w="1417" w:type="dxa"/>
            <w:tcBorders>
              <w:tl2br w:val="nil"/>
              <w:tr2bl w:val="nil"/>
            </w:tcBorders>
            <w:vAlign w:val="center"/>
          </w:tcPr>
          <w:p w14:paraId="755F704A">
            <w:pPr>
              <w:jc w:val="center"/>
              <w:rPr>
                <w:rFonts w:hint="default" w:eastAsia="宋体"/>
                <w:b/>
                <w:bCs/>
                <w:color w:val="auto"/>
                <w:sz w:val="21"/>
                <w:szCs w:val="21"/>
                <w:lang w:val="en-US" w:eastAsia="zh-CN"/>
              </w:rPr>
            </w:pPr>
            <w:r>
              <w:rPr>
                <w:rFonts w:hint="eastAsia" w:ascii="Times New Roman" w:hAnsi="Times New Roman" w:cs="Times New Roman"/>
                <w:color w:val="auto"/>
                <w:sz w:val="21"/>
                <w:szCs w:val="21"/>
                <w:lang w:val="en-US" w:eastAsia="zh-CN"/>
              </w:rPr>
              <w:t>非甲烷总烃</w:t>
            </w:r>
          </w:p>
        </w:tc>
        <w:tc>
          <w:tcPr>
            <w:tcW w:w="3946" w:type="dxa"/>
            <w:vMerge w:val="restart"/>
            <w:tcBorders>
              <w:tl2br w:val="nil"/>
              <w:tr2bl w:val="nil"/>
            </w:tcBorders>
            <w:vAlign w:val="center"/>
          </w:tcPr>
          <w:p w14:paraId="78020BA4">
            <w:pPr>
              <w:jc w:val="center"/>
              <w:rPr>
                <w:rFonts w:hint="eastAsia" w:ascii="Times New Roman" w:hAnsi="Times New Roman" w:eastAsia="宋体" w:cs="Times New Roman"/>
                <w:b/>
                <w:bCs/>
                <w:color w:val="auto"/>
                <w:sz w:val="21"/>
                <w:szCs w:val="21"/>
                <w:lang w:val="en-US" w:eastAsia="zh-CN" w:bidi="ar-SA"/>
              </w:rPr>
            </w:pPr>
            <w:r>
              <w:rPr>
                <w:rFonts w:hint="eastAsia" w:ascii="Times New Roman" w:hAnsi="Times New Roman" w:cs="Times New Roman"/>
                <w:color w:val="auto"/>
                <w:sz w:val="21"/>
                <w:szCs w:val="21"/>
                <w:lang w:val="en-US" w:eastAsia="zh-CN"/>
              </w:rPr>
              <w:t>洗涤塔洗涤</w:t>
            </w:r>
          </w:p>
        </w:tc>
        <w:tc>
          <w:tcPr>
            <w:tcW w:w="2940" w:type="dxa"/>
            <w:vMerge w:val="restart"/>
            <w:tcBorders>
              <w:tl2br w:val="nil"/>
              <w:tr2bl w:val="nil"/>
            </w:tcBorders>
            <w:vAlign w:val="center"/>
          </w:tcPr>
          <w:p w14:paraId="3E4C4F08">
            <w:pPr>
              <w:adjustRightInd w:val="0"/>
              <w:snapToGrid w:val="0"/>
              <w:jc w:val="center"/>
              <w:textAlignment w:val="center"/>
              <w:rPr>
                <w:rFonts w:hint="eastAsia" w:ascii="Times New Roman" w:hAnsi="Times New Roman" w:eastAsia="宋体" w:cs="Times New Roman"/>
                <w:b/>
                <w:bCs/>
                <w:color w:val="auto"/>
                <w:sz w:val="21"/>
                <w:szCs w:val="21"/>
                <w:lang w:val="en-US" w:eastAsia="zh-CN" w:bidi="ar-SA"/>
              </w:rPr>
            </w:pPr>
            <w:r>
              <w:rPr>
                <w:rFonts w:hint="eastAsia"/>
                <w:color w:val="auto"/>
                <w:sz w:val="21"/>
                <w:szCs w:val="21"/>
                <w:lang w:val="en-US" w:eastAsia="zh-CN"/>
              </w:rPr>
              <w:t>15m高排气筒</w:t>
            </w:r>
            <w:r>
              <w:rPr>
                <w:rFonts w:hint="eastAsia" w:ascii="Times New Roman" w:hAnsi="Times New Roman" w:eastAsia="宋体" w:cs="Times New Roman"/>
                <w:color w:val="auto"/>
                <w:sz w:val="21"/>
                <w:szCs w:val="21"/>
                <w:lang w:val="en-US" w:eastAsia="zh-CN"/>
              </w:rPr>
              <w:t>（DA002、DA032、DA041、DA042）</w:t>
            </w:r>
            <w:r>
              <w:rPr>
                <w:rFonts w:hint="eastAsia"/>
                <w:color w:val="auto"/>
                <w:sz w:val="21"/>
                <w:szCs w:val="21"/>
                <w:lang w:val="en-US" w:eastAsia="zh-CN"/>
              </w:rPr>
              <w:t>）</w:t>
            </w:r>
          </w:p>
        </w:tc>
        <w:tc>
          <w:tcPr>
            <w:tcW w:w="4938" w:type="dxa"/>
            <w:tcBorders>
              <w:tl2br w:val="nil"/>
              <w:tr2bl w:val="nil"/>
            </w:tcBorders>
            <w:vAlign w:val="center"/>
          </w:tcPr>
          <w:p w14:paraId="5A922A5F">
            <w:pPr>
              <w:adjustRightInd w:val="0"/>
              <w:snapToGrid w:val="0"/>
              <w:jc w:val="center"/>
              <w:textAlignment w:val="center"/>
              <w:rPr>
                <w:rFonts w:hint="default" w:eastAsia="宋体"/>
                <w:b/>
                <w:bCs/>
                <w:color w:val="auto"/>
                <w:sz w:val="21"/>
                <w:szCs w:val="21"/>
                <w:lang w:val="en-US" w:eastAsia="zh-CN"/>
              </w:rPr>
            </w:pPr>
            <w:r>
              <w:rPr>
                <w:rFonts w:hint="default" w:ascii="Times New Roman" w:hAnsi="Times New Roman" w:eastAsia="宋体" w:cs="Times New Roman"/>
                <w:color w:val="auto"/>
                <w:sz w:val="21"/>
                <w:szCs w:val="21"/>
                <w:lang w:val="en-US" w:eastAsia="zh-CN"/>
              </w:rPr>
              <w:t>《大气污染物综合排放标准》（GB16297-1996）二级标准要求</w:t>
            </w:r>
            <w:r>
              <w:rPr>
                <w:rFonts w:hint="eastAsia" w:cs="Times New Roman"/>
                <w:color w:val="auto"/>
                <w:sz w:val="21"/>
                <w:szCs w:val="21"/>
                <w:lang w:val="en-US" w:eastAsia="zh-CN"/>
              </w:rPr>
              <w:t>，最高允许排放浓度120</w:t>
            </w:r>
            <w:r>
              <w:rPr>
                <w:color w:val="auto"/>
                <w:sz w:val="21"/>
                <w:szCs w:val="21"/>
              </w:rPr>
              <w:t>mg/m</w:t>
            </w:r>
            <w:r>
              <w:rPr>
                <w:color w:val="auto"/>
                <w:sz w:val="21"/>
                <w:szCs w:val="21"/>
                <w:vertAlign w:val="superscript"/>
              </w:rPr>
              <w:t>3</w:t>
            </w:r>
            <w:r>
              <w:rPr>
                <w:rFonts w:hint="eastAsia"/>
                <w:color w:val="auto"/>
                <w:sz w:val="21"/>
                <w:szCs w:val="21"/>
                <w:vertAlign w:val="baseline"/>
                <w:lang w:eastAsia="zh-CN"/>
              </w:rPr>
              <w:t>，</w:t>
            </w:r>
            <w:r>
              <w:rPr>
                <w:rFonts w:hint="eastAsia"/>
                <w:color w:val="auto"/>
                <w:sz w:val="21"/>
                <w:szCs w:val="21"/>
                <w:vertAlign w:val="baseline"/>
                <w:lang w:val="en-US" w:eastAsia="zh-CN"/>
              </w:rPr>
              <w:t>最高允许排放速率5kg/h</w:t>
            </w:r>
          </w:p>
        </w:tc>
      </w:tr>
      <w:tr w14:paraId="67115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076" w:type="dxa"/>
            <w:vMerge w:val="continue"/>
            <w:tcBorders>
              <w:tl2br w:val="nil"/>
              <w:tr2bl w:val="nil"/>
            </w:tcBorders>
            <w:vAlign w:val="center"/>
          </w:tcPr>
          <w:p w14:paraId="547BB6BD">
            <w:pPr>
              <w:adjustRightInd w:val="0"/>
              <w:snapToGrid w:val="0"/>
              <w:jc w:val="center"/>
              <w:textAlignment w:val="center"/>
              <w:rPr>
                <w:color w:val="auto"/>
                <w:sz w:val="21"/>
                <w:szCs w:val="21"/>
              </w:rPr>
            </w:pPr>
          </w:p>
        </w:tc>
        <w:tc>
          <w:tcPr>
            <w:tcW w:w="1417" w:type="dxa"/>
            <w:tcBorders>
              <w:tl2br w:val="nil"/>
              <w:tr2bl w:val="nil"/>
            </w:tcBorders>
            <w:shd w:val="clear" w:color="auto" w:fill="auto"/>
            <w:vAlign w:val="center"/>
          </w:tcPr>
          <w:p w14:paraId="42500669">
            <w:pPr>
              <w:adjustRightInd w:val="0"/>
              <w:snapToGrid w:val="0"/>
              <w:jc w:val="center"/>
              <w:rPr>
                <w:rFonts w:hint="eastAsia" w:ascii="Times New Roman" w:hAnsi="Times New Roman" w:eastAsia="宋体" w:cs="Times New Roman"/>
                <w:b/>
                <w:bCs/>
                <w:color w:val="auto"/>
                <w:sz w:val="21"/>
                <w:szCs w:val="21"/>
                <w:lang w:val="en-US" w:eastAsia="zh-CN" w:bidi="ar-SA"/>
              </w:rPr>
            </w:pPr>
            <w:r>
              <w:rPr>
                <w:rFonts w:hint="eastAsia"/>
                <w:color w:val="auto"/>
                <w:sz w:val="21"/>
                <w:szCs w:val="21"/>
                <w:lang w:val="en-US" w:eastAsia="zh-CN"/>
              </w:rPr>
              <w:t>臭气浓度</w:t>
            </w:r>
          </w:p>
        </w:tc>
        <w:tc>
          <w:tcPr>
            <w:tcW w:w="3946" w:type="dxa"/>
            <w:vMerge w:val="continue"/>
            <w:tcBorders>
              <w:tl2br w:val="nil"/>
              <w:tr2bl w:val="nil"/>
            </w:tcBorders>
            <w:shd w:val="clear" w:color="auto" w:fill="auto"/>
            <w:vAlign w:val="center"/>
          </w:tcPr>
          <w:p w14:paraId="643A77D3">
            <w:pPr>
              <w:jc w:val="center"/>
              <w:rPr>
                <w:rFonts w:hint="eastAsia" w:ascii="Times New Roman" w:hAnsi="Times New Roman" w:eastAsia="宋体" w:cs="Times New Roman"/>
                <w:b/>
                <w:bCs/>
                <w:color w:val="auto"/>
                <w:sz w:val="21"/>
                <w:szCs w:val="21"/>
                <w:lang w:val="en-US" w:eastAsia="zh-CN" w:bidi="ar-SA"/>
              </w:rPr>
            </w:pPr>
          </w:p>
        </w:tc>
        <w:tc>
          <w:tcPr>
            <w:tcW w:w="2940" w:type="dxa"/>
            <w:vMerge w:val="continue"/>
            <w:tcBorders>
              <w:tl2br w:val="nil"/>
              <w:tr2bl w:val="nil"/>
            </w:tcBorders>
            <w:shd w:val="clear" w:color="auto" w:fill="auto"/>
            <w:vAlign w:val="center"/>
          </w:tcPr>
          <w:p w14:paraId="7FF98441">
            <w:pPr>
              <w:adjustRightInd w:val="0"/>
              <w:snapToGrid w:val="0"/>
              <w:jc w:val="center"/>
              <w:textAlignment w:val="center"/>
              <w:rPr>
                <w:rFonts w:hint="eastAsia" w:ascii="Times New Roman" w:hAnsi="Times New Roman" w:eastAsia="宋体" w:cs="Times New Roman"/>
                <w:b/>
                <w:bCs/>
                <w:color w:val="auto"/>
                <w:sz w:val="21"/>
                <w:szCs w:val="21"/>
                <w:lang w:val="en-US" w:eastAsia="zh-CN" w:bidi="ar-SA"/>
              </w:rPr>
            </w:pPr>
          </w:p>
        </w:tc>
        <w:tc>
          <w:tcPr>
            <w:tcW w:w="4938" w:type="dxa"/>
            <w:tcBorders>
              <w:tl2br w:val="nil"/>
              <w:tr2bl w:val="nil"/>
            </w:tcBorders>
            <w:shd w:val="clear" w:color="auto" w:fill="auto"/>
            <w:vAlign w:val="center"/>
          </w:tcPr>
          <w:p w14:paraId="4D6618FF">
            <w:pPr>
              <w:adjustRightInd w:val="0"/>
              <w:snapToGrid w:val="0"/>
              <w:jc w:val="center"/>
              <w:textAlignment w:val="center"/>
              <w:rPr>
                <w:rFonts w:hint="default" w:ascii="Times New Roman" w:hAnsi="Times New Roman" w:eastAsia="宋体" w:cs="Times New Roman"/>
                <w:b/>
                <w:bCs/>
                <w:color w:val="auto"/>
                <w:sz w:val="21"/>
                <w:szCs w:val="21"/>
                <w:lang w:val="en-US" w:eastAsia="zh-CN" w:bidi="ar-SA"/>
              </w:rPr>
            </w:pPr>
            <w:r>
              <w:rPr>
                <w:color w:val="auto"/>
                <w:sz w:val="21"/>
                <w:szCs w:val="21"/>
              </w:rPr>
              <w:t>《恶臭污染物排放标准》（GB14554-1993）表</w:t>
            </w:r>
            <w:r>
              <w:rPr>
                <w:rFonts w:hint="eastAsia"/>
                <w:color w:val="auto"/>
                <w:sz w:val="21"/>
                <w:szCs w:val="21"/>
                <w:lang w:val="en-US" w:eastAsia="zh-CN"/>
              </w:rPr>
              <w:t>2限值</w:t>
            </w:r>
            <w:r>
              <w:rPr>
                <w:color w:val="auto"/>
                <w:sz w:val="21"/>
                <w:szCs w:val="21"/>
              </w:rPr>
              <w:t>要求</w:t>
            </w:r>
            <w:r>
              <w:rPr>
                <w:rFonts w:hint="eastAsia"/>
                <w:color w:val="auto"/>
                <w:sz w:val="21"/>
                <w:szCs w:val="21"/>
                <w:lang w:eastAsia="zh-CN"/>
              </w:rPr>
              <w:t>，</w:t>
            </w:r>
            <w:r>
              <w:rPr>
                <w:rFonts w:hint="eastAsia"/>
                <w:color w:val="auto"/>
                <w:sz w:val="21"/>
                <w:szCs w:val="21"/>
                <w:lang w:val="en-US" w:eastAsia="zh-CN"/>
              </w:rPr>
              <w:t>2000（无量纲）</w:t>
            </w:r>
          </w:p>
        </w:tc>
      </w:tr>
      <w:tr w14:paraId="608A7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1076" w:type="dxa"/>
            <w:vMerge w:val="continue"/>
            <w:tcBorders>
              <w:tl2br w:val="nil"/>
              <w:tr2bl w:val="nil"/>
            </w:tcBorders>
            <w:vAlign w:val="center"/>
          </w:tcPr>
          <w:p w14:paraId="106F2CC3">
            <w:pPr>
              <w:adjustRightInd w:val="0"/>
              <w:snapToGrid w:val="0"/>
              <w:jc w:val="center"/>
              <w:textAlignment w:val="center"/>
              <w:rPr>
                <w:color w:val="auto"/>
                <w:sz w:val="21"/>
                <w:szCs w:val="21"/>
              </w:rPr>
            </w:pPr>
          </w:p>
        </w:tc>
        <w:tc>
          <w:tcPr>
            <w:tcW w:w="1417" w:type="dxa"/>
            <w:vMerge w:val="restart"/>
            <w:tcBorders>
              <w:tl2br w:val="nil"/>
              <w:tr2bl w:val="nil"/>
            </w:tcBorders>
            <w:vAlign w:val="center"/>
          </w:tcPr>
          <w:p w14:paraId="340483E7">
            <w:pPr>
              <w:adjustRightInd w:val="0"/>
              <w:snapToGrid w:val="0"/>
              <w:jc w:val="center"/>
              <w:rPr>
                <w:rFonts w:hint="default"/>
                <w:color w:val="auto"/>
                <w:sz w:val="21"/>
                <w:szCs w:val="21"/>
                <w:lang w:val="en-US" w:eastAsia="zh-CN"/>
              </w:rPr>
            </w:pPr>
            <w:r>
              <w:rPr>
                <w:rFonts w:hint="eastAsia"/>
                <w:color w:val="auto"/>
                <w:sz w:val="21"/>
                <w:szCs w:val="21"/>
                <w:lang w:val="en-US" w:eastAsia="zh-CN"/>
              </w:rPr>
              <w:t>颗粒物</w:t>
            </w:r>
          </w:p>
        </w:tc>
        <w:tc>
          <w:tcPr>
            <w:tcW w:w="3946" w:type="dxa"/>
            <w:vMerge w:val="restart"/>
            <w:tcBorders>
              <w:tl2br w:val="nil"/>
              <w:tr2bl w:val="nil"/>
            </w:tcBorders>
            <w:vAlign w:val="center"/>
          </w:tcPr>
          <w:p w14:paraId="670D63A0">
            <w:pPr>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布袋除尘器</w:t>
            </w:r>
          </w:p>
        </w:tc>
        <w:tc>
          <w:tcPr>
            <w:tcW w:w="2940" w:type="dxa"/>
            <w:tcBorders>
              <w:tl2br w:val="nil"/>
              <w:tr2bl w:val="nil"/>
            </w:tcBorders>
            <w:shd w:val="clear" w:color="000000" w:fill="auto"/>
            <w:vAlign w:val="center"/>
          </w:tcPr>
          <w:p w14:paraId="57B8A5E9">
            <w:pPr>
              <w:jc w:val="center"/>
              <w:rPr>
                <w:rFonts w:hint="eastAsia" w:ascii="Times New Roman" w:hAnsi="Times New Roman" w:eastAsia="宋体" w:cs="Times New Roman"/>
                <w:b/>
                <w:bCs/>
                <w:color w:val="auto"/>
                <w:sz w:val="21"/>
                <w:szCs w:val="21"/>
                <w:lang w:val="en-US" w:eastAsia="zh-CN" w:bidi="ar-SA"/>
              </w:rPr>
            </w:pPr>
            <w:r>
              <w:rPr>
                <w:rFonts w:hint="eastAsia" w:ascii="Times New Roman" w:hAnsi="Times New Roman" w:eastAsia="宋体" w:cs="Times New Roman"/>
                <w:color w:val="auto"/>
                <w:sz w:val="21"/>
                <w:szCs w:val="21"/>
                <w:lang w:val="en-US" w:eastAsia="zh-CN"/>
              </w:rPr>
              <w:t>22.5m高排气筒（DA005-DA010、DA014、DA015、DA040）</w:t>
            </w:r>
          </w:p>
        </w:tc>
        <w:tc>
          <w:tcPr>
            <w:tcW w:w="4938" w:type="dxa"/>
            <w:tcBorders>
              <w:tl2br w:val="nil"/>
              <w:tr2bl w:val="nil"/>
            </w:tcBorders>
            <w:vAlign w:val="center"/>
          </w:tcPr>
          <w:p w14:paraId="6D0AFD50">
            <w:pPr>
              <w:adjustRightInd w:val="0"/>
              <w:snapToGrid w:val="0"/>
              <w:jc w:val="center"/>
              <w:textAlignment w:val="center"/>
              <w:rPr>
                <w:color w:val="auto"/>
                <w:sz w:val="21"/>
                <w:szCs w:val="21"/>
              </w:rPr>
            </w:pPr>
            <w:r>
              <w:rPr>
                <w:rFonts w:hint="default" w:ascii="Times New Roman" w:hAnsi="Times New Roman" w:eastAsia="宋体" w:cs="Times New Roman"/>
                <w:color w:val="auto"/>
                <w:sz w:val="21"/>
                <w:szCs w:val="21"/>
                <w:lang w:val="en-US" w:eastAsia="zh-CN"/>
              </w:rPr>
              <w:t>《大气污染物综合排放标准》（GB16297-1996）二级标准要求</w:t>
            </w:r>
            <w:r>
              <w:rPr>
                <w:rFonts w:hint="eastAsia" w:cs="Times New Roman"/>
                <w:color w:val="auto"/>
                <w:sz w:val="21"/>
                <w:szCs w:val="21"/>
                <w:lang w:val="en-US" w:eastAsia="zh-CN"/>
              </w:rPr>
              <w:t>，最高允许排放浓度120</w:t>
            </w:r>
            <w:r>
              <w:rPr>
                <w:color w:val="auto"/>
                <w:sz w:val="21"/>
                <w:szCs w:val="21"/>
              </w:rPr>
              <w:t>mg/m</w:t>
            </w:r>
            <w:r>
              <w:rPr>
                <w:color w:val="auto"/>
                <w:sz w:val="21"/>
                <w:szCs w:val="21"/>
                <w:vertAlign w:val="superscript"/>
              </w:rPr>
              <w:t>3</w:t>
            </w:r>
            <w:r>
              <w:rPr>
                <w:rFonts w:hint="eastAsia"/>
                <w:color w:val="auto"/>
                <w:sz w:val="21"/>
                <w:szCs w:val="21"/>
                <w:vertAlign w:val="baseline"/>
                <w:lang w:eastAsia="zh-CN"/>
              </w:rPr>
              <w:t>，</w:t>
            </w:r>
            <w:r>
              <w:rPr>
                <w:rFonts w:hint="eastAsia"/>
                <w:color w:val="auto"/>
                <w:sz w:val="21"/>
                <w:szCs w:val="21"/>
                <w:vertAlign w:val="baseline"/>
                <w:lang w:val="en-US" w:eastAsia="zh-CN"/>
              </w:rPr>
              <w:t>最高允许排放速率5.09kg/h</w:t>
            </w:r>
          </w:p>
        </w:tc>
      </w:tr>
      <w:tr w14:paraId="21436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1076" w:type="dxa"/>
            <w:vMerge w:val="continue"/>
            <w:tcBorders>
              <w:tl2br w:val="nil"/>
              <w:tr2bl w:val="nil"/>
            </w:tcBorders>
            <w:vAlign w:val="center"/>
          </w:tcPr>
          <w:p w14:paraId="618624AA">
            <w:pPr>
              <w:adjustRightInd w:val="0"/>
              <w:snapToGrid w:val="0"/>
              <w:jc w:val="center"/>
              <w:textAlignment w:val="center"/>
              <w:rPr>
                <w:color w:val="auto"/>
                <w:sz w:val="21"/>
                <w:szCs w:val="21"/>
              </w:rPr>
            </w:pPr>
          </w:p>
        </w:tc>
        <w:tc>
          <w:tcPr>
            <w:tcW w:w="1417" w:type="dxa"/>
            <w:vMerge w:val="continue"/>
            <w:tcBorders>
              <w:tl2br w:val="nil"/>
              <w:tr2bl w:val="nil"/>
            </w:tcBorders>
            <w:vAlign w:val="center"/>
          </w:tcPr>
          <w:p w14:paraId="4ED1FC1F">
            <w:pPr>
              <w:adjustRightInd w:val="0"/>
              <w:snapToGrid w:val="0"/>
              <w:jc w:val="center"/>
              <w:rPr>
                <w:rFonts w:hint="eastAsia"/>
                <w:color w:val="auto"/>
                <w:sz w:val="21"/>
                <w:szCs w:val="21"/>
                <w:lang w:val="en-US" w:eastAsia="zh-CN"/>
              </w:rPr>
            </w:pPr>
          </w:p>
        </w:tc>
        <w:tc>
          <w:tcPr>
            <w:tcW w:w="3946" w:type="dxa"/>
            <w:vMerge w:val="continue"/>
            <w:tcBorders>
              <w:tl2br w:val="nil"/>
              <w:tr2bl w:val="nil"/>
            </w:tcBorders>
            <w:vAlign w:val="center"/>
          </w:tcPr>
          <w:p w14:paraId="14E9C437">
            <w:pPr>
              <w:jc w:val="center"/>
              <w:rPr>
                <w:rFonts w:hint="eastAsia" w:cs="Times New Roman"/>
                <w:color w:val="auto"/>
                <w:sz w:val="21"/>
                <w:szCs w:val="21"/>
                <w:lang w:val="en-US" w:eastAsia="zh-CN"/>
              </w:rPr>
            </w:pPr>
          </w:p>
        </w:tc>
        <w:tc>
          <w:tcPr>
            <w:tcW w:w="2940" w:type="dxa"/>
            <w:tcBorders>
              <w:tl2br w:val="nil"/>
              <w:tr2bl w:val="nil"/>
            </w:tcBorders>
            <w:shd w:val="clear" w:color="000000" w:fill="auto"/>
            <w:vAlign w:val="center"/>
          </w:tcPr>
          <w:p w14:paraId="10A76085">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25m高排气筒（DA018-DA029、DA035）</w:t>
            </w:r>
          </w:p>
        </w:tc>
        <w:tc>
          <w:tcPr>
            <w:tcW w:w="4938" w:type="dxa"/>
            <w:tcBorders>
              <w:tl2br w:val="nil"/>
              <w:tr2bl w:val="nil"/>
            </w:tcBorders>
            <w:shd w:val="clear" w:color="auto" w:fill="auto"/>
            <w:vAlign w:val="center"/>
          </w:tcPr>
          <w:p w14:paraId="36B22F41">
            <w:pPr>
              <w:adjustRightInd w:val="0"/>
              <w:snapToGrid w:val="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rPr>
              <w:t>《大气污染物综合排放标准》（GB16297-1996）二级标准要求</w:t>
            </w:r>
            <w:r>
              <w:rPr>
                <w:rFonts w:hint="eastAsia" w:cs="Times New Roman"/>
                <w:color w:val="auto"/>
                <w:sz w:val="21"/>
                <w:szCs w:val="21"/>
                <w:lang w:val="en-US" w:eastAsia="zh-CN"/>
              </w:rPr>
              <w:t>，最高允许排放浓度120</w:t>
            </w:r>
            <w:r>
              <w:rPr>
                <w:color w:val="auto"/>
                <w:sz w:val="21"/>
                <w:szCs w:val="21"/>
              </w:rPr>
              <w:t>mg/m</w:t>
            </w:r>
            <w:r>
              <w:rPr>
                <w:color w:val="auto"/>
                <w:sz w:val="21"/>
                <w:szCs w:val="21"/>
                <w:vertAlign w:val="superscript"/>
              </w:rPr>
              <w:t>3</w:t>
            </w:r>
            <w:r>
              <w:rPr>
                <w:rFonts w:hint="eastAsia"/>
                <w:color w:val="auto"/>
                <w:sz w:val="21"/>
                <w:szCs w:val="21"/>
                <w:vertAlign w:val="baseline"/>
                <w:lang w:eastAsia="zh-CN"/>
              </w:rPr>
              <w:t>，</w:t>
            </w:r>
            <w:r>
              <w:rPr>
                <w:rFonts w:hint="eastAsia"/>
                <w:color w:val="auto"/>
                <w:sz w:val="21"/>
                <w:szCs w:val="21"/>
                <w:vertAlign w:val="baseline"/>
                <w:lang w:val="en-US" w:eastAsia="zh-CN"/>
              </w:rPr>
              <w:t>最高允许排放速率7.23kg/h</w:t>
            </w:r>
          </w:p>
        </w:tc>
      </w:tr>
      <w:tr w14:paraId="7337B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5E95EB8B">
            <w:pPr>
              <w:adjustRightInd w:val="0"/>
              <w:snapToGrid w:val="0"/>
              <w:jc w:val="center"/>
              <w:textAlignment w:val="center"/>
              <w:rPr>
                <w:color w:val="auto"/>
                <w:sz w:val="21"/>
                <w:szCs w:val="21"/>
              </w:rPr>
            </w:pPr>
          </w:p>
        </w:tc>
        <w:tc>
          <w:tcPr>
            <w:tcW w:w="1417" w:type="dxa"/>
            <w:tcBorders>
              <w:tl2br w:val="nil"/>
              <w:tr2bl w:val="nil"/>
            </w:tcBorders>
            <w:vAlign w:val="center"/>
          </w:tcPr>
          <w:p w14:paraId="422A8439">
            <w:pPr>
              <w:jc w:val="center"/>
              <w:rPr>
                <w:color w:val="auto"/>
                <w:sz w:val="21"/>
                <w:szCs w:val="21"/>
              </w:rPr>
            </w:pPr>
            <w:r>
              <w:rPr>
                <w:rFonts w:hint="eastAsia"/>
                <w:color w:val="auto"/>
                <w:sz w:val="21"/>
                <w:szCs w:val="21"/>
                <w:lang w:val="en-US" w:eastAsia="zh-CN"/>
              </w:rPr>
              <w:t>NH</w:t>
            </w:r>
            <w:r>
              <w:rPr>
                <w:rFonts w:hint="eastAsia"/>
                <w:color w:val="auto"/>
                <w:sz w:val="21"/>
                <w:szCs w:val="21"/>
                <w:vertAlign w:val="subscript"/>
                <w:lang w:val="en-US" w:eastAsia="zh-CN"/>
              </w:rPr>
              <w:t>3</w:t>
            </w:r>
          </w:p>
        </w:tc>
        <w:tc>
          <w:tcPr>
            <w:tcW w:w="3946" w:type="dxa"/>
            <w:vMerge w:val="restart"/>
            <w:tcBorders>
              <w:tl2br w:val="nil"/>
              <w:tr2bl w:val="nil"/>
            </w:tcBorders>
            <w:vAlign w:val="center"/>
          </w:tcPr>
          <w:p w14:paraId="6CDB11FF">
            <w:pPr>
              <w:jc w:val="center"/>
              <w:rPr>
                <w:rFonts w:hint="default" w:eastAsia="宋体"/>
                <w:color w:val="auto"/>
                <w:sz w:val="21"/>
                <w:szCs w:val="21"/>
                <w:lang w:val="en-US" w:eastAsia="zh-CN"/>
              </w:rPr>
            </w:pPr>
            <w:r>
              <w:rPr>
                <w:rFonts w:hint="eastAsia" w:ascii="Times New Roman" w:hAnsi="Times New Roman" w:cs="Times New Roman"/>
                <w:color w:val="auto"/>
                <w:sz w:val="21"/>
                <w:szCs w:val="21"/>
                <w:lang w:val="en-US" w:eastAsia="zh-CN"/>
              </w:rPr>
              <w:t>设置集排风装置（捕集效率80%），收集的恶臭气体通过活性炭吸附净化处理后排放，净化效率不低于90%</w:t>
            </w:r>
          </w:p>
        </w:tc>
        <w:tc>
          <w:tcPr>
            <w:tcW w:w="2940" w:type="dxa"/>
            <w:vMerge w:val="restart"/>
            <w:tcBorders>
              <w:tl2br w:val="nil"/>
              <w:tr2bl w:val="nil"/>
            </w:tcBorders>
            <w:vAlign w:val="center"/>
          </w:tcPr>
          <w:p w14:paraId="38BFED6F">
            <w:pPr>
              <w:adjustRightInd w:val="0"/>
              <w:snapToGrid w:val="0"/>
              <w:jc w:val="center"/>
              <w:textAlignment w:val="center"/>
              <w:rPr>
                <w:color w:val="auto"/>
                <w:sz w:val="21"/>
                <w:szCs w:val="21"/>
              </w:rPr>
            </w:pPr>
            <w:r>
              <w:rPr>
                <w:rFonts w:hint="eastAsia"/>
                <w:color w:val="auto"/>
                <w:sz w:val="21"/>
                <w:szCs w:val="21"/>
                <w:lang w:val="en-US" w:eastAsia="zh-CN"/>
              </w:rPr>
              <w:t>15m高排气筒（DA011）</w:t>
            </w:r>
          </w:p>
        </w:tc>
        <w:tc>
          <w:tcPr>
            <w:tcW w:w="4938" w:type="dxa"/>
            <w:vMerge w:val="restart"/>
            <w:tcBorders>
              <w:tl2br w:val="nil"/>
              <w:tr2bl w:val="nil"/>
            </w:tcBorders>
            <w:vAlign w:val="center"/>
          </w:tcPr>
          <w:p w14:paraId="77E6CAB6">
            <w:pPr>
              <w:snapToGrid w:val="0"/>
              <w:jc w:val="center"/>
              <w:rPr>
                <w:rFonts w:hint="default" w:eastAsia="宋体"/>
                <w:color w:val="auto"/>
                <w:sz w:val="21"/>
                <w:szCs w:val="21"/>
                <w:lang w:val="en-US" w:eastAsia="zh-CN"/>
              </w:rPr>
            </w:pPr>
            <w:r>
              <w:rPr>
                <w:color w:val="auto"/>
                <w:sz w:val="21"/>
                <w:szCs w:val="21"/>
              </w:rPr>
              <w:t>《恶臭污染物排放标准》（GB14554-1993）表</w:t>
            </w:r>
            <w:r>
              <w:rPr>
                <w:rFonts w:hint="eastAsia"/>
                <w:color w:val="auto"/>
                <w:sz w:val="21"/>
                <w:szCs w:val="21"/>
                <w:lang w:val="en-US" w:eastAsia="zh-CN"/>
              </w:rPr>
              <w:t>2限值</w:t>
            </w:r>
            <w:r>
              <w:rPr>
                <w:color w:val="auto"/>
                <w:sz w:val="21"/>
                <w:szCs w:val="21"/>
              </w:rPr>
              <w:t>要求</w:t>
            </w:r>
            <w:r>
              <w:rPr>
                <w:rFonts w:hint="eastAsia"/>
                <w:color w:val="auto"/>
                <w:sz w:val="21"/>
                <w:szCs w:val="21"/>
                <w:lang w:eastAsia="zh-CN"/>
              </w:rPr>
              <w:t>，</w:t>
            </w:r>
            <w:r>
              <w:rPr>
                <w:rFonts w:hint="eastAsia"/>
                <w:color w:val="auto"/>
                <w:sz w:val="21"/>
                <w:szCs w:val="21"/>
                <w:lang w:val="en-US" w:eastAsia="zh-CN"/>
              </w:rPr>
              <w:t>氨：</w:t>
            </w:r>
            <w:r>
              <w:rPr>
                <w:color w:val="auto"/>
                <w:sz w:val="21"/>
                <w:szCs w:val="21"/>
              </w:rPr>
              <w:t>1.</w:t>
            </w:r>
            <w:r>
              <w:rPr>
                <w:rFonts w:hint="eastAsia"/>
                <w:color w:val="auto"/>
                <w:sz w:val="21"/>
                <w:szCs w:val="21"/>
                <w:lang w:val="en-US" w:eastAsia="zh-CN"/>
              </w:rPr>
              <w:t>5</w:t>
            </w:r>
            <w:r>
              <w:rPr>
                <w:color w:val="auto"/>
                <w:sz w:val="21"/>
                <w:szCs w:val="21"/>
              </w:rPr>
              <w:t>mg/m</w:t>
            </w:r>
            <w:r>
              <w:rPr>
                <w:color w:val="auto"/>
                <w:sz w:val="21"/>
                <w:szCs w:val="21"/>
                <w:vertAlign w:val="superscript"/>
              </w:rPr>
              <w:t>3</w:t>
            </w:r>
            <w:r>
              <w:rPr>
                <w:rFonts w:hint="eastAsia"/>
                <w:color w:val="auto"/>
                <w:sz w:val="21"/>
                <w:szCs w:val="21"/>
                <w:lang w:eastAsia="zh-CN"/>
              </w:rPr>
              <w:t>、</w:t>
            </w:r>
            <w:r>
              <w:rPr>
                <w:rFonts w:hint="eastAsia"/>
                <w:color w:val="auto"/>
                <w:sz w:val="21"/>
                <w:szCs w:val="21"/>
                <w:lang w:val="en-US" w:eastAsia="zh-CN"/>
              </w:rPr>
              <w:t>硫化氢：0.06</w:t>
            </w:r>
            <w:r>
              <w:rPr>
                <w:color w:val="auto"/>
                <w:sz w:val="21"/>
                <w:szCs w:val="21"/>
              </w:rPr>
              <w:t>mg/m</w:t>
            </w:r>
            <w:r>
              <w:rPr>
                <w:color w:val="auto"/>
                <w:sz w:val="21"/>
                <w:szCs w:val="21"/>
                <w:vertAlign w:val="superscript"/>
              </w:rPr>
              <w:t>3</w:t>
            </w:r>
            <w:r>
              <w:rPr>
                <w:rFonts w:hint="eastAsia"/>
                <w:color w:val="auto"/>
                <w:sz w:val="21"/>
                <w:szCs w:val="21"/>
                <w:lang w:eastAsia="zh-CN"/>
              </w:rPr>
              <w:t>、</w:t>
            </w:r>
            <w:r>
              <w:rPr>
                <w:rFonts w:hint="eastAsia"/>
                <w:color w:val="auto"/>
                <w:sz w:val="21"/>
                <w:szCs w:val="21"/>
                <w:lang w:val="en-US" w:eastAsia="zh-CN"/>
              </w:rPr>
              <w:t>臭气浓度：2000（无量纲）</w:t>
            </w:r>
          </w:p>
        </w:tc>
      </w:tr>
      <w:tr w14:paraId="30242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25EBE66C">
            <w:pPr>
              <w:adjustRightInd w:val="0"/>
              <w:snapToGrid w:val="0"/>
              <w:jc w:val="center"/>
              <w:textAlignment w:val="center"/>
              <w:rPr>
                <w:color w:val="auto"/>
                <w:sz w:val="21"/>
                <w:szCs w:val="21"/>
              </w:rPr>
            </w:pPr>
          </w:p>
        </w:tc>
        <w:tc>
          <w:tcPr>
            <w:tcW w:w="1417" w:type="dxa"/>
            <w:tcBorders>
              <w:tl2br w:val="nil"/>
              <w:tr2bl w:val="nil"/>
            </w:tcBorders>
            <w:vAlign w:val="center"/>
          </w:tcPr>
          <w:p w14:paraId="434DB5A3">
            <w:pPr>
              <w:jc w:val="center"/>
              <w:rPr>
                <w:rFonts w:hint="eastAsia"/>
                <w:color w:val="auto"/>
                <w:sz w:val="21"/>
                <w:szCs w:val="21"/>
              </w:rPr>
            </w:pP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p>
        </w:tc>
        <w:tc>
          <w:tcPr>
            <w:tcW w:w="3946" w:type="dxa"/>
            <w:vMerge w:val="continue"/>
            <w:tcBorders>
              <w:tl2br w:val="nil"/>
              <w:tr2bl w:val="nil"/>
            </w:tcBorders>
            <w:vAlign w:val="center"/>
          </w:tcPr>
          <w:p w14:paraId="3265246E">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32ED8D89">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04291BB1">
            <w:pPr>
              <w:snapToGrid w:val="0"/>
              <w:jc w:val="center"/>
              <w:rPr>
                <w:color w:val="auto"/>
                <w:sz w:val="21"/>
                <w:szCs w:val="21"/>
              </w:rPr>
            </w:pPr>
          </w:p>
        </w:tc>
      </w:tr>
      <w:tr w14:paraId="65043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076" w:type="dxa"/>
            <w:vMerge w:val="continue"/>
            <w:tcBorders>
              <w:tl2br w:val="nil"/>
              <w:tr2bl w:val="nil"/>
            </w:tcBorders>
            <w:vAlign w:val="center"/>
          </w:tcPr>
          <w:p w14:paraId="32225C50">
            <w:pPr>
              <w:adjustRightInd w:val="0"/>
              <w:snapToGrid w:val="0"/>
              <w:jc w:val="center"/>
              <w:textAlignment w:val="center"/>
              <w:rPr>
                <w:color w:val="auto"/>
                <w:sz w:val="21"/>
                <w:szCs w:val="21"/>
              </w:rPr>
            </w:pPr>
          </w:p>
        </w:tc>
        <w:tc>
          <w:tcPr>
            <w:tcW w:w="1417" w:type="dxa"/>
            <w:tcBorders>
              <w:tl2br w:val="nil"/>
              <w:tr2bl w:val="nil"/>
            </w:tcBorders>
            <w:vAlign w:val="center"/>
          </w:tcPr>
          <w:p w14:paraId="30AFA5CA">
            <w:pPr>
              <w:jc w:val="center"/>
              <w:rPr>
                <w:rFonts w:hint="eastAsia"/>
                <w:color w:val="auto"/>
                <w:sz w:val="21"/>
                <w:szCs w:val="21"/>
              </w:rPr>
            </w:pPr>
            <w:r>
              <w:rPr>
                <w:rFonts w:hint="eastAsia"/>
                <w:color w:val="auto"/>
                <w:sz w:val="21"/>
                <w:szCs w:val="21"/>
                <w:lang w:val="en-US" w:eastAsia="zh-CN"/>
              </w:rPr>
              <w:t>臭气浓度</w:t>
            </w:r>
          </w:p>
        </w:tc>
        <w:tc>
          <w:tcPr>
            <w:tcW w:w="3946" w:type="dxa"/>
            <w:vMerge w:val="continue"/>
            <w:tcBorders>
              <w:tl2br w:val="nil"/>
              <w:tr2bl w:val="nil"/>
            </w:tcBorders>
            <w:vAlign w:val="center"/>
          </w:tcPr>
          <w:p w14:paraId="4CE30C78">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4EE336FF">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55AFA158">
            <w:pPr>
              <w:snapToGrid w:val="0"/>
              <w:jc w:val="center"/>
              <w:rPr>
                <w:color w:val="auto"/>
                <w:sz w:val="21"/>
                <w:szCs w:val="21"/>
              </w:rPr>
            </w:pPr>
          </w:p>
        </w:tc>
      </w:tr>
      <w:tr w14:paraId="7A2DC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4C89759B">
            <w:pPr>
              <w:adjustRightInd w:val="0"/>
              <w:snapToGrid w:val="0"/>
              <w:jc w:val="center"/>
              <w:textAlignment w:val="center"/>
              <w:rPr>
                <w:color w:val="auto"/>
                <w:sz w:val="21"/>
                <w:szCs w:val="21"/>
              </w:rPr>
            </w:pPr>
          </w:p>
        </w:tc>
        <w:tc>
          <w:tcPr>
            <w:tcW w:w="1417" w:type="dxa"/>
            <w:tcBorders>
              <w:tl2br w:val="nil"/>
              <w:tr2bl w:val="nil"/>
            </w:tcBorders>
            <w:vAlign w:val="center"/>
          </w:tcPr>
          <w:p w14:paraId="40D2BC69">
            <w:pPr>
              <w:jc w:val="center"/>
              <w:rPr>
                <w:rFonts w:hint="eastAsia"/>
                <w:color w:val="auto"/>
                <w:sz w:val="21"/>
                <w:szCs w:val="21"/>
              </w:rPr>
            </w:pPr>
            <w:r>
              <w:rPr>
                <w:rFonts w:hint="eastAsia"/>
                <w:color w:val="auto"/>
                <w:sz w:val="21"/>
                <w:szCs w:val="21"/>
                <w:lang w:val="en-US" w:eastAsia="zh-CN"/>
              </w:rPr>
              <w:t>NH</w:t>
            </w:r>
            <w:r>
              <w:rPr>
                <w:rFonts w:hint="eastAsia"/>
                <w:color w:val="auto"/>
                <w:sz w:val="21"/>
                <w:szCs w:val="21"/>
                <w:vertAlign w:val="subscript"/>
                <w:lang w:val="en-US" w:eastAsia="zh-CN"/>
              </w:rPr>
              <w:t>3</w:t>
            </w:r>
          </w:p>
        </w:tc>
        <w:tc>
          <w:tcPr>
            <w:tcW w:w="3946" w:type="dxa"/>
            <w:vMerge w:val="restart"/>
            <w:tcBorders>
              <w:tl2br w:val="nil"/>
              <w:tr2bl w:val="nil"/>
            </w:tcBorders>
            <w:vAlign w:val="center"/>
          </w:tcPr>
          <w:p w14:paraId="2EEB2A97">
            <w:pPr>
              <w:adjustRightInd w:val="0"/>
              <w:snapToGrid w:val="0"/>
              <w:jc w:val="center"/>
              <w:textAlignment w:val="center"/>
              <w:rPr>
                <w:color w:val="auto"/>
                <w:sz w:val="21"/>
                <w:szCs w:val="21"/>
              </w:rPr>
            </w:pPr>
            <w:r>
              <w:rPr>
                <w:rFonts w:hint="eastAsia"/>
                <w:color w:val="auto"/>
                <w:sz w:val="21"/>
                <w:szCs w:val="21"/>
                <w:lang w:val="en-US" w:eastAsia="zh-CN"/>
              </w:rPr>
              <w:t>厂区绿化</w:t>
            </w:r>
          </w:p>
        </w:tc>
        <w:tc>
          <w:tcPr>
            <w:tcW w:w="2940" w:type="dxa"/>
            <w:vMerge w:val="restart"/>
            <w:tcBorders>
              <w:tl2br w:val="nil"/>
              <w:tr2bl w:val="nil"/>
            </w:tcBorders>
            <w:vAlign w:val="center"/>
          </w:tcPr>
          <w:p w14:paraId="5A60B010">
            <w:pPr>
              <w:adjustRightInd w:val="0"/>
              <w:snapToGrid w:val="0"/>
              <w:jc w:val="center"/>
              <w:textAlignment w:val="center"/>
              <w:rPr>
                <w:color w:val="auto"/>
                <w:sz w:val="21"/>
                <w:szCs w:val="21"/>
              </w:rPr>
            </w:pPr>
            <w:r>
              <w:rPr>
                <w:color w:val="auto"/>
                <w:sz w:val="21"/>
                <w:szCs w:val="21"/>
              </w:rPr>
              <w:t>厂界</w:t>
            </w:r>
          </w:p>
        </w:tc>
        <w:tc>
          <w:tcPr>
            <w:tcW w:w="4938" w:type="dxa"/>
            <w:vMerge w:val="restart"/>
            <w:tcBorders>
              <w:tl2br w:val="nil"/>
              <w:tr2bl w:val="nil"/>
            </w:tcBorders>
            <w:vAlign w:val="center"/>
          </w:tcPr>
          <w:p w14:paraId="0749E591">
            <w:pPr>
              <w:snapToGrid w:val="0"/>
              <w:jc w:val="center"/>
              <w:rPr>
                <w:color w:val="auto"/>
                <w:sz w:val="21"/>
                <w:szCs w:val="21"/>
              </w:rPr>
            </w:pPr>
            <w:r>
              <w:rPr>
                <w:color w:val="auto"/>
                <w:sz w:val="21"/>
                <w:szCs w:val="21"/>
              </w:rPr>
              <w:t>《恶臭污染物排放标准》（GB14554-1993）表1恶臭污染物厂界标准值要求</w:t>
            </w:r>
            <w:r>
              <w:rPr>
                <w:rFonts w:hint="eastAsia"/>
                <w:color w:val="auto"/>
                <w:sz w:val="21"/>
                <w:szCs w:val="21"/>
                <w:lang w:eastAsia="zh-CN"/>
              </w:rPr>
              <w:t>，</w:t>
            </w:r>
            <w:r>
              <w:rPr>
                <w:color w:val="auto"/>
                <w:sz w:val="21"/>
                <w:szCs w:val="21"/>
              </w:rPr>
              <w:t>1.</w:t>
            </w:r>
            <w:r>
              <w:rPr>
                <w:rFonts w:hint="eastAsia"/>
                <w:color w:val="auto"/>
                <w:sz w:val="21"/>
                <w:szCs w:val="21"/>
                <w:lang w:val="en-US" w:eastAsia="zh-CN"/>
              </w:rPr>
              <w:t>5</w:t>
            </w:r>
            <w:r>
              <w:rPr>
                <w:color w:val="auto"/>
                <w:sz w:val="21"/>
                <w:szCs w:val="21"/>
              </w:rPr>
              <w:t>mg/m</w:t>
            </w:r>
            <w:r>
              <w:rPr>
                <w:color w:val="auto"/>
                <w:sz w:val="21"/>
                <w:szCs w:val="21"/>
                <w:vertAlign w:val="superscript"/>
              </w:rPr>
              <w:t>3</w:t>
            </w:r>
          </w:p>
        </w:tc>
      </w:tr>
      <w:tr w14:paraId="7884D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328DE1A6">
            <w:pPr>
              <w:adjustRightInd w:val="0"/>
              <w:snapToGrid w:val="0"/>
              <w:jc w:val="center"/>
              <w:textAlignment w:val="center"/>
              <w:rPr>
                <w:color w:val="auto"/>
                <w:sz w:val="21"/>
                <w:szCs w:val="21"/>
              </w:rPr>
            </w:pPr>
          </w:p>
        </w:tc>
        <w:tc>
          <w:tcPr>
            <w:tcW w:w="1417" w:type="dxa"/>
            <w:tcBorders>
              <w:tl2br w:val="nil"/>
              <w:tr2bl w:val="nil"/>
            </w:tcBorders>
            <w:vAlign w:val="center"/>
          </w:tcPr>
          <w:p w14:paraId="04440CEC">
            <w:pPr>
              <w:jc w:val="center"/>
              <w:rPr>
                <w:rFonts w:hint="eastAsia"/>
                <w:color w:val="auto"/>
                <w:sz w:val="21"/>
                <w:szCs w:val="21"/>
              </w:rPr>
            </w:pPr>
            <w:r>
              <w:rPr>
                <w:rFonts w:hint="eastAsia"/>
                <w:color w:val="auto"/>
                <w:sz w:val="21"/>
                <w:szCs w:val="21"/>
                <w:lang w:val="en-US" w:eastAsia="zh-CN"/>
              </w:rPr>
              <w:t>H</w:t>
            </w:r>
            <w:r>
              <w:rPr>
                <w:rFonts w:hint="eastAsia"/>
                <w:color w:val="auto"/>
                <w:sz w:val="21"/>
                <w:szCs w:val="21"/>
                <w:vertAlign w:val="subscript"/>
                <w:lang w:val="en-US" w:eastAsia="zh-CN"/>
              </w:rPr>
              <w:t>2</w:t>
            </w:r>
            <w:r>
              <w:rPr>
                <w:rFonts w:hint="eastAsia"/>
                <w:color w:val="auto"/>
                <w:sz w:val="21"/>
                <w:szCs w:val="21"/>
                <w:lang w:val="en-US" w:eastAsia="zh-CN"/>
              </w:rPr>
              <w:t>S</w:t>
            </w:r>
          </w:p>
        </w:tc>
        <w:tc>
          <w:tcPr>
            <w:tcW w:w="3946" w:type="dxa"/>
            <w:vMerge w:val="continue"/>
            <w:tcBorders>
              <w:tl2br w:val="nil"/>
              <w:tr2bl w:val="nil"/>
            </w:tcBorders>
            <w:vAlign w:val="center"/>
          </w:tcPr>
          <w:p w14:paraId="6EC0AA95">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6E3B841F">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7CAC742C">
            <w:pPr>
              <w:snapToGrid w:val="0"/>
              <w:jc w:val="center"/>
              <w:rPr>
                <w:color w:val="auto"/>
                <w:sz w:val="21"/>
                <w:szCs w:val="21"/>
              </w:rPr>
            </w:pPr>
          </w:p>
        </w:tc>
      </w:tr>
      <w:tr w14:paraId="21272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76" w:type="dxa"/>
            <w:vMerge w:val="continue"/>
            <w:tcBorders>
              <w:tl2br w:val="nil"/>
              <w:tr2bl w:val="nil"/>
            </w:tcBorders>
            <w:vAlign w:val="center"/>
          </w:tcPr>
          <w:p w14:paraId="611C8D6A">
            <w:pPr>
              <w:adjustRightInd w:val="0"/>
              <w:snapToGrid w:val="0"/>
              <w:jc w:val="center"/>
              <w:textAlignment w:val="center"/>
              <w:rPr>
                <w:color w:val="auto"/>
                <w:sz w:val="21"/>
                <w:szCs w:val="21"/>
              </w:rPr>
            </w:pPr>
          </w:p>
        </w:tc>
        <w:tc>
          <w:tcPr>
            <w:tcW w:w="1417" w:type="dxa"/>
            <w:tcBorders>
              <w:tl2br w:val="nil"/>
              <w:tr2bl w:val="nil"/>
            </w:tcBorders>
            <w:vAlign w:val="center"/>
          </w:tcPr>
          <w:p w14:paraId="38325039">
            <w:pPr>
              <w:jc w:val="center"/>
              <w:rPr>
                <w:rFonts w:hint="eastAsia"/>
                <w:color w:val="auto"/>
                <w:sz w:val="21"/>
                <w:szCs w:val="21"/>
              </w:rPr>
            </w:pPr>
            <w:r>
              <w:rPr>
                <w:rFonts w:hint="eastAsia"/>
                <w:color w:val="auto"/>
                <w:sz w:val="21"/>
                <w:szCs w:val="21"/>
                <w:lang w:val="en-US" w:eastAsia="zh-CN"/>
              </w:rPr>
              <w:t>臭气浓度</w:t>
            </w:r>
          </w:p>
        </w:tc>
        <w:tc>
          <w:tcPr>
            <w:tcW w:w="3946" w:type="dxa"/>
            <w:vMerge w:val="continue"/>
            <w:tcBorders>
              <w:tl2br w:val="nil"/>
              <w:tr2bl w:val="nil"/>
            </w:tcBorders>
            <w:vAlign w:val="center"/>
          </w:tcPr>
          <w:p w14:paraId="0591151D">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215D62FB">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34E3540E">
            <w:pPr>
              <w:snapToGrid w:val="0"/>
              <w:jc w:val="center"/>
              <w:rPr>
                <w:color w:val="auto"/>
                <w:sz w:val="21"/>
                <w:szCs w:val="21"/>
              </w:rPr>
            </w:pPr>
          </w:p>
        </w:tc>
      </w:tr>
      <w:tr w14:paraId="436A8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restart"/>
            <w:tcBorders>
              <w:tl2br w:val="nil"/>
              <w:tr2bl w:val="nil"/>
            </w:tcBorders>
            <w:vAlign w:val="center"/>
          </w:tcPr>
          <w:p w14:paraId="3770900A">
            <w:pPr>
              <w:adjustRightInd w:val="0"/>
              <w:snapToGrid w:val="0"/>
              <w:jc w:val="center"/>
              <w:textAlignment w:val="center"/>
              <w:rPr>
                <w:color w:val="auto"/>
                <w:sz w:val="21"/>
                <w:szCs w:val="21"/>
              </w:rPr>
            </w:pPr>
            <w:r>
              <w:rPr>
                <w:color w:val="auto"/>
                <w:sz w:val="21"/>
                <w:szCs w:val="21"/>
              </w:rPr>
              <w:t>废水</w:t>
            </w:r>
          </w:p>
        </w:tc>
        <w:tc>
          <w:tcPr>
            <w:tcW w:w="1417" w:type="dxa"/>
            <w:tcBorders>
              <w:tl2br w:val="nil"/>
              <w:tr2bl w:val="nil"/>
            </w:tcBorders>
            <w:vAlign w:val="center"/>
          </w:tcPr>
          <w:p w14:paraId="1D371617">
            <w:pPr>
              <w:jc w:val="center"/>
              <w:rPr>
                <w:rFonts w:hint="eastAsia"/>
                <w:color w:val="auto"/>
                <w:sz w:val="21"/>
                <w:szCs w:val="21"/>
              </w:rPr>
            </w:pPr>
            <w:r>
              <w:rPr>
                <w:rFonts w:hint="eastAsia"/>
                <w:color w:val="auto"/>
                <w:sz w:val="21"/>
                <w:szCs w:val="21"/>
                <w:lang w:val="en-US" w:eastAsia="zh-CN"/>
              </w:rPr>
              <w:t>COD</w:t>
            </w:r>
          </w:p>
        </w:tc>
        <w:tc>
          <w:tcPr>
            <w:tcW w:w="3946" w:type="dxa"/>
            <w:vMerge w:val="restart"/>
            <w:tcBorders>
              <w:tl2br w:val="nil"/>
              <w:tr2bl w:val="nil"/>
            </w:tcBorders>
            <w:vAlign w:val="center"/>
          </w:tcPr>
          <w:p w14:paraId="72EE5F4C">
            <w:pPr>
              <w:adjustRightInd w:val="0"/>
              <w:snapToGrid w:val="0"/>
              <w:jc w:val="center"/>
              <w:textAlignment w:val="center"/>
              <w:rPr>
                <w:color w:val="auto"/>
                <w:sz w:val="21"/>
                <w:szCs w:val="21"/>
              </w:rPr>
            </w:pPr>
            <w:r>
              <w:rPr>
                <w:color w:val="auto"/>
                <w:kern w:val="0"/>
                <w:sz w:val="21"/>
                <w:szCs w:val="21"/>
              </w:rPr>
              <w:t>SPIC厌氧+生物接触氧化+</w:t>
            </w:r>
            <w:r>
              <w:rPr>
                <w:rFonts w:hint="eastAsia"/>
                <w:color w:val="auto"/>
                <w:kern w:val="0"/>
                <w:sz w:val="21"/>
                <w:szCs w:val="21"/>
                <w:lang w:val="en-US" w:eastAsia="zh-CN"/>
              </w:rPr>
              <w:t>活性砂滤</w:t>
            </w:r>
          </w:p>
        </w:tc>
        <w:tc>
          <w:tcPr>
            <w:tcW w:w="2940" w:type="dxa"/>
            <w:vMerge w:val="restart"/>
            <w:tcBorders>
              <w:tl2br w:val="nil"/>
              <w:tr2bl w:val="nil"/>
            </w:tcBorders>
            <w:vAlign w:val="center"/>
          </w:tcPr>
          <w:p w14:paraId="0E711708">
            <w:pPr>
              <w:adjustRightInd w:val="0"/>
              <w:snapToGrid w:val="0"/>
              <w:jc w:val="center"/>
              <w:textAlignment w:val="center"/>
              <w:rPr>
                <w:rFonts w:hint="eastAsia" w:eastAsia="宋体"/>
                <w:color w:val="auto"/>
                <w:sz w:val="21"/>
                <w:szCs w:val="21"/>
                <w:lang w:val="en-US" w:eastAsia="zh-CN"/>
              </w:rPr>
            </w:pPr>
            <w:r>
              <w:rPr>
                <w:rFonts w:hint="eastAsia"/>
                <w:color w:val="auto"/>
                <w:sz w:val="21"/>
                <w:szCs w:val="21"/>
                <w:lang w:val="en-US" w:eastAsia="zh-CN"/>
              </w:rPr>
              <w:t>污水处理站总排口</w:t>
            </w:r>
          </w:p>
        </w:tc>
        <w:tc>
          <w:tcPr>
            <w:tcW w:w="4938" w:type="dxa"/>
            <w:vMerge w:val="restart"/>
            <w:tcBorders>
              <w:tl2br w:val="nil"/>
              <w:tr2bl w:val="nil"/>
            </w:tcBorders>
            <w:vAlign w:val="center"/>
          </w:tcPr>
          <w:p w14:paraId="292684CB">
            <w:pPr>
              <w:snapToGrid w:val="0"/>
              <w:jc w:val="center"/>
              <w:rPr>
                <w:color w:val="auto"/>
                <w:sz w:val="21"/>
                <w:szCs w:val="21"/>
              </w:rPr>
            </w:pPr>
            <w:r>
              <w:rPr>
                <w:color w:val="auto"/>
                <w:sz w:val="21"/>
                <w:szCs w:val="21"/>
              </w:rPr>
              <w:t>《城镇污水处理厂污染物排放标准》（GB18918-2002）中一级标准中的</w:t>
            </w:r>
            <w:r>
              <w:rPr>
                <w:rFonts w:hint="eastAsia"/>
                <w:color w:val="auto"/>
                <w:sz w:val="21"/>
                <w:szCs w:val="21"/>
              </w:rPr>
              <w:t>A标准</w:t>
            </w:r>
          </w:p>
        </w:tc>
      </w:tr>
      <w:tr w14:paraId="04F21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28768E79">
            <w:pPr>
              <w:adjustRightInd w:val="0"/>
              <w:snapToGrid w:val="0"/>
              <w:jc w:val="center"/>
              <w:textAlignment w:val="center"/>
              <w:rPr>
                <w:color w:val="auto"/>
                <w:sz w:val="21"/>
                <w:szCs w:val="21"/>
              </w:rPr>
            </w:pPr>
          </w:p>
        </w:tc>
        <w:tc>
          <w:tcPr>
            <w:tcW w:w="1417" w:type="dxa"/>
            <w:tcBorders>
              <w:tl2br w:val="nil"/>
              <w:tr2bl w:val="nil"/>
            </w:tcBorders>
            <w:vAlign w:val="center"/>
          </w:tcPr>
          <w:p w14:paraId="5A2BA85F">
            <w:pPr>
              <w:jc w:val="center"/>
              <w:rPr>
                <w:rFonts w:hint="eastAsia"/>
                <w:color w:val="auto"/>
                <w:sz w:val="21"/>
                <w:szCs w:val="21"/>
              </w:rPr>
            </w:pPr>
            <w:r>
              <w:rPr>
                <w:rFonts w:hint="eastAsia"/>
                <w:color w:val="auto"/>
                <w:sz w:val="21"/>
                <w:szCs w:val="21"/>
                <w:lang w:val="en-US" w:eastAsia="zh-CN"/>
              </w:rPr>
              <w:t>BOD</w:t>
            </w:r>
            <w:r>
              <w:rPr>
                <w:rFonts w:hint="eastAsia"/>
                <w:color w:val="auto"/>
                <w:sz w:val="21"/>
                <w:szCs w:val="21"/>
                <w:vertAlign w:val="subscript"/>
                <w:lang w:val="en-US" w:eastAsia="zh-CN"/>
              </w:rPr>
              <w:t>5</w:t>
            </w:r>
          </w:p>
        </w:tc>
        <w:tc>
          <w:tcPr>
            <w:tcW w:w="3946" w:type="dxa"/>
            <w:vMerge w:val="continue"/>
            <w:tcBorders>
              <w:tl2br w:val="nil"/>
              <w:tr2bl w:val="nil"/>
            </w:tcBorders>
            <w:vAlign w:val="center"/>
          </w:tcPr>
          <w:p w14:paraId="13757578">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3CBB0FF3">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719C5AB6">
            <w:pPr>
              <w:snapToGrid w:val="0"/>
              <w:jc w:val="center"/>
              <w:rPr>
                <w:color w:val="auto"/>
                <w:sz w:val="21"/>
                <w:szCs w:val="21"/>
              </w:rPr>
            </w:pPr>
          </w:p>
        </w:tc>
      </w:tr>
      <w:tr w14:paraId="4BF142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00DF56DE">
            <w:pPr>
              <w:adjustRightInd w:val="0"/>
              <w:snapToGrid w:val="0"/>
              <w:jc w:val="center"/>
              <w:textAlignment w:val="center"/>
              <w:rPr>
                <w:color w:val="auto"/>
                <w:sz w:val="21"/>
                <w:szCs w:val="21"/>
              </w:rPr>
            </w:pPr>
          </w:p>
        </w:tc>
        <w:tc>
          <w:tcPr>
            <w:tcW w:w="1417" w:type="dxa"/>
            <w:tcBorders>
              <w:tl2br w:val="nil"/>
              <w:tr2bl w:val="nil"/>
            </w:tcBorders>
            <w:vAlign w:val="center"/>
          </w:tcPr>
          <w:p w14:paraId="1F7A46E8">
            <w:pPr>
              <w:jc w:val="center"/>
              <w:rPr>
                <w:rFonts w:hint="eastAsia"/>
                <w:color w:val="auto"/>
                <w:sz w:val="21"/>
                <w:szCs w:val="21"/>
              </w:rPr>
            </w:pPr>
            <w:r>
              <w:rPr>
                <w:rFonts w:hint="eastAsia"/>
                <w:color w:val="auto"/>
                <w:sz w:val="21"/>
                <w:szCs w:val="21"/>
                <w:lang w:val="en-US" w:eastAsia="zh-CN"/>
              </w:rPr>
              <w:t>SS</w:t>
            </w:r>
          </w:p>
        </w:tc>
        <w:tc>
          <w:tcPr>
            <w:tcW w:w="3946" w:type="dxa"/>
            <w:vMerge w:val="continue"/>
            <w:tcBorders>
              <w:tl2br w:val="nil"/>
              <w:tr2bl w:val="nil"/>
            </w:tcBorders>
            <w:vAlign w:val="center"/>
          </w:tcPr>
          <w:p w14:paraId="30EB69AF">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676CD79C">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470B8673">
            <w:pPr>
              <w:snapToGrid w:val="0"/>
              <w:jc w:val="center"/>
              <w:rPr>
                <w:color w:val="auto"/>
                <w:sz w:val="21"/>
                <w:szCs w:val="21"/>
              </w:rPr>
            </w:pPr>
          </w:p>
        </w:tc>
      </w:tr>
      <w:tr w14:paraId="06C0D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34C66646">
            <w:pPr>
              <w:adjustRightInd w:val="0"/>
              <w:snapToGrid w:val="0"/>
              <w:jc w:val="center"/>
              <w:textAlignment w:val="center"/>
              <w:rPr>
                <w:color w:val="auto"/>
                <w:sz w:val="21"/>
                <w:szCs w:val="21"/>
              </w:rPr>
            </w:pPr>
          </w:p>
        </w:tc>
        <w:tc>
          <w:tcPr>
            <w:tcW w:w="1417" w:type="dxa"/>
            <w:tcBorders>
              <w:tl2br w:val="nil"/>
              <w:tr2bl w:val="nil"/>
            </w:tcBorders>
            <w:vAlign w:val="center"/>
          </w:tcPr>
          <w:p w14:paraId="3CE9CAFA">
            <w:pPr>
              <w:jc w:val="center"/>
              <w:rPr>
                <w:rFonts w:hint="eastAsia"/>
                <w:color w:val="auto"/>
                <w:sz w:val="21"/>
                <w:szCs w:val="21"/>
              </w:rPr>
            </w:pPr>
            <w:r>
              <w:rPr>
                <w:rFonts w:hint="eastAsia"/>
                <w:color w:val="auto"/>
                <w:sz w:val="21"/>
                <w:szCs w:val="21"/>
                <w:lang w:val="en-US" w:eastAsia="zh-CN"/>
              </w:rPr>
              <w:t>NH</w:t>
            </w:r>
            <w:r>
              <w:rPr>
                <w:rFonts w:hint="eastAsia"/>
                <w:color w:val="auto"/>
                <w:sz w:val="21"/>
                <w:szCs w:val="21"/>
                <w:vertAlign w:val="subscript"/>
                <w:lang w:val="en-US" w:eastAsia="zh-CN"/>
              </w:rPr>
              <w:t>3</w:t>
            </w:r>
            <w:r>
              <w:rPr>
                <w:rFonts w:hint="eastAsia"/>
                <w:color w:val="auto"/>
                <w:sz w:val="21"/>
                <w:szCs w:val="21"/>
                <w:lang w:val="en-US" w:eastAsia="zh-CN"/>
              </w:rPr>
              <w:t>-N</w:t>
            </w:r>
          </w:p>
        </w:tc>
        <w:tc>
          <w:tcPr>
            <w:tcW w:w="3946" w:type="dxa"/>
            <w:vMerge w:val="continue"/>
            <w:tcBorders>
              <w:tl2br w:val="nil"/>
              <w:tr2bl w:val="nil"/>
            </w:tcBorders>
            <w:vAlign w:val="center"/>
          </w:tcPr>
          <w:p w14:paraId="036A8FED">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540E9FB6">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0EB2D4ED">
            <w:pPr>
              <w:snapToGrid w:val="0"/>
              <w:jc w:val="center"/>
              <w:rPr>
                <w:color w:val="auto"/>
                <w:sz w:val="21"/>
                <w:szCs w:val="21"/>
              </w:rPr>
            </w:pPr>
          </w:p>
        </w:tc>
      </w:tr>
      <w:tr w14:paraId="47407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3F079BA3">
            <w:pPr>
              <w:adjustRightInd w:val="0"/>
              <w:snapToGrid w:val="0"/>
              <w:jc w:val="center"/>
              <w:textAlignment w:val="center"/>
              <w:rPr>
                <w:color w:val="auto"/>
                <w:sz w:val="21"/>
                <w:szCs w:val="21"/>
              </w:rPr>
            </w:pPr>
          </w:p>
        </w:tc>
        <w:tc>
          <w:tcPr>
            <w:tcW w:w="1417" w:type="dxa"/>
            <w:tcBorders>
              <w:tl2br w:val="nil"/>
              <w:tr2bl w:val="nil"/>
            </w:tcBorders>
            <w:vAlign w:val="center"/>
          </w:tcPr>
          <w:p w14:paraId="3B75BA60">
            <w:pPr>
              <w:jc w:val="center"/>
              <w:rPr>
                <w:rFonts w:hint="eastAsia"/>
                <w:color w:val="auto"/>
                <w:sz w:val="21"/>
                <w:szCs w:val="21"/>
              </w:rPr>
            </w:pPr>
            <w:r>
              <w:rPr>
                <w:rFonts w:hint="eastAsia"/>
                <w:color w:val="auto"/>
                <w:sz w:val="21"/>
                <w:szCs w:val="21"/>
                <w:lang w:val="en-US" w:eastAsia="zh-CN"/>
              </w:rPr>
              <w:t>TN</w:t>
            </w:r>
          </w:p>
        </w:tc>
        <w:tc>
          <w:tcPr>
            <w:tcW w:w="3946" w:type="dxa"/>
            <w:vMerge w:val="continue"/>
            <w:tcBorders>
              <w:tl2br w:val="nil"/>
              <w:tr2bl w:val="nil"/>
            </w:tcBorders>
            <w:vAlign w:val="center"/>
          </w:tcPr>
          <w:p w14:paraId="1BE970CA">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0C44205F">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3367669A">
            <w:pPr>
              <w:snapToGrid w:val="0"/>
              <w:jc w:val="center"/>
              <w:rPr>
                <w:color w:val="auto"/>
                <w:sz w:val="21"/>
                <w:szCs w:val="21"/>
              </w:rPr>
            </w:pPr>
          </w:p>
        </w:tc>
      </w:tr>
      <w:tr w14:paraId="22847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076" w:type="dxa"/>
            <w:vMerge w:val="continue"/>
            <w:tcBorders>
              <w:tl2br w:val="nil"/>
              <w:tr2bl w:val="nil"/>
            </w:tcBorders>
            <w:vAlign w:val="center"/>
          </w:tcPr>
          <w:p w14:paraId="708A9FCF">
            <w:pPr>
              <w:adjustRightInd w:val="0"/>
              <w:snapToGrid w:val="0"/>
              <w:jc w:val="center"/>
              <w:textAlignment w:val="center"/>
              <w:rPr>
                <w:color w:val="auto"/>
                <w:sz w:val="21"/>
                <w:szCs w:val="21"/>
              </w:rPr>
            </w:pPr>
          </w:p>
        </w:tc>
        <w:tc>
          <w:tcPr>
            <w:tcW w:w="1417" w:type="dxa"/>
            <w:tcBorders>
              <w:tl2br w:val="nil"/>
              <w:tr2bl w:val="nil"/>
            </w:tcBorders>
            <w:vAlign w:val="center"/>
          </w:tcPr>
          <w:p w14:paraId="16429531">
            <w:pPr>
              <w:jc w:val="center"/>
              <w:rPr>
                <w:rFonts w:hint="eastAsia"/>
                <w:color w:val="auto"/>
                <w:sz w:val="21"/>
                <w:szCs w:val="21"/>
              </w:rPr>
            </w:pPr>
            <w:r>
              <w:rPr>
                <w:rFonts w:hint="eastAsia"/>
                <w:color w:val="auto"/>
                <w:sz w:val="21"/>
                <w:szCs w:val="21"/>
                <w:lang w:val="en-US" w:eastAsia="zh-CN"/>
              </w:rPr>
              <w:t>TP</w:t>
            </w:r>
          </w:p>
        </w:tc>
        <w:tc>
          <w:tcPr>
            <w:tcW w:w="3946" w:type="dxa"/>
            <w:vMerge w:val="continue"/>
            <w:tcBorders>
              <w:tl2br w:val="nil"/>
              <w:tr2bl w:val="nil"/>
            </w:tcBorders>
            <w:vAlign w:val="center"/>
          </w:tcPr>
          <w:p w14:paraId="259308EA">
            <w:pPr>
              <w:adjustRightInd w:val="0"/>
              <w:snapToGrid w:val="0"/>
              <w:jc w:val="center"/>
              <w:textAlignment w:val="center"/>
              <w:rPr>
                <w:color w:val="auto"/>
                <w:sz w:val="21"/>
                <w:szCs w:val="21"/>
              </w:rPr>
            </w:pPr>
          </w:p>
        </w:tc>
        <w:tc>
          <w:tcPr>
            <w:tcW w:w="2940" w:type="dxa"/>
            <w:vMerge w:val="continue"/>
            <w:tcBorders>
              <w:tl2br w:val="nil"/>
              <w:tr2bl w:val="nil"/>
            </w:tcBorders>
            <w:vAlign w:val="center"/>
          </w:tcPr>
          <w:p w14:paraId="0873747C">
            <w:pPr>
              <w:adjustRightInd w:val="0"/>
              <w:snapToGrid w:val="0"/>
              <w:jc w:val="center"/>
              <w:textAlignment w:val="center"/>
              <w:rPr>
                <w:color w:val="auto"/>
                <w:sz w:val="21"/>
                <w:szCs w:val="21"/>
              </w:rPr>
            </w:pPr>
          </w:p>
        </w:tc>
        <w:tc>
          <w:tcPr>
            <w:tcW w:w="4938" w:type="dxa"/>
            <w:vMerge w:val="continue"/>
            <w:tcBorders>
              <w:tl2br w:val="nil"/>
              <w:tr2bl w:val="nil"/>
            </w:tcBorders>
            <w:vAlign w:val="center"/>
          </w:tcPr>
          <w:p w14:paraId="20BCF0B8">
            <w:pPr>
              <w:snapToGrid w:val="0"/>
              <w:jc w:val="center"/>
              <w:rPr>
                <w:color w:val="auto"/>
                <w:sz w:val="21"/>
                <w:szCs w:val="21"/>
              </w:rPr>
            </w:pPr>
          </w:p>
        </w:tc>
      </w:tr>
      <w:tr w14:paraId="2B62A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1076" w:type="dxa"/>
            <w:tcBorders>
              <w:tl2br w:val="nil"/>
              <w:tr2bl w:val="nil"/>
            </w:tcBorders>
            <w:vAlign w:val="center"/>
          </w:tcPr>
          <w:p w14:paraId="1A9B3782">
            <w:pPr>
              <w:adjustRightInd w:val="0"/>
              <w:snapToGrid w:val="0"/>
              <w:jc w:val="center"/>
              <w:textAlignment w:val="center"/>
              <w:rPr>
                <w:color w:val="auto"/>
                <w:sz w:val="21"/>
                <w:szCs w:val="21"/>
              </w:rPr>
            </w:pPr>
            <w:r>
              <w:rPr>
                <w:color w:val="auto"/>
                <w:sz w:val="21"/>
                <w:szCs w:val="21"/>
              </w:rPr>
              <w:t>噪声</w:t>
            </w:r>
          </w:p>
        </w:tc>
        <w:tc>
          <w:tcPr>
            <w:tcW w:w="1417" w:type="dxa"/>
            <w:tcBorders>
              <w:tl2br w:val="nil"/>
              <w:tr2bl w:val="nil"/>
            </w:tcBorders>
            <w:vAlign w:val="center"/>
          </w:tcPr>
          <w:p w14:paraId="3C0DE67C">
            <w:pPr>
              <w:adjustRightInd w:val="0"/>
              <w:snapToGrid w:val="0"/>
              <w:jc w:val="center"/>
              <w:textAlignment w:val="center"/>
              <w:rPr>
                <w:color w:val="auto"/>
                <w:sz w:val="21"/>
                <w:szCs w:val="21"/>
              </w:rPr>
            </w:pPr>
            <w:r>
              <w:rPr>
                <w:color w:val="auto"/>
                <w:sz w:val="21"/>
                <w:szCs w:val="21"/>
              </w:rPr>
              <w:t>风机、泵</w:t>
            </w:r>
          </w:p>
        </w:tc>
        <w:tc>
          <w:tcPr>
            <w:tcW w:w="6886" w:type="dxa"/>
            <w:gridSpan w:val="2"/>
            <w:tcBorders>
              <w:tl2br w:val="nil"/>
              <w:tr2bl w:val="nil"/>
            </w:tcBorders>
            <w:vAlign w:val="center"/>
          </w:tcPr>
          <w:p w14:paraId="70661900">
            <w:pPr>
              <w:adjustRightInd w:val="0"/>
              <w:snapToGrid w:val="0"/>
              <w:jc w:val="center"/>
              <w:textAlignment w:val="center"/>
              <w:rPr>
                <w:color w:val="auto"/>
                <w:sz w:val="21"/>
                <w:szCs w:val="21"/>
              </w:rPr>
            </w:pPr>
            <w:r>
              <w:rPr>
                <w:color w:val="auto"/>
                <w:sz w:val="21"/>
                <w:szCs w:val="21"/>
              </w:rPr>
              <w:t>首先应选择低噪声</w:t>
            </w:r>
            <w:r>
              <w:rPr>
                <w:rFonts w:hint="eastAsia"/>
                <w:color w:val="auto"/>
                <w:sz w:val="21"/>
                <w:szCs w:val="21"/>
              </w:rPr>
              <w:t>设备</w:t>
            </w:r>
            <w:r>
              <w:rPr>
                <w:color w:val="auto"/>
                <w:sz w:val="21"/>
                <w:szCs w:val="21"/>
              </w:rPr>
              <w:t>，安装时要保证设备平衡并采取隔声罩，并采取基础减振措施。</w:t>
            </w:r>
          </w:p>
        </w:tc>
        <w:tc>
          <w:tcPr>
            <w:tcW w:w="4938" w:type="dxa"/>
            <w:tcBorders>
              <w:tl2br w:val="nil"/>
              <w:tr2bl w:val="nil"/>
            </w:tcBorders>
            <w:vAlign w:val="center"/>
          </w:tcPr>
          <w:p w14:paraId="6F79C879">
            <w:pPr>
              <w:snapToGrid w:val="0"/>
              <w:jc w:val="center"/>
              <w:rPr>
                <w:rFonts w:hint="eastAsia"/>
                <w:color w:val="auto"/>
                <w:sz w:val="21"/>
                <w:szCs w:val="21"/>
                <w:lang w:eastAsia="zh-CN"/>
              </w:rPr>
            </w:pPr>
            <w:r>
              <w:rPr>
                <w:color w:val="auto"/>
                <w:sz w:val="21"/>
                <w:szCs w:val="21"/>
              </w:rPr>
              <w:t>厂界噪声满足《工业企业厂界环境噪声排放标准》（GB12348-2008）中的</w:t>
            </w:r>
            <w:r>
              <w:rPr>
                <w:rFonts w:hint="eastAsia"/>
                <w:color w:val="auto"/>
                <w:sz w:val="21"/>
                <w:szCs w:val="21"/>
                <w:lang w:eastAsia="zh-CN"/>
              </w:rPr>
              <w:t>3类</w:t>
            </w:r>
            <w:r>
              <w:rPr>
                <w:color w:val="auto"/>
                <w:sz w:val="21"/>
                <w:szCs w:val="21"/>
              </w:rPr>
              <w:t>标准</w:t>
            </w:r>
            <w:r>
              <w:rPr>
                <w:rFonts w:hint="eastAsia"/>
                <w:color w:val="auto"/>
                <w:sz w:val="21"/>
                <w:szCs w:val="21"/>
                <w:lang w:eastAsia="zh-CN"/>
              </w:rPr>
              <w:t>：</w:t>
            </w:r>
            <w:r>
              <w:rPr>
                <w:color w:val="auto"/>
                <w:sz w:val="21"/>
                <w:szCs w:val="21"/>
              </w:rPr>
              <w:t>昼间6</w:t>
            </w:r>
            <w:r>
              <w:rPr>
                <w:rFonts w:hint="eastAsia"/>
                <w:color w:val="auto"/>
                <w:sz w:val="21"/>
                <w:szCs w:val="21"/>
                <w:lang w:val="en-US" w:eastAsia="zh-CN"/>
              </w:rPr>
              <w:t>5</w:t>
            </w:r>
            <w:r>
              <w:rPr>
                <w:color w:val="auto"/>
                <w:sz w:val="21"/>
                <w:szCs w:val="21"/>
              </w:rPr>
              <w:t>dB(A)，夜间5</w:t>
            </w:r>
            <w:r>
              <w:rPr>
                <w:rFonts w:hint="eastAsia"/>
                <w:color w:val="auto"/>
                <w:sz w:val="21"/>
                <w:szCs w:val="21"/>
                <w:lang w:val="en-US" w:eastAsia="zh-CN"/>
              </w:rPr>
              <w:t>5</w:t>
            </w:r>
            <w:r>
              <w:rPr>
                <w:color w:val="auto"/>
                <w:sz w:val="21"/>
                <w:szCs w:val="21"/>
              </w:rPr>
              <w:t>dB(A)</w:t>
            </w:r>
          </w:p>
        </w:tc>
      </w:tr>
      <w:tr w14:paraId="636E0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76" w:type="dxa"/>
            <w:vMerge w:val="restart"/>
            <w:tcBorders>
              <w:tl2br w:val="nil"/>
              <w:tr2bl w:val="nil"/>
            </w:tcBorders>
            <w:vAlign w:val="center"/>
          </w:tcPr>
          <w:p w14:paraId="1F8FB3F0">
            <w:pPr>
              <w:adjustRightInd w:val="0"/>
              <w:snapToGrid w:val="0"/>
              <w:jc w:val="center"/>
              <w:textAlignment w:val="center"/>
              <w:rPr>
                <w:color w:val="auto"/>
                <w:sz w:val="21"/>
                <w:szCs w:val="21"/>
              </w:rPr>
            </w:pPr>
            <w:r>
              <w:rPr>
                <w:color w:val="auto"/>
                <w:sz w:val="21"/>
                <w:szCs w:val="21"/>
              </w:rPr>
              <w:t>固体废物</w:t>
            </w:r>
          </w:p>
        </w:tc>
        <w:tc>
          <w:tcPr>
            <w:tcW w:w="1417" w:type="dxa"/>
            <w:tcBorders>
              <w:tl2br w:val="nil"/>
              <w:tr2bl w:val="nil"/>
            </w:tcBorders>
            <w:vAlign w:val="center"/>
          </w:tcPr>
          <w:p w14:paraId="49930025">
            <w:pPr>
              <w:jc w:val="center"/>
              <w:rPr>
                <w:color w:val="auto"/>
                <w:sz w:val="21"/>
                <w:szCs w:val="21"/>
              </w:rPr>
            </w:pPr>
            <w:r>
              <w:rPr>
                <w:rFonts w:hint="eastAsia"/>
                <w:color w:val="auto"/>
                <w:sz w:val="21"/>
                <w:szCs w:val="21"/>
                <w:lang w:val="en-US" w:eastAsia="zh-CN"/>
              </w:rPr>
              <w:t>污泥</w:t>
            </w:r>
          </w:p>
        </w:tc>
        <w:tc>
          <w:tcPr>
            <w:tcW w:w="6886" w:type="dxa"/>
            <w:gridSpan w:val="2"/>
            <w:tcBorders>
              <w:tl2br w:val="nil"/>
              <w:tr2bl w:val="nil"/>
            </w:tcBorders>
            <w:vAlign w:val="center"/>
          </w:tcPr>
          <w:p w14:paraId="44E241AC">
            <w:pPr>
              <w:jc w:val="center"/>
              <w:rPr>
                <w:color w:val="auto"/>
                <w:sz w:val="21"/>
                <w:szCs w:val="21"/>
              </w:rPr>
            </w:pPr>
            <w:r>
              <w:rPr>
                <w:rFonts w:hint="eastAsia" w:ascii="Times New Roman" w:hAnsi="Times New Roman" w:eastAsia="宋体" w:cs="Times New Roman"/>
                <w:color w:val="auto"/>
                <w:sz w:val="21"/>
                <w:szCs w:val="21"/>
                <w:lang w:val="en-US" w:eastAsia="zh-CN"/>
              </w:rPr>
              <w:t>掺混入燃煤进入锅炉燃烧</w:t>
            </w:r>
          </w:p>
        </w:tc>
        <w:tc>
          <w:tcPr>
            <w:tcW w:w="4938" w:type="dxa"/>
            <w:vMerge w:val="restart"/>
            <w:tcBorders>
              <w:tl2br w:val="nil"/>
              <w:tr2bl w:val="nil"/>
            </w:tcBorders>
            <w:vAlign w:val="center"/>
          </w:tcPr>
          <w:p w14:paraId="25099982">
            <w:pPr>
              <w:adjustRightInd w:val="0"/>
              <w:snapToGrid w:val="0"/>
              <w:jc w:val="center"/>
              <w:textAlignment w:val="center"/>
              <w:rPr>
                <w:color w:val="auto"/>
                <w:sz w:val="21"/>
                <w:szCs w:val="21"/>
              </w:rPr>
            </w:pPr>
            <w:r>
              <w:rPr>
                <w:color w:val="auto"/>
                <w:sz w:val="21"/>
                <w:szCs w:val="21"/>
              </w:rPr>
              <w:t>处置率100%</w:t>
            </w:r>
          </w:p>
        </w:tc>
      </w:tr>
      <w:tr w14:paraId="01307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076" w:type="dxa"/>
            <w:vMerge w:val="continue"/>
            <w:tcBorders>
              <w:tl2br w:val="nil"/>
              <w:tr2bl w:val="nil"/>
            </w:tcBorders>
            <w:vAlign w:val="center"/>
          </w:tcPr>
          <w:p w14:paraId="0C00C5D5">
            <w:pPr>
              <w:adjustRightInd w:val="0"/>
              <w:snapToGrid w:val="0"/>
              <w:jc w:val="center"/>
              <w:textAlignment w:val="center"/>
              <w:rPr>
                <w:color w:val="auto"/>
                <w:sz w:val="21"/>
                <w:szCs w:val="21"/>
              </w:rPr>
            </w:pPr>
          </w:p>
        </w:tc>
        <w:tc>
          <w:tcPr>
            <w:tcW w:w="1417" w:type="dxa"/>
            <w:tcBorders>
              <w:tl2br w:val="nil"/>
              <w:tr2bl w:val="nil"/>
            </w:tcBorders>
            <w:vAlign w:val="center"/>
          </w:tcPr>
          <w:p w14:paraId="18259314">
            <w:pPr>
              <w:jc w:val="center"/>
              <w:rPr>
                <w:color w:val="auto"/>
                <w:sz w:val="21"/>
                <w:szCs w:val="21"/>
              </w:rPr>
            </w:pPr>
            <w:r>
              <w:rPr>
                <w:color w:val="auto"/>
                <w:sz w:val="21"/>
                <w:szCs w:val="21"/>
              </w:rPr>
              <w:t>废</w:t>
            </w:r>
            <w:r>
              <w:rPr>
                <w:rFonts w:hint="eastAsia"/>
                <w:color w:val="auto"/>
                <w:sz w:val="21"/>
                <w:szCs w:val="21"/>
                <w:lang w:val="en-US" w:eastAsia="zh-CN"/>
              </w:rPr>
              <w:t>活性炭</w:t>
            </w:r>
          </w:p>
        </w:tc>
        <w:tc>
          <w:tcPr>
            <w:tcW w:w="6886" w:type="dxa"/>
            <w:gridSpan w:val="2"/>
            <w:tcBorders>
              <w:tl2br w:val="nil"/>
              <w:tr2bl w:val="nil"/>
            </w:tcBorders>
            <w:vAlign w:val="center"/>
          </w:tcPr>
          <w:p w14:paraId="4DE9B486">
            <w:pPr>
              <w:jc w:val="center"/>
              <w:rPr>
                <w:color w:val="auto"/>
                <w:sz w:val="21"/>
                <w:szCs w:val="21"/>
              </w:rPr>
            </w:pPr>
            <w:r>
              <w:rPr>
                <w:rFonts w:hint="eastAsia"/>
                <w:color w:val="auto"/>
                <w:sz w:val="21"/>
                <w:szCs w:val="21"/>
                <w:lang w:bidi="ar"/>
              </w:rPr>
              <w:t>由生产厂家回收</w:t>
            </w:r>
          </w:p>
        </w:tc>
        <w:tc>
          <w:tcPr>
            <w:tcW w:w="4938" w:type="dxa"/>
            <w:vMerge w:val="continue"/>
            <w:tcBorders>
              <w:tl2br w:val="nil"/>
              <w:tr2bl w:val="nil"/>
            </w:tcBorders>
            <w:vAlign w:val="center"/>
          </w:tcPr>
          <w:p w14:paraId="132CF941">
            <w:pPr>
              <w:adjustRightInd w:val="0"/>
              <w:snapToGrid w:val="0"/>
              <w:jc w:val="center"/>
              <w:textAlignment w:val="center"/>
              <w:rPr>
                <w:color w:val="auto"/>
                <w:sz w:val="21"/>
                <w:szCs w:val="21"/>
              </w:rPr>
            </w:pPr>
          </w:p>
        </w:tc>
      </w:tr>
      <w:tr w14:paraId="7ACEB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1076" w:type="dxa"/>
            <w:tcBorders>
              <w:tl2br w:val="nil"/>
              <w:tr2bl w:val="nil"/>
            </w:tcBorders>
            <w:vAlign w:val="center"/>
          </w:tcPr>
          <w:p w14:paraId="21982A28">
            <w:pPr>
              <w:adjustRightInd w:val="0"/>
              <w:snapToGrid w:val="0"/>
              <w:jc w:val="center"/>
              <w:textAlignment w:val="center"/>
              <w:rPr>
                <w:color w:val="auto"/>
                <w:sz w:val="21"/>
                <w:szCs w:val="21"/>
              </w:rPr>
            </w:pPr>
            <w:r>
              <w:rPr>
                <w:color w:val="auto"/>
                <w:sz w:val="21"/>
                <w:szCs w:val="21"/>
              </w:rPr>
              <w:t>防沙治沙</w:t>
            </w:r>
          </w:p>
        </w:tc>
        <w:tc>
          <w:tcPr>
            <w:tcW w:w="13241" w:type="dxa"/>
            <w:gridSpan w:val="4"/>
            <w:tcBorders>
              <w:tl2br w:val="nil"/>
              <w:tr2bl w:val="nil"/>
            </w:tcBorders>
            <w:vAlign w:val="center"/>
          </w:tcPr>
          <w:p w14:paraId="6EC58754">
            <w:pPr>
              <w:adjustRightInd w:val="0"/>
              <w:snapToGrid w:val="0"/>
              <w:jc w:val="center"/>
              <w:textAlignment w:val="center"/>
              <w:rPr>
                <w:color w:val="auto"/>
                <w:sz w:val="21"/>
                <w:szCs w:val="21"/>
              </w:rPr>
            </w:pPr>
            <w:r>
              <w:rPr>
                <w:rFonts w:ascii="Times New Roman" w:hAnsi="Times New Roman" w:eastAsia="宋体" w:cs="Times New Roman"/>
                <w:color w:val="auto"/>
                <w:sz w:val="21"/>
                <w:szCs w:val="21"/>
              </w:rPr>
              <w:t>可沿厂区四周围墙内侧及建筑物四周广植草坪、大量绿化，并在办公楼四周种植四季花卉、常绿灌木，以提高厂区的环境质量；锅炉房周围种植草坪和树木，防止风机等产生的噪声对周围居民产生影响。</w:t>
            </w:r>
            <w:r>
              <w:rPr>
                <w:rFonts w:hint="eastAsia" w:cs="Times New Roman"/>
                <w:color w:val="auto"/>
                <w:sz w:val="21"/>
                <w:szCs w:val="21"/>
                <w:lang w:eastAsia="zh-CN"/>
              </w:rPr>
              <w:t>本项目</w:t>
            </w:r>
            <w:r>
              <w:rPr>
                <w:rFonts w:ascii="Times New Roman" w:hAnsi="Times New Roman" w:eastAsia="宋体" w:cs="Times New Roman"/>
                <w:color w:val="auto"/>
                <w:sz w:val="21"/>
                <w:szCs w:val="21"/>
              </w:rPr>
              <w:t>厂区内禁止出现裸露地面，不适宜绿化的位置可对地面进行硬化，防止地面沙化；亦可加强员工培训，普及防沙治沙的重要性、必要性和紧迫性，努力提高员工防沙治沙的意识。</w:t>
            </w:r>
          </w:p>
        </w:tc>
      </w:tr>
    </w:tbl>
    <w:p w14:paraId="1C4CF761">
      <w:pPr>
        <w:pStyle w:val="64"/>
        <w:ind w:firstLine="480"/>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pPr>
    </w:p>
    <w:p w14:paraId="401AE8A2">
      <w:pPr>
        <w:pStyle w:val="3"/>
      </w:pPr>
      <w:bookmarkStart w:id="492" w:name="_Toc30982"/>
      <w:r>
        <w:t>8.5总量控制</w:t>
      </w:r>
      <w:bookmarkEnd w:id="492"/>
    </w:p>
    <w:p w14:paraId="50BE2DB4">
      <w:pPr>
        <w:spacing w:line="360" w:lineRule="auto"/>
        <w:ind w:firstLine="480" w:firstLineChars="200"/>
        <w:jc w:val="left"/>
        <w:rPr>
          <w:lang w:bidi="ar"/>
        </w:rPr>
      </w:pPr>
      <w:r>
        <w:rPr>
          <w:lang w:bidi="ar"/>
        </w:rPr>
        <w:t>实施</w:t>
      </w:r>
      <w:r>
        <w:rPr>
          <w:rFonts w:hint="eastAsia"/>
          <w:lang w:val="en-US" w:eastAsia="zh-CN" w:bidi="ar"/>
        </w:rPr>
        <w:t>本项目</w:t>
      </w:r>
      <w:r>
        <w:rPr>
          <w:lang w:bidi="ar"/>
        </w:rPr>
        <w:t>后，</w:t>
      </w:r>
      <w:r>
        <w:rPr>
          <w:rFonts w:hint="eastAsia"/>
          <w:lang w:val="en-US" w:eastAsia="zh-CN" w:bidi="ar"/>
        </w:rPr>
        <w:t>6000</w:t>
      </w:r>
      <w:r>
        <w:rPr>
          <w:lang w:bidi="ar"/>
        </w:rPr>
        <w:t>m</w:t>
      </w:r>
      <w:r>
        <w:rPr>
          <w:vertAlign w:val="superscript"/>
          <w:lang w:bidi="ar"/>
        </w:rPr>
        <w:t>3</w:t>
      </w:r>
      <w:r>
        <w:rPr>
          <w:lang w:bidi="ar"/>
        </w:rPr>
        <w:t>/d工业废水经本项目污水处理厂处理；所有处理的污水均达到城镇污水处理厂污染物排放一级A标准后，</w:t>
      </w:r>
      <w:r>
        <w:rPr>
          <w:rFonts w:hint="eastAsia"/>
          <w:lang w:eastAsia="zh-CN" w:bidi="ar"/>
        </w:rPr>
        <w:t>经拉哈生物技术与化学制药产业园区污水处理厂入河排污口排入到嫩江</w:t>
      </w:r>
      <w:r>
        <w:rPr>
          <w:lang w:bidi="ar"/>
        </w:rPr>
        <w:t>。出水量为</w:t>
      </w:r>
      <w:r>
        <w:rPr>
          <w:rFonts w:hint="eastAsia"/>
          <w:lang w:val="en-US" w:eastAsia="zh-CN" w:bidi="ar"/>
        </w:rPr>
        <w:t>657万</w:t>
      </w:r>
      <w:r>
        <w:rPr>
          <w:lang w:bidi="ar"/>
        </w:rPr>
        <w:t>t/a，出水COD指标为50mg/L，出水氨氮指标为5mg/L，总体工程COD预测排放量为</w:t>
      </w:r>
      <w:r>
        <w:rPr>
          <w:rFonts w:hint="eastAsia"/>
          <w:lang w:val="en-US" w:eastAsia="zh-CN" w:bidi="ar"/>
        </w:rPr>
        <w:t>657</w:t>
      </w:r>
      <w:r>
        <w:rPr>
          <w:lang w:bidi="ar"/>
        </w:rPr>
        <w:t>0000×50×10</w:t>
      </w:r>
      <w:r>
        <w:rPr>
          <w:vertAlign w:val="superscript"/>
          <w:lang w:bidi="ar"/>
        </w:rPr>
        <w:t>-8</w:t>
      </w:r>
      <w:r>
        <w:rPr>
          <w:lang w:bidi="ar"/>
        </w:rPr>
        <w:t>=</w:t>
      </w:r>
      <w:r>
        <w:rPr>
          <w:rFonts w:hint="eastAsia"/>
          <w:lang w:val="en-US" w:eastAsia="zh-CN" w:bidi="ar"/>
        </w:rPr>
        <w:t>109.5</w:t>
      </w:r>
      <w:r>
        <w:rPr>
          <w:lang w:bidi="ar"/>
        </w:rPr>
        <w:t>t/a；</w:t>
      </w:r>
    </w:p>
    <w:p w14:paraId="3A9DCAE3">
      <w:pPr>
        <w:spacing w:line="360" w:lineRule="auto"/>
        <w:ind w:firstLine="480" w:firstLineChars="200"/>
        <w:jc w:val="left"/>
        <w:rPr>
          <w:lang w:bidi="ar"/>
        </w:rPr>
      </w:pPr>
      <w:r>
        <w:rPr>
          <w:lang w:bidi="ar"/>
        </w:rPr>
        <w:t>总体工程COD核定排放量为</w:t>
      </w:r>
      <w:r>
        <w:rPr>
          <w:rFonts w:hint="eastAsia"/>
          <w:lang w:val="en-US" w:eastAsia="zh-CN" w:bidi="ar"/>
        </w:rPr>
        <w:t>657</w:t>
      </w:r>
      <w:r>
        <w:rPr>
          <w:lang w:bidi="ar"/>
        </w:rPr>
        <w:t>0000×50×10</w:t>
      </w:r>
      <w:r>
        <w:rPr>
          <w:vertAlign w:val="superscript"/>
          <w:lang w:bidi="ar"/>
        </w:rPr>
        <w:t>-8</w:t>
      </w:r>
      <w:r>
        <w:rPr>
          <w:lang w:bidi="ar"/>
        </w:rPr>
        <w:t>=</w:t>
      </w:r>
      <w:r>
        <w:rPr>
          <w:rFonts w:hint="eastAsia"/>
          <w:lang w:val="en-US" w:eastAsia="zh-CN" w:bidi="ar"/>
        </w:rPr>
        <w:t>109.5</w:t>
      </w:r>
      <w:r>
        <w:rPr>
          <w:lang w:bidi="ar"/>
        </w:rPr>
        <w:t>t/a；</w:t>
      </w:r>
    </w:p>
    <w:p w14:paraId="4925D6FB">
      <w:pPr>
        <w:spacing w:line="360" w:lineRule="auto"/>
        <w:ind w:firstLine="480" w:firstLineChars="200"/>
        <w:jc w:val="left"/>
        <w:rPr>
          <w:lang w:bidi="ar"/>
        </w:rPr>
      </w:pPr>
      <w:r>
        <w:rPr>
          <w:lang w:bidi="ar"/>
        </w:rPr>
        <w:t>总体工程氨氮预测排放量为</w:t>
      </w:r>
      <w:r>
        <w:rPr>
          <w:rFonts w:hint="eastAsia"/>
          <w:lang w:val="en-US" w:eastAsia="zh-CN" w:bidi="ar"/>
        </w:rPr>
        <w:t>657</w:t>
      </w:r>
      <w:r>
        <w:rPr>
          <w:lang w:bidi="ar"/>
        </w:rPr>
        <w:t>0000×</w:t>
      </w:r>
      <w:r>
        <w:rPr>
          <w:rFonts w:hint="eastAsia"/>
          <w:lang w:val="en-US" w:eastAsia="zh-CN" w:bidi="ar"/>
        </w:rPr>
        <w:t>5</w:t>
      </w:r>
      <w:r>
        <w:rPr>
          <w:lang w:bidi="ar"/>
        </w:rPr>
        <w:t>×10</w:t>
      </w:r>
      <w:r>
        <w:rPr>
          <w:vertAlign w:val="superscript"/>
          <w:lang w:bidi="ar"/>
        </w:rPr>
        <w:t>-</w:t>
      </w:r>
      <w:r>
        <w:rPr>
          <w:rFonts w:hint="eastAsia"/>
          <w:vertAlign w:val="superscript"/>
          <w:lang w:bidi="ar"/>
        </w:rPr>
        <w:t>6</w:t>
      </w:r>
      <w:r>
        <w:rPr>
          <w:lang w:bidi="ar"/>
        </w:rPr>
        <w:t>=</w:t>
      </w:r>
      <w:r>
        <w:rPr>
          <w:rFonts w:hint="eastAsia"/>
          <w:lang w:val="en-US" w:eastAsia="zh-CN" w:bidi="ar"/>
        </w:rPr>
        <w:t>10.95</w:t>
      </w:r>
      <w:r>
        <w:rPr>
          <w:lang w:bidi="ar"/>
        </w:rPr>
        <w:t>t/a；</w:t>
      </w:r>
    </w:p>
    <w:p w14:paraId="3544565E">
      <w:pPr>
        <w:spacing w:line="360" w:lineRule="auto"/>
        <w:ind w:firstLine="480" w:firstLineChars="200"/>
        <w:jc w:val="left"/>
        <w:rPr>
          <w:lang w:bidi="ar"/>
        </w:rPr>
      </w:pPr>
      <w:r>
        <w:rPr>
          <w:lang w:bidi="ar"/>
        </w:rPr>
        <w:t>总体工程氨氮核定排放量为</w:t>
      </w:r>
      <w:r>
        <w:rPr>
          <w:rFonts w:hint="eastAsia"/>
          <w:lang w:val="en-US" w:eastAsia="zh-CN" w:bidi="ar"/>
        </w:rPr>
        <w:t>657</w:t>
      </w:r>
      <w:r>
        <w:rPr>
          <w:lang w:bidi="ar"/>
        </w:rPr>
        <w:t>0000×</w:t>
      </w:r>
      <w:r>
        <w:rPr>
          <w:rFonts w:hint="eastAsia"/>
          <w:lang w:val="en-US" w:eastAsia="zh-CN" w:bidi="ar"/>
        </w:rPr>
        <w:t>5</w:t>
      </w:r>
      <w:r>
        <w:rPr>
          <w:lang w:bidi="ar"/>
        </w:rPr>
        <w:t>×10</w:t>
      </w:r>
      <w:r>
        <w:rPr>
          <w:vertAlign w:val="superscript"/>
          <w:lang w:bidi="ar"/>
        </w:rPr>
        <w:t>-</w:t>
      </w:r>
      <w:r>
        <w:rPr>
          <w:rFonts w:hint="eastAsia"/>
          <w:vertAlign w:val="superscript"/>
          <w:lang w:bidi="ar"/>
        </w:rPr>
        <w:t>6</w:t>
      </w:r>
      <w:r>
        <w:rPr>
          <w:lang w:bidi="ar"/>
        </w:rPr>
        <w:t>=</w:t>
      </w:r>
      <w:r>
        <w:rPr>
          <w:rFonts w:hint="eastAsia"/>
          <w:lang w:val="en-US" w:eastAsia="zh-CN" w:bidi="ar"/>
        </w:rPr>
        <w:t>10.95</w:t>
      </w:r>
      <w:r>
        <w:rPr>
          <w:lang w:bidi="ar"/>
        </w:rPr>
        <w:t>t/a。</w:t>
      </w:r>
    </w:p>
    <w:p w14:paraId="03599831">
      <w:pPr>
        <w:pStyle w:val="195"/>
        <w:tabs>
          <w:tab w:val="left" w:pos="4440"/>
        </w:tabs>
        <w:rPr>
          <w:rFonts w:ascii="Times New Roman" w:hAnsi="Times New Roman" w:eastAsia="宋体"/>
          <w:b/>
          <w:bCs/>
          <w:color w:val="auto"/>
          <w:sz w:val="24"/>
          <w:szCs w:val="24"/>
        </w:rPr>
      </w:pPr>
      <w:r>
        <w:rPr>
          <w:rFonts w:ascii="Times New Roman" w:hAnsi="Times New Roman" w:eastAsia="宋体"/>
          <w:b/>
          <w:bCs/>
          <w:color w:val="auto"/>
          <w:sz w:val="24"/>
          <w:szCs w:val="24"/>
        </w:rPr>
        <w:t>表8-5-1 本项目废水排放量一览表</w:t>
      </w:r>
    </w:p>
    <w:tbl>
      <w:tblPr>
        <w:tblStyle w:val="5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0"/>
        <w:gridCol w:w="884"/>
        <w:gridCol w:w="2164"/>
        <w:gridCol w:w="2164"/>
        <w:gridCol w:w="2164"/>
      </w:tblGrid>
      <w:tr w14:paraId="4E1A1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6" w:type="pct"/>
            <w:gridSpan w:val="2"/>
            <w:vAlign w:val="center"/>
          </w:tcPr>
          <w:p w14:paraId="68F4E23D">
            <w:pPr>
              <w:snapToGrid w:val="0"/>
              <w:spacing w:line="4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指标</w:t>
            </w:r>
          </w:p>
        </w:tc>
        <w:tc>
          <w:tcPr>
            <w:tcW w:w="1177" w:type="pct"/>
            <w:vAlign w:val="center"/>
          </w:tcPr>
          <w:p w14:paraId="5E730A41">
            <w:pPr>
              <w:snapToGrid w:val="0"/>
              <w:spacing w:line="4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预测排放量（t/a）</w:t>
            </w:r>
          </w:p>
        </w:tc>
        <w:tc>
          <w:tcPr>
            <w:tcW w:w="1177" w:type="pct"/>
          </w:tcPr>
          <w:p w14:paraId="60D9E015">
            <w:pPr>
              <w:snapToGrid w:val="0"/>
              <w:spacing w:line="4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削减排放量（t/a）</w:t>
            </w:r>
          </w:p>
        </w:tc>
        <w:tc>
          <w:tcPr>
            <w:tcW w:w="1177" w:type="pct"/>
          </w:tcPr>
          <w:p w14:paraId="68F1503D">
            <w:pPr>
              <w:snapToGrid w:val="0"/>
              <w:spacing w:line="4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核定排放量（t/a）</w:t>
            </w:r>
          </w:p>
        </w:tc>
      </w:tr>
      <w:tr w14:paraId="4429E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985" w:type="pct"/>
            <w:vMerge w:val="restart"/>
            <w:vAlign w:val="center"/>
          </w:tcPr>
          <w:p w14:paraId="4A9D945E">
            <w:pPr>
              <w:snapToGrid w:val="0"/>
              <w:spacing w:line="4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水污染物排放量</w:t>
            </w:r>
          </w:p>
        </w:tc>
        <w:tc>
          <w:tcPr>
            <w:tcW w:w="481" w:type="pct"/>
            <w:vAlign w:val="center"/>
          </w:tcPr>
          <w:p w14:paraId="52703BA1">
            <w:pPr>
              <w:snapToGrid w:val="0"/>
              <w:spacing w:line="4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COD</w:t>
            </w:r>
          </w:p>
        </w:tc>
        <w:tc>
          <w:tcPr>
            <w:tcW w:w="1177" w:type="pct"/>
            <w:vAlign w:val="center"/>
          </w:tcPr>
          <w:p w14:paraId="31C64E18">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109.5</w:t>
            </w:r>
          </w:p>
        </w:tc>
        <w:tc>
          <w:tcPr>
            <w:tcW w:w="1177" w:type="pct"/>
          </w:tcPr>
          <w:p w14:paraId="0F16C848">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4018.65</w:t>
            </w:r>
          </w:p>
        </w:tc>
        <w:tc>
          <w:tcPr>
            <w:tcW w:w="1177" w:type="pct"/>
            <w:vAlign w:val="center"/>
          </w:tcPr>
          <w:p w14:paraId="49869C25">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109.5</w:t>
            </w:r>
          </w:p>
        </w:tc>
      </w:tr>
      <w:tr w14:paraId="1B3FA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985" w:type="pct"/>
            <w:vMerge w:val="continue"/>
            <w:vAlign w:val="center"/>
          </w:tcPr>
          <w:p w14:paraId="62BDB893">
            <w:pPr>
              <w:snapToGrid w:val="0"/>
              <w:spacing w:line="440" w:lineRule="exact"/>
              <w:jc w:val="center"/>
              <w:rPr>
                <w:rFonts w:hint="default" w:ascii="Times New Roman" w:hAnsi="Times New Roman" w:eastAsia="宋体" w:cs="Times New Roman"/>
                <w:bCs/>
                <w:color w:val="auto"/>
                <w:sz w:val="21"/>
                <w:szCs w:val="21"/>
              </w:rPr>
            </w:pPr>
          </w:p>
        </w:tc>
        <w:tc>
          <w:tcPr>
            <w:tcW w:w="481" w:type="pct"/>
            <w:vAlign w:val="center"/>
          </w:tcPr>
          <w:p w14:paraId="2F798753">
            <w:pPr>
              <w:snapToGrid w:val="0"/>
              <w:spacing w:line="440" w:lineRule="exact"/>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氨氮</w:t>
            </w:r>
          </w:p>
        </w:tc>
        <w:tc>
          <w:tcPr>
            <w:tcW w:w="1177" w:type="pct"/>
            <w:vAlign w:val="center"/>
          </w:tcPr>
          <w:p w14:paraId="6F16E541">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10.95</w:t>
            </w:r>
          </w:p>
        </w:tc>
        <w:tc>
          <w:tcPr>
            <w:tcW w:w="1177" w:type="pct"/>
          </w:tcPr>
          <w:p w14:paraId="2F79BE63">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22.55</w:t>
            </w:r>
          </w:p>
        </w:tc>
        <w:tc>
          <w:tcPr>
            <w:tcW w:w="1177" w:type="pct"/>
            <w:vAlign w:val="center"/>
          </w:tcPr>
          <w:p w14:paraId="54F65ACF">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10.95</w:t>
            </w:r>
          </w:p>
        </w:tc>
      </w:tr>
      <w:tr w14:paraId="119A8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985" w:type="pct"/>
            <w:vMerge w:val="continue"/>
            <w:vAlign w:val="center"/>
          </w:tcPr>
          <w:p w14:paraId="2CD2C9F2">
            <w:pPr>
              <w:snapToGrid w:val="0"/>
              <w:spacing w:line="440" w:lineRule="exact"/>
              <w:jc w:val="center"/>
              <w:rPr>
                <w:rFonts w:hint="default" w:ascii="Times New Roman" w:hAnsi="Times New Roman" w:eastAsia="宋体" w:cs="Times New Roman"/>
                <w:bCs/>
                <w:color w:val="auto"/>
                <w:sz w:val="21"/>
                <w:szCs w:val="21"/>
              </w:rPr>
            </w:pPr>
          </w:p>
        </w:tc>
        <w:tc>
          <w:tcPr>
            <w:tcW w:w="481" w:type="pct"/>
            <w:vAlign w:val="center"/>
          </w:tcPr>
          <w:p w14:paraId="071EF0C7">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TN</w:t>
            </w:r>
          </w:p>
        </w:tc>
        <w:tc>
          <w:tcPr>
            <w:tcW w:w="1177" w:type="pct"/>
            <w:vAlign w:val="center"/>
          </w:tcPr>
          <w:p w14:paraId="0F639164">
            <w:pPr>
              <w:snapToGrid w:val="0"/>
              <w:spacing w:line="440" w:lineRule="exact"/>
              <w:jc w:val="center"/>
              <w:rPr>
                <w:rFonts w:hint="default" w:cs="Times New Roman"/>
                <w:bCs/>
                <w:color w:val="auto"/>
                <w:sz w:val="21"/>
                <w:szCs w:val="21"/>
                <w:lang w:val="en-US" w:eastAsia="zh-CN"/>
              </w:rPr>
            </w:pPr>
            <w:r>
              <w:rPr>
                <w:rFonts w:hint="eastAsia" w:cs="Times New Roman"/>
                <w:bCs/>
                <w:color w:val="auto"/>
                <w:sz w:val="21"/>
                <w:szCs w:val="21"/>
                <w:lang w:val="en-US" w:eastAsia="zh-CN"/>
              </w:rPr>
              <w:t>32.85</w:t>
            </w:r>
          </w:p>
        </w:tc>
        <w:tc>
          <w:tcPr>
            <w:tcW w:w="1177" w:type="pct"/>
          </w:tcPr>
          <w:p w14:paraId="5F0819F9">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29.75</w:t>
            </w:r>
          </w:p>
        </w:tc>
        <w:tc>
          <w:tcPr>
            <w:tcW w:w="1177" w:type="pct"/>
            <w:vAlign w:val="center"/>
          </w:tcPr>
          <w:p w14:paraId="5A4E35E9">
            <w:pPr>
              <w:snapToGrid w:val="0"/>
              <w:spacing w:line="440" w:lineRule="exact"/>
              <w:jc w:val="center"/>
              <w:rPr>
                <w:rFonts w:hint="default" w:cs="Times New Roman"/>
                <w:bCs/>
                <w:color w:val="auto"/>
                <w:sz w:val="21"/>
                <w:szCs w:val="21"/>
                <w:lang w:val="en-US" w:eastAsia="zh-CN"/>
              </w:rPr>
            </w:pPr>
            <w:r>
              <w:rPr>
                <w:rFonts w:hint="eastAsia" w:cs="Times New Roman"/>
                <w:bCs/>
                <w:color w:val="auto"/>
                <w:sz w:val="21"/>
                <w:szCs w:val="21"/>
                <w:lang w:val="en-US" w:eastAsia="zh-CN"/>
              </w:rPr>
              <w:t>32.85</w:t>
            </w:r>
          </w:p>
        </w:tc>
      </w:tr>
      <w:tr w14:paraId="664D6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985" w:type="pct"/>
            <w:vMerge w:val="continue"/>
            <w:vAlign w:val="center"/>
          </w:tcPr>
          <w:p w14:paraId="0E67E13A">
            <w:pPr>
              <w:snapToGrid w:val="0"/>
              <w:spacing w:line="440" w:lineRule="exact"/>
              <w:jc w:val="center"/>
              <w:rPr>
                <w:rFonts w:hint="default" w:ascii="Times New Roman" w:hAnsi="Times New Roman" w:eastAsia="宋体" w:cs="Times New Roman"/>
                <w:bCs/>
                <w:color w:val="auto"/>
                <w:sz w:val="21"/>
                <w:szCs w:val="21"/>
              </w:rPr>
            </w:pPr>
          </w:p>
        </w:tc>
        <w:tc>
          <w:tcPr>
            <w:tcW w:w="481" w:type="pct"/>
            <w:vAlign w:val="center"/>
          </w:tcPr>
          <w:p w14:paraId="68F1929A">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TP</w:t>
            </w:r>
          </w:p>
        </w:tc>
        <w:tc>
          <w:tcPr>
            <w:tcW w:w="1177" w:type="pct"/>
            <w:vAlign w:val="center"/>
          </w:tcPr>
          <w:p w14:paraId="29C0282D">
            <w:pPr>
              <w:snapToGrid w:val="0"/>
              <w:spacing w:line="440" w:lineRule="exact"/>
              <w:jc w:val="center"/>
              <w:rPr>
                <w:rFonts w:hint="default" w:cs="Times New Roman"/>
                <w:bCs/>
                <w:color w:val="auto"/>
                <w:sz w:val="21"/>
                <w:szCs w:val="21"/>
                <w:lang w:val="en-US" w:eastAsia="zh-CN"/>
              </w:rPr>
            </w:pPr>
            <w:r>
              <w:rPr>
                <w:rFonts w:hint="eastAsia" w:cs="Times New Roman"/>
                <w:bCs/>
                <w:color w:val="auto"/>
                <w:sz w:val="21"/>
                <w:szCs w:val="21"/>
                <w:lang w:val="en-US" w:eastAsia="zh-CN"/>
              </w:rPr>
              <w:t>1.095</w:t>
            </w:r>
          </w:p>
        </w:tc>
        <w:tc>
          <w:tcPr>
            <w:tcW w:w="1177" w:type="pct"/>
          </w:tcPr>
          <w:p w14:paraId="3B3B87BF">
            <w:pPr>
              <w:snapToGrid w:val="0"/>
              <w:spacing w:line="440" w:lineRule="exact"/>
              <w:jc w:val="center"/>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9.305</w:t>
            </w:r>
          </w:p>
        </w:tc>
        <w:tc>
          <w:tcPr>
            <w:tcW w:w="1177" w:type="pct"/>
            <w:vAlign w:val="center"/>
          </w:tcPr>
          <w:p w14:paraId="0F2CE2BA">
            <w:pPr>
              <w:snapToGrid w:val="0"/>
              <w:spacing w:line="440" w:lineRule="exact"/>
              <w:jc w:val="center"/>
              <w:rPr>
                <w:rFonts w:hint="default" w:cs="Times New Roman"/>
                <w:bCs/>
                <w:color w:val="auto"/>
                <w:sz w:val="21"/>
                <w:szCs w:val="21"/>
                <w:lang w:val="en-US" w:eastAsia="zh-CN"/>
              </w:rPr>
            </w:pPr>
            <w:r>
              <w:rPr>
                <w:rFonts w:hint="eastAsia" w:cs="Times New Roman"/>
                <w:bCs/>
                <w:color w:val="auto"/>
                <w:sz w:val="21"/>
                <w:szCs w:val="21"/>
                <w:lang w:val="en-US" w:eastAsia="zh-CN"/>
              </w:rPr>
              <w:t>1.095</w:t>
            </w:r>
          </w:p>
        </w:tc>
      </w:tr>
    </w:tbl>
    <w:p w14:paraId="7794BEDC">
      <w:pPr>
        <w:pStyle w:val="3"/>
        <w:rPr>
          <w:color w:val="auto"/>
        </w:rPr>
      </w:pPr>
      <w:bookmarkStart w:id="493" w:name="_Toc4202"/>
      <w:r>
        <w:rPr>
          <w:color w:val="auto"/>
        </w:rPr>
        <w:t>8.</w:t>
      </w:r>
      <w:r>
        <w:rPr>
          <w:rFonts w:hint="eastAsia"/>
          <w:color w:val="auto"/>
        </w:rPr>
        <w:t>6</w:t>
      </w:r>
      <w:r>
        <w:rPr>
          <w:color w:val="auto"/>
        </w:rPr>
        <w:t xml:space="preserve"> 主要污染物排放</w:t>
      </w:r>
      <w:r>
        <w:rPr>
          <w:rFonts w:hint="eastAsia"/>
          <w:color w:val="auto"/>
        </w:rPr>
        <w:t>总量</w:t>
      </w:r>
      <w:bookmarkEnd w:id="493"/>
    </w:p>
    <w:p w14:paraId="2EE2ABFF">
      <w:pPr>
        <w:spacing w:line="480" w:lineRule="exact"/>
        <w:ind w:firstLine="480" w:firstLineChars="200"/>
        <w:rPr>
          <w:color w:val="auto"/>
        </w:rPr>
      </w:pPr>
      <w:r>
        <w:rPr>
          <w:color w:val="auto"/>
        </w:rPr>
        <w:t>本项目建成后，区域主要污染物排放量统计见表 8.</w:t>
      </w:r>
      <w:r>
        <w:rPr>
          <w:rFonts w:hint="eastAsia"/>
          <w:color w:val="auto"/>
        </w:rPr>
        <w:t>6-1</w:t>
      </w:r>
      <w:r>
        <w:rPr>
          <w:color w:val="auto"/>
        </w:rPr>
        <w:t>。</w:t>
      </w:r>
    </w:p>
    <w:p w14:paraId="59C505A9">
      <w:pPr>
        <w:pStyle w:val="195"/>
        <w:tabs>
          <w:tab w:val="left" w:pos="4440"/>
        </w:tabs>
        <w:rPr>
          <w:rFonts w:ascii="Times New Roman" w:hAnsi="Times New Roman" w:eastAsia="宋体"/>
          <w:b/>
          <w:bCs/>
          <w:color w:val="auto"/>
          <w:sz w:val="24"/>
          <w:szCs w:val="24"/>
        </w:rPr>
      </w:pPr>
      <w:r>
        <w:rPr>
          <w:rFonts w:ascii="Times New Roman" w:hAnsi="Times New Roman" w:eastAsia="宋体"/>
          <w:b/>
          <w:bCs/>
          <w:color w:val="auto"/>
          <w:sz w:val="24"/>
          <w:szCs w:val="24"/>
        </w:rPr>
        <w:t>表 8.</w:t>
      </w:r>
      <w:r>
        <w:rPr>
          <w:rFonts w:hint="eastAsia" w:ascii="Times New Roman" w:hAnsi="Times New Roman" w:eastAsia="宋体"/>
          <w:b/>
          <w:bCs/>
          <w:color w:val="auto"/>
          <w:sz w:val="24"/>
          <w:szCs w:val="24"/>
        </w:rPr>
        <w:t>6-1</w:t>
      </w:r>
      <w:r>
        <w:rPr>
          <w:rFonts w:ascii="Times New Roman" w:hAnsi="Times New Roman" w:eastAsia="宋体"/>
          <w:b/>
          <w:bCs/>
          <w:color w:val="auto"/>
          <w:sz w:val="24"/>
          <w:szCs w:val="24"/>
        </w:rPr>
        <w:t xml:space="preserve"> 全厂主要污染物排放三本账一览表 单位：t/a</w:t>
      </w:r>
    </w:p>
    <w:p w14:paraId="6E4828B8">
      <w:pPr>
        <w:spacing w:line="18" w:lineRule="exact"/>
        <w:rPr>
          <w:color w:val="auto"/>
        </w:rPr>
      </w:pPr>
    </w:p>
    <w:tbl>
      <w:tblPr>
        <w:tblStyle w:val="500"/>
        <w:tblW w:w="9077" w:type="dxa"/>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1006"/>
        <w:gridCol w:w="903"/>
        <w:gridCol w:w="1112"/>
        <w:gridCol w:w="1008"/>
        <w:gridCol w:w="1008"/>
        <w:gridCol w:w="1008"/>
        <w:gridCol w:w="1009"/>
        <w:gridCol w:w="1012"/>
        <w:gridCol w:w="1011"/>
      </w:tblGrid>
      <w:tr w14:paraId="1DE375F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19" w:hRule="atLeast"/>
        </w:trPr>
        <w:tc>
          <w:tcPr>
            <w:tcW w:w="1006" w:type="dxa"/>
            <w:vMerge w:val="restart"/>
            <w:tcBorders>
              <w:bottom w:val="nil"/>
            </w:tcBorders>
            <w:vAlign w:val="center"/>
          </w:tcPr>
          <w:p w14:paraId="1A70162E">
            <w:pPr>
              <w:pStyle w:val="21"/>
              <w:ind w:left="0"/>
              <w:jc w:val="center"/>
              <w:rPr>
                <w:rFonts w:ascii="Times New Roman" w:hAnsi="Times New Roman" w:eastAsia="宋体"/>
                <w:color w:val="auto"/>
              </w:rPr>
            </w:pPr>
          </w:p>
          <w:p w14:paraId="03BEA691">
            <w:pPr>
              <w:pStyle w:val="21"/>
              <w:ind w:left="0"/>
              <w:jc w:val="center"/>
              <w:rPr>
                <w:rFonts w:ascii="Times New Roman" w:hAnsi="Times New Roman" w:eastAsia="宋体"/>
                <w:color w:val="auto"/>
              </w:rPr>
            </w:pPr>
          </w:p>
          <w:p w14:paraId="4990EF75">
            <w:pPr>
              <w:pStyle w:val="21"/>
              <w:ind w:left="0"/>
              <w:jc w:val="center"/>
              <w:rPr>
                <w:rFonts w:ascii="Times New Roman" w:hAnsi="Times New Roman" w:eastAsia="宋体"/>
                <w:color w:val="auto"/>
              </w:rPr>
            </w:pPr>
            <w:r>
              <w:rPr>
                <w:rFonts w:ascii="Times New Roman" w:hAnsi="Times New Roman" w:eastAsia="宋体"/>
                <w:color w:val="auto"/>
              </w:rPr>
              <w:t>预测量</w:t>
            </w:r>
          </w:p>
        </w:tc>
        <w:tc>
          <w:tcPr>
            <w:tcW w:w="903" w:type="dxa"/>
            <w:vMerge w:val="restart"/>
            <w:vAlign w:val="center"/>
          </w:tcPr>
          <w:p w14:paraId="4A5A4AF0">
            <w:pPr>
              <w:pStyle w:val="21"/>
              <w:ind w:left="0"/>
              <w:jc w:val="center"/>
              <w:rPr>
                <w:rFonts w:ascii="Times New Roman" w:hAnsi="Times New Roman" w:eastAsia="宋体"/>
                <w:color w:val="auto"/>
              </w:rPr>
            </w:pPr>
            <w:r>
              <w:rPr>
                <w:rFonts w:ascii="Times New Roman" w:hAnsi="Times New Roman" w:eastAsia="宋体"/>
                <w:color w:val="auto"/>
              </w:rPr>
              <w:t>污染物</w:t>
            </w:r>
          </w:p>
        </w:tc>
        <w:tc>
          <w:tcPr>
            <w:tcW w:w="1112" w:type="dxa"/>
            <w:vMerge w:val="restart"/>
            <w:vAlign w:val="center"/>
          </w:tcPr>
          <w:p w14:paraId="2F16296E">
            <w:pPr>
              <w:pStyle w:val="21"/>
              <w:ind w:left="0"/>
              <w:jc w:val="center"/>
              <w:rPr>
                <w:rFonts w:ascii="Times New Roman" w:hAnsi="Times New Roman" w:eastAsia="宋体"/>
                <w:color w:val="auto"/>
              </w:rPr>
            </w:pPr>
            <w:r>
              <w:rPr>
                <w:rFonts w:ascii="Times New Roman" w:hAnsi="Times New Roman" w:eastAsia="宋体"/>
                <w:color w:val="auto"/>
              </w:rPr>
              <w:t>现有工程排放量</w:t>
            </w:r>
          </w:p>
        </w:tc>
        <w:tc>
          <w:tcPr>
            <w:tcW w:w="1008" w:type="dxa"/>
            <w:vMerge w:val="restart"/>
            <w:vAlign w:val="center"/>
          </w:tcPr>
          <w:p w14:paraId="0B225BD6">
            <w:pPr>
              <w:pStyle w:val="21"/>
              <w:ind w:left="0"/>
              <w:jc w:val="center"/>
              <w:rPr>
                <w:rFonts w:ascii="Times New Roman" w:hAnsi="Times New Roman" w:eastAsia="宋体"/>
                <w:color w:val="auto"/>
              </w:rPr>
            </w:pPr>
            <w:r>
              <w:rPr>
                <w:rFonts w:ascii="Times New Roman" w:hAnsi="Times New Roman" w:eastAsia="宋体"/>
                <w:color w:val="auto"/>
              </w:rPr>
              <w:t>本项目预测排放量</w:t>
            </w:r>
          </w:p>
        </w:tc>
        <w:tc>
          <w:tcPr>
            <w:tcW w:w="1008" w:type="dxa"/>
            <w:vMerge w:val="restart"/>
            <w:vAlign w:val="center"/>
          </w:tcPr>
          <w:p w14:paraId="125DE833">
            <w:pPr>
              <w:pStyle w:val="21"/>
              <w:ind w:left="0"/>
              <w:jc w:val="center"/>
              <w:rPr>
                <w:rFonts w:ascii="Times New Roman" w:hAnsi="Times New Roman" w:eastAsia="宋体"/>
                <w:color w:val="auto"/>
              </w:rPr>
            </w:pPr>
            <w:r>
              <w:rPr>
                <w:rFonts w:ascii="Times New Roman" w:hAnsi="Times New Roman" w:eastAsia="宋体"/>
                <w:color w:val="auto"/>
              </w:rPr>
              <w:t>全厂预测排放总量</w:t>
            </w:r>
          </w:p>
        </w:tc>
        <w:tc>
          <w:tcPr>
            <w:tcW w:w="3029" w:type="dxa"/>
            <w:gridSpan w:val="3"/>
            <w:vAlign w:val="center"/>
          </w:tcPr>
          <w:p w14:paraId="40861950">
            <w:pPr>
              <w:pStyle w:val="21"/>
              <w:ind w:left="0"/>
              <w:jc w:val="center"/>
              <w:rPr>
                <w:rFonts w:hint="eastAsia" w:ascii="Times New Roman" w:hAnsi="Times New Roman" w:eastAsia="宋体"/>
                <w:color w:val="auto"/>
                <w:lang w:val="en-US" w:eastAsia="zh-CN"/>
              </w:rPr>
            </w:pPr>
            <w:r>
              <w:rPr>
                <w:rFonts w:hint="eastAsia" w:ascii="Times New Roman" w:hAnsi="Times New Roman" w:eastAsia="宋体"/>
                <w:color w:val="auto"/>
              </w:rPr>
              <w:t>区域污染源削减</w:t>
            </w:r>
            <w:r>
              <w:rPr>
                <w:rFonts w:ascii="Times New Roman" w:hAnsi="Times New Roman" w:eastAsia="宋体"/>
                <w:color w:val="auto"/>
              </w:rPr>
              <w:t>量</w:t>
            </w:r>
            <w:r>
              <w:rPr>
                <w:rFonts w:hint="eastAsia" w:ascii="Times New Roman" w:hAnsi="Times New Roman" w:eastAsia="宋体"/>
                <w:color w:val="auto"/>
                <w:lang w:val="en-US" w:eastAsia="zh-CN"/>
              </w:rPr>
              <w:t>总量</w:t>
            </w:r>
          </w:p>
        </w:tc>
        <w:tc>
          <w:tcPr>
            <w:tcW w:w="1011" w:type="dxa"/>
            <w:vMerge w:val="restart"/>
            <w:vAlign w:val="center"/>
          </w:tcPr>
          <w:p w14:paraId="67190954">
            <w:pPr>
              <w:pStyle w:val="21"/>
              <w:ind w:left="0"/>
              <w:jc w:val="center"/>
              <w:rPr>
                <w:rFonts w:ascii="Times New Roman" w:hAnsi="Times New Roman" w:eastAsia="宋体"/>
                <w:color w:val="auto"/>
              </w:rPr>
            </w:pPr>
            <w:r>
              <w:rPr>
                <w:rFonts w:ascii="Times New Roman" w:hAnsi="Times New Roman" w:eastAsia="宋体"/>
                <w:color w:val="auto"/>
              </w:rPr>
              <w:t>变化量</w:t>
            </w:r>
          </w:p>
        </w:tc>
      </w:tr>
      <w:tr w14:paraId="6F799BF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51" w:hRule="atLeast"/>
        </w:trPr>
        <w:tc>
          <w:tcPr>
            <w:tcW w:w="1006" w:type="dxa"/>
            <w:vMerge w:val="continue"/>
            <w:vAlign w:val="center"/>
          </w:tcPr>
          <w:p w14:paraId="18984958">
            <w:pPr>
              <w:pStyle w:val="21"/>
              <w:ind w:left="0"/>
              <w:jc w:val="center"/>
              <w:rPr>
                <w:rFonts w:ascii="Times New Roman" w:hAnsi="Times New Roman" w:eastAsia="宋体"/>
                <w:color w:val="auto"/>
              </w:rPr>
            </w:pPr>
          </w:p>
        </w:tc>
        <w:tc>
          <w:tcPr>
            <w:tcW w:w="903" w:type="dxa"/>
            <w:vMerge w:val="continue"/>
            <w:vAlign w:val="center"/>
          </w:tcPr>
          <w:p w14:paraId="227E7F05">
            <w:pPr>
              <w:pStyle w:val="21"/>
              <w:ind w:left="0"/>
              <w:jc w:val="center"/>
              <w:rPr>
                <w:rFonts w:ascii="Times New Roman" w:hAnsi="Times New Roman" w:eastAsia="宋体"/>
                <w:color w:val="auto"/>
              </w:rPr>
            </w:pPr>
          </w:p>
        </w:tc>
        <w:tc>
          <w:tcPr>
            <w:tcW w:w="1112" w:type="dxa"/>
            <w:vMerge w:val="continue"/>
            <w:vAlign w:val="center"/>
          </w:tcPr>
          <w:p w14:paraId="307E754B">
            <w:pPr>
              <w:pStyle w:val="21"/>
              <w:ind w:left="0"/>
              <w:jc w:val="center"/>
              <w:rPr>
                <w:rFonts w:ascii="Times New Roman" w:hAnsi="Times New Roman" w:eastAsia="宋体"/>
                <w:color w:val="auto"/>
              </w:rPr>
            </w:pPr>
          </w:p>
        </w:tc>
        <w:tc>
          <w:tcPr>
            <w:tcW w:w="1008" w:type="dxa"/>
            <w:vMerge w:val="continue"/>
            <w:vAlign w:val="center"/>
          </w:tcPr>
          <w:p w14:paraId="4ED5260D">
            <w:pPr>
              <w:pStyle w:val="21"/>
              <w:ind w:left="0"/>
              <w:jc w:val="center"/>
              <w:rPr>
                <w:rFonts w:ascii="Times New Roman" w:hAnsi="Times New Roman" w:eastAsia="宋体"/>
                <w:color w:val="auto"/>
              </w:rPr>
            </w:pPr>
          </w:p>
        </w:tc>
        <w:tc>
          <w:tcPr>
            <w:tcW w:w="1008" w:type="dxa"/>
            <w:vMerge w:val="continue"/>
            <w:vAlign w:val="center"/>
          </w:tcPr>
          <w:p w14:paraId="008A1223">
            <w:pPr>
              <w:pStyle w:val="21"/>
              <w:ind w:left="0"/>
              <w:jc w:val="center"/>
              <w:rPr>
                <w:rFonts w:ascii="Times New Roman" w:hAnsi="Times New Roman" w:eastAsia="宋体"/>
                <w:color w:val="auto"/>
              </w:rPr>
            </w:pPr>
          </w:p>
        </w:tc>
        <w:tc>
          <w:tcPr>
            <w:tcW w:w="1008" w:type="dxa"/>
            <w:vAlign w:val="center"/>
          </w:tcPr>
          <w:p w14:paraId="01EE00F4">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现有工程工程</w:t>
            </w:r>
          </w:p>
        </w:tc>
        <w:tc>
          <w:tcPr>
            <w:tcW w:w="1009" w:type="dxa"/>
            <w:vAlign w:val="center"/>
          </w:tcPr>
          <w:p w14:paraId="2829C298">
            <w:pPr>
              <w:pStyle w:val="21"/>
              <w:ind w:left="0"/>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区域</w:t>
            </w:r>
          </w:p>
        </w:tc>
        <w:tc>
          <w:tcPr>
            <w:tcW w:w="1012" w:type="dxa"/>
            <w:vAlign w:val="center"/>
          </w:tcPr>
          <w:p w14:paraId="48C5C1F8">
            <w:pPr>
              <w:pStyle w:val="21"/>
              <w:ind w:left="0"/>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合计</w:t>
            </w:r>
          </w:p>
        </w:tc>
        <w:tc>
          <w:tcPr>
            <w:tcW w:w="1011" w:type="dxa"/>
            <w:vMerge w:val="continue"/>
            <w:vAlign w:val="center"/>
          </w:tcPr>
          <w:p w14:paraId="3F6FBB12">
            <w:pPr>
              <w:pStyle w:val="21"/>
              <w:ind w:left="0"/>
              <w:jc w:val="center"/>
              <w:rPr>
                <w:rFonts w:ascii="Times New Roman" w:hAnsi="Times New Roman" w:eastAsia="宋体"/>
                <w:color w:val="auto"/>
              </w:rPr>
            </w:pPr>
          </w:p>
        </w:tc>
      </w:tr>
      <w:tr w14:paraId="5A1650F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1006" w:type="dxa"/>
            <w:vMerge w:val="continue"/>
            <w:tcBorders>
              <w:top w:val="nil"/>
              <w:bottom w:val="nil"/>
            </w:tcBorders>
            <w:vAlign w:val="center"/>
          </w:tcPr>
          <w:p w14:paraId="01EF5A18">
            <w:pPr>
              <w:pStyle w:val="21"/>
              <w:ind w:left="0"/>
              <w:jc w:val="center"/>
              <w:rPr>
                <w:rFonts w:ascii="Times New Roman" w:hAnsi="Times New Roman" w:eastAsia="宋体"/>
                <w:color w:val="auto"/>
              </w:rPr>
            </w:pPr>
          </w:p>
        </w:tc>
        <w:tc>
          <w:tcPr>
            <w:tcW w:w="903" w:type="dxa"/>
            <w:vAlign w:val="center"/>
          </w:tcPr>
          <w:p w14:paraId="1C83EECB">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COD</w:t>
            </w:r>
          </w:p>
        </w:tc>
        <w:tc>
          <w:tcPr>
            <w:tcW w:w="1112" w:type="dxa"/>
            <w:vAlign w:val="center"/>
          </w:tcPr>
          <w:p w14:paraId="0C7EA899">
            <w:pPr>
              <w:pStyle w:val="21"/>
              <w:ind w:left="0" w:leftChars="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900</w:t>
            </w:r>
          </w:p>
        </w:tc>
        <w:tc>
          <w:tcPr>
            <w:tcW w:w="1008" w:type="dxa"/>
            <w:vAlign w:val="center"/>
          </w:tcPr>
          <w:p w14:paraId="3A507C55">
            <w:pPr>
              <w:snapToGrid w:val="0"/>
              <w:spacing w:line="440" w:lineRule="exact"/>
              <w:jc w:val="center"/>
              <w:rPr>
                <w:rFonts w:hint="default" w:ascii="Times New Roman" w:hAnsi="Times New Roman" w:eastAsia="宋体"/>
                <w:color w:val="auto"/>
                <w:lang w:val="en-US" w:eastAsia="zh-CN"/>
              </w:rPr>
            </w:pPr>
            <w:r>
              <w:rPr>
                <w:rFonts w:hint="eastAsia" w:cs="Times New Roman"/>
                <w:bCs/>
                <w:color w:val="auto"/>
                <w:sz w:val="21"/>
                <w:szCs w:val="21"/>
                <w:lang w:val="en-US" w:eastAsia="zh-CN"/>
              </w:rPr>
              <w:t>109.5</w:t>
            </w:r>
          </w:p>
        </w:tc>
        <w:tc>
          <w:tcPr>
            <w:tcW w:w="1008" w:type="dxa"/>
            <w:vAlign w:val="center"/>
          </w:tcPr>
          <w:p w14:paraId="69CC87F5">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1009.5</w:t>
            </w:r>
          </w:p>
        </w:tc>
        <w:tc>
          <w:tcPr>
            <w:tcW w:w="1008" w:type="dxa"/>
            <w:vAlign w:val="center"/>
          </w:tcPr>
          <w:p w14:paraId="6FD8DADD">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09" w:type="dxa"/>
            <w:vAlign w:val="center"/>
          </w:tcPr>
          <w:p w14:paraId="67119127">
            <w:pPr>
              <w:pStyle w:val="21"/>
              <w:ind w:left="0" w:leftChars="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12" w:type="dxa"/>
            <w:vAlign w:val="center"/>
          </w:tcPr>
          <w:p w14:paraId="06DB809C">
            <w:pPr>
              <w:pStyle w:val="21"/>
              <w:ind w:left="0" w:leftChars="0"/>
              <w:jc w:val="center"/>
              <w:rPr>
                <w:rFonts w:ascii="Times New Roman" w:hAnsi="Times New Roman" w:eastAsia="宋体"/>
                <w:color w:val="auto"/>
              </w:rPr>
            </w:pPr>
            <w:r>
              <w:rPr>
                <w:rFonts w:hint="eastAsia" w:ascii="Times New Roman" w:hAnsi="Times New Roman" w:eastAsia="宋体"/>
                <w:color w:val="auto"/>
                <w:lang w:val="en-US" w:eastAsia="zh-CN"/>
              </w:rPr>
              <w:t>0</w:t>
            </w:r>
          </w:p>
        </w:tc>
        <w:tc>
          <w:tcPr>
            <w:tcW w:w="1011" w:type="dxa"/>
            <w:vAlign w:val="center"/>
          </w:tcPr>
          <w:p w14:paraId="3878AAA2">
            <w:pPr>
              <w:snapToGrid w:val="0"/>
              <w:spacing w:line="440" w:lineRule="exact"/>
              <w:jc w:val="center"/>
              <w:rPr>
                <w:rFonts w:hint="default" w:ascii="Times New Roman" w:hAnsi="Times New Roman" w:eastAsia="宋体"/>
                <w:color w:val="auto"/>
                <w:lang w:val="en-US" w:eastAsia="zh-CN"/>
              </w:rPr>
            </w:pPr>
            <w:r>
              <w:rPr>
                <w:rFonts w:hint="eastAsia" w:cs="Times New Roman"/>
                <w:bCs/>
                <w:color w:val="auto"/>
                <w:sz w:val="21"/>
                <w:szCs w:val="21"/>
                <w:lang w:val="en-US" w:eastAsia="zh-CN"/>
              </w:rPr>
              <w:t>+109.5</w:t>
            </w:r>
          </w:p>
        </w:tc>
      </w:tr>
      <w:tr w14:paraId="609EA16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1006" w:type="dxa"/>
            <w:vMerge w:val="continue"/>
            <w:tcBorders>
              <w:top w:val="nil"/>
              <w:bottom w:val="nil"/>
            </w:tcBorders>
            <w:vAlign w:val="center"/>
          </w:tcPr>
          <w:p w14:paraId="2F479590">
            <w:pPr>
              <w:pStyle w:val="21"/>
              <w:ind w:left="0"/>
              <w:jc w:val="center"/>
              <w:rPr>
                <w:rFonts w:ascii="Times New Roman" w:hAnsi="Times New Roman" w:eastAsia="宋体"/>
                <w:color w:val="auto"/>
              </w:rPr>
            </w:pPr>
          </w:p>
        </w:tc>
        <w:tc>
          <w:tcPr>
            <w:tcW w:w="903" w:type="dxa"/>
            <w:vAlign w:val="center"/>
          </w:tcPr>
          <w:p w14:paraId="4B7B530B">
            <w:pPr>
              <w:pStyle w:val="21"/>
              <w:ind w:left="0"/>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氨氮</w:t>
            </w:r>
          </w:p>
        </w:tc>
        <w:tc>
          <w:tcPr>
            <w:tcW w:w="1112" w:type="dxa"/>
            <w:vAlign w:val="center"/>
          </w:tcPr>
          <w:p w14:paraId="318E808A">
            <w:pPr>
              <w:pStyle w:val="21"/>
              <w:ind w:left="0" w:leftChars="0"/>
              <w:jc w:val="center"/>
              <w:rPr>
                <w:rFonts w:ascii="Times New Roman" w:hAnsi="Times New Roman" w:eastAsia="宋体"/>
                <w:color w:val="auto"/>
              </w:rPr>
            </w:pPr>
            <w:r>
              <w:rPr>
                <w:rFonts w:hint="eastAsia" w:ascii="Times New Roman" w:hAnsi="Times New Roman" w:eastAsia="宋体"/>
                <w:color w:val="auto"/>
                <w:lang w:val="en-US" w:eastAsia="zh-CN"/>
              </w:rPr>
              <w:t>144</w:t>
            </w:r>
          </w:p>
        </w:tc>
        <w:tc>
          <w:tcPr>
            <w:tcW w:w="1008" w:type="dxa"/>
            <w:vAlign w:val="center"/>
          </w:tcPr>
          <w:p w14:paraId="48F17AF7">
            <w:pPr>
              <w:snapToGrid w:val="0"/>
              <w:spacing w:line="440" w:lineRule="exact"/>
              <w:jc w:val="center"/>
              <w:rPr>
                <w:rFonts w:hint="eastAsia" w:ascii="Times New Roman" w:hAnsi="Times New Roman" w:eastAsia="宋体"/>
                <w:color w:val="auto"/>
                <w:lang w:val="en-US" w:eastAsia="zh-CN"/>
              </w:rPr>
            </w:pPr>
            <w:r>
              <w:rPr>
                <w:rFonts w:hint="eastAsia" w:cs="Times New Roman"/>
                <w:bCs/>
                <w:color w:val="auto"/>
                <w:sz w:val="21"/>
                <w:szCs w:val="21"/>
                <w:lang w:val="en-US" w:eastAsia="zh-CN"/>
              </w:rPr>
              <w:t>10.95</w:t>
            </w:r>
          </w:p>
        </w:tc>
        <w:tc>
          <w:tcPr>
            <w:tcW w:w="1008" w:type="dxa"/>
            <w:vAlign w:val="center"/>
          </w:tcPr>
          <w:p w14:paraId="0F0F281C">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154.95</w:t>
            </w:r>
          </w:p>
        </w:tc>
        <w:tc>
          <w:tcPr>
            <w:tcW w:w="1008" w:type="dxa"/>
            <w:vAlign w:val="center"/>
          </w:tcPr>
          <w:p w14:paraId="26A71F58">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09" w:type="dxa"/>
            <w:vAlign w:val="center"/>
          </w:tcPr>
          <w:p w14:paraId="2BC4CCBB">
            <w:pPr>
              <w:pStyle w:val="21"/>
              <w:ind w:left="0" w:leftChars="0"/>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12" w:type="dxa"/>
            <w:vAlign w:val="center"/>
          </w:tcPr>
          <w:p w14:paraId="4558AB0C">
            <w:pPr>
              <w:pStyle w:val="21"/>
              <w:ind w:left="0" w:leftChars="0"/>
              <w:jc w:val="center"/>
              <w:rPr>
                <w:rFonts w:hint="eastAsia" w:ascii="Times New Roman" w:hAnsi="Times New Roman" w:eastAsia="宋体"/>
                <w:color w:val="auto"/>
              </w:rPr>
            </w:pPr>
            <w:r>
              <w:rPr>
                <w:rFonts w:hint="eastAsia" w:ascii="Times New Roman" w:hAnsi="Times New Roman" w:eastAsia="宋体"/>
                <w:color w:val="auto"/>
                <w:lang w:val="en-US" w:eastAsia="zh-CN"/>
              </w:rPr>
              <w:t>0</w:t>
            </w:r>
          </w:p>
        </w:tc>
        <w:tc>
          <w:tcPr>
            <w:tcW w:w="1011" w:type="dxa"/>
            <w:vAlign w:val="center"/>
          </w:tcPr>
          <w:p w14:paraId="29A984A0">
            <w:pPr>
              <w:snapToGrid w:val="0"/>
              <w:spacing w:line="440" w:lineRule="exact"/>
              <w:jc w:val="center"/>
              <w:rPr>
                <w:rFonts w:ascii="Times New Roman" w:hAnsi="Times New Roman" w:eastAsia="宋体"/>
                <w:color w:val="auto"/>
              </w:rPr>
            </w:pPr>
            <w:r>
              <w:rPr>
                <w:rFonts w:hint="eastAsia" w:cs="Times New Roman"/>
                <w:bCs/>
                <w:color w:val="auto"/>
                <w:sz w:val="21"/>
                <w:szCs w:val="21"/>
                <w:lang w:val="en-US" w:eastAsia="zh-CN"/>
              </w:rPr>
              <w:t>+10.95</w:t>
            </w:r>
          </w:p>
        </w:tc>
      </w:tr>
      <w:tr w14:paraId="10437F7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1006" w:type="dxa"/>
            <w:vMerge w:val="continue"/>
            <w:tcBorders>
              <w:top w:val="nil"/>
              <w:bottom w:val="nil"/>
            </w:tcBorders>
            <w:vAlign w:val="center"/>
          </w:tcPr>
          <w:p w14:paraId="60D35F43">
            <w:pPr>
              <w:pStyle w:val="21"/>
              <w:ind w:left="0"/>
              <w:jc w:val="center"/>
              <w:rPr>
                <w:rFonts w:ascii="Times New Roman" w:hAnsi="Times New Roman" w:eastAsia="宋体"/>
                <w:color w:val="auto"/>
              </w:rPr>
            </w:pPr>
          </w:p>
        </w:tc>
        <w:tc>
          <w:tcPr>
            <w:tcW w:w="903" w:type="dxa"/>
            <w:vAlign w:val="center"/>
          </w:tcPr>
          <w:p w14:paraId="647CEDE2">
            <w:pPr>
              <w:snapToGrid w:val="0"/>
              <w:spacing w:line="440" w:lineRule="exact"/>
              <w:jc w:val="center"/>
              <w:rPr>
                <w:rFonts w:hint="eastAsia" w:ascii="Times New Roman" w:hAnsi="Times New Roman" w:eastAsia="宋体"/>
                <w:color w:val="auto"/>
                <w:lang w:val="en-US" w:eastAsia="zh-CN"/>
              </w:rPr>
            </w:pPr>
            <w:r>
              <w:rPr>
                <w:rFonts w:hint="eastAsia" w:cs="Times New Roman"/>
                <w:bCs/>
                <w:color w:val="auto"/>
                <w:sz w:val="21"/>
                <w:szCs w:val="21"/>
                <w:lang w:val="en-US" w:eastAsia="zh-CN"/>
              </w:rPr>
              <w:t>TN</w:t>
            </w:r>
          </w:p>
        </w:tc>
        <w:tc>
          <w:tcPr>
            <w:tcW w:w="1112" w:type="dxa"/>
            <w:vAlign w:val="center"/>
          </w:tcPr>
          <w:p w14:paraId="29EF6881">
            <w:pPr>
              <w:pStyle w:val="21"/>
              <w:ind w:left="0" w:leftChars="0"/>
              <w:jc w:val="center"/>
              <w:rPr>
                <w:rFonts w:ascii="Times New Roman" w:hAnsi="Times New Roman" w:eastAsia="宋体"/>
                <w:color w:val="auto"/>
              </w:rPr>
            </w:pPr>
            <w:r>
              <w:rPr>
                <w:rFonts w:hint="eastAsia" w:ascii="Times New Roman" w:hAnsi="Times New Roman" w:eastAsia="宋体"/>
                <w:color w:val="auto"/>
                <w:lang w:val="en-US" w:eastAsia="zh-CN"/>
              </w:rPr>
              <w:t>270</w:t>
            </w:r>
          </w:p>
        </w:tc>
        <w:tc>
          <w:tcPr>
            <w:tcW w:w="1008" w:type="dxa"/>
            <w:vAlign w:val="center"/>
          </w:tcPr>
          <w:p w14:paraId="13304498">
            <w:pPr>
              <w:snapToGrid w:val="0"/>
              <w:spacing w:line="440" w:lineRule="exact"/>
              <w:jc w:val="center"/>
              <w:rPr>
                <w:rFonts w:hint="eastAsia" w:ascii="Times New Roman" w:hAnsi="Times New Roman" w:eastAsia="宋体"/>
                <w:color w:val="auto"/>
                <w:lang w:val="en-US" w:eastAsia="zh-CN"/>
              </w:rPr>
            </w:pPr>
            <w:r>
              <w:rPr>
                <w:rFonts w:hint="eastAsia" w:cs="Times New Roman"/>
                <w:bCs/>
                <w:color w:val="auto"/>
                <w:sz w:val="21"/>
                <w:szCs w:val="21"/>
                <w:lang w:val="en-US" w:eastAsia="zh-CN"/>
              </w:rPr>
              <w:t>32.85</w:t>
            </w:r>
          </w:p>
        </w:tc>
        <w:tc>
          <w:tcPr>
            <w:tcW w:w="1008" w:type="dxa"/>
            <w:vAlign w:val="center"/>
          </w:tcPr>
          <w:p w14:paraId="03BF08A6">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302.85</w:t>
            </w:r>
          </w:p>
        </w:tc>
        <w:tc>
          <w:tcPr>
            <w:tcW w:w="1008" w:type="dxa"/>
            <w:vAlign w:val="center"/>
          </w:tcPr>
          <w:p w14:paraId="5791FDCF">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09" w:type="dxa"/>
            <w:vAlign w:val="center"/>
          </w:tcPr>
          <w:p w14:paraId="786621D9">
            <w:pPr>
              <w:pStyle w:val="21"/>
              <w:ind w:left="0" w:leftChars="0"/>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12" w:type="dxa"/>
            <w:vAlign w:val="center"/>
          </w:tcPr>
          <w:p w14:paraId="65109303">
            <w:pPr>
              <w:pStyle w:val="21"/>
              <w:ind w:left="0" w:leftChars="0"/>
              <w:jc w:val="center"/>
              <w:rPr>
                <w:rFonts w:hint="eastAsia" w:ascii="Times New Roman" w:hAnsi="Times New Roman" w:eastAsia="宋体"/>
                <w:color w:val="auto"/>
              </w:rPr>
            </w:pPr>
            <w:r>
              <w:rPr>
                <w:rFonts w:hint="eastAsia" w:ascii="Times New Roman" w:hAnsi="Times New Roman" w:eastAsia="宋体"/>
                <w:color w:val="auto"/>
                <w:lang w:val="en-US" w:eastAsia="zh-CN"/>
              </w:rPr>
              <w:t>0</w:t>
            </w:r>
          </w:p>
        </w:tc>
        <w:tc>
          <w:tcPr>
            <w:tcW w:w="1011" w:type="dxa"/>
            <w:vAlign w:val="center"/>
          </w:tcPr>
          <w:p w14:paraId="0CAE7DF6">
            <w:pPr>
              <w:snapToGrid w:val="0"/>
              <w:spacing w:line="440" w:lineRule="exact"/>
              <w:jc w:val="center"/>
              <w:rPr>
                <w:rFonts w:ascii="Times New Roman" w:hAnsi="Times New Roman" w:eastAsia="宋体"/>
                <w:color w:val="auto"/>
              </w:rPr>
            </w:pPr>
            <w:r>
              <w:rPr>
                <w:rFonts w:hint="eastAsia" w:cs="Times New Roman"/>
                <w:bCs/>
                <w:color w:val="auto"/>
                <w:sz w:val="21"/>
                <w:szCs w:val="21"/>
                <w:lang w:val="en-US" w:eastAsia="zh-CN"/>
              </w:rPr>
              <w:t>+32.85</w:t>
            </w:r>
          </w:p>
        </w:tc>
      </w:tr>
      <w:tr w14:paraId="79417B5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3" w:hRule="atLeast"/>
        </w:trPr>
        <w:tc>
          <w:tcPr>
            <w:tcW w:w="1006" w:type="dxa"/>
            <w:vMerge w:val="continue"/>
            <w:tcBorders>
              <w:top w:val="nil"/>
            </w:tcBorders>
            <w:vAlign w:val="center"/>
          </w:tcPr>
          <w:p w14:paraId="25AA74D9">
            <w:pPr>
              <w:pStyle w:val="21"/>
              <w:ind w:left="0"/>
              <w:jc w:val="center"/>
              <w:rPr>
                <w:rFonts w:ascii="Times New Roman" w:hAnsi="Times New Roman" w:eastAsia="宋体"/>
                <w:color w:val="auto"/>
              </w:rPr>
            </w:pPr>
          </w:p>
        </w:tc>
        <w:tc>
          <w:tcPr>
            <w:tcW w:w="903" w:type="dxa"/>
            <w:vAlign w:val="center"/>
          </w:tcPr>
          <w:p w14:paraId="443CB0C8">
            <w:pPr>
              <w:snapToGrid w:val="0"/>
              <w:spacing w:line="440" w:lineRule="exact"/>
              <w:jc w:val="center"/>
              <w:rPr>
                <w:rFonts w:hint="default" w:ascii="Times New Roman" w:hAnsi="Times New Roman" w:eastAsia="宋体"/>
                <w:color w:val="auto"/>
                <w:lang w:val="en-US" w:eastAsia="zh-CN"/>
              </w:rPr>
            </w:pPr>
            <w:r>
              <w:rPr>
                <w:rFonts w:hint="eastAsia" w:cs="Times New Roman"/>
                <w:bCs/>
                <w:color w:val="auto"/>
                <w:sz w:val="21"/>
                <w:szCs w:val="21"/>
                <w:lang w:val="en-US" w:eastAsia="zh-CN"/>
              </w:rPr>
              <w:t>TP</w:t>
            </w:r>
          </w:p>
        </w:tc>
        <w:tc>
          <w:tcPr>
            <w:tcW w:w="1112" w:type="dxa"/>
            <w:vAlign w:val="center"/>
          </w:tcPr>
          <w:p w14:paraId="653D1456">
            <w:pPr>
              <w:pStyle w:val="21"/>
              <w:ind w:left="0" w:leftChars="0"/>
              <w:jc w:val="center"/>
              <w:rPr>
                <w:rFonts w:ascii="Times New Roman" w:hAnsi="Times New Roman" w:eastAsia="宋体"/>
                <w:color w:val="auto"/>
              </w:rPr>
            </w:pPr>
            <w:r>
              <w:rPr>
                <w:rFonts w:hint="eastAsia" w:ascii="Times New Roman" w:hAnsi="Times New Roman" w:eastAsia="宋体"/>
                <w:color w:val="auto"/>
                <w:lang w:val="en-US" w:eastAsia="zh-CN"/>
              </w:rPr>
              <w:t>9</w:t>
            </w:r>
          </w:p>
        </w:tc>
        <w:tc>
          <w:tcPr>
            <w:tcW w:w="1008" w:type="dxa"/>
            <w:vAlign w:val="center"/>
          </w:tcPr>
          <w:p w14:paraId="0223006C">
            <w:pPr>
              <w:snapToGrid w:val="0"/>
              <w:spacing w:line="440" w:lineRule="exact"/>
              <w:jc w:val="center"/>
              <w:rPr>
                <w:rFonts w:hint="default" w:ascii="Times New Roman" w:hAnsi="Times New Roman" w:eastAsia="宋体"/>
                <w:color w:val="auto"/>
                <w:lang w:val="en-US" w:eastAsia="zh-CN"/>
              </w:rPr>
            </w:pPr>
            <w:r>
              <w:rPr>
                <w:rFonts w:hint="eastAsia" w:cs="Times New Roman"/>
                <w:bCs/>
                <w:color w:val="auto"/>
                <w:sz w:val="21"/>
                <w:szCs w:val="21"/>
                <w:lang w:val="en-US" w:eastAsia="zh-CN"/>
              </w:rPr>
              <w:t>1.095</w:t>
            </w:r>
          </w:p>
        </w:tc>
        <w:tc>
          <w:tcPr>
            <w:tcW w:w="1008" w:type="dxa"/>
            <w:vAlign w:val="center"/>
          </w:tcPr>
          <w:p w14:paraId="54D74282">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10.095</w:t>
            </w:r>
          </w:p>
        </w:tc>
        <w:tc>
          <w:tcPr>
            <w:tcW w:w="1008" w:type="dxa"/>
            <w:vAlign w:val="center"/>
          </w:tcPr>
          <w:p w14:paraId="704C63F4">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09" w:type="dxa"/>
            <w:vAlign w:val="center"/>
          </w:tcPr>
          <w:p w14:paraId="72B244EA">
            <w:pPr>
              <w:pStyle w:val="21"/>
              <w:ind w:left="0" w:leftChars="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0</w:t>
            </w:r>
          </w:p>
        </w:tc>
        <w:tc>
          <w:tcPr>
            <w:tcW w:w="1012" w:type="dxa"/>
            <w:vAlign w:val="center"/>
          </w:tcPr>
          <w:p w14:paraId="70F9F40B">
            <w:pPr>
              <w:pStyle w:val="21"/>
              <w:ind w:left="0" w:leftChars="0"/>
              <w:jc w:val="center"/>
              <w:rPr>
                <w:rFonts w:ascii="Times New Roman" w:hAnsi="Times New Roman" w:eastAsia="宋体"/>
                <w:color w:val="auto"/>
              </w:rPr>
            </w:pPr>
            <w:r>
              <w:rPr>
                <w:rFonts w:hint="eastAsia" w:ascii="Times New Roman" w:hAnsi="Times New Roman" w:eastAsia="宋体"/>
                <w:color w:val="auto"/>
                <w:lang w:val="en-US" w:eastAsia="zh-CN"/>
              </w:rPr>
              <w:t>0</w:t>
            </w:r>
          </w:p>
        </w:tc>
        <w:tc>
          <w:tcPr>
            <w:tcW w:w="1011" w:type="dxa"/>
            <w:vAlign w:val="center"/>
          </w:tcPr>
          <w:p w14:paraId="10ACF3A5">
            <w:pPr>
              <w:snapToGrid w:val="0"/>
              <w:spacing w:line="440" w:lineRule="exact"/>
              <w:jc w:val="center"/>
              <w:rPr>
                <w:rFonts w:hint="default" w:ascii="Times New Roman" w:hAnsi="Times New Roman" w:eastAsia="宋体"/>
                <w:color w:val="auto"/>
                <w:lang w:val="en-US" w:eastAsia="zh-CN"/>
              </w:rPr>
            </w:pPr>
            <w:r>
              <w:rPr>
                <w:rFonts w:hint="eastAsia" w:cs="Times New Roman"/>
                <w:bCs/>
                <w:color w:val="auto"/>
                <w:sz w:val="21"/>
                <w:szCs w:val="21"/>
                <w:lang w:val="en-US" w:eastAsia="zh-CN"/>
              </w:rPr>
              <w:t>+1.095</w:t>
            </w:r>
          </w:p>
        </w:tc>
      </w:tr>
      <w:tr w14:paraId="5205D46E">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6" w:hRule="atLeast"/>
        </w:trPr>
        <w:tc>
          <w:tcPr>
            <w:tcW w:w="1006" w:type="dxa"/>
            <w:vMerge w:val="restart"/>
            <w:tcBorders>
              <w:bottom w:val="nil"/>
            </w:tcBorders>
            <w:vAlign w:val="center"/>
          </w:tcPr>
          <w:p w14:paraId="56CC35A9">
            <w:pPr>
              <w:pStyle w:val="21"/>
              <w:ind w:left="0"/>
              <w:jc w:val="center"/>
              <w:rPr>
                <w:rFonts w:ascii="Times New Roman" w:hAnsi="Times New Roman" w:eastAsia="宋体"/>
                <w:color w:val="auto"/>
              </w:rPr>
            </w:pPr>
            <w:r>
              <w:rPr>
                <w:rFonts w:ascii="Times New Roman" w:hAnsi="Times New Roman" w:eastAsia="宋体"/>
                <w:color w:val="auto"/>
              </w:rPr>
              <w:t>许可排放量</w:t>
            </w:r>
          </w:p>
        </w:tc>
        <w:tc>
          <w:tcPr>
            <w:tcW w:w="903" w:type="dxa"/>
            <w:vAlign w:val="center"/>
          </w:tcPr>
          <w:p w14:paraId="56D1463B">
            <w:pPr>
              <w:pStyle w:val="21"/>
              <w:ind w:left="0"/>
              <w:jc w:val="center"/>
              <w:rPr>
                <w:rFonts w:ascii="Times New Roman" w:hAnsi="Times New Roman" w:eastAsia="宋体"/>
                <w:color w:val="auto"/>
              </w:rPr>
            </w:pPr>
            <w:r>
              <w:rPr>
                <w:rFonts w:ascii="Times New Roman" w:hAnsi="Times New Roman" w:eastAsia="宋体"/>
                <w:color w:val="auto"/>
              </w:rPr>
              <w:t>污染物</w:t>
            </w:r>
          </w:p>
        </w:tc>
        <w:tc>
          <w:tcPr>
            <w:tcW w:w="3128" w:type="dxa"/>
            <w:gridSpan w:val="3"/>
            <w:vAlign w:val="center"/>
          </w:tcPr>
          <w:p w14:paraId="7C0179CE">
            <w:pPr>
              <w:pStyle w:val="21"/>
              <w:ind w:left="0"/>
              <w:jc w:val="center"/>
              <w:rPr>
                <w:rFonts w:ascii="Times New Roman" w:hAnsi="Times New Roman" w:eastAsia="宋体"/>
                <w:color w:val="auto"/>
              </w:rPr>
            </w:pPr>
            <w:r>
              <w:rPr>
                <w:rFonts w:ascii="Times New Roman" w:hAnsi="Times New Roman" w:eastAsia="宋体"/>
                <w:color w:val="auto"/>
              </w:rPr>
              <w:t>现有工程许可排放量</w:t>
            </w:r>
          </w:p>
        </w:tc>
        <w:tc>
          <w:tcPr>
            <w:tcW w:w="4040" w:type="dxa"/>
            <w:gridSpan w:val="4"/>
            <w:vAlign w:val="center"/>
          </w:tcPr>
          <w:p w14:paraId="7D8477A6">
            <w:pPr>
              <w:pStyle w:val="21"/>
              <w:ind w:left="0"/>
              <w:jc w:val="center"/>
              <w:rPr>
                <w:rFonts w:ascii="Times New Roman" w:hAnsi="Times New Roman" w:eastAsia="宋体"/>
                <w:color w:val="auto"/>
              </w:rPr>
            </w:pPr>
            <w:r>
              <w:rPr>
                <w:rFonts w:ascii="Times New Roman" w:hAnsi="Times New Roman" w:eastAsia="宋体"/>
                <w:color w:val="auto"/>
              </w:rPr>
              <w:t>本项目许可排放量</w:t>
            </w:r>
          </w:p>
        </w:tc>
      </w:tr>
      <w:tr w14:paraId="4AE9774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1006" w:type="dxa"/>
            <w:vMerge w:val="continue"/>
            <w:tcBorders>
              <w:top w:val="nil"/>
              <w:bottom w:val="nil"/>
            </w:tcBorders>
            <w:vAlign w:val="center"/>
          </w:tcPr>
          <w:p w14:paraId="19E02B4D">
            <w:pPr>
              <w:pStyle w:val="21"/>
              <w:ind w:left="0"/>
              <w:jc w:val="center"/>
              <w:rPr>
                <w:rFonts w:ascii="Times New Roman" w:hAnsi="Times New Roman" w:eastAsia="宋体"/>
                <w:color w:val="auto"/>
              </w:rPr>
            </w:pPr>
          </w:p>
        </w:tc>
        <w:tc>
          <w:tcPr>
            <w:tcW w:w="903" w:type="dxa"/>
            <w:vAlign w:val="center"/>
          </w:tcPr>
          <w:p w14:paraId="352419AC">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COD</w:t>
            </w:r>
          </w:p>
        </w:tc>
        <w:tc>
          <w:tcPr>
            <w:tcW w:w="3128" w:type="dxa"/>
            <w:gridSpan w:val="3"/>
            <w:vAlign w:val="center"/>
          </w:tcPr>
          <w:p w14:paraId="69B0B895">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900</w:t>
            </w:r>
          </w:p>
        </w:tc>
        <w:tc>
          <w:tcPr>
            <w:tcW w:w="4040" w:type="dxa"/>
            <w:gridSpan w:val="4"/>
            <w:vAlign w:val="center"/>
          </w:tcPr>
          <w:p w14:paraId="77D0A551">
            <w:pPr>
              <w:snapToGrid w:val="0"/>
              <w:spacing w:line="440" w:lineRule="exact"/>
              <w:jc w:val="center"/>
              <w:rPr>
                <w:rFonts w:hint="default" w:ascii="Times New Roman" w:hAnsi="Times New Roman" w:eastAsia="宋体"/>
                <w:color w:val="auto"/>
                <w:lang w:val="en-US" w:eastAsia="zh-CN"/>
              </w:rPr>
            </w:pPr>
            <w:r>
              <w:rPr>
                <w:rFonts w:hint="eastAsia" w:cs="Times New Roman"/>
                <w:bCs/>
                <w:color w:val="auto"/>
                <w:sz w:val="21"/>
                <w:szCs w:val="21"/>
                <w:lang w:val="en-US" w:eastAsia="zh-CN"/>
              </w:rPr>
              <w:t>109.5</w:t>
            </w:r>
          </w:p>
        </w:tc>
      </w:tr>
      <w:tr w14:paraId="2320B52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1006" w:type="dxa"/>
            <w:vMerge w:val="continue"/>
            <w:tcBorders>
              <w:top w:val="nil"/>
              <w:bottom w:val="nil"/>
            </w:tcBorders>
            <w:vAlign w:val="center"/>
          </w:tcPr>
          <w:p w14:paraId="2DEC3337">
            <w:pPr>
              <w:pStyle w:val="21"/>
              <w:ind w:left="0"/>
              <w:jc w:val="center"/>
              <w:rPr>
                <w:rFonts w:ascii="Times New Roman" w:hAnsi="Times New Roman" w:eastAsia="宋体"/>
                <w:color w:val="auto"/>
              </w:rPr>
            </w:pPr>
          </w:p>
        </w:tc>
        <w:tc>
          <w:tcPr>
            <w:tcW w:w="903" w:type="dxa"/>
            <w:vAlign w:val="center"/>
          </w:tcPr>
          <w:p w14:paraId="6696BE4C">
            <w:pPr>
              <w:pStyle w:val="21"/>
              <w:ind w:left="0"/>
              <w:jc w:val="center"/>
              <w:rPr>
                <w:rFonts w:hint="eastAsia" w:ascii="Times New Roman" w:hAnsi="Times New Roman" w:eastAsia="宋体"/>
                <w:color w:val="auto"/>
                <w:lang w:val="en-US" w:eastAsia="zh-CN"/>
              </w:rPr>
            </w:pPr>
            <w:r>
              <w:rPr>
                <w:rFonts w:hint="eastAsia" w:ascii="Times New Roman" w:hAnsi="Times New Roman" w:eastAsia="宋体"/>
                <w:color w:val="auto"/>
                <w:lang w:val="en-US" w:eastAsia="zh-CN"/>
              </w:rPr>
              <w:t>氨氮</w:t>
            </w:r>
          </w:p>
        </w:tc>
        <w:tc>
          <w:tcPr>
            <w:tcW w:w="3128" w:type="dxa"/>
            <w:gridSpan w:val="3"/>
            <w:vAlign w:val="center"/>
          </w:tcPr>
          <w:p w14:paraId="10DF31D5">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144</w:t>
            </w:r>
          </w:p>
        </w:tc>
        <w:tc>
          <w:tcPr>
            <w:tcW w:w="4040" w:type="dxa"/>
            <w:gridSpan w:val="4"/>
            <w:vAlign w:val="center"/>
          </w:tcPr>
          <w:p w14:paraId="195C1296">
            <w:pPr>
              <w:snapToGrid w:val="0"/>
              <w:spacing w:line="440" w:lineRule="exact"/>
              <w:jc w:val="center"/>
              <w:rPr>
                <w:rFonts w:hint="eastAsia" w:ascii="Times New Roman" w:hAnsi="Times New Roman" w:eastAsia="宋体"/>
                <w:color w:val="auto"/>
                <w:lang w:val="en-US" w:eastAsia="zh-CN"/>
              </w:rPr>
            </w:pPr>
            <w:r>
              <w:rPr>
                <w:rFonts w:hint="eastAsia" w:cs="Times New Roman"/>
                <w:bCs/>
                <w:color w:val="auto"/>
                <w:sz w:val="21"/>
                <w:szCs w:val="21"/>
                <w:lang w:val="en-US" w:eastAsia="zh-CN"/>
              </w:rPr>
              <w:t>10.95</w:t>
            </w:r>
          </w:p>
        </w:tc>
      </w:tr>
      <w:tr w14:paraId="1CDC42C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1006" w:type="dxa"/>
            <w:vMerge w:val="continue"/>
            <w:tcBorders>
              <w:top w:val="nil"/>
              <w:bottom w:val="nil"/>
            </w:tcBorders>
            <w:vAlign w:val="center"/>
          </w:tcPr>
          <w:p w14:paraId="3DE2B604">
            <w:pPr>
              <w:pStyle w:val="21"/>
              <w:ind w:left="0"/>
              <w:jc w:val="center"/>
              <w:rPr>
                <w:rFonts w:ascii="Times New Roman" w:hAnsi="Times New Roman" w:eastAsia="宋体"/>
                <w:color w:val="auto"/>
              </w:rPr>
            </w:pPr>
          </w:p>
        </w:tc>
        <w:tc>
          <w:tcPr>
            <w:tcW w:w="903" w:type="dxa"/>
            <w:vAlign w:val="center"/>
          </w:tcPr>
          <w:p w14:paraId="32F7AE24">
            <w:pPr>
              <w:snapToGrid w:val="0"/>
              <w:spacing w:line="440" w:lineRule="exact"/>
              <w:jc w:val="center"/>
              <w:rPr>
                <w:rFonts w:hint="eastAsia" w:ascii="Times New Roman" w:hAnsi="Times New Roman" w:eastAsia="宋体"/>
                <w:color w:val="auto"/>
                <w:lang w:val="en-US" w:eastAsia="zh-CN"/>
              </w:rPr>
            </w:pPr>
            <w:r>
              <w:rPr>
                <w:rFonts w:hint="eastAsia" w:cs="Times New Roman"/>
                <w:bCs/>
                <w:color w:val="auto"/>
                <w:sz w:val="21"/>
                <w:szCs w:val="21"/>
                <w:lang w:val="en-US" w:eastAsia="zh-CN"/>
              </w:rPr>
              <w:t>TN</w:t>
            </w:r>
          </w:p>
        </w:tc>
        <w:tc>
          <w:tcPr>
            <w:tcW w:w="3128" w:type="dxa"/>
            <w:gridSpan w:val="3"/>
            <w:vAlign w:val="center"/>
          </w:tcPr>
          <w:p w14:paraId="3776CB8C">
            <w:pPr>
              <w:pStyle w:val="21"/>
              <w:ind w:left="0"/>
              <w:jc w:val="center"/>
              <w:rPr>
                <w:rFonts w:hint="default" w:ascii="Times New Roman" w:hAnsi="Times New Roman" w:eastAsia="宋体"/>
                <w:color w:val="auto"/>
                <w:lang w:val="en-US" w:eastAsia="zh-CN"/>
              </w:rPr>
            </w:pPr>
            <w:r>
              <w:rPr>
                <w:rFonts w:hint="eastAsia" w:ascii="Times New Roman" w:hAnsi="Times New Roman" w:eastAsia="宋体"/>
                <w:color w:val="auto"/>
                <w:lang w:val="en-US" w:eastAsia="zh-CN"/>
              </w:rPr>
              <w:t>270</w:t>
            </w:r>
          </w:p>
        </w:tc>
        <w:tc>
          <w:tcPr>
            <w:tcW w:w="4040" w:type="dxa"/>
            <w:gridSpan w:val="4"/>
            <w:vAlign w:val="center"/>
          </w:tcPr>
          <w:p w14:paraId="410D50A7">
            <w:pPr>
              <w:snapToGrid w:val="0"/>
              <w:spacing w:line="440" w:lineRule="exact"/>
              <w:jc w:val="center"/>
              <w:rPr>
                <w:rFonts w:hint="eastAsia" w:ascii="Times New Roman" w:hAnsi="Times New Roman" w:eastAsia="宋体"/>
                <w:color w:val="auto"/>
                <w:lang w:val="en-US" w:eastAsia="zh-CN"/>
              </w:rPr>
            </w:pPr>
            <w:r>
              <w:rPr>
                <w:rFonts w:hint="eastAsia" w:cs="Times New Roman"/>
                <w:bCs/>
                <w:color w:val="auto"/>
                <w:sz w:val="21"/>
                <w:szCs w:val="21"/>
                <w:lang w:val="en-US" w:eastAsia="zh-CN"/>
              </w:rPr>
              <w:t>32.85</w:t>
            </w:r>
          </w:p>
        </w:tc>
      </w:tr>
      <w:tr w14:paraId="3B97339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03" w:hRule="atLeast"/>
        </w:trPr>
        <w:tc>
          <w:tcPr>
            <w:tcW w:w="1006" w:type="dxa"/>
            <w:vMerge w:val="continue"/>
            <w:tcBorders>
              <w:top w:val="nil"/>
            </w:tcBorders>
            <w:vAlign w:val="center"/>
          </w:tcPr>
          <w:p w14:paraId="4FB8AC81">
            <w:pPr>
              <w:pStyle w:val="21"/>
              <w:ind w:left="0"/>
              <w:jc w:val="center"/>
              <w:rPr>
                <w:rFonts w:ascii="Times New Roman" w:hAnsi="Times New Roman" w:eastAsia="宋体"/>
                <w:color w:val="auto"/>
              </w:rPr>
            </w:pPr>
          </w:p>
        </w:tc>
        <w:tc>
          <w:tcPr>
            <w:tcW w:w="903" w:type="dxa"/>
            <w:vAlign w:val="center"/>
          </w:tcPr>
          <w:p w14:paraId="769FC376">
            <w:pPr>
              <w:snapToGrid w:val="0"/>
              <w:spacing w:line="440" w:lineRule="exact"/>
              <w:jc w:val="center"/>
              <w:rPr>
                <w:rFonts w:ascii="Times New Roman" w:hAnsi="Times New Roman" w:eastAsia="宋体"/>
                <w:color w:val="auto"/>
              </w:rPr>
            </w:pPr>
            <w:r>
              <w:rPr>
                <w:rFonts w:hint="eastAsia" w:cs="Times New Roman"/>
                <w:bCs/>
                <w:color w:val="auto"/>
                <w:sz w:val="21"/>
                <w:szCs w:val="21"/>
                <w:lang w:val="en-US" w:eastAsia="zh-CN"/>
              </w:rPr>
              <w:t>TP</w:t>
            </w:r>
          </w:p>
        </w:tc>
        <w:tc>
          <w:tcPr>
            <w:tcW w:w="3128" w:type="dxa"/>
            <w:gridSpan w:val="3"/>
            <w:vAlign w:val="center"/>
          </w:tcPr>
          <w:p w14:paraId="6874833A">
            <w:pPr>
              <w:pStyle w:val="21"/>
              <w:ind w:left="0"/>
              <w:jc w:val="center"/>
              <w:rPr>
                <w:rFonts w:hint="eastAsia" w:ascii="Times New Roman" w:hAnsi="Times New Roman" w:eastAsia="宋体"/>
                <w:color w:val="auto"/>
                <w:lang w:eastAsia="zh-CN"/>
              </w:rPr>
            </w:pPr>
            <w:r>
              <w:rPr>
                <w:rFonts w:hint="eastAsia" w:ascii="Times New Roman" w:hAnsi="Times New Roman" w:eastAsia="宋体"/>
                <w:color w:val="auto"/>
                <w:lang w:val="en-US" w:eastAsia="zh-CN"/>
              </w:rPr>
              <w:t>9</w:t>
            </w:r>
          </w:p>
        </w:tc>
        <w:tc>
          <w:tcPr>
            <w:tcW w:w="4040" w:type="dxa"/>
            <w:gridSpan w:val="4"/>
            <w:vAlign w:val="center"/>
          </w:tcPr>
          <w:p w14:paraId="760F03E1">
            <w:pPr>
              <w:snapToGrid w:val="0"/>
              <w:spacing w:line="440" w:lineRule="exact"/>
              <w:jc w:val="center"/>
              <w:rPr>
                <w:rFonts w:hint="default" w:ascii="Times New Roman" w:hAnsi="Times New Roman" w:eastAsia="宋体"/>
                <w:color w:val="auto"/>
                <w:lang w:val="en-US" w:eastAsia="zh-CN"/>
              </w:rPr>
            </w:pPr>
            <w:r>
              <w:rPr>
                <w:rFonts w:hint="eastAsia" w:cs="Times New Roman"/>
                <w:bCs/>
                <w:color w:val="auto"/>
                <w:sz w:val="21"/>
                <w:szCs w:val="21"/>
                <w:lang w:val="en-US" w:eastAsia="zh-CN"/>
              </w:rPr>
              <w:t>1.095</w:t>
            </w:r>
          </w:p>
        </w:tc>
      </w:tr>
    </w:tbl>
    <w:p w14:paraId="28CFA54C">
      <w:pPr>
        <w:pStyle w:val="3"/>
      </w:pPr>
      <w:bookmarkStart w:id="494" w:name="_Toc1987"/>
      <w:r>
        <w:t>8.</w:t>
      </w:r>
      <w:r>
        <w:rPr>
          <w:rFonts w:hint="eastAsia"/>
          <w:lang w:val="en-US" w:eastAsia="zh-CN"/>
        </w:rPr>
        <w:t>7</w:t>
      </w:r>
      <w:r>
        <w:t>排污许可证申请</w:t>
      </w:r>
      <w:bookmarkEnd w:id="494"/>
      <w:r>
        <w:t xml:space="preserve"> </w:t>
      </w:r>
    </w:p>
    <w:p w14:paraId="5FD3B525">
      <w:pPr>
        <w:spacing w:line="360" w:lineRule="auto"/>
        <w:ind w:firstLine="480" w:firstLineChars="200"/>
        <w:jc w:val="left"/>
      </w:pPr>
      <w:r>
        <w:rPr>
          <w:lang w:bidi="ar"/>
        </w:rPr>
        <w:t xml:space="preserve">排污单位在规定的申请时限，登录全国排污许可证管理信息平台进行网上注册，并填写排污许可申请材料。 </w:t>
      </w:r>
    </w:p>
    <w:p w14:paraId="25FA94A5">
      <w:pPr>
        <w:spacing w:line="360" w:lineRule="auto"/>
        <w:ind w:firstLine="480" w:firstLineChars="200"/>
        <w:jc w:val="left"/>
      </w:pPr>
      <w:r>
        <w:rPr>
          <w:lang w:bidi="ar"/>
        </w:rPr>
        <w:t xml:space="preserve">申请前信息公开结束后，排污单位在全国排污许可证管理信息平台上填写《排污许可证申领信息公开情况说明表》，并按照平台“业务办理流程”，将相关申请材料一并提交。同时向核发环保部门提交通过全国排污许可证管理信息平台印制的书面申请材料。 </w:t>
      </w:r>
    </w:p>
    <w:p w14:paraId="3C023C97">
      <w:pPr>
        <w:spacing w:line="360" w:lineRule="auto"/>
        <w:ind w:firstLine="480" w:firstLineChars="200"/>
        <w:jc w:val="left"/>
      </w:pPr>
      <w:r>
        <w:rPr>
          <w:lang w:bidi="ar"/>
        </w:rPr>
        <w:t>核发环保部门收到排污单位提交的申请材料后，对材料的完整性、规范性进行审查，并在全国排污许可证管理信息平台上作出受理或者不予受理排污许可证申请的决定。同意受理的进入审核流程，核发环保部门对排污单位的申请材料进行审核，对满足条件的排污单位核发排污许可证，对不满足条件的排污单位不予核发排污许可证。</w:t>
      </w:r>
    </w:p>
    <w:p w14:paraId="08A48176">
      <w:bookmarkStart w:id="495" w:name="_Toc5947"/>
      <w:r>
        <w:br w:type="page"/>
      </w:r>
    </w:p>
    <w:p w14:paraId="552D988F">
      <w:pPr>
        <w:pStyle w:val="2"/>
        <w:jc w:val="both"/>
      </w:pPr>
      <w:bookmarkStart w:id="496" w:name="_Toc24990"/>
      <w:r>
        <w:t>9.环境影响评价结论</w:t>
      </w:r>
      <w:bookmarkEnd w:id="495"/>
      <w:bookmarkEnd w:id="496"/>
    </w:p>
    <w:p w14:paraId="20E328E7">
      <w:pPr>
        <w:pStyle w:val="3"/>
      </w:pPr>
      <w:bookmarkStart w:id="497" w:name="_Toc94001030"/>
      <w:bookmarkStart w:id="498" w:name="_Toc32702"/>
      <w:bookmarkStart w:id="499" w:name="_Toc93046333"/>
      <w:bookmarkStart w:id="500" w:name="_Toc165287720"/>
      <w:bookmarkStart w:id="501" w:name="_Toc158876001"/>
      <w:bookmarkStart w:id="502" w:name="_Toc158876427"/>
      <w:bookmarkStart w:id="503" w:name="_Toc158874951"/>
      <w:bookmarkStart w:id="504" w:name="_Toc12503"/>
      <w:bookmarkStart w:id="505" w:name="_Toc3744"/>
      <w:bookmarkStart w:id="506" w:name="_Toc4735"/>
      <w:bookmarkStart w:id="507" w:name="_Toc27403"/>
      <w:bookmarkStart w:id="508" w:name="_Toc490466597"/>
      <w:bookmarkStart w:id="509" w:name="_Toc461"/>
      <w:bookmarkStart w:id="510" w:name="_Toc15011"/>
      <w:bookmarkStart w:id="511" w:name="_Toc12175"/>
      <w:r>
        <w:t>9.1</w:t>
      </w:r>
      <w:bookmarkEnd w:id="497"/>
      <w:bookmarkEnd w:id="498"/>
      <w:bookmarkEnd w:id="499"/>
      <w:bookmarkEnd w:id="500"/>
      <w:bookmarkEnd w:id="501"/>
      <w:bookmarkEnd w:id="502"/>
      <w:bookmarkEnd w:id="503"/>
      <w:r>
        <w:t>建设项目的建设概况</w:t>
      </w:r>
      <w:bookmarkEnd w:id="504"/>
      <w:bookmarkEnd w:id="505"/>
      <w:bookmarkEnd w:id="506"/>
      <w:bookmarkEnd w:id="507"/>
      <w:bookmarkEnd w:id="508"/>
      <w:bookmarkEnd w:id="509"/>
      <w:bookmarkEnd w:id="510"/>
      <w:bookmarkEnd w:id="511"/>
    </w:p>
    <w:p w14:paraId="3D0BB030">
      <w:pPr>
        <w:widowControl w:val="0"/>
        <w:autoSpaceDE w:val="0"/>
        <w:autoSpaceDN w:val="0"/>
        <w:spacing w:line="360" w:lineRule="auto"/>
        <w:ind w:firstLine="480" w:firstLineChars="200"/>
        <w:rPr>
          <w:rFonts w:hint="eastAsia" w:ascii="Times New Roman"/>
          <w:szCs w:val="24"/>
        </w:rPr>
      </w:pPr>
      <w:bookmarkStart w:id="512" w:name="_Toc158876431"/>
      <w:bookmarkStart w:id="513" w:name="_Toc158876005"/>
      <w:bookmarkStart w:id="514" w:name="_Toc158874955"/>
      <w:bookmarkStart w:id="515" w:name="_Toc165287724"/>
      <w:r>
        <w:rPr>
          <w:rFonts w:hint="eastAsia" w:ascii="Times New Roman" w:hAnsi="Times New Roman" w:cs="Times New Roman"/>
          <w:lang w:eastAsia="zh-CN"/>
        </w:rPr>
        <w:t>黑龙江鸿展生物科技为了保持70万吨/年医用酒精生产能力，保证乙醇消毒剂原料供给，提出了本次技改项目，对原有的年产30万吨酒精（</w:t>
      </w:r>
      <w:r>
        <w:rPr>
          <w:rFonts w:hint="eastAsia" w:ascii="Times New Roman" w:hAnsi="Times New Roman" w:cs="Times New Roman"/>
        </w:rPr>
        <w:t>食用酒精3万吨</w:t>
      </w:r>
      <w:r>
        <w:rPr>
          <w:rFonts w:hint="eastAsia" w:ascii="Times New Roman" w:hAnsi="Times New Roman" w:cs="Times New Roman"/>
          <w:lang w:eastAsia="zh-CN"/>
        </w:rPr>
        <w:t>，</w:t>
      </w:r>
      <w:r>
        <w:rPr>
          <w:rFonts w:hint="eastAsia" w:ascii="Times New Roman" w:hAnsi="Times New Roman" w:cs="Times New Roman"/>
        </w:rPr>
        <w:t>化妆品用酒精10万吨</w:t>
      </w:r>
      <w:r>
        <w:rPr>
          <w:rFonts w:hint="eastAsia" w:ascii="Times New Roman" w:hAnsi="Times New Roman" w:cs="Times New Roman"/>
          <w:lang w:eastAsia="zh-CN"/>
        </w:rPr>
        <w:t>，</w:t>
      </w:r>
      <w:r>
        <w:rPr>
          <w:rFonts w:hint="eastAsia" w:ascii="Times New Roman" w:hAnsi="Times New Roman" w:cs="Times New Roman"/>
        </w:rPr>
        <w:t>电子级无水酒精17万吨</w:t>
      </w:r>
      <w:r>
        <w:rPr>
          <w:rFonts w:hint="eastAsia" w:ascii="Times New Roman" w:hAnsi="Times New Roman" w:cs="Times New Roman"/>
          <w:lang w:eastAsia="zh-CN"/>
        </w:rPr>
        <w:t>）生产线进行技术改造，</w:t>
      </w:r>
      <w:r>
        <w:rPr>
          <w:rFonts w:hint="eastAsia" w:ascii="Times New Roman" w:hAnsi="Times New Roman" w:cs="Times New Roman"/>
        </w:rPr>
        <w:t>电子级无水酒精17万吨</w:t>
      </w:r>
      <w:r>
        <w:rPr>
          <w:rFonts w:hint="eastAsia" w:ascii="Times New Roman" w:hAnsi="Times New Roman" w:cs="Times New Roman"/>
          <w:lang w:eastAsia="zh-CN"/>
        </w:rPr>
        <w:t>）生产线进行技术改造，新增</w:t>
      </w:r>
      <w:r>
        <w:rPr>
          <w:rFonts w:hint="eastAsia" w:cs="Times New Roman"/>
          <w:lang w:val="en-US" w:eastAsia="zh-CN"/>
        </w:rPr>
        <w:t>玉米原材料30万吨，</w:t>
      </w:r>
      <w:r>
        <w:t>蒸馏工艺技</w:t>
      </w:r>
      <w:r>
        <w:rPr>
          <w:spacing w:val="-1"/>
        </w:rPr>
        <w:t>改</w:t>
      </w:r>
      <w:r>
        <w:rPr>
          <w:rFonts w:hint="eastAsia" w:ascii="Times New Roman" w:hAnsi="Times New Roman" w:cs="Times New Roman"/>
          <w:lang w:eastAsia="zh-CN"/>
        </w:rPr>
        <w:t>，并配套扩建处理能力为6000m³/d污水处理站一座，其他生产、辅助</w:t>
      </w:r>
      <w:r>
        <w:rPr>
          <w:rFonts w:hint="eastAsia" w:cs="Times New Roman"/>
          <w:lang w:val="en-US" w:eastAsia="zh-CN"/>
        </w:rPr>
        <w:t>工程</w:t>
      </w:r>
      <w:r>
        <w:rPr>
          <w:rFonts w:hint="eastAsia" w:ascii="Times New Roman" w:hAnsi="Times New Roman" w:cs="Times New Roman"/>
          <w:lang w:eastAsia="zh-CN"/>
        </w:rPr>
        <w:t>维持不变</w:t>
      </w:r>
      <w:r>
        <w:rPr>
          <w:rFonts w:hint="eastAsia" w:ascii="Times New Roman"/>
          <w:szCs w:val="24"/>
          <w:lang w:eastAsia="zh-CN"/>
        </w:rPr>
        <w:t>，</w:t>
      </w:r>
      <w:r>
        <w:rPr>
          <w:rFonts w:hint="eastAsia" w:cs="Times New Roman"/>
          <w:lang w:val="en-US" w:eastAsia="zh-CN"/>
        </w:rPr>
        <w:t>最终实现</w:t>
      </w:r>
      <w:r>
        <w:rPr>
          <w:rFonts w:hint="eastAsia" w:ascii="Times New Roman"/>
          <w:szCs w:val="24"/>
        </w:rPr>
        <w:t>“</w:t>
      </w:r>
      <w:r>
        <w:rPr>
          <w:rFonts w:hint="eastAsia" w:ascii="Times New Roman"/>
          <w:szCs w:val="24"/>
          <w:lang w:val="en-US" w:eastAsia="zh-CN"/>
        </w:rPr>
        <w:t>其他酒精60万吨或医用酒精70万吨</w:t>
      </w:r>
      <w:r>
        <w:rPr>
          <w:rFonts w:hint="eastAsia" w:ascii="Times New Roman"/>
          <w:szCs w:val="24"/>
        </w:rPr>
        <w:t>”两条腿走路的生产计划。</w:t>
      </w:r>
    </w:p>
    <w:bookmarkEnd w:id="512"/>
    <w:bookmarkEnd w:id="513"/>
    <w:bookmarkEnd w:id="514"/>
    <w:bookmarkEnd w:id="515"/>
    <w:p w14:paraId="1151B031">
      <w:pPr>
        <w:pStyle w:val="3"/>
      </w:pPr>
      <w:bookmarkStart w:id="516" w:name="_Toc17847"/>
      <w:bookmarkStart w:id="517" w:name="_Toc158876006"/>
      <w:bookmarkStart w:id="518" w:name="_Toc158876432"/>
      <w:bookmarkStart w:id="519" w:name="_Toc158874956"/>
      <w:bookmarkStart w:id="520" w:name="_Toc165287725"/>
      <w:bookmarkStart w:id="521" w:name="_Toc22992"/>
      <w:bookmarkStart w:id="522" w:name="_Toc9161"/>
      <w:bookmarkStart w:id="523" w:name="_Toc26042"/>
      <w:bookmarkStart w:id="524" w:name="_Toc30976"/>
      <w:bookmarkStart w:id="525" w:name="_Toc25168"/>
      <w:bookmarkStart w:id="526" w:name="_Toc16439"/>
      <w:bookmarkStart w:id="527" w:name="_Toc490466598"/>
      <w:bookmarkStart w:id="528" w:name="_Toc3129"/>
      <w:r>
        <w:t>9.2产业政策符合性分析结论</w:t>
      </w:r>
      <w:bookmarkEnd w:id="516"/>
    </w:p>
    <w:p w14:paraId="3533A94C">
      <w:pPr>
        <w:spacing w:line="360" w:lineRule="auto"/>
        <w:ind w:firstLine="480" w:firstLineChars="200"/>
        <w:rPr>
          <w:color w:val="auto"/>
        </w:rPr>
      </w:pPr>
      <w:r>
        <w:rPr>
          <w:color w:val="auto"/>
        </w:rPr>
        <w:t>本项目</w:t>
      </w:r>
      <w:r>
        <w:rPr>
          <w:rFonts w:hint="eastAsia"/>
          <w:color w:val="auto"/>
          <w:lang w:val="en-US" w:eastAsia="zh-CN"/>
        </w:rPr>
        <w:t>不</w:t>
      </w:r>
      <w:r>
        <w:rPr>
          <w:color w:val="auto"/>
        </w:rPr>
        <w:t>属于《产业结构和调整指导目录（202</w:t>
      </w:r>
      <w:r>
        <w:rPr>
          <w:rFonts w:hint="eastAsia"/>
          <w:color w:val="auto"/>
          <w:lang w:val="en-US" w:eastAsia="zh-CN"/>
        </w:rPr>
        <w:t>4</w:t>
      </w:r>
      <w:r>
        <w:rPr>
          <w:color w:val="auto"/>
        </w:rPr>
        <w:t>年本）》中</w:t>
      </w:r>
      <w:r>
        <w:rPr>
          <w:rFonts w:hint="eastAsia"/>
          <w:color w:val="auto"/>
          <w:lang w:val="en-US" w:eastAsia="zh-CN"/>
        </w:rPr>
        <w:t>限制类和淘汰类项目</w:t>
      </w:r>
      <w:r>
        <w:rPr>
          <w:color w:val="auto"/>
        </w:rPr>
        <w:t>。因此，本项目属于</w:t>
      </w:r>
      <w:r>
        <w:rPr>
          <w:rFonts w:hint="eastAsia"/>
          <w:color w:val="auto"/>
          <w:lang w:val="en-US" w:eastAsia="zh-CN"/>
        </w:rPr>
        <w:t>允许</w:t>
      </w:r>
      <w:r>
        <w:rPr>
          <w:color w:val="auto"/>
        </w:rPr>
        <w:t>类建设项目。</w:t>
      </w:r>
    </w:p>
    <w:p w14:paraId="0873E85F">
      <w:pPr>
        <w:pStyle w:val="3"/>
      </w:pPr>
      <w:bookmarkStart w:id="529" w:name="_Toc23812"/>
      <w:r>
        <w:t>9.3选址合理性分析结论</w:t>
      </w:r>
      <w:bookmarkEnd w:id="529"/>
    </w:p>
    <w:p w14:paraId="36491DE8">
      <w:pPr>
        <w:spacing w:line="360" w:lineRule="auto"/>
        <w:ind w:firstLine="480" w:firstLineChars="200"/>
      </w:pPr>
      <w:r>
        <w:t>本项目位于</w:t>
      </w:r>
      <w:r>
        <w:rPr>
          <w:rFonts w:hint="eastAsia"/>
          <w:lang w:eastAsia="zh-CN"/>
        </w:rPr>
        <w:t>拉哈生物技术与化学制药产业园黑龙江鸿展生物科技股份有限公司院内</w:t>
      </w:r>
      <w:r>
        <w:t>。厂址交通便利，运输方便，给排水、供电等配套设施齐全。项目建设通过采取严格的环境保护措施后，所排放的污染物对评价区周围环境影响较小，并对环境敏感点影响较小，其影响能够被周围环境所接受。</w:t>
      </w:r>
    </w:p>
    <w:p w14:paraId="5BD12986">
      <w:pPr>
        <w:pStyle w:val="3"/>
      </w:pPr>
      <w:bookmarkStart w:id="530" w:name="_Toc15519"/>
      <w:r>
        <w:t>9.4工程污染分析结论</w:t>
      </w:r>
      <w:bookmarkEnd w:id="530"/>
    </w:p>
    <w:p w14:paraId="5B6E6853">
      <w:pPr>
        <w:pStyle w:val="4"/>
      </w:pPr>
      <w:r>
        <w:t>9.4.1 废气污染物分析</w:t>
      </w:r>
    </w:p>
    <w:p w14:paraId="489A6434">
      <w:pPr>
        <w:numPr>
          <w:ilvl w:val="0"/>
          <w:numId w:val="0"/>
        </w:numPr>
        <w:spacing w:line="360" w:lineRule="auto"/>
        <w:ind w:leftChars="200"/>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（1）玉米粉碎废气</w:t>
      </w:r>
    </w:p>
    <w:p w14:paraId="041B105B">
      <w:pPr>
        <w:numPr>
          <w:ilvl w:val="0"/>
          <w:numId w:val="0"/>
        </w:numPr>
        <w:spacing w:line="360" w:lineRule="auto"/>
        <w:ind w:firstLine="476" w:firstLineChars="200"/>
        <w:jc w:val="left"/>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s="Times New Roman"/>
          <w:color w:val="000000" w:themeColor="text1"/>
          <w:spacing w:val="-1"/>
          <w:sz w:val="24"/>
          <w:szCs w:val="24"/>
          <w:lang w:val="en-US" w:eastAsia="zh-CN"/>
          <w14:textFill>
            <w14:solidFill>
              <w14:schemeClr w14:val="tx1"/>
            </w14:solidFill>
          </w14:textFill>
        </w:rPr>
        <w:t>本项目新增30万吨玉米原材料，玉米粉碎过程产生的颗粒物经过布袋除尘器除尘后经过9个22.5m高排气筒</w:t>
      </w:r>
      <w:r>
        <w:rPr>
          <w:rFonts w:hint="eastAsia" w:ascii="Times New Roman" w:hAnsi="Times New Roman" w:cs="Times New Roman"/>
          <w:color w:val="000000" w:themeColor="text1"/>
          <w:lang w:val="en-US" w:eastAsia="zh-CN"/>
          <w14:textFill>
            <w14:solidFill>
              <w14:schemeClr w14:val="tx1"/>
            </w14:solidFill>
          </w14:textFill>
        </w:rPr>
        <w:t>（DA005-DA010、DA014、DA015、DA040）排放和13</w:t>
      </w:r>
      <w:r>
        <w:rPr>
          <w:rFonts w:hint="eastAsia" w:cs="Times New Roman"/>
          <w:color w:val="000000" w:themeColor="text1"/>
          <w:spacing w:val="-1"/>
          <w:sz w:val="24"/>
          <w:szCs w:val="24"/>
          <w:lang w:val="en-US" w:eastAsia="zh-CN"/>
          <w14:textFill>
            <w14:solidFill>
              <w14:schemeClr w14:val="tx1"/>
            </w14:solidFill>
          </w14:textFill>
        </w:rPr>
        <w:t>个25m高排气筒</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DA018-DA029</w:t>
      </w:r>
      <w:r>
        <w:rPr>
          <w:rFonts w:hint="eastAsia" w:ascii="Times New Roman" w:hAnsi="Times New Roman" w:cs="Times New Roman"/>
          <w:color w:val="000000" w:themeColor="text1"/>
          <w:lang w:val="en-US" w:eastAsia="zh-CN"/>
          <w14:textFill>
            <w14:solidFill>
              <w14:schemeClr w14:val="tx1"/>
            </w14:solidFill>
          </w14:textFill>
        </w:rPr>
        <w:t>、DA035）排放。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cs="Times New Roman"/>
          <w:color w:val="000000" w:themeColor="text1"/>
          <w:lang w:val="en-US" w:eastAsia="zh-CN"/>
          <w14:textFill>
            <w14:solidFill>
              <w14:schemeClr w14:val="tx1"/>
            </w14:solidFill>
          </w14:textFill>
        </w:rPr>
        <w:t>现有工程类比数据，颗粒物排放浓度在12.2-21.1mg/m</w:t>
      </w:r>
      <w:r>
        <w:rPr>
          <w:rFonts w:hint="eastAsia" w:cs="Times New Roman"/>
          <w:color w:val="000000" w:themeColor="text1"/>
          <w:vertAlign w:val="superscript"/>
          <w:lang w:val="en-US" w:eastAsia="zh-CN"/>
          <w14:textFill>
            <w14:solidFill>
              <w14:schemeClr w14:val="tx1"/>
            </w14:solidFill>
          </w14:textFill>
        </w:rPr>
        <w:t>3</w:t>
      </w:r>
      <w:r>
        <w:rPr>
          <w:rFonts w:hint="eastAsia" w:cs="Times New Roman"/>
          <w:color w:val="000000" w:themeColor="text1"/>
          <w:vertAlign w:val="baseline"/>
          <w:lang w:val="en-US" w:eastAsia="zh-CN"/>
          <w14:textFill>
            <w14:solidFill>
              <w14:schemeClr w14:val="tx1"/>
            </w14:solidFill>
          </w14:textFill>
        </w:rPr>
        <w:t>之间，排放速率在0.0545-0.238kg/h之间。</w:t>
      </w:r>
      <w:r>
        <w:rPr>
          <w:rFonts w:hint="eastAsia" w:cs="Times New Roman"/>
          <w:b w:val="0"/>
          <w:bCs w:val="0"/>
          <w:snapToGrid w:val="0"/>
          <w:kern w:val="0"/>
          <w:sz w:val="24"/>
          <w:szCs w:val="24"/>
          <w:lang w:val="en-US" w:eastAsia="zh-CN"/>
        </w:rPr>
        <w:t>因此本项目的</w:t>
      </w:r>
      <w:r>
        <w:rPr>
          <w:rFonts w:hint="eastAsia"/>
          <w:color w:val="000000" w:themeColor="text1"/>
          <w:lang w:val="en-US" w:eastAsia="zh-CN"/>
          <w14:textFill>
            <w14:solidFill>
              <w14:schemeClr w14:val="tx1"/>
            </w14:solidFill>
          </w14:textFill>
        </w:rPr>
        <w:t>玉米粉碎废气</w:t>
      </w:r>
      <w:r>
        <w:rPr>
          <w:rFonts w:hint="eastAsia" w:cs="Times New Roman"/>
          <w:b w:val="0"/>
          <w:bCs w:val="0"/>
          <w:snapToGrid w:val="0"/>
          <w:kern w:val="0"/>
          <w:sz w:val="24"/>
          <w:szCs w:val="24"/>
          <w:lang w:val="en-US" w:eastAsia="zh-CN"/>
        </w:rPr>
        <w:t>的颗粒物排放浓度以21.1mg/m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计，排放速率为0.273</w:t>
      </w:r>
      <w:r>
        <w:rPr>
          <w:rFonts w:hint="eastAsia" w:cs="Times New Roman"/>
          <w:b w:val="0"/>
          <w:bCs w:val="0"/>
          <w:snapToGrid w:val="0"/>
          <w:kern w:val="0"/>
          <w:sz w:val="24"/>
          <w:szCs w:val="24"/>
          <w:vertAlign w:val="baseline"/>
          <w:lang w:val="en-US" w:eastAsia="zh-CN"/>
        </w:rPr>
        <w:t>kg/h。22.5m高排气筒</w:t>
      </w:r>
      <w:r>
        <w:rPr>
          <w:rFonts w:hint="eastAsia" w:cs="Times New Roman"/>
          <w:b w:val="0"/>
          <w:bCs w:val="0"/>
          <w:snapToGrid w:val="0"/>
          <w:kern w:val="0"/>
          <w:sz w:val="24"/>
          <w:szCs w:val="24"/>
          <w:lang w:val="en-US" w:eastAsia="zh-CN"/>
        </w:rPr>
        <w:t>颗粒物能够满足</w:t>
      </w:r>
      <w:r>
        <w:rPr>
          <w:rFonts w:hint="default" w:cs="Times New Roman"/>
          <w:b w:val="0"/>
          <w:bCs w:val="0"/>
          <w:snapToGrid w:val="0"/>
          <w:kern w:val="0"/>
          <w:sz w:val="24"/>
          <w:szCs w:val="24"/>
          <w:lang w:val="en-US" w:eastAsia="zh-CN"/>
        </w:rPr>
        <w:t>《大气污染物综合排放标准》（GB16297-1996）二级标准要求</w:t>
      </w:r>
      <w:r>
        <w:rPr>
          <w:rFonts w:hint="eastAsia" w:cs="Times New Roman"/>
          <w:b w:val="0"/>
          <w:bCs w:val="0"/>
          <w:snapToGrid w:val="0"/>
          <w:kern w:val="0"/>
          <w:sz w:val="24"/>
          <w:szCs w:val="24"/>
          <w:lang w:val="en-US" w:eastAsia="zh-CN"/>
        </w:rPr>
        <w:t>，最高允许排放浓度120mg/m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，最高允许排放速率5.09kg/h；</w:t>
      </w:r>
      <w:r>
        <w:rPr>
          <w:rFonts w:hint="eastAsia" w:cs="Times New Roman"/>
          <w:b w:val="0"/>
          <w:bCs w:val="0"/>
          <w:snapToGrid w:val="0"/>
          <w:kern w:val="0"/>
          <w:sz w:val="24"/>
          <w:szCs w:val="24"/>
          <w:vertAlign w:val="baseline"/>
          <w:lang w:val="en-US" w:eastAsia="zh-CN"/>
        </w:rPr>
        <w:t>25m高排气筒</w:t>
      </w:r>
      <w:r>
        <w:rPr>
          <w:rFonts w:hint="eastAsia" w:cs="Times New Roman"/>
          <w:b w:val="0"/>
          <w:bCs w:val="0"/>
          <w:snapToGrid w:val="0"/>
          <w:kern w:val="0"/>
          <w:sz w:val="24"/>
          <w:szCs w:val="24"/>
          <w:lang w:val="en-US" w:eastAsia="zh-CN"/>
        </w:rPr>
        <w:t>颗粒物能够满足</w:t>
      </w:r>
      <w:r>
        <w:rPr>
          <w:rFonts w:hint="default" w:cs="Times New Roman"/>
          <w:b w:val="0"/>
          <w:bCs w:val="0"/>
          <w:snapToGrid w:val="0"/>
          <w:kern w:val="0"/>
          <w:sz w:val="24"/>
          <w:szCs w:val="24"/>
          <w:lang w:val="en-US" w:eastAsia="zh-CN"/>
        </w:rPr>
        <w:t>《大气污染物综合排放标准》（GB16297-1996）二级标准要求</w:t>
      </w:r>
      <w:r>
        <w:rPr>
          <w:rFonts w:hint="eastAsia" w:cs="Times New Roman"/>
          <w:b w:val="0"/>
          <w:bCs w:val="0"/>
          <w:snapToGrid w:val="0"/>
          <w:kern w:val="0"/>
          <w:sz w:val="24"/>
          <w:szCs w:val="24"/>
          <w:lang w:val="en-US" w:eastAsia="zh-CN"/>
        </w:rPr>
        <w:t>，最高允许排放浓度120mg/m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，最高允许排放速率7.23kg/h。</w:t>
      </w:r>
    </w:p>
    <w:p w14:paraId="266CEB61">
      <w:pPr>
        <w:numPr>
          <w:ilvl w:val="0"/>
          <w:numId w:val="0"/>
        </w:numPr>
        <w:spacing w:line="360" w:lineRule="auto"/>
        <w:ind w:leftChars="200"/>
        <w:jc w:val="left"/>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（2）发酵车间CO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洗涤塔废气</w:t>
      </w:r>
    </w:p>
    <w:p w14:paraId="6B185D11">
      <w:pPr>
        <w:tabs>
          <w:tab w:val="left" w:pos="525"/>
        </w:tabs>
        <w:adjustRightInd w:val="0"/>
        <w:snapToGrid w:val="0"/>
        <w:spacing w:line="360" w:lineRule="auto"/>
        <w:ind w:firstLine="480" w:firstLineChars="200"/>
        <w:rPr>
          <w:rFonts w:hint="default" w:cs="Times New Roman"/>
          <w:b w:val="0"/>
          <w:bCs w:val="0"/>
          <w:snapToGrid w:val="0"/>
          <w:kern w:val="0"/>
          <w:sz w:val="24"/>
          <w:szCs w:val="24"/>
          <w:lang w:val="en-US" w:eastAsia="zh-CN"/>
        </w:rPr>
      </w:pPr>
      <w:r>
        <w:rPr>
          <w:rFonts w:hint="eastAsia"/>
          <w:color w:val="000000" w:themeColor="text1"/>
          <w:lang w:val="en-US" w:eastAsia="zh-CN"/>
          <w14:textFill>
            <w14:solidFill>
              <w14:schemeClr w14:val="tx1"/>
            </w14:solidFill>
          </w14:textFill>
        </w:rPr>
        <w:t>发酵车间CO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工艺</w:t>
      </w:r>
      <w:r>
        <w:rPr>
          <w:rFonts w:hint="default" w:ascii="Times New Roman" w:hAnsi="Times New Roman" w:cs="Times New Roman"/>
          <w:color w:val="000000" w:themeColor="text1"/>
          <w:lang w:val="en-US" w:eastAsia="zh-CN"/>
          <w14:textFill>
            <w14:solidFill>
              <w14:schemeClr w14:val="tx1"/>
            </w14:solidFill>
          </w14:textFill>
        </w:rPr>
        <w:t>产生的</w:t>
      </w:r>
      <w:r>
        <w:rPr>
          <w:rFonts w:hint="eastAsia" w:cs="Times New Roman"/>
          <w:color w:val="000000" w:themeColor="text1"/>
          <w:lang w:val="en-US" w:eastAsia="zh-CN"/>
          <w14:textFill>
            <w14:solidFill>
              <w14:schemeClr w14:val="tx1"/>
            </w14:solidFill>
          </w14:textFill>
        </w:rPr>
        <w:t>非甲烷总烃及臭气浓度</w:t>
      </w:r>
      <w:r>
        <w:rPr>
          <w:rFonts w:hint="eastAsia" w:cs="Times New Roman"/>
          <w:color w:val="000000" w:themeColor="text1"/>
          <w:spacing w:val="-1"/>
          <w:sz w:val="24"/>
          <w:szCs w:val="24"/>
          <w:lang w:val="en-US" w:eastAsia="zh-CN"/>
          <w14:textFill>
            <w14:solidFill>
              <w14:schemeClr w14:val="tx1"/>
            </w14:solidFill>
          </w14:textFill>
        </w:rPr>
        <w:t>由</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处理后经</w:t>
      </w:r>
      <w:r>
        <w:rPr>
          <w:rFonts w:hint="eastAsia" w:cs="Times New Roman"/>
          <w:color w:val="000000" w:themeColor="text1"/>
          <w:spacing w:val="-1"/>
          <w:sz w:val="24"/>
          <w:szCs w:val="24"/>
          <w:lang w:val="en-US" w:eastAsia="zh-CN"/>
          <w14:textFill>
            <w14:solidFill>
              <w14:schemeClr w14:val="tx1"/>
            </w14:solidFill>
          </w14:textFill>
        </w:rPr>
        <w:t>4个15</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m高排气筒</w:t>
      </w:r>
      <w:r>
        <w:rPr>
          <w:rFonts w:hint="eastAsia"/>
          <w:color w:val="000000" w:themeColor="text1"/>
          <w:lang w:val="en-US" w:eastAsia="zh-CN"/>
          <w14:textFill>
            <w14:solidFill>
              <w14:schemeClr w14:val="tx1"/>
            </w14:solidFill>
          </w14:textFill>
        </w:rPr>
        <w:t>（DA002、DA032、DA041、DA042）</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排放。</w:t>
      </w:r>
      <w:r>
        <w:rPr>
          <w:rFonts w:hint="default" w:ascii="Times New Roman" w:hAnsi="Times New Roman" w:cs="Times New Roman"/>
          <w:color w:val="000000" w:themeColor="text1"/>
          <w:lang w:val="en-US" w:eastAsia="zh-CN"/>
          <w14:textFill>
            <w14:solidFill>
              <w14:schemeClr w14:val="tx1"/>
            </w14:solidFill>
          </w14:textFill>
        </w:rPr>
        <w:t>根据</w:t>
      </w:r>
      <w:r>
        <w:rPr>
          <w:rFonts w:hint="eastAsia" w:cs="Times New Roman"/>
          <w:color w:val="000000" w:themeColor="text1"/>
          <w:lang w:val="en-US" w:eastAsia="zh-CN"/>
          <w14:textFill>
            <w14:solidFill>
              <w14:schemeClr w14:val="tx1"/>
            </w14:solidFill>
          </w14:textFill>
        </w:rPr>
        <w:t>现有工程类比数据</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洗涤塔废气中</w:t>
      </w:r>
      <w:r>
        <w:rPr>
          <w:rFonts w:hint="eastAsia" w:ascii="Times New Roman" w:hAnsi="Times New Roman" w:cs="Times New Roman"/>
          <w:color w:val="000000" w:themeColor="text1"/>
          <w:lang w:val="en-US" w:eastAsia="zh-CN"/>
          <w14:textFill>
            <w14:solidFill>
              <w14:schemeClr w14:val="tx1"/>
            </w14:solidFill>
          </w14:textFill>
        </w:rPr>
        <w:t>非甲烷总烃</w:t>
      </w:r>
      <w:r>
        <w:rPr>
          <w:rFonts w:hint="eastAsia" w:cs="Times New Roman"/>
          <w:color w:val="000000" w:themeColor="text1"/>
          <w:lang w:val="en-US" w:eastAsia="zh-CN"/>
          <w14:textFill>
            <w14:solidFill>
              <w14:schemeClr w14:val="tx1"/>
            </w14:solidFill>
          </w14:textFill>
        </w:rPr>
        <w:t>排放浓度在5.95-6.38mg/m</w:t>
      </w:r>
      <w:r>
        <w:rPr>
          <w:rFonts w:hint="eastAsia" w:cs="Times New Roman"/>
          <w:color w:val="000000" w:themeColor="text1"/>
          <w:vertAlign w:val="superscript"/>
          <w:lang w:val="en-US" w:eastAsia="zh-CN"/>
          <w14:textFill>
            <w14:solidFill>
              <w14:schemeClr w14:val="tx1"/>
            </w14:solidFill>
          </w14:textFill>
        </w:rPr>
        <w:t>3</w:t>
      </w:r>
      <w:r>
        <w:rPr>
          <w:rFonts w:hint="eastAsia" w:cs="Times New Roman"/>
          <w:color w:val="000000" w:themeColor="text1"/>
          <w:vertAlign w:val="baseline"/>
          <w:lang w:val="en-US" w:eastAsia="zh-CN"/>
          <w14:textFill>
            <w14:solidFill>
              <w14:schemeClr w14:val="tx1"/>
            </w14:solidFill>
          </w14:textFill>
        </w:rPr>
        <w:t>之间，排放速率在0.35-0.645kg/h之间</w:t>
      </w:r>
      <w:r>
        <w:rPr>
          <w:rFonts w:hint="eastAsia" w:ascii="Times New Roman" w:hAnsi="Times New Roman" w:cs="Times New Roman"/>
          <w:color w:val="000000" w:themeColor="text1"/>
          <w:lang w:val="en-US" w:eastAsia="zh-CN"/>
          <w14:textFill>
            <w14:solidFill>
              <w14:schemeClr w14:val="tx1"/>
            </w14:solidFill>
          </w14:textFill>
        </w:rPr>
        <w:t>，臭气浓度</w:t>
      </w:r>
      <w:r>
        <w:rPr>
          <w:rFonts w:hint="eastAsia" w:cs="Times New Roman"/>
          <w:color w:val="000000" w:themeColor="text1"/>
          <w:lang w:val="en-US" w:eastAsia="zh-CN"/>
          <w14:textFill>
            <w14:solidFill>
              <w14:schemeClr w14:val="tx1"/>
            </w14:solidFill>
          </w14:textFill>
        </w:rPr>
        <w:t>在151-549</w:t>
      </w:r>
      <w:r>
        <w:rPr>
          <w:rFonts w:hint="eastAsia" w:cs="Times New Roman"/>
          <w:color w:val="000000" w:themeColor="text1"/>
          <w:vertAlign w:val="baseline"/>
          <w:lang w:val="en-US" w:eastAsia="zh-CN"/>
          <w14:textFill>
            <w14:solidFill>
              <w14:schemeClr w14:val="tx1"/>
            </w14:solidFill>
          </w14:textFill>
        </w:rPr>
        <w:t>之间</w:t>
      </w:r>
      <w:r>
        <w:rPr>
          <w:rFonts w:hint="default" w:ascii="Times New Roman" w:hAnsi="Times New Roman" w:cs="Times New Roman"/>
          <w:color w:val="000000" w:themeColor="text1"/>
          <w:lang w:val="en-US" w:eastAsia="zh-CN"/>
          <w14:textFill>
            <w14:solidFill>
              <w14:schemeClr w14:val="tx1"/>
            </w14:solidFill>
          </w14:textFill>
        </w:rPr>
        <w:t>。</w:t>
      </w:r>
      <w:r>
        <w:rPr>
          <w:rFonts w:hint="eastAsia" w:cs="Times New Roman"/>
          <w:b w:val="0"/>
          <w:bCs w:val="0"/>
          <w:snapToGrid w:val="0"/>
          <w:kern w:val="0"/>
          <w:sz w:val="24"/>
          <w:szCs w:val="24"/>
          <w:lang w:val="en-US" w:eastAsia="zh-CN"/>
        </w:rPr>
        <w:t>因此本项目的</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洗涤塔废气中</w:t>
      </w:r>
      <w:r>
        <w:rPr>
          <w:rFonts w:hint="eastAsia" w:ascii="Times New Roman" w:hAnsi="Times New Roman" w:cs="Times New Roman"/>
          <w:color w:val="000000" w:themeColor="text1"/>
          <w:lang w:val="en-US" w:eastAsia="zh-CN"/>
          <w14:textFill>
            <w14:solidFill>
              <w14:schemeClr w14:val="tx1"/>
            </w14:solidFill>
          </w14:textFill>
        </w:rPr>
        <w:t>非甲烷总烃</w:t>
      </w:r>
      <w:r>
        <w:rPr>
          <w:rFonts w:hint="eastAsia" w:cs="Times New Roman"/>
          <w:color w:val="000000" w:themeColor="text1"/>
          <w:lang w:val="en-US" w:eastAsia="zh-CN"/>
          <w14:textFill>
            <w14:solidFill>
              <w14:schemeClr w14:val="tx1"/>
            </w14:solidFill>
          </w14:textFill>
        </w:rPr>
        <w:t>排放浓度</w:t>
      </w:r>
      <w:r>
        <w:rPr>
          <w:rFonts w:hint="eastAsia" w:cs="Times New Roman"/>
          <w:b w:val="0"/>
          <w:bCs w:val="0"/>
          <w:snapToGrid w:val="0"/>
          <w:kern w:val="0"/>
          <w:sz w:val="24"/>
          <w:szCs w:val="24"/>
          <w:lang w:val="en-US" w:eastAsia="zh-CN"/>
        </w:rPr>
        <w:t>以6.38mg/m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计，排放速率为0.741</w:t>
      </w:r>
      <w:r>
        <w:rPr>
          <w:rFonts w:hint="eastAsia" w:cs="Times New Roman"/>
          <w:b w:val="0"/>
          <w:bCs w:val="0"/>
          <w:snapToGrid w:val="0"/>
          <w:kern w:val="0"/>
          <w:sz w:val="24"/>
          <w:szCs w:val="24"/>
          <w:vertAlign w:val="baseline"/>
          <w:lang w:val="en-US" w:eastAsia="zh-CN"/>
        </w:rPr>
        <w:t>kg/h。臭气浓度为549。</w:t>
      </w:r>
      <w:r>
        <w:rPr>
          <w:rFonts w:hint="eastAsia" w:cs="Times New Roman"/>
          <w:b w:val="0"/>
          <w:bCs w:val="0"/>
          <w:snapToGrid w:val="0"/>
          <w:kern w:val="0"/>
          <w:sz w:val="24"/>
          <w:szCs w:val="24"/>
          <w:lang w:val="en-US" w:eastAsia="zh-CN"/>
        </w:rPr>
        <w:t>非甲烷总烃能够满足</w:t>
      </w:r>
      <w:r>
        <w:rPr>
          <w:rFonts w:hint="default" w:cs="Times New Roman"/>
          <w:b w:val="0"/>
          <w:bCs w:val="0"/>
          <w:snapToGrid w:val="0"/>
          <w:kern w:val="0"/>
          <w:sz w:val="24"/>
          <w:szCs w:val="24"/>
          <w:lang w:val="en-US" w:eastAsia="zh-CN"/>
        </w:rPr>
        <w:t>《大气污染物综合排放标准》（GB16297-1996）二级标准要求</w:t>
      </w:r>
      <w:r>
        <w:rPr>
          <w:rFonts w:hint="eastAsia" w:cs="Times New Roman"/>
          <w:b w:val="0"/>
          <w:bCs w:val="0"/>
          <w:snapToGrid w:val="0"/>
          <w:kern w:val="0"/>
          <w:sz w:val="24"/>
          <w:szCs w:val="24"/>
          <w:lang w:val="en-US" w:eastAsia="zh-CN"/>
        </w:rPr>
        <w:t>，最高允许排放浓度120mg/m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，最高允许排放速率5kg/h，臭气浓度能够满足《恶臭污染物排放标准》（GB14554-1993）表2中排放要求，臭气浓度：2000（无量纲）。</w:t>
      </w:r>
    </w:p>
    <w:p w14:paraId="1024F1E5">
      <w:pPr>
        <w:numPr>
          <w:ilvl w:val="0"/>
          <w:numId w:val="0"/>
        </w:numPr>
        <w:tabs>
          <w:tab w:val="left" w:pos="525"/>
        </w:tabs>
        <w:adjustRightInd w:val="0"/>
        <w:snapToGrid w:val="0"/>
        <w:spacing w:line="360" w:lineRule="auto"/>
        <w:ind w:left="480" w:leftChars="0"/>
        <w:rPr>
          <w:rFonts w:hint="eastAsia" w:ascii="Times New Roman" w:hAnsi="Times New Roman" w:eastAsia="宋体" w:cs="Times New Roman"/>
          <w:b w:val="0"/>
          <w:bCs w:val="0"/>
          <w:snapToGrid w:val="0"/>
          <w:kern w:val="0"/>
          <w:sz w:val="24"/>
          <w:szCs w:val="24"/>
          <w:lang w:val="en-US" w:eastAsia="zh-CN"/>
        </w:rPr>
      </w:pPr>
      <w:r>
        <w:rPr>
          <w:rFonts w:hint="eastAsia" w:cs="Times New Roman"/>
          <w:b w:val="0"/>
          <w:bCs w:val="0"/>
          <w:snapToGrid w:val="0"/>
          <w:kern w:val="0"/>
          <w:sz w:val="24"/>
          <w:szCs w:val="24"/>
          <w:lang w:val="en-US" w:eastAsia="zh-CN"/>
        </w:rPr>
        <w:t>（3）</w:t>
      </w:r>
      <w:r>
        <w:rPr>
          <w:rFonts w:hint="eastAsia" w:ascii="Times New Roman" w:hAnsi="Times New Roman" w:eastAsia="宋体" w:cs="Times New Roman"/>
          <w:b w:val="0"/>
          <w:bCs w:val="0"/>
          <w:snapToGrid w:val="0"/>
          <w:kern w:val="0"/>
          <w:sz w:val="24"/>
          <w:szCs w:val="24"/>
          <w:lang w:val="en-US" w:eastAsia="zh-CN"/>
        </w:rPr>
        <w:t>污水处理站</w:t>
      </w:r>
      <w:r>
        <w:rPr>
          <w:rFonts w:hint="eastAsia" w:cs="Times New Roman"/>
          <w:b w:val="0"/>
          <w:bCs w:val="0"/>
          <w:snapToGrid w:val="0"/>
          <w:kern w:val="0"/>
          <w:sz w:val="24"/>
          <w:szCs w:val="24"/>
          <w:lang w:val="en-US" w:eastAsia="zh-CN"/>
        </w:rPr>
        <w:t>污泥脱水间及污泥存放间</w:t>
      </w:r>
      <w:r>
        <w:rPr>
          <w:rFonts w:hint="eastAsia" w:ascii="Times New Roman" w:hAnsi="Times New Roman" w:eastAsia="宋体" w:cs="Times New Roman"/>
          <w:b w:val="0"/>
          <w:bCs w:val="0"/>
          <w:snapToGrid w:val="0"/>
          <w:kern w:val="0"/>
          <w:sz w:val="24"/>
          <w:szCs w:val="24"/>
          <w:lang w:val="en-US" w:eastAsia="zh-CN"/>
        </w:rPr>
        <w:t>恶臭</w:t>
      </w:r>
    </w:p>
    <w:p w14:paraId="30D73B0F">
      <w:pPr>
        <w:tabs>
          <w:tab w:val="left" w:pos="525"/>
        </w:tabs>
        <w:adjustRightInd w:val="0"/>
        <w:snapToGrid w:val="0"/>
        <w:spacing w:line="360" w:lineRule="auto"/>
        <w:ind w:firstLine="480" w:firstLineChars="200"/>
        <w:rPr>
          <w:rFonts w:hint="default" w:cs="Times New Roman"/>
          <w:b w:val="0"/>
          <w:bCs w:val="0"/>
          <w:snapToGrid w:val="0"/>
          <w:kern w:val="0"/>
          <w:sz w:val="24"/>
          <w:szCs w:val="24"/>
          <w:vertAlign w:val="baseline"/>
          <w:lang w:val="en-US" w:eastAsia="zh-CN"/>
        </w:rPr>
      </w:pPr>
      <w:r>
        <w:rPr>
          <w:rFonts w:hint="eastAsia" w:cs="Times New Roman"/>
          <w:b w:val="0"/>
          <w:bCs w:val="0"/>
          <w:snapToGrid w:val="0"/>
          <w:kern w:val="0"/>
          <w:sz w:val="24"/>
          <w:szCs w:val="24"/>
          <w:lang w:val="en-US" w:eastAsia="zh-CN" w:bidi="ar-SA"/>
        </w:rPr>
        <w:t>扩建原有项目的污泥脱水间，</w:t>
      </w:r>
      <w:r>
        <w:rPr>
          <w:rFonts w:ascii="Times New Roman" w:hAnsi="Times New Roman" w:cs="Times New Roman"/>
          <w:sz w:val="24"/>
        </w:rPr>
        <w:t>污泥脱水间全封闭</w:t>
      </w:r>
      <w:r>
        <w:rPr>
          <w:rFonts w:ascii="Times New Roman" w:hAnsi="Times New Roman" w:cs="Times New Roman"/>
          <w:snapToGrid w:val="0"/>
          <w:sz w:val="24"/>
        </w:rPr>
        <w:t>，并设置集排风装置（捕集效率80%），收集的恶臭气体通过活性炭吸附净化处理后排放，净化效率不低于90%</w:t>
      </w:r>
      <w:r>
        <w:rPr>
          <w:rFonts w:hint="eastAsia" w:ascii="Times New Roman" w:hAnsi="Times New Roman" w:cs="Times New Roman"/>
          <w:snapToGrid w:val="0"/>
          <w:sz w:val="24"/>
          <w:lang w:eastAsia="zh-CN"/>
        </w:rPr>
        <w:t>。</w:t>
      </w:r>
      <w:r>
        <w:rPr>
          <w:rFonts w:hint="eastAsia" w:ascii="Times New Roman" w:hAnsi="Times New Roman" w:cs="Times New Roman"/>
          <w:snapToGrid w:val="0"/>
          <w:sz w:val="24"/>
          <w:lang w:val="en-US" w:eastAsia="zh-CN"/>
        </w:rPr>
        <w:t>扩建后的污水处理站与原有项目共用一个污泥脱水间及污泥存放间，共用一个15m高排气筒（DA011） 。</w:t>
      </w:r>
      <w:r>
        <w:rPr>
          <w:rFonts w:hint="eastAsia" w:cs="Times New Roman"/>
          <w:b w:val="0"/>
          <w:bCs w:val="0"/>
          <w:snapToGrid w:val="0"/>
          <w:kern w:val="0"/>
          <w:sz w:val="24"/>
          <w:szCs w:val="24"/>
          <w:lang w:val="en-US" w:eastAsia="zh-CN"/>
        </w:rPr>
        <w:t>本项目的氨的排放浓度以47.8mg/m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lang w:val="en-US" w:eastAsia="zh-CN"/>
        </w:rPr>
        <w:t>计，排放速率为0.034</w:t>
      </w:r>
      <w:r>
        <w:rPr>
          <w:rFonts w:hint="eastAsia" w:cs="Times New Roman"/>
          <w:b w:val="0"/>
          <w:bCs w:val="0"/>
          <w:snapToGrid w:val="0"/>
          <w:kern w:val="0"/>
          <w:sz w:val="24"/>
          <w:szCs w:val="24"/>
          <w:vertAlign w:val="baseline"/>
          <w:lang w:val="en-US" w:eastAsia="zh-CN"/>
        </w:rPr>
        <w:t>kg/h；</w:t>
      </w:r>
      <w:r>
        <w:rPr>
          <w:rFonts w:hint="eastAsia" w:cs="Times New Roman"/>
          <w:b w:val="0"/>
          <w:bCs w:val="0"/>
          <w:snapToGrid w:val="0"/>
          <w:kern w:val="0"/>
          <w:sz w:val="24"/>
          <w:szCs w:val="24"/>
          <w:lang w:val="en-US" w:eastAsia="zh-CN"/>
        </w:rPr>
        <w:t>硫化氢的排放浓度以4.38mg/m</w:t>
      </w:r>
      <w:r>
        <w:rPr>
          <w:rFonts w:hint="eastAsia" w:cs="Times New Roman"/>
          <w:b w:val="0"/>
          <w:bCs w:val="0"/>
          <w:snapToGrid w:val="0"/>
          <w:kern w:val="0"/>
          <w:sz w:val="24"/>
          <w:szCs w:val="24"/>
          <w:vertAlign w:val="superscript"/>
          <w:lang w:val="en-US" w:eastAsia="zh-CN"/>
        </w:rPr>
        <w:t>3</w:t>
      </w:r>
      <w:r>
        <w:rPr>
          <w:rFonts w:hint="eastAsia" w:cs="Times New Roman"/>
          <w:b w:val="0"/>
          <w:bCs w:val="0"/>
          <w:snapToGrid w:val="0"/>
          <w:kern w:val="0"/>
          <w:sz w:val="24"/>
          <w:szCs w:val="24"/>
          <w:vertAlign w:val="baseline"/>
          <w:lang w:val="en-US" w:eastAsia="zh-CN"/>
        </w:rPr>
        <w:t>计，</w:t>
      </w:r>
      <w:r>
        <w:rPr>
          <w:rFonts w:hint="eastAsia" w:cs="Times New Roman"/>
          <w:b w:val="0"/>
          <w:bCs w:val="0"/>
          <w:snapToGrid w:val="0"/>
          <w:kern w:val="0"/>
          <w:sz w:val="24"/>
          <w:szCs w:val="24"/>
          <w:lang w:val="en-US" w:eastAsia="zh-CN"/>
        </w:rPr>
        <w:t>排放速率为0.003</w:t>
      </w:r>
      <w:r>
        <w:rPr>
          <w:rFonts w:hint="eastAsia" w:cs="Times New Roman"/>
          <w:b w:val="0"/>
          <w:bCs w:val="0"/>
          <w:snapToGrid w:val="0"/>
          <w:kern w:val="0"/>
          <w:sz w:val="24"/>
          <w:szCs w:val="24"/>
          <w:vertAlign w:val="baseline"/>
          <w:lang w:val="en-US" w:eastAsia="zh-CN"/>
        </w:rPr>
        <w:t>kg/h。臭气浓度为416无量纲。各项污染能够满足</w:t>
      </w:r>
      <w:r>
        <w:rPr>
          <w:color w:val="auto"/>
          <w:sz w:val="24"/>
          <w:szCs w:val="24"/>
        </w:rPr>
        <w:t>《恶臭污染物排放标准》（GB14554-1993）表</w:t>
      </w:r>
      <w:r>
        <w:rPr>
          <w:rFonts w:hint="eastAsia"/>
          <w:color w:val="auto"/>
          <w:sz w:val="24"/>
          <w:szCs w:val="24"/>
          <w:lang w:val="en-US" w:eastAsia="zh-CN"/>
        </w:rPr>
        <w:t>2限值</w:t>
      </w:r>
      <w:r>
        <w:rPr>
          <w:color w:val="auto"/>
          <w:sz w:val="24"/>
          <w:szCs w:val="24"/>
        </w:rPr>
        <w:t>要求</w:t>
      </w:r>
      <w:r>
        <w:rPr>
          <w:rFonts w:hint="eastAsia"/>
          <w:color w:val="auto"/>
          <w:sz w:val="24"/>
          <w:szCs w:val="24"/>
          <w:lang w:eastAsia="zh-CN"/>
        </w:rPr>
        <w:t>，</w:t>
      </w:r>
      <w:r>
        <w:rPr>
          <w:rFonts w:hint="eastAsia"/>
          <w:color w:val="auto"/>
          <w:sz w:val="24"/>
          <w:szCs w:val="24"/>
          <w:lang w:val="en-US" w:eastAsia="zh-CN"/>
        </w:rPr>
        <w:t>氨：</w:t>
      </w:r>
      <w:r>
        <w:rPr>
          <w:color w:val="auto"/>
          <w:sz w:val="24"/>
          <w:szCs w:val="24"/>
        </w:rPr>
        <w:t>1.</w:t>
      </w:r>
      <w:r>
        <w:rPr>
          <w:rFonts w:hint="eastAsia"/>
          <w:color w:val="auto"/>
          <w:sz w:val="24"/>
          <w:szCs w:val="24"/>
          <w:lang w:val="en-US" w:eastAsia="zh-CN"/>
        </w:rPr>
        <w:t>5</w:t>
      </w:r>
      <w:r>
        <w:rPr>
          <w:color w:val="auto"/>
          <w:sz w:val="24"/>
          <w:szCs w:val="24"/>
        </w:rPr>
        <w:t>mg/m</w:t>
      </w:r>
      <w:r>
        <w:rPr>
          <w:color w:val="auto"/>
          <w:sz w:val="24"/>
          <w:szCs w:val="24"/>
          <w:vertAlign w:val="superscript"/>
        </w:rPr>
        <w:t>3</w:t>
      </w:r>
      <w:r>
        <w:rPr>
          <w:rFonts w:hint="eastAsia"/>
          <w:color w:val="auto"/>
          <w:sz w:val="24"/>
          <w:szCs w:val="24"/>
          <w:lang w:eastAsia="zh-CN"/>
        </w:rPr>
        <w:t>、</w:t>
      </w:r>
      <w:r>
        <w:rPr>
          <w:rFonts w:hint="eastAsia"/>
          <w:color w:val="auto"/>
          <w:sz w:val="24"/>
          <w:szCs w:val="24"/>
          <w:lang w:val="en-US" w:eastAsia="zh-CN"/>
        </w:rPr>
        <w:t>硫化氢：0.06</w:t>
      </w:r>
      <w:r>
        <w:rPr>
          <w:color w:val="auto"/>
          <w:sz w:val="24"/>
          <w:szCs w:val="24"/>
        </w:rPr>
        <w:t>mg/m</w:t>
      </w:r>
      <w:r>
        <w:rPr>
          <w:color w:val="auto"/>
          <w:sz w:val="24"/>
          <w:szCs w:val="24"/>
          <w:vertAlign w:val="superscript"/>
        </w:rPr>
        <w:t>3</w:t>
      </w:r>
      <w:r>
        <w:rPr>
          <w:rFonts w:hint="eastAsia"/>
          <w:color w:val="auto"/>
          <w:sz w:val="24"/>
          <w:szCs w:val="24"/>
          <w:lang w:eastAsia="zh-CN"/>
        </w:rPr>
        <w:t>、</w:t>
      </w:r>
      <w:r>
        <w:rPr>
          <w:rFonts w:hint="eastAsia"/>
          <w:color w:val="auto"/>
          <w:sz w:val="24"/>
          <w:szCs w:val="24"/>
          <w:lang w:val="en-US" w:eastAsia="zh-CN"/>
        </w:rPr>
        <w:t>臭气浓度：2000（无量纲）。</w:t>
      </w:r>
    </w:p>
    <w:p w14:paraId="52D19E3E">
      <w:pPr>
        <w:numPr>
          <w:ilvl w:val="0"/>
          <w:numId w:val="0"/>
        </w:numPr>
        <w:tabs>
          <w:tab w:val="left" w:pos="525"/>
        </w:tabs>
        <w:adjustRightInd w:val="0"/>
        <w:snapToGrid w:val="0"/>
        <w:spacing w:line="360" w:lineRule="auto"/>
        <w:ind w:left="480" w:leftChars="0"/>
        <w:rPr>
          <w:rFonts w:hint="default" w:cs="Times New Roman"/>
          <w:b w:val="0"/>
          <w:bCs w:val="0"/>
          <w:snapToGrid w:val="0"/>
          <w:kern w:val="0"/>
          <w:sz w:val="24"/>
          <w:szCs w:val="24"/>
          <w:lang w:val="en-US" w:eastAsia="zh-CN"/>
        </w:rPr>
      </w:pPr>
      <w:r>
        <w:rPr>
          <w:rFonts w:hint="eastAsia" w:cs="Times New Roman"/>
          <w:b w:val="0"/>
          <w:bCs w:val="0"/>
          <w:snapToGrid w:val="0"/>
          <w:kern w:val="0"/>
          <w:sz w:val="24"/>
          <w:szCs w:val="24"/>
          <w:lang w:val="en-US" w:eastAsia="zh-CN"/>
        </w:rPr>
        <w:t>（4）无组织排放恶臭</w:t>
      </w:r>
    </w:p>
    <w:p w14:paraId="4884E88D">
      <w:pPr>
        <w:tabs>
          <w:tab w:val="left" w:pos="525"/>
        </w:tabs>
        <w:adjustRightInd w:val="0"/>
        <w:snapToGrid w:val="0"/>
        <w:spacing w:line="360" w:lineRule="auto"/>
        <w:ind w:firstLine="480" w:firstLineChars="200"/>
        <w:rPr>
          <w:rFonts w:hint="eastAsia" w:ascii="Times New Roman" w:hAnsi="Times New Roman" w:cs="Times New Roman"/>
          <w:snapToGrid w:val="0"/>
          <w:sz w:val="24"/>
          <w:lang w:val="en-US" w:eastAsia="zh-CN"/>
        </w:rPr>
      </w:pPr>
      <w:r>
        <w:rPr>
          <w:rFonts w:hint="eastAsia" w:ascii="Times New Roman" w:hAnsi="Times New Roman" w:cs="Times New Roman"/>
          <w:snapToGrid w:val="0"/>
          <w:sz w:val="24"/>
          <w:lang w:val="en-US" w:eastAsia="zh-CN"/>
        </w:rPr>
        <w:t>本项目恶臭无组织排放排放为厂区内未被收集的恶臭气体，无组织恶臭气体产生情况为NH</w:t>
      </w:r>
      <w:r>
        <w:rPr>
          <w:rFonts w:hint="eastAsia" w:ascii="Times New Roman" w:hAnsi="Times New Roman" w:cs="Times New Roman"/>
          <w:snapToGrid w:val="0"/>
          <w:sz w:val="24"/>
          <w:vertAlign w:val="subscript"/>
          <w:lang w:val="en-US" w:eastAsia="zh-CN"/>
        </w:rPr>
        <w:t>3</w:t>
      </w:r>
      <w:r>
        <w:rPr>
          <w:rFonts w:hint="eastAsia" w:ascii="Times New Roman" w:hAnsi="Times New Roman" w:cs="Times New Roman"/>
          <w:snapToGrid w:val="0"/>
          <w:sz w:val="24"/>
          <w:lang w:val="en-US" w:eastAsia="zh-CN"/>
        </w:rPr>
        <w:t>0.0</w:t>
      </w:r>
      <w:r>
        <w:rPr>
          <w:rFonts w:hint="eastAsia" w:cs="Times New Roman"/>
          <w:snapToGrid w:val="0"/>
          <w:sz w:val="24"/>
          <w:lang w:val="en-US" w:eastAsia="zh-CN"/>
        </w:rPr>
        <w:t>38</w:t>
      </w:r>
      <w:r>
        <w:rPr>
          <w:rFonts w:hint="eastAsia" w:ascii="Times New Roman" w:hAnsi="Times New Roman" w:cs="Times New Roman"/>
          <w:snapToGrid w:val="0"/>
          <w:sz w:val="24"/>
          <w:lang w:val="en-US" w:eastAsia="zh-CN"/>
        </w:rPr>
        <w:t>kg/h</w:t>
      </w:r>
      <w:r>
        <w:rPr>
          <w:rFonts w:hint="eastAsia" w:cs="Times New Roman"/>
          <w:snapToGrid w:val="0"/>
          <w:sz w:val="24"/>
          <w:lang w:val="en-US" w:eastAsia="zh-CN"/>
        </w:rPr>
        <w:t>（0.33t/a）</w:t>
      </w:r>
      <w:r>
        <w:rPr>
          <w:rFonts w:hint="eastAsia" w:ascii="Times New Roman" w:hAnsi="Times New Roman" w:cs="Times New Roman"/>
          <w:snapToGrid w:val="0"/>
          <w:sz w:val="24"/>
          <w:lang w:val="en-US" w:eastAsia="zh-CN"/>
        </w:rPr>
        <w:t>，H</w:t>
      </w:r>
      <w:r>
        <w:rPr>
          <w:rFonts w:hint="eastAsia" w:ascii="Times New Roman" w:hAnsi="Times New Roman" w:cs="Times New Roman"/>
          <w:snapToGrid w:val="0"/>
          <w:sz w:val="24"/>
          <w:vertAlign w:val="subscript"/>
          <w:lang w:val="en-US" w:eastAsia="zh-CN"/>
        </w:rPr>
        <w:t>2</w:t>
      </w:r>
      <w:r>
        <w:rPr>
          <w:rFonts w:hint="eastAsia" w:ascii="Times New Roman" w:hAnsi="Times New Roman" w:cs="Times New Roman"/>
          <w:snapToGrid w:val="0"/>
          <w:sz w:val="24"/>
          <w:lang w:val="en-US" w:eastAsia="zh-CN"/>
        </w:rPr>
        <w:t>S0.00</w:t>
      </w:r>
      <w:r>
        <w:rPr>
          <w:rFonts w:hint="eastAsia" w:cs="Times New Roman"/>
          <w:snapToGrid w:val="0"/>
          <w:sz w:val="24"/>
          <w:lang w:val="en-US" w:eastAsia="zh-CN"/>
        </w:rPr>
        <w:t>3</w:t>
      </w:r>
      <w:r>
        <w:rPr>
          <w:rFonts w:hint="eastAsia" w:ascii="Times New Roman" w:hAnsi="Times New Roman" w:cs="Times New Roman"/>
          <w:snapToGrid w:val="0"/>
          <w:sz w:val="24"/>
          <w:lang w:val="en-US" w:eastAsia="zh-CN"/>
        </w:rPr>
        <w:t>kg/h</w:t>
      </w:r>
      <w:r>
        <w:rPr>
          <w:rFonts w:hint="eastAsia" w:cs="Times New Roman"/>
          <w:snapToGrid w:val="0"/>
          <w:sz w:val="24"/>
          <w:lang w:val="en-US" w:eastAsia="zh-CN"/>
        </w:rPr>
        <w:t>（0.026t/a）</w:t>
      </w:r>
      <w:r>
        <w:rPr>
          <w:rFonts w:hint="eastAsia" w:ascii="Times New Roman" w:hAnsi="Times New Roman" w:cs="Times New Roman"/>
          <w:snapToGrid w:val="0"/>
          <w:sz w:val="24"/>
          <w:lang w:val="en-US" w:eastAsia="zh-CN"/>
        </w:rPr>
        <w:t>。</w:t>
      </w:r>
    </w:p>
    <w:p w14:paraId="65C09E6E">
      <w:pPr>
        <w:pStyle w:val="4"/>
      </w:pPr>
      <w:r>
        <w:t>9.4.2 废水污染物分析</w:t>
      </w:r>
    </w:p>
    <w:p w14:paraId="06B3E847">
      <w:pPr>
        <w:spacing w:line="360" w:lineRule="auto"/>
        <w:ind w:firstLine="480" w:firstLineChars="200"/>
        <w:rPr>
          <w:rFonts w:hint="eastAsia"/>
        </w:rPr>
      </w:pPr>
      <w:r>
        <w:rPr>
          <w:rFonts w:hint="eastAsia"/>
          <w:lang w:val="en-US" w:eastAsia="zh-CN"/>
        </w:rPr>
        <w:t>生产废水</w:t>
      </w:r>
      <w:r>
        <w:rPr>
          <w:rFonts w:hint="eastAsia"/>
          <w:lang w:val="en-GB"/>
        </w:rPr>
        <w:t>处理达到</w:t>
      </w:r>
      <w:r>
        <w:rPr>
          <w:rFonts w:hint="eastAsia"/>
        </w:rPr>
        <w:t>《城镇污水处理厂污染物排放标准》（GB18918-2002）中的一级A标准后，</w:t>
      </w:r>
      <w:r>
        <w:rPr>
          <w:rFonts w:hint="eastAsia"/>
          <w:lang w:eastAsia="zh-CN"/>
        </w:rPr>
        <w:t>经拉哈生物技术与化学制药产业园区污水处理厂入河排污口排入到嫩江</w:t>
      </w:r>
      <w:r>
        <w:rPr>
          <w:rFonts w:hint="eastAsia"/>
        </w:rPr>
        <w:t>。</w:t>
      </w:r>
    </w:p>
    <w:p w14:paraId="40532C1D">
      <w:pPr>
        <w:pStyle w:val="4"/>
      </w:pPr>
      <w:r>
        <w:t>9.4.3 噪声污染物分析</w:t>
      </w:r>
    </w:p>
    <w:p w14:paraId="5892E67E">
      <w:pPr>
        <w:spacing w:line="360" w:lineRule="auto"/>
        <w:ind w:firstLine="480" w:firstLineChars="200"/>
      </w:pPr>
      <w:r>
        <w:rPr>
          <w:rFonts w:hint="eastAsia"/>
          <w:lang w:eastAsia="zh-CN"/>
        </w:rPr>
        <w:t>本项目</w:t>
      </w:r>
      <w:r>
        <w:t>运行期间产生的噪声主要来自风机、水泵等发出噪声。从噪声类型看，主要有空气动力噪声、机械噪声。噪声源大多分布在厂房内，噪声源强在70-90dB（A）。</w:t>
      </w:r>
    </w:p>
    <w:p w14:paraId="709476E0">
      <w:pPr>
        <w:pStyle w:val="4"/>
      </w:pPr>
      <w:r>
        <w:t>9.4.4 固体废物污染物分析</w:t>
      </w:r>
    </w:p>
    <w:p w14:paraId="474B17CE">
      <w:pPr>
        <w:spacing w:line="360" w:lineRule="auto"/>
        <w:ind w:firstLine="480" w:firstLineChars="200"/>
        <w:rPr>
          <w:lang w:bidi="ar"/>
        </w:rPr>
      </w:pPr>
      <w:r>
        <w:rPr>
          <w:rFonts w:hint="eastAsia" w:cs="Times New Roman"/>
          <w:lang w:val="en-US" w:eastAsia="zh-CN" w:bidi="ar"/>
        </w:rPr>
        <w:t>本项目产生的污泥</w:t>
      </w:r>
      <w:r>
        <w:rPr>
          <w:rFonts w:hint="eastAsia" w:ascii="Times New Roman" w:hAnsi="Times New Roman" w:eastAsia="宋体" w:cs="Times New Roman"/>
          <w:color w:val="auto"/>
          <w:lang w:val="en-US" w:eastAsia="zh-CN"/>
        </w:rPr>
        <w:t>掺混入燃煤进入锅炉燃烧</w:t>
      </w:r>
      <w:r>
        <w:rPr>
          <w:rFonts w:hint="eastAsia" w:cs="Times New Roman"/>
          <w:lang w:eastAsia="zh-CN" w:bidi="ar"/>
        </w:rPr>
        <w:t>，</w:t>
      </w:r>
      <w:r>
        <w:rPr>
          <w:rFonts w:hint="eastAsia" w:cs="Times New Roman"/>
          <w:lang w:val="en-US" w:eastAsia="zh-CN" w:bidi="ar"/>
        </w:rPr>
        <w:t>废活性炭由生产厂家统一回收处置。</w:t>
      </w:r>
    </w:p>
    <w:p w14:paraId="7030FBD8">
      <w:pPr>
        <w:pStyle w:val="3"/>
      </w:pPr>
      <w:bookmarkStart w:id="531" w:name="_Toc6910"/>
      <w:r>
        <w:t>9.5评价区环境质量</w:t>
      </w:r>
      <w:bookmarkEnd w:id="517"/>
      <w:bookmarkEnd w:id="518"/>
      <w:bookmarkEnd w:id="519"/>
      <w:r>
        <w:t>现状</w:t>
      </w:r>
      <w:bookmarkEnd w:id="520"/>
      <w:r>
        <w:t>评价结论</w:t>
      </w:r>
      <w:bookmarkEnd w:id="521"/>
      <w:bookmarkEnd w:id="522"/>
      <w:bookmarkEnd w:id="523"/>
      <w:bookmarkEnd w:id="524"/>
      <w:bookmarkEnd w:id="525"/>
      <w:bookmarkEnd w:id="526"/>
      <w:bookmarkEnd w:id="527"/>
      <w:bookmarkEnd w:id="528"/>
      <w:bookmarkEnd w:id="531"/>
    </w:p>
    <w:p w14:paraId="74532660">
      <w:pPr>
        <w:pStyle w:val="4"/>
      </w:pPr>
      <w:bookmarkStart w:id="532" w:name="_Toc490466599"/>
      <w:bookmarkStart w:id="533" w:name="_Toc16131"/>
      <w:bookmarkStart w:id="534" w:name="_Toc18465"/>
      <w:r>
        <w:t>9.5.1环境空气质量现状评价结论</w:t>
      </w:r>
      <w:bookmarkEnd w:id="532"/>
      <w:bookmarkEnd w:id="533"/>
      <w:bookmarkEnd w:id="534"/>
    </w:p>
    <w:p w14:paraId="3CFFD513">
      <w:pPr>
        <w:pStyle w:val="5"/>
        <w:rPr>
          <w:rFonts w:eastAsia="宋体"/>
          <w:b w:val="0"/>
          <w:bCs/>
          <w:szCs w:val="30"/>
        </w:rPr>
      </w:pPr>
      <w:r>
        <w:t>9.5.1.1空气质量达标区判定结果</w:t>
      </w:r>
    </w:p>
    <w:p w14:paraId="394C6DFA">
      <w:pPr>
        <w:widowControl w:val="0"/>
        <w:autoSpaceDE w:val="0"/>
        <w:autoSpaceDN w:val="0"/>
        <w:adjustRightInd w:val="0"/>
        <w:spacing w:line="360" w:lineRule="auto"/>
        <w:ind w:firstLine="480" w:firstLineChars="200"/>
      </w:pPr>
      <w:r>
        <w:t>本次评价环境空气质量现状数据采用</w:t>
      </w:r>
      <w:r>
        <w:rPr>
          <w:rFonts w:hint="eastAsia"/>
          <w:lang w:eastAsia="zh-CN"/>
        </w:rPr>
        <w:t>《齐齐哈尔市生态环境状况公报》（202</w:t>
      </w:r>
      <w:r>
        <w:rPr>
          <w:rFonts w:hint="eastAsia"/>
          <w:lang w:val="en-US" w:eastAsia="zh-CN"/>
        </w:rPr>
        <w:t>4</w:t>
      </w:r>
      <w:r>
        <w:rPr>
          <w:rFonts w:hint="eastAsia"/>
          <w:lang w:eastAsia="zh-CN"/>
        </w:rPr>
        <w:t>年）</w:t>
      </w:r>
      <w:r>
        <w:t>。</w:t>
      </w:r>
    </w:p>
    <w:p w14:paraId="5CE0D17F">
      <w:pPr>
        <w:spacing w:line="360" w:lineRule="auto"/>
        <w:ind w:firstLine="480" w:firstLineChars="200"/>
        <w:rPr>
          <w:bCs/>
          <w:lang w:bidi="ar"/>
        </w:rPr>
      </w:pPr>
      <w:r>
        <w:rPr>
          <w:rFonts w:hint="default" w:ascii="Times New Roman" w:hAnsi="Times New Roman" w:eastAsia="宋体" w:cs="Times New Roman"/>
          <w:bCs/>
          <w:smallCaps w:val="0"/>
          <w:color w:val="000000"/>
          <w:kern w:val="2"/>
          <w:sz w:val="24"/>
          <w:szCs w:val="24"/>
          <w:lang w:val="zh-CN" w:eastAsia="zh-CN" w:bidi="ar-SA"/>
        </w:rPr>
        <w:t>根据《</w:t>
      </w:r>
      <w:r>
        <w:rPr>
          <w:rFonts w:hint="eastAsia" w:ascii="Times New Roman" w:hAnsi="Times New Roman" w:eastAsia="宋体" w:cs="Times New Roman"/>
          <w:bCs/>
          <w:smallCaps w:val="0"/>
          <w:color w:val="000000"/>
          <w:kern w:val="2"/>
          <w:sz w:val="24"/>
          <w:szCs w:val="24"/>
          <w:lang w:val="en-US" w:eastAsia="zh-CN" w:bidi="ar-SA"/>
        </w:rPr>
        <w:t>齐齐哈尔市生态环境状况公报</w:t>
      </w:r>
      <w:r>
        <w:rPr>
          <w:rFonts w:hint="default" w:ascii="Times New Roman" w:hAnsi="Times New Roman" w:eastAsia="宋体" w:cs="Times New Roman"/>
          <w:bCs/>
          <w:smallCaps w:val="0"/>
          <w:color w:val="000000"/>
          <w:kern w:val="2"/>
          <w:sz w:val="24"/>
          <w:szCs w:val="24"/>
          <w:lang w:val="zh-CN" w:eastAsia="zh-CN" w:bidi="ar-SA"/>
        </w:rPr>
        <w:t>》</w:t>
      </w:r>
      <w:r>
        <w:rPr>
          <w:rFonts w:hint="eastAsia" w:cs="Times New Roman"/>
          <w:bCs/>
          <w:smallCaps w:val="0"/>
          <w:color w:val="000000"/>
          <w:kern w:val="2"/>
          <w:sz w:val="24"/>
          <w:szCs w:val="24"/>
          <w:lang w:val="zh-CN" w:eastAsia="zh-CN" w:bidi="ar-SA"/>
        </w:rPr>
        <w:t>（</w:t>
      </w:r>
      <w:r>
        <w:rPr>
          <w:rFonts w:hint="eastAsia" w:ascii="Times New Roman" w:hAnsi="Times New Roman" w:eastAsia="宋体" w:cs="Times New Roman"/>
          <w:bCs/>
          <w:smallCaps w:val="0"/>
          <w:color w:val="000000"/>
          <w:kern w:val="2"/>
          <w:sz w:val="24"/>
          <w:szCs w:val="24"/>
          <w:lang w:val="en-US" w:eastAsia="zh-CN" w:bidi="ar-SA"/>
        </w:rPr>
        <w:t>202</w:t>
      </w:r>
      <w:r>
        <w:rPr>
          <w:rFonts w:hint="eastAsia" w:cs="Times New Roman"/>
          <w:bCs/>
          <w:smallCaps w:val="0"/>
          <w:color w:val="000000"/>
          <w:kern w:val="2"/>
          <w:sz w:val="24"/>
          <w:szCs w:val="24"/>
          <w:lang w:val="en-US" w:eastAsia="zh-CN" w:bidi="ar-SA"/>
        </w:rPr>
        <w:t>4</w:t>
      </w:r>
      <w:r>
        <w:rPr>
          <w:rFonts w:hint="eastAsia" w:ascii="Times New Roman" w:hAnsi="Times New Roman" w:eastAsia="宋体" w:cs="Times New Roman"/>
          <w:bCs/>
          <w:smallCaps w:val="0"/>
          <w:color w:val="000000"/>
          <w:kern w:val="2"/>
          <w:sz w:val="24"/>
          <w:szCs w:val="24"/>
          <w:lang w:val="en-US" w:eastAsia="zh-CN" w:bidi="ar-SA"/>
        </w:rPr>
        <w:t>年</w:t>
      </w:r>
      <w:r>
        <w:rPr>
          <w:rFonts w:hint="eastAsia" w:cs="Times New Roman"/>
          <w:bCs/>
          <w:smallCaps w:val="0"/>
          <w:color w:val="000000"/>
          <w:kern w:val="2"/>
          <w:sz w:val="24"/>
          <w:szCs w:val="24"/>
          <w:lang w:val="zh-CN" w:eastAsia="zh-CN" w:bidi="ar-SA"/>
        </w:rPr>
        <w:t>）</w:t>
      </w:r>
      <w:r>
        <w:rPr>
          <w:rFonts w:hint="default" w:ascii="Times New Roman" w:hAnsi="Times New Roman" w:eastAsia="宋体" w:cs="Times New Roman"/>
          <w:bCs/>
          <w:smallCaps w:val="0"/>
          <w:color w:val="000000"/>
          <w:kern w:val="2"/>
          <w:sz w:val="24"/>
          <w:szCs w:val="24"/>
          <w:lang w:val="zh-CN" w:eastAsia="zh-CN" w:bidi="ar-SA"/>
        </w:rPr>
        <w:t>，</w:t>
      </w:r>
      <w:r>
        <w:rPr>
          <w:rFonts w:hint="default" w:ascii="Times New Roman" w:hAnsi="Times New Roman" w:eastAsia="宋体" w:cs="Times New Roman"/>
          <w:bCs/>
          <w:smallCaps w:val="0"/>
          <w:color w:val="000000"/>
          <w:kern w:val="2"/>
          <w:sz w:val="24"/>
          <w:szCs w:val="24"/>
          <w:lang w:val="en-US" w:eastAsia="zh-CN" w:bidi="ar-SA"/>
        </w:rPr>
        <w:t>城区环境空气优良天数为352天，未发生重度及以上污染天气。二氧化硫、二氧化氮、PM</w:t>
      </w:r>
      <w:r>
        <w:rPr>
          <w:rFonts w:hint="eastAsia" w:ascii="Times New Roman" w:hAnsi="Times New Roman" w:eastAsia="宋体" w:cs="Times New Roman"/>
          <w:bCs/>
          <w:smallCaps w:val="0"/>
          <w:color w:val="000000"/>
          <w:kern w:val="2"/>
          <w:sz w:val="24"/>
          <w:szCs w:val="24"/>
          <w:vertAlign w:val="subscript"/>
          <w:lang w:val="en-US" w:eastAsia="zh-CN" w:bidi="ar-SA"/>
        </w:rPr>
        <w:t>10</w:t>
      </w:r>
      <w:r>
        <w:rPr>
          <w:rFonts w:hint="eastAsia" w:ascii="Times New Roman" w:hAnsi="Times New Roman" w:eastAsia="宋体" w:cs="Times New Roman"/>
          <w:bCs/>
          <w:smallCaps w:val="0"/>
          <w:color w:val="000000"/>
          <w:kern w:val="2"/>
          <w:sz w:val="24"/>
          <w:szCs w:val="24"/>
          <w:lang w:val="en-US" w:eastAsia="zh-CN" w:bidi="ar-SA"/>
        </w:rPr>
        <w:t>、PM</w:t>
      </w:r>
      <w:r>
        <w:rPr>
          <w:rFonts w:hint="eastAsia" w:ascii="Times New Roman" w:hAnsi="Times New Roman" w:eastAsia="宋体" w:cs="Times New Roman"/>
          <w:bCs/>
          <w:smallCaps w:val="0"/>
          <w:color w:val="000000"/>
          <w:kern w:val="2"/>
          <w:sz w:val="24"/>
          <w:szCs w:val="24"/>
          <w:vertAlign w:val="subscript"/>
          <w:lang w:val="en-US" w:eastAsia="zh-CN" w:bidi="ar-SA"/>
        </w:rPr>
        <w:t>2.5</w:t>
      </w:r>
      <w:r>
        <w:rPr>
          <w:rFonts w:hint="eastAsia" w:ascii="Times New Roman" w:hAnsi="Times New Roman" w:eastAsia="宋体" w:cs="Times New Roman"/>
          <w:bCs/>
          <w:smallCaps w:val="0"/>
          <w:color w:val="000000"/>
          <w:kern w:val="2"/>
          <w:sz w:val="24"/>
          <w:szCs w:val="24"/>
          <w:lang w:val="en-US" w:eastAsia="zh-CN" w:bidi="ar-SA"/>
        </w:rPr>
        <w:t>年平均浓度值分别为15μg/m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、16μg/m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、44μg/m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、20μg/m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，比上年分别下降1μg/m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、1μg/m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、10μg/m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、11μg/m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；一氧化碳</w:t>
      </w:r>
      <w:r>
        <w:rPr>
          <w:rFonts w:hint="eastAsia" w:cs="Times New Roman"/>
          <w:bCs/>
          <w:smallCaps w:val="0"/>
          <w:color w:val="000000"/>
          <w:kern w:val="2"/>
          <w:sz w:val="24"/>
          <w:szCs w:val="24"/>
          <w:lang w:val="en-US" w:eastAsia="zh-CN" w:bidi="ar-SA"/>
        </w:rPr>
        <w:t>日平均</w:t>
      </w:r>
      <w:r>
        <w:rPr>
          <w:rFonts w:hint="eastAsia" w:ascii="Times New Roman" w:hAnsi="Times New Roman" w:eastAsia="宋体" w:cs="Times New Roman"/>
          <w:bCs/>
          <w:smallCaps w:val="0"/>
          <w:color w:val="000000"/>
          <w:kern w:val="2"/>
          <w:sz w:val="24"/>
          <w:szCs w:val="24"/>
          <w:lang w:val="en-US" w:eastAsia="zh-CN" w:bidi="ar-SA"/>
        </w:rPr>
        <w:t>第95百分位数为0.9 mg/m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，比上年下降0.3mg/m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；臭氧日最大8小时滑动平均值的第90百分位数为113μg/m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，比上年上升3μg/m</w:t>
      </w:r>
      <w:r>
        <w:rPr>
          <w:rFonts w:hint="eastAsia" w:ascii="Times New Roman" w:hAnsi="Times New Roman" w:eastAsia="宋体" w:cs="Times New Roman"/>
          <w:bCs/>
          <w:smallCaps w:val="0"/>
          <w:color w:val="000000"/>
          <w:kern w:val="2"/>
          <w:sz w:val="24"/>
          <w:szCs w:val="24"/>
          <w:vertAlign w:val="superscript"/>
          <w:lang w:val="en-US" w:eastAsia="zh-CN" w:bidi="ar-SA"/>
        </w:rPr>
        <w:t>3</w:t>
      </w:r>
      <w:r>
        <w:rPr>
          <w:rFonts w:hint="eastAsia" w:ascii="Times New Roman" w:hAnsi="Times New Roman" w:eastAsia="宋体" w:cs="Times New Roman"/>
          <w:bCs/>
          <w:smallCaps w:val="0"/>
          <w:color w:val="000000"/>
          <w:kern w:val="2"/>
          <w:sz w:val="24"/>
          <w:szCs w:val="24"/>
          <w:lang w:val="en-US" w:eastAsia="zh-CN" w:bidi="ar-SA"/>
        </w:rPr>
        <w:t>。六项指标全部符合国家二级标准，城区环境空气质量达标，为达标区</w:t>
      </w:r>
      <w:r>
        <w:t>。</w:t>
      </w:r>
    </w:p>
    <w:p w14:paraId="02272C41">
      <w:pPr>
        <w:pStyle w:val="5"/>
      </w:pPr>
      <w:r>
        <w:t>9.5.1.2其他污染物环境质量现状</w:t>
      </w:r>
    </w:p>
    <w:p w14:paraId="730EC16F">
      <w:pPr>
        <w:spacing w:line="360" w:lineRule="auto"/>
        <w:ind w:firstLine="480" w:firstLineChars="200"/>
      </w:pPr>
      <w:bookmarkStart w:id="535" w:name="_Toc19286"/>
      <w:bookmarkStart w:id="536" w:name="_Toc490466600"/>
      <w:bookmarkStart w:id="537" w:name="_Toc1385"/>
      <w:r>
        <w:t>根据监测结果表明，评价区内</w:t>
      </w:r>
      <w:r>
        <w:rPr>
          <w:rFonts w:hint="eastAsia"/>
          <w:lang w:val="en-US" w:eastAsia="zh-CN"/>
        </w:rPr>
        <w:t>TSP、非甲烷总烃、</w:t>
      </w:r>
      <w:r>
        <w:t>氨</w:t>
      </w:r>
      <w:r>
        <w:rPr>
          <w:rFonts w:hint="eastAsia"/>
          <w:lang w:val="en-US" w:eastAsia="zh-CN"/>
        </w:rPr>
        <w:t>和硫化氢</w:t>
      </w:r>
      <w:r>
        <w:t>占标百分比</w:t>
      </w:r>
      <w:r>
        <w:rPr>
          <w:lang w:val="en-GB"/>
        </w:rPr>
        <w:t>Pi</w:t>
      </w:r>
      <w:r>
        <w:t>均无大于100%情况出现，氨</w:t>
      </w:r>
      <w:r>
        <w:rPr>
          <w:rFonts w:hint="eastAsia"/>
          <w:lang w:val="en-US" w:eastAsia="zh-CN"/>
        </w:rPr>
        <w:t>和硫化氢</w:t>
      </w:r>
      <w:r>
        <w:t>均能够满足《环境影响评价技术导则 大气环境》（HJ2.2</w:t>
      </w:r>
      <w:r>
        <w:rPr>
          <w:rFonts w:hint="eastAsia"/>
          <w:lang w:val="en-US" w:eastAsia="zh-CN"/>
        </w:rPr>
        <w:t>-</w:t>
      </w:r>
      <w:r>
        <w:t>2018）中附录D其他污染物空气质量浓度参考限值</w:t>
      </w:r>
      <w:r>
        <w:rPr>
          <w:rFonts w:hint="eastAsia"/>
          <w:lang w:eastAsia="zh-CN"/>
        </w:rPr>
        <w:t>，</w:t>
      </w:r>
      <w:r>
        <w:rPr>
          <w:rFonts w:hint="eastAsia"/>
          <w:bCs/>
          <w:lang w:val="en-US" w:eastAsia="zh-CN"/>
        </w:rPr>
        <w:t>非甲烷总烃能够满足《环境空气质量 非甲烷总烃限值》（DB13/1577-2012）二级标准限值，TSP能够满足《环境空气质量标准》(GB 3095-2026)二级标准</w:t>
      </w:r>
      <w:r>
        <w:rPr>
          <w:bCs/>
        </w:rPr>
        <w:t>。</w:t>
      </w:r>
    </w:p>
    <w:p w14:paraId="1FBE3C69">
      <w:pPr>
        <w:pStyle w:val="4"/>
      </w:pPr>
      <w:r>
        <w:t>9.5.2地表水环境现状评价结论</w:t>
      </w:r>
      <w:bookmarkEnd w:id="535"/>
      <w:bookmarkEnd w:id="536"/>
      <w:bookmarkEnd w:id="537"/>
    </w:p>
    <w:p w14:paraId="306EB33A">
      <w:pPr>
        <w:widowControl w:val="0"/>
        <w:autoSpaceDE w:val="0"/>
        <w:autoSpaceDN w:val="0"/>
        <w:adjustRightInd w:val="0"/>
        <w:spacing w:line="360" w:lineRule="auto"/>
        <w:ind w:firstLine="480" w:firstLineChars="200"/>
        <w:rPr>
          <w:rFonts w:hint="eastAsia" w:ascii="Times New Roman" w:hAnsi="Times New Roman" w:cs="Times New Roman"/>
          <w:lang w:bidi="ar"/>
        </w:rPr>
      </w:pPr>
      <w:bookmarkStart w:id="538" w:name="_Toc490466602"/>
      <w:bookmarkStart w:id="539" w:name="_Toc7929"/>
      <w:bookmarkStart w:id="540" w:name="_Toc27669"/>
      <w:r>
        <w:rPr>
          <w:rFonts w:hint="eastAsia" w:ascii="Times New Roman" w:hAnsi="Times New Roman" w:cs="Times New Roman"/>
          <w:lang w:bidi="ar"/>
        </w:rPr>
        <w:t>由《齐齐哈尔市环境状况公报》（202</w:t>
      </w:r>
      <w:r>
        <w:rPr>
          <w:rFonts w:hint="eastAsia" w:cs="Times New Roman"/>
          <w:lang w:val="en-US" w:eastAsia="zh-CN" w:bidi="ar"/>
        </w:rPr>
        <w:t>4</w:t>
      </w:r>
      <w:r>
        <w:rPr>
          <w:rFonts w:hint="eastAsia" w:ascii="Times New Roman" w:hAnsi="Times New Roman" w:cs="Times New Roman"/>
          <w:lang w:bidi="ar"/>
        </w:rPr>
        <w:t>年）可知，嫩江水系齐齐哈尔段共有国控断面14个，其中尼尔基水库库尾、登科村、阿伦河口内、音河入嫩江河口、济沁河入雅鲁河河口、原种厂、双阳河拜泉县和扎龙湖8个断面为“十四五”新增断面。年均水质达到Ⅰ-Ⅲ类的断面比例为57.1%，无劣Ⅴ类断面，水质状况为轻度污染，同比有所下降。</w:t>
      </w:r>
    </w:p>
    <w:p w14:paraId="21E18448">
      <w:pPr>
        <w:widowControl w:val="0"/>
        <w:autoSpaceDE w:val="0"/>
        <w:autoSpaceDN w:val="0"/>
        <w:adjustRightInd w:val="0"/>
        <w:spacing w:line="360" w:lineRule="auto"/>
        <w:ind w:firstLine="480" w:firstLineChars="200"/>
        <w:rPr>
          <w:rFonts w:hint="eastAsia" w:ascii="Times New Roman" w:hAnsi="Times New Roman" w:cs="Times New Roman"/>
          <w:lang w:bidi="ar"/>
        </w:rPr>
      </w:pPr>
      <w:r>
        <w:rPr>
          <w:rFonts w:hint="eastAsia" w:ascii="Times New Roman" w:hAnsi="Times New Roman" w:cs="Times New Roman"/>
          <w:lang w:bidi="ar"/>
        </w:rPr>
        <w:t>嫩江干流齐齐哈尔段  嫩江干流（拉哈、浏园），年均水质类别为Ⅳ类，水质状况为轻度污染，同比有所下降。</w:t>
      </w:r>
    </w:p>
    <w:p w14:paraId="04ACE3B9">
      <w:pPr>
        <w:widowControl w:val="0"/>
        <w:autoSpaceDE w:val="0"/>
        <w:autoSpaceDN w:val="0"/>
        <w:adjustRightInd w:val="0"/>
        <w:spacing w:line="360" w:lineRule="auto"/>
        <w:ind w:firstLine="480" w:firstLineChars="200"/>
        <w:rPr>
          <w:rFonts w:hint="eastAsia" w:ascii="Times New Roman" w:hAnsi="Times New Roman" w:cs="Times New Roman"/>
          <w:lang w:bidi="ar"/>
        </w:rPr>
      </w:pPr>
      <w:r>
        <w:rPr>
          <w:rFonts w:hint="eastAsia" w:ascii="Times New Roman" w:hAnsi="Times New Roman" w:cs="Times New Roman"/>
          <w:lang w:bidi="ar"/>
        </w:rPr>
        <w:t>嫩江支流齐齐哈尔段  阿伦河口内断面、音河入嫩江河口断面和讷谟尔河口断面年均水质类别均为Ⅲ类，水质状况为良好，同比无明显变化。济沁河入雅鲁河河口断面，年均水质类别为Ⅲ类，水质状况为良好，同比有所下降。原种厂断面，年均水质类别为Ⅱ类，水质状况为优，同比有所好转。双阳河拜泉县断面，年均水质类别为Ⅲ类，水质状况为良好，同比有所好转。龙安桥断面，年均水质类别为Ⅳ类，水质状况为轻度污染，同比无明显变化。</w:t>
      </w:r>
    </w:p>
    <w:p w14:paraId="3AAAD60C">
      <w:pPr>
        <w:widowControl w:val="0"/>
        <w:autoSpaceDE w:val="0"/>
        <w:autoSpaceDN w:val="0"/>
        <w:adjustRightInd w:val="0"/>
        <w:spacing w:line="360" w:lineRule="auto"/>
        <w:rPr>
          <w:rFonts w:hint="eastAsia" w:ascii="Times New Roman" w:hAnsi="Times New Roman" w:cs="Times New Roman"/>
          <w:lang w:bidi="ar"/>
        </w:rPr>
      </w:pPr>
      <w:r>
        <w:rPr>
          <w:rFonts w:hint="eastAsia" w:ascii="Times New Roman" w:hAnsi="Times New Roman" w:cs="Times New Roman"/>
          <w:lang w:bidi="ar"/>
        </w:rPr>
        <w:t>　尼尔基水库  库尾断面，年均水质类别为Ⅳ类，中营养，同比无明显变化。</w:t>
      </w:r>
    </w:p>
    <w:p w14:paraId="7ED60DE1">
      <w:pPr>
        <w:widowControl w:val="0"/>
        <w:autoSpaceDE w:val="0"/>
        <w:autoSpaceDN w:val="0"/>
        <w:adjustRightInd w:val="0"/>
        <w:spacing w:line="360" w:lineRule="auto"/>
        <w:rPr>
          <w:rFonts w:hint="eastAsia" w:ascii="Times New Roman" w:hAnsi="Times New Roman" w:cs="Times New Roman"/>
          <w:lang w:bidi="ar"/>
        </w:rPr>
      </w:pPr>
      <w:r>
        <w:rPr>
          <w:rFonts w:hint="eastAsia" w:ascii="Times New Roman" w:hAnsi="Times New Roman" w:cs="Times New Roman"/>
          <w:lang w:bidi="ar"/>
        </w:rPr>
        <w:t>　扎龙湖  扎龙湖断面，年均水质类别为Ⅴ类，中营养，同比无明显变化。</w:t>
      </w:r>
    </w:p>
    <w:p w14:paraId="4FC70B28">
      <w:pPr>
        <w:pStyle w:val="4"/>
      </w:pPr>
      <w:r>
        <w:t>9.5.3噪声现状评价结论</w:t>
      </w:r>
      <w:bookmarkEnd w:id="538"/>
      <w:bookmarkEnd w:id="539"/>
      <w:bookmarkEnd w:id="540"/>
    </w:p>
    <w:p w14:paraId="62A4C29F">
      <w:pPr>
        <w:spacing w:line="360" w:lineRule="auto"/>
        <w:ind w:firstLine="480" w:firstLineChars="200"/>
      </w:pPr>
      <w:bookmarkStart w:id="541" w:name="_Toc490466603"/>
      <w:bookmarkStart w:id="542" w:name="_Toc32515"/>
      <w:r>
        <w:t>由监测结果表可知，</w:t>
      </w:r>
      <w:r>
        <w:rPr>
          <w:rFonts w:hint="eastAsia"/>
          <w:lang w:eastAsia="zh-CN"/>
        </w:rPr>
        <w:t>本项目</w:t>
      </w:r>
      <w:r>
        <w:rPr>
          <w:spacing w:val="-5"/>
        </w:rPr>
        <w:t>厂界</w:t>
      </w:r>
      <w:r>
        <w:t>噪声可以满足《声环境质量标准》（GB3096-2008）中的</w:t>
      </w:r>
      <w:r>
        <w:rPr>
          <w:rFonts w:hint="eastAsia"/>
          <w:lang w:eastAsia="zh-CN"/>
        </w:rPr>
        <w:t>3类</w:t>
      </w:r>
      <w:r>
        <w:t>标准：昼间6</w:t>
      </w:r>
      <w:r>
        <w:rPr>
          <w:rFonts w:hint="eastAsia"/>
          <w:lang w:val="en-US" w:eastAsia="zh-CN"/>
        </w:rPr>
        <w:t>5</w:t>
      </w:r>
      <w:r>
        <w:t>dB(A)，夜间5</w:t>
      </w:r>
      <w:r>
        <w:rPr>
          <w:rFonts w:hint="eastAsia"/>
          <w:lang w:val="en-US" w:eastAsia="zh-CN"/>
        </w:rPr>
        <w:t>5</w:t>
      </w:r>
      <w:r>
        <w:t>dB(A)。</w:t>
      </w:r>
      <w:r>
        <w:rPr>
          <w:rFonts w:hint="eastAsia"/>
          <w:lang w:val="en-US" w:eastAsia="zh-CN"/>
        </w:rPr>
        <w:t>敏感目标居民区可以满足</w:t>
      </w:r>
      <w:r>
        <w:t>《声环境质量标准》（GB3096-2008）中的</w:t>
      </w:r>
      <w:r>
        <w:rPr>
          <w:rFonts w:hint="eastAsia"/>
          <w:lang w:val="en-US" w:eastAsia="zh-CN"/>
        </w:rPr>
        <w:t>1</w:t>
      </w:r>
      <w:r>
        <w:t>类标准：昼间</w:t>
      </w:r>
      <w:r>
        <w:rPr>
          <w:rFonts w:hint="eastAsia"/>
          <w:lang w:val="en-US" w:eastAsia="zh-CN"/>
        </w:rPr>
        <w:t>55</w:t>
      </w:r>
      <w:r>
        <w:t>dB(A)，夜间</w:t>
      </w:r>
      <w:r>
        <w:rPr>
          <w:rFonts w:hint="eastAsia"/>
          <w:lang w:val="en-US" w:eastAsia="zh-CN"/>
        </w:rPr>
        <w:t>45</w:t>
      </w:r>
      <w:r>
        <w:t>dB(A)。</w:t>
      </w:r>
    </w:p>
    <w:p w14:paraId="0ED42378">
      <w:pPr>
        <w:pStyle w:val="4"/>
      </w:pPr>
      <w:r>
        <w:t>9.5.4土壤质量现状</w:t>
      </w:r>
    </w:p>
    <w:p w14:paraId="2FEDC97C">
      <w:pPr>
        <w:spacing w:line="360" w:lineRule="auto"/>
        <w:ind w:firstLine="480" w:firstLineChars="200"/>
      </w:pPr>
      <w:r>
        <w:rPr>
          <w:rFonts w:hint="eastAsia"/>
          <w:color w:val="auto"/>
          <w:lang w:val="en-US" w:eastAsia="zh-CN"/>
        </w:rPr>
        <w:t>本项目所在区域土壤环境监测值满足《土壤环境质量建设用地土壤污染风险管控标准》（试行）（GB36600-2018）中第二类用地筛选值标准和《</w:t>
      </w:r>
      <w:r>
        <w:rPr>
          <w:rFonts w:hint="default"/>
          <w:color w:val="auto"/>
          <w:lang w:val="en-US" w:eastAsia="zh-CN"/>
        </w:rPr>
        <w:t>土壤环境质量农用地风险管控标准</w:t>
      </w:r>
      <w:r>
        <w:rPr>
          <w:rFonts w:hint="eastAsia"/>
          <w:color w:val="auto"/>
          <w:lang w:val="en-US" w:eastAsia="zh-CN"/>
        </w:rPr>
        <w:t>》（试行）（</w:t>
      </w:r>
      <w:r>
        <w:rPr>
          <w:rFonts w:hint="default"/>
          <w:color w:val="auto"/>
          <w:lang w:val="en-US" w:eastAsia="zh-CN"/>
        </w:rPr>
        <w:t>GB15618-2018</w:t>
      </w:r>
      <w:r>
        <w:rPr>
          <w:rFonts w:hint="eastAsia"/>
          <w:color w:val="auto"/>
          <w:lang w:val="en-US" w:eastAsia="zh-CN"/>
        </w:rPr>
        <w:t>）中风险筛选值中的其他标准，土壤质量状况良好；土壤 pH 属于 5.5-8.5 范围， 土壤现状为“未盐化”、“无酸化或碱化”。</w:t>
      </w:r>
    </w:p>
    <w:bookmarkEnd w:id="541"/>
    <w:bookmarkEnd w:id="542"/>
    <w:p w14:paraId="2FBAA6EF">
      <w:pPr>
        <w:pStyle w:val="3"/>
      </w:pPr>
      <w:bookmarkStart w:id="543" w:name="_Toc16506"/>
      <w:bookmarkStart w:id="544" w:name="_Toc26469"/>
      <w:bookmarkStart w:id="545" w:name="_Toc3930"/>
      <w:bookmarkStart w:id="546" w:name="_Toc31043"/>
      <w:bookmarkStart w:id="547" w:name="_Toc490466604"/>
      <w:bookmarkStart w:id="548" w:name="_Toc32573"/>
      <w:r>
        <w:t>9.6</w:t>
      </w:r>
      <w:bookmarkEnd w:id="543"/>
      <w:bookmarkEnd w:id="544"/>
      <w:bookmarkEnd w:id="545"/>
      <w:bookmarkEnd w:id="546"/>
      <w:bookmarkEnd w:id="547"/>
      <w:r>
        <w:t>环境污染防治措施结论</w:t>
      </w:r>
      <w:bookmarkEnd w:id="548"/>
    </w:p>
    <w:p w14:paraId="1562C718">
      <w:pPr>
        <w:pStyle w:val="4"/>
      </w:pPr>
      <w:bookmarkStart w:id="549" w:name="_Toc490466605"/>
      <w:bookmarkStart w:id="550" w:name="_Toc22146"/>
      <w:r>
        <w:t>9.6.1 废水</w:t>
      </w:r>
      <w:bookmarkEnd w:id="549"/>
      <w:bookmarkEnd w:id="550"/>
      <w:r>
        <w:t>污染防治措施</w:t>
      </w:r>
    </w:p>
    <w:p w14:paraId="5504105E">
      <w:pPr>
        <w:spacing w:line="360" w:lineRule="auto"/>
        <w:ind w:firstLine="480" w:firstLineChars="200"/>
        <w:rPr>
          <w:rFonts w:ascii="Times New Roman" w:hAnsi="Times New Roman" w:cs="Times New Roman"/>
          <w:sz w:val="24"/>
        </w:rPr>
      </w:pPr>
      <w:bookmarkStart w:id="551" w:name="_Toc27025"/>
      <w:bookmarkStart w:id="552" w:name="_Toc490466606"/>
      <w:r>
        <w:rPr>
          <w:rFonts w:hint="eastAsia" w:ascii="Times New Roman" w:hAnsi="Times New Roman" w:cs="Times New Roman"/>
          <w:sz w:val="24"/>
          <w:lang w:val="en-US" w:eastAsia="zh-CN"/>
        </w:rPr>
        <w:t>生产废水</w:t>
      </w:r>
      <w:r>
        <w:rPr>
          <w:rFonts w:ascii="Times New Roman" w:hAnsi="Times New Roman" w:cs="Times New Roman"/>
          <w:sz w:val="24"/>
          <w:lang w:val="en-GB"/>
        </w:rPr>
        <w:t>处理达到</w:t>
      </w:r>
      <w:r>
        <w:rPr>
          <w:rFonts w:ascii="Times New Roman" w:hAnsi="Times New Roman" w:cs="Times New Roman"/>
          <w:sz w:val="24"/>
        </w:rPr>
        <w:t>《城镇污水处理厂污染物排放标准》（GB18918-2002）中的一级A标准后，</w:t>
      </w:r>
      <w:r>
        <w:rPr>
          <w:rFonts w:hint="eastAsia" w:cs="Times New Roman"/>
          <w:sz w:val="24"/>
          <w:lang w:eastAsia="zh-CN"/>
        </w:rPr>
        <w:t>经拉哈生物技术与化学制药产业园区污水处理厂入河排污口排入到嫩江</w:t>
      </w:r>
      <w:r>
        <w:rPr>
          <w:rFonts w:ascii="Times New Roman" w:hAnsi="Times New Roman" w:cs="Times New Roman"/>
          <w:sz w:val="24"/>
        </w:rPr>
        <w:t>。</w:t>
      </w:r>
    </w:p>
    <w:p w14:paraId="46A6A8DF">
      <w:pPr>
        <w:pStyle w:val="4"/>
      </w:pPr>
      <w:r>
        <w:t>9.6.2 废气</w:t>
      </w:r>
      <w:bookmarkEnd w:id="551"/>
      <w:bookmarkEnd w:id="552"/>
      <w:r>
        <w:t>污染防治措施</w:t>
      </w:r>
    </w:p>
    <w:p w14:paraId="770C3F54">
      <w:pPr>
        <w:spacing w:line="360" w:lineRule="auto"/>
        <w:ind w:firstLine="476" w:firstLineChars="200"/>
        <w:rPr>
          <w:rFonts w:hint="eastAsia" w:ascii="Times New Roman" w:hAnsi="Times New Roman" w:cs="Times New Roman"/>
          <w:color w:val="000000" w:themeColor="text1"/>
          <w:lang w:val="en-US" w:eastAsia="zh-CN"/>
          <w14:textFill>
            <w14:solidFill>
              <w14:schemeClr w14:val="tx1"/>
            </w14:solidFill>
          </w14:textFill>
        </w:rPr>
      </w:pPr>
      <w:bookmarkStart w:id="553" w:name="_Toc490466607"/>
      <w:bookmarkStart w:id="554" w:name="_Toc17317"/>
      <w:r>
        <w:rPr>
          <w:rFonts w:hint="eastAsia" w:cs="Times New Roman"/>
          <w:color w:val="000000" w:themeColor="text1"/>
          <w:spacing w:val="-1"/>
          <w:sz w:val="24"/>
          <w:szCs w:val="24"/>
          <w:lang w:val="en-US" w:eastAsia="zh-CN"/>
          <w14:textFill>
            <w14:solidFill>
              <w14:schemeClr w14:val="tx1"/>
            </w14:solidFill>
          </w14:textFill>
        </w:rPr>
        <w:t>玉米粉碎过程产生的颗粒物经过布袋除尘器除尘后经过9个22.5m高排气筒</w:t>
      </w:r>
      <w:r>
        <w:rPr>
          <w:rFonts w:hint="eastAsia" w:ascii="Times New Roman" w:hAnsi="Times New Roman" w:cs="Times New Roman"/>
          <w:color w:val="000000" w:themeColor="text1"/>
          <w:lang w:val="en-US" w:eastAsia="zh-CN"/>
          <w14:textFill>
            <w14:solidFill>
              <w14:schemeClr w14:val="tx1"/>
            </w14:solidFill>
          </w14:textFill>
        </w:rPr>
        <w:t>（DA005-DA010、DA014、DA015、DA040）排放和13</w:t>
      </w:r>
      <w:r>
        <w:rPr>
          <w:rFonts w:hint="eastAsia" w:cs="Times New Roman"/>
          <w:color w:val="000000" w:themeColor="text1"/>
          <w:spacing w:val="-1"/>
          <w:sz w:val="24"/>
          <w:szCs w:val="24"/>
          <w:lang w:val="en-US" w:eastAsia="zh-CN"/>
          <w14:textFill>
            <w14:solidFill>
              <w14:schemeClr w14:val="tx1"/>
            </w14:solidFill>
          </w14:textFill>
        </w:rPr>
        <w:t>个25m高排气筒</w:t>
      </w:r>
      <w:r>
        <w:rPr>
          <w:rFonts w:hint="eastAsia" w:ascii="Times New Roman" w:hAnsi="Times New Roman" w:cs="Times New Roman"/>
          <w:color w:val="000000" w:themeColor="text1"/>
          <w:lang w:val="en-US" w:eastAsia="zh-CN"/>
          <w14:textFill>
            <w14:solidFill>
              <w14:schemeClr w14:val="tx1"/>
            </w14:solidFill>
          </w14:textFill>
        </w:rPr>
        <w:t>（</w:t>
      </w:r>
      <w:r>
        <w:rPr>
          <w:rFonts w:hint="eastAsia" w:cs="Times New Roman"/>
          <w:color w:val="000000" w:themeColor="text1"/>
          <w:lang w:val="en-US" w:eastAsia="zh-CN"/>
          <w14:textFill>
            <w14:solidFill>
              <w14:schemeClr w14:val="tx1"/>
            </w14:solidFill>
          </w14:textFill>
        </w:rPr>
        <w:t>DA018-DA029</w:t>
      </w:r>
      <w:r>
        <w:rPr>
          <w:rFonts w:hint="eastAsia" w:ascii="Times New Roman" w:hAnsi="Times New Roman" w:cs="Times New Roman"/>
          <w:color w:val="000000" w:themeColor="text1"/>
          <w:lang w:val="en-US" w:eastAsia="zh-CN"/>
          <w14:textFill>
            <w14:solidFill>
              <w14:schemeClr w14:val="tx1"/>
            </w14:solidFill>
          </w14:textFill>
        </w:rPr>
        <w:t>、DA035）排放。</w:t>
      </w:r>
    </w:p>
    <w:p w14:paraId="6A27581C">
      <w:pPr>
        <w:spacing w:line="360" w:lineRule="auto"/>
        <w:ind w:firstLine="480" w:firstLineChars="200"/>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发酵车间CO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工艺</w:t>
      </w:r>
      <w:r>
        <w:rPr>
          <w:rFonts w:hint="default" w:ascii="Times New Roman" w:hAnsi="Times New Roman" w:cs="Times New Roman"/>
          <w:color w:val="000000" w:themeColor="text1"/>
          <w:lang w:val="en-US" w:eastAsia="zh-CN"/>
          <w14:textFill>
            <w14:solidFill>
              <w14:schemeClr w14:val="tx1"/>
            </w14:solidFill>
          </w14:textFill>
        </w:rPr>
        <w:t>产生的</w:t>
      </w:r>
      <w:r>
        <w:rPr>
          <w:rFonts w:hint="eastAsia" w:cs="Times New Roman"/>
          <w:color w:val="000000" w:themeColor="text1"/>
          <w:lang w:val="en-US" w:eastAsia="zh-CN"/>
          <w14:textFill>
            <w14:solidFill>
              <w14:schemeClr w14:val="tx1"/>
            </w14:solidFill>
          </w14:textFill>
        </w:rPr>
        <w:t>非甲烷总烃及臭气浓度</w:t>
      </w:r>
      <w:r>
        <w:rPr>
          <w:rFonts w:hint="eastAsia" w:cs="Times New Roman"/>
          <w:color w:val="000000" w:themeColor="text1"/>
          <w:spacing w:val="-1"/>
          <w:sz w:val="24"/>
          <w:szCs w:val="24"/>
          <w:lang w:val="en-US" w:eastAsia="zh-CN"/>
          <w14:textFill>
            <w14:solidFill>
              <w14:schemeClr w14:val="tx1"/>
            </w14:solidFill>
          </w14:textFill>
        </w:rPr>
        <w:t>由</w:t>
      </w:r>
      <w:r>
        <w:rPr>
          <w:rFonts w:hint="eastAsia"/>
          <w:color w:val="000000" w:themeColor="text1"/>
          <w:lang w:val="en-US" w:eastAsia="zh-CN"/>
          <w14:textFill>
            <w14:solidFill>
              <w14:schemeClr w14:val="tx1"/>
            </w14:solidFill>
          </w14:textFill>
        </w:rPr>
        <w:t>CO</w:t>
      </w:r>
      <w:r>
        <w:rPr>
          <w:rFonts w:hint="eastAsia"/>
          <w:color w:val="000000" w:themeColor="text1"/>
          <w:vertAlign w:val="subscript"/>
          <w:lang w:val="en-US" w:eastAsia="zh-CN"/>
          <w14:textFill>
            <w14:solidFill>
              <w14:schemeClr w14:val="tx1"/>
            </w14:solidFill>
          </w14:textFill>
        </w:rPr>
        <w:t>2</w:t>
      </w:r>
      <w:r>
        <w:rPr>
          <w:rFonts w:hint="eastAsia"/>
          <w:color w:val="000000" w:themeColor="text1"/>
          <w:lang w:val="en-US" w:eastAsia="zh-CN"/>
          <w14:textFill>
            <w14:solidFill>
              <w14:schemeClr w14:val="tx1"/>
            </w14:solidFill>
          </w14:textFill>
        </w:rPr>
        <w:t>洗涤塔</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处理后经</w:t>
      </w:r>
      <w:r>
        <w:rPr>
          <w:rFonts w:hint="eastAsia" w:cs="Times New Roman"/>
          <w:color w:val="000000" w:themeColor="text1"/>
          <w:spacing w:val="-1"/>
          <w:sz w:val="24"/>
          <w:szCs w:val="24"/>
          <w:lang w:val="en-US" w:eastAsia="zh-CN"/>
          <w14:textFill>
            <w14:solidFill>
              <w14:schemeClr w14:val="tx1"/>
            </w14:solidFill>
          </w14:textFill>
        </w:rPr>
        <w:t>4个15</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m高排气筒</w:t>
      </w:r>
      <w:r>
        <w:rPr>
          <w:rFonts w:hint="eastAsia"/>
          <w:color w:val="000000" w:themeColor="text1"/>
          <w:lang w:val="en-US" w:eastAsia="zh-CN"/>
          <w14:textFill>
            <w14:solidFill>
              <w14:schemeClr w14:val="tx1"/>
            </w14:solidFill>
          </w14:textFill>
        </w:rPr>
        <w:t>（DA002、DA032、DA041、DA042）</w:t>
      </w:r>
      <w:r>
        <w:rPr>
          <w:rFonts w:hint="default" w:ascii="Times New Roman" w:hAnsi="Times New Roman" w:eastAsia="宋体" w:cs="Times New Roman"/>
          <w:color w:val="000000" w:themeColor="text1"/>
          <w:spacing w:val="-1"/>
          <w:sz w:val="24"/>
          <w:szCs w:val="24"/>
          <w:lang w:val="en-US" w:eastAsia="zh-CN"/>
          <w14:textFill>
            <w14:solidFill>
              <w14:schemeClr w14:val="tx1"/>
            </w14:solidFill>
          </w14:textFill>
        </w:rPr>
        <w:t>排放。</w:t>
      </w:r>
    </w:p>
    <w:p w14:paraId="037A24F1">
      <w:pPr>
        <w:spacing w:line="360" w:lineRule="auto"/>
        <w:ind w:firstLine="480" w:firstLineChars="200"/>
        <w:rPr>
          <w:rFonts w:hint="default"/>
        </w:rPr>
      </w:pPr>
      <w:r>
        <w:rPr>
          <w:rFonts w:ascii="Times New Roman" w:hAnsi="Times New Roman" w:cs="Times New Roman"/>
          <w:sz w:val="24"/>
        </w:rPr>
        <w:t>污水处理站污泥脱水间全封闭</w:t>
      </w:r>
      <w:r>
        <w:rPr>
          <w:rFonts w:hint="eastAsia"/>
          <w:lang w:eastAsia="zh-CN"/>
        </w:rPr>
        <w:t>，并</w:t>
      </w:r>
      <w:r>
        <w:rPr>
          <w:rFonts w:hint="default"/>
        </w:rPr>
        <w:t>设置集排风装置（</w:t>
      </w:r>
      <w:r>
        <w:rPr>
          <w:rFonts w:hint="eastAsia"/>
          <w:lang w:eastAsia="zh-CN"/>
        </w:rPr>
        <w:t>捕集效率80%</w:t>
      </w:r>
      <w:r>
        <w:rPr>
          <w:rFonts w:hint="default"/>
        </w:rPr>
        <w:t>），收集的恶臭气体通过</w:t>
      </w:r>
      <w:r>
        <w:rPr>
          <w:rFonts w:hint="eastAsia"/>
        </w:rPr>
        <w:t>活性炭吸附</w:t>
      </w:r>
      <w:r>
        <w:rPr>
          <w:rFonts w:hint="default"/>
        </w:rPr>
        <w:t>净化处理后排放</w:t>
      </w:r>
      <w:r>
        <w:rPr>
          <w:rFonts w:hint="eastAsia"/>
        </w:rPr>
        <w:t>，</w:t>
      </w:r>
      <w:r>
        <w:rPr>
          <w:rFonts w:hint="default"/>
        </w:rPr>
        <w:t>净化效率不低于</w:t>
      </w:r>
      <w:r>
        <w:rPr>
          <w:rFonts w:hint="eastAsia"/>
        </w:rPr>
        <w:t>90</w:t>
      </w:r>
      <w:r>
        <w:rPr>
          <w:rFonts w:hint="default"/>
        </w:rPr>
        <w:t>%</w:t>
      </w:r>
      <w:r>
        <w:rPr>
          <w:rFonts w:hint="eastAsia"/>
        </w:rPr>
        <w:t>，</w:t>
      </w:r>
      <w:r>
        <w:rPr>
          <w:rFonts w:hint="eastAsia"/>
          <w:lang w:eastAsia="zh-CN"/>
        </w:rPr>
        <w:t>污水处理站</w:t>
      </w:r>
      <w:r>
        <w:rPr>
          <w:rFonts w:hint="default"/>
        </w:rPr>
        <w:t>设置排气筒一个（15m）。</w:t>
      </w:r>
    </w:p>
    <w:p w14:paraId="23ED3A5A">
      <w:pPr>
        <w:pStyle w:val="4"/>
        <w:rPr>
          <w:rFonts w:hint="default" w:eastAsia="宋体"/>
          <w:lang w:val="en-US" w:eastAsia="zh-CN"/>
        </w:rPr>
      </w:pPr>
      <w:r>
        <w:t>9.6.3 噪声</w:t>
      </w:r>
      <w:bookmarkEnd w:id="553"/>
      <w:bookmarkEnd w:id="554"/>
      <w:r>
        <w:rPr>
          <w:rFonts w:hint="eastAsia"/>
          <w:lang w:val="en-US" w:eastAsia="zh-CN"/>
        </w:rPr>
        <w:t>污染防治措施</w:t>
      </w:r>
    </w:p>
    <w:p w14:paraId="4AAFA3AA">
      <w:pPr>
        <w:spacing w:line="360" w:lineRule="auto"/>
        <w:ind w:firstLine="480" w:firstLineChars="200"/>
      </w:pPr>
      <w:bookmarkStart w:id="555" w:name="_Toc490466608"/>
      <w:bookmarkStart w:id="556" w:name="_Toc917"/>
      <w:r>
        <w:t>本项目噪声主要为设备噪声，包括提升水泵、回流泵、鼓风机等，噪声源强一般在80～95dB(A)之间，主要通过设备实体、流体、空气等进行传播，为此做好设备的减振和噪声声源的节制与防护工作将是十分必要。</w:t>
      </w:r>
    </w:p>
    <w:p w14:paraId="098E7AAB">
      <w:pPr>
        <w:spacing w:line="360" w:lineRule="auto"/>
        <w:ind w:firstLine="480" w:firstLineChars="200"/>
      </w:pPr>
      <w:r>
        <w:t>因此，本环评要求建设单位在进行的安装设计时应采用如下隔振及消声办法：</w:t>
      </w:r>
    </w:p>
    <w:p w14:paraId="0296FAE4">
      <w:pPr>
        <w:spacing w:line="360" w:lineRule="auto"/>
        <w:ind w:firstLine="480" w:firstLineChars="200"/>
      </w:pPr>
      <w:r>
        <w:t>（1）从源头控制噪声污染：</w:t>
      </w:r>
    </w:p>
    <w:p w14:paraId="7DCC7553">
      <w:pPr>
        <w:spacing w:line="360" w:lineRule="auto"/>
        <w:ind w:firstLine="480" w:firstLineChars="200"/>
      </w:pPr>
      <w:r>
        <w:rPr>
          <w:rFonts w:hint="eastAsia"/>
        </w:rPr>
        <w:t>①</w:t>
      </w:r>
      <w:r>
        <w:t>工艺设计中选用低噪音的设备；</w:t>
      </w:r>
    </w:p>
    <w:p w14:paraId="4BA09492">
      <w:pPr>
        <w:spacing w:line="360" w:lineRule="auto"/>
        <w:ind w:firstLine="480" w:firstLineChars="200"/>
      </w:pPr>
      <w:r>
        <w:rPr>
          <w:rFonts w:hint="eastAsia"/>
        </w:rPr>
        <w:t>②</w:t>
      </w:r>
      <w:r>
        <w:t>厂区布置合理，使噪声较大的车间远离厂界。</w:t>
      </w:r>
    </w:p>
    <w:p w14:paraId="59F4801E">
      <w:pPr>
        <w:spacing w:line="360" w:lineRule="auto"/>
        <w:ind w:firstLine="480" w:firstLineChars="200"/>
      </w:pPr>
      <w:r>
        <w:t>（2）从传播途径控制噪声污染：</w:t>
      </w:r>
    </w:p>
    <w:p w14:paraId="25FAC5C5">
      <w:pPr>
        <w:spacing w:line="360" w:lineRule="auto"/>
        <w:ind w:firstLine="480" w:firstLineChars="200"/>
      </w:pPr>
      <w:r>
        <w:rPr>
          <w:rFonts w:hint="eastAsia"/>
        </w:rPr>
        <w:t>①</w:t>
      </w:r>
      <w:r>
        <w:t>对设备采取基础减振、加装消声器、隔音罩等措施，必要时采取地下或半地下安装，以降低车间内噪声向环境辐射；</w:t>
      </w:r>
    </w:p>
    <w:p w14:paraId="56AAB37E">
      <w:pPr>
        <w:spacing w:line="360" w:lineRule="auto"/>
        <w:ind w:firstLine="480" w:firstLineChars="200"/>
      </w:pPr>
      <w:r>
        <w:rPr>
          <w:rFonts w:hint="eastAsia"/>
        </w:rPr>
        <w:t>②</w:t>
      </w:r>
      <w:r>
        <w:t>对于噪音较高的设备，应建筑专门的隔音间，安装隔音门窗。</w:t>
      </w:r>
    </w:p>
    <w:p w14:paraId="06DA2E6E">
      <w:pPr>
        <w:spacing w:line="360" w:lineRule="auto"/>
        <w:ind w:firstLine="480" w:firstLineChars="200"/>
      </w:pPr>
      <w:r>
        <w:rPr>
          <w:rFonts w:hint="eastAsia"/>
        </w:rPr>
        <w:t>③</w:t>
      </w:r>
      <w:r>
        <w:t>加强厂区、厂界绿化，利用建筑物及绿化来阻隔噪声的传播。</w:t>
      </w:r>
    </w:p>
    <w:p w14:paraId="79683DD7">
      <w:pPr>
        <w:spacing w:line="360" w:lineRule="auto"/>
        <w:ind w:firstLine="480" w:firstLineChars="200"/>
      </w:pPr>
      <w:r>
        <w:t>（3）从噪声受体方面减小噪声影响：</w:t>
      </w:r>
    </w:p>
    <w:p w14:paraId="7D663D2C">
      <w:pPr>
        <w:spacing w:line="360" w:lineRule="auto"/>
        <w:ind w:firstLine="480" w:firstLineChars="200"/>
      </w:pPr>
      <w:r>
        <w:rPr>
          <w:rFonts w:hint="eastAsia"/>
        </w:rPr>
        <w:t>①</w:t>
      </w:r>
      <w:r>
        <w:t>保证操作工人暴露于高噪音环境的时间低于8小时；</w:t>
      </w:r>
    </w:p>
    <w:p w14:paraId="02A87C82">
      <w:pPr>
        <w:spacing w:line="360" w:lineRule="auto"/>
        <w:ind w:firstLine="480" w:firstLineChars="200"/>
      </w:pPr>
      <w:r>
        <w:rPr>
          <w:rFonts w:hint="eastAsia"/>
        </w:rPr>
        <w:t>②</w:t>
      </w:r>
      <w:r>
        <w:t>项目内部职工休息区规划位置远离生产区，且房间窗户均安装双层中空隔音玻璃；</w:t>
      </w:r>
    </w:p>
    <w:p w14:paraId="5217D4A1">
      <w:pPr>
        <w:spacing w:line="360" w:lineRule="auto"/>
        <w:ind w:firstLine="480" w:firstLineChars="200"/>
      </w:pPr>
      <w:r>
        <w:t>通过采取以上措施后，项目厂界处的噪声预测值可以满足《工业企业厂界环境噪声排放标准》（GB12348-2008）中的3类标准，对周围环境影响较小，噪声防治措施合理可行。</w:t>
      </w:r>
    </w:p>
    <w:p w14:paraId="7EF38BB6">
      <w:pPr>
        <w:pStyle w:val="4"/>
        <w:rPr>
          <w:rFonts w:hint="default" w:eastAsia="宋体"/>
          <w:lang w:val="en-US" w:eastAsia="zh-CN"/>
        </w:rPr>
      </w:pPr>
      <w:r>
        <w:t>9.6.4 固体废物</w:t>
      </w:r>
      <w:bookmarkEnd w:id="555"/>
      <w:bookmarkEnd w:id="556"/>
      <w:r>
        <w:rPr>
          <w:rFonts w:hint="eastAsia"/>
          <w:lang w:val="en-US" w:eastAsia="zh-CN"/>
        </w:rPr>
        <w:t>污染防治措施</w:t>
      </w:r>
    </w:p>
    <w:p w14:paraId="59D8F459">
      <w:pPr>
        <w:numPr>
          <w:ilvl w:val="0"/>
          <w:numId w:val="0"/>
        </w:numPr>
        <w:spacing w:line="360" w:lineRule="auto"/>
        <w:ind w:firstLine="480" w:firstLineChars="200"/>
        <w:jc w:val="left"/>
        <w:rPr>
          <w:rFonts w:hint="eastAsia" w:cs="Times New Roman"/>
          <w:lang w:val="en-US" w:eastAsia="zh-CN" w:bidi="ar"/>
        </w:rPr>
      </w:pPr>
      <w:bookmarkStart w:id="557" w:name="_Toc21908"/>
      <w:bookmarkStart w:id="558" w:name="_Toc14923"/>
      <w:bookmarkStart w:id="559" w:name="_Toc1660"/>
      <w:bookmarkStart w:id="560" w:name="_Toc490466625"/>
      <w:bookmarkStart w:id="561" w:name="_Toc30964"/>
      <w:r>
        <w:rPr>
          <w:rFonts w:hint="eastAsia" w:cs="Times New Roman"/>
          <w:lang w:val="en-US" w:eastAsia="zh-CN" w:bidi="ar"/>
        </w:rPr>
        <w:t>本项目产生的污泥</w:t>
      </w:r>
      <w:r>
        <w:rPr>
          <w:rFonts w:hint="eastAsia" w:ascii="Times New Roman" w:hAnsi="Times New Roman" w:eastAsia="宋体" w:cs="Times New Roman"/>
          <w:color w:val="auto"/>
          <w:lang w:val="en-US" w:eastAsia="zh-CN"/>
        </w:rPr>
        <w:t>掺混入燃煤进入锅炉燃烧</w:t>
      </w:r>
      <w:r>
        <w:rPr>
          <w:rFonts w:hint="eastAsia" w:cs="Times New Roman"/>
          <w:lang w:eastAsia="zh-CN" w:bidi="ar"/>
        </w:rPr>
        <w:t>，</w:t>
      </w:r>
      <w:r>
        <w:rPr>
          <w:rFonts w:hint="eastAsia" w:cs="Times New Roman"/>
          <w:lang w:val="en-US" w:eastAsia="zh-CN" w:bidi="ar"/>
        </w:rPr>
        <w:t>废活性炭由生产厂家统一回收处置。</w:t>
      </w:r>
    </w:p>
    <w:p w14:paraId="622EEB31">
      <w:pPr>
        <w:pStyle w:val="4"/>
        <w:rPr>
          <w:rFonts w:hint="eastAsia"/>
          <w:lang w:val="en-US" w:eastAsia="zh-CN"/>
        </w:rPr>
      </w:pPr>
      <w:r>
        <w:t>9.6.</w:t>
      </w:r>
      <w:r>
        <w:rPr>
          <w:rFonts w:hint="eastAsia"/>
          <w:lang w:val="en-US" w:eastAsia="zh-CN"/>
        </w:rPr>
        <w:t>5</w:t>
      </w:r>
      <w:r>
        <w:t xml:space="preserve"> </w:t>
      </w:r>
      <w:r>
        <w:rPr>
          <w:rFonts w:hint="eastAsia"/>
          <w:lang w:val="en-US" w:eastAsia="zh-CN"/>
        </w:rPr>
        <w:t>地下水污染防治措施</w:t>
      </w:r>
    </w:p>
    <w:p w14:paraId="7508689D">
      <w:pPr>
        <w:numPr>
          <w:ilvl w:val="0"/>
          <w:numId w:val="0"/>
        </w:numPr>
        <w:spacing w:line="360" w:lineRule="auto"/>
        <w:ind w:firstLine="480" w:firstLineChars="200"/>
        <w:jc w:val="left"/>
        <w:rPr>
          <w:rFonts w:hint="eastAsia" w:cs="Times New Roman"/>
          <w:lang w:val="en-US" w:eastAsia="zh-CN" w:bidi="ar"/>
        </w:rPr>
      </w:pPr>
      <w:r>
        <w:rPr>
          <w:rFonts w:hint="eastAsia" w:cs="Times New Roman"/>
          <w:lang w:val="en-US" w:eastAsia="zh-CN" w:bidi="ar"/>
        </w:rPr>
        <w:t>本项目重点防渗区包括污水处理厂各池体，防渗措施采用防渗混凝土，防渗技术要求达到等效粘土防渗层Mb≥6.0m，K≤1×10</w:t>
      </w:r>
      <w:r>
        <w:rPr>
          <w:rFonts w:hint="eastAsia" w:cs="Times New Roman"/>
          <w:vertAlign w:val="superscript"/>
          <w:lang w:val="en-US" w:eastAsia="zh-CN" w:bidi="ar"/>
        </w:rPr>
        <w:t>-7</w:t>
      </w:r>
      <w:r>
        <w:rPr>
          <w:rFonts w:hint="eastAsia" w:cs="Times New Roman"/>
          <w:lang w:val="en-US" w:eastAsia="zh-CN" w:bidi="ar"/>
        </w:rPr>
        <w:t>cm/s；或者2mm厚高密度聚乙烯及其它人工材料，渗透系数K≤1×10</w:t>
      </w:r>
      <w:r>
        <w:rPr>
          <w:rFonts w:hint="eastAsia" w:cs="Times New Roman"/>
          <w:vertAlign w:val="superscript"/>
          <w:lang w:val="en-US" w:eastAsia="zh-CN" w:bidi="ar"/>
        </w:rPr>
        <w:t>-10</w:t>
      </w:r>
      <w:r>
        <w:rPr>
          <w:rFonts w:hint="eastAsia" w:cs="Times New Roman"/>
          <w:lang w:val="en-US" w:eastAsia="zh-CN" w:bidi="ar"/>
        </w:rPr>
        <w:t>cm/s。依托原有项目内设置1眼地下水环境影响监测井。</w:t>
      </w:r>
    </w:p>
    <w:p w14:paraId="434E6125">
      <w:pPr>
        <w:pStyle w:val="4"/>
        <w:rPr>
          <w:rFonts w:hint="eastAsia"/>
          <w:lang w:val="en-US" w:eastAsia="zh-CN"/>
        </w:rPr>
      </w:pPr>
      <w:r>
        <w:rPr>
          <w:rFonts w:hint="eastAsia"/>
          <w:lang w:val="en-US" w:eastAsia="zh-CN"/>
        </w:rPr>
        <w:t>9.6.6 土壤污染防治措施</w:t>
      </w:r>
    </w:p>
    <w:p w14:paraId="3F4B94E5">
      <w:pPr>
        <w:spacing w:line="360" w:lineRule="auto"/>
        <w:ind w:firstLine="480" w:firstLineChars="200"/>
        <w:jc w:val="left"/>
        <w:rPr>
          <w:rFonts w:hint="eastAsia"/>
          <w:szCs w:val="32"/>
        </w:rPr>
      </w:pPr>
      <w:r>
        <w:rPr>
          <w:rFonts w:hint="eastAsia"/>
          <w:szCs w:val="32"/>
        </w:rPr>
        <w:t>（1）防止本项目建设运行对土壤环境造成污染，需从厂区污水收集管道、污染处理设施等全过程控制污水的泄漏量；设置检漏设施，减少废水污染物的跑冒滴漏，降低环境事故风险。在污水收集装置、污水处理系统及污水输送等周边要进行严格的防渗处理，从源头防止废水进入土壤环境中。</w:t>
      </w:r>
    </w:p>
    <w:p w14:paraId="68B1AC95">
      <w:pPr>
        <w:spacing w:line="360" w:lineRule="auto"/>
        <w:ind w:firstLine="480" w:firstLineChars="200"/>
        <w:jc w:val="left"/>
        <w:rPr>
          <w:rFonts w:hint="eastAsia"/>
          <w:szCs w:val="32"/>
        </w:rPr>
      </w:pPr>
      <w:r>
        <w:rPr>
          <w:rFonts w:hint="eastAsia"/>
          <w:szCs w:val="32"/>
        </w:rPr>
        <w:t>（2）依据本项目场区布置情况，将本项目拟建区划分为重点防渗区、一般防渗区和简单防渗区，具体分区见地下水章节。</w:t>
      </w:r>
    </w:p>
    <w:p w14:paraId="61C2B6D5">
      <w:pPr>
        <w:spacing w:line="360" w:lineRule="auto"/>
        <w:ind w:firstLine="480" w:firstLineChars="200"/>
        <w:jc w:val="left"/>
        <w:rPr>
          <w:rFonts w:hint="eastAsia"/>
          <w:szCs w:val="32"/>
        </w:rPr>
      </w:pPr>
      <w:r>
        <w:rPr>
          <w:rFonts w:hint="eastAsia"/>
          <w:szCs w:val="32"/>
        </w:rPr>
        <w:t>（3）项目厂区产生的一般固废贮存需按照《一般工业固体废物贮存和填埋污染控制标准》（GB18599-2020）要求执行。确保项目固体废物均按照相关规范进行处理处置，确保不产生二次污染。</w:t>
      </w:r>
    </w:p>
    <w:p w14:paraId="6A9CAB06">
      <w:pPr>
        <w:spacing w:line="360" w:lineRule="auto"/>
        <w:ind w:firstLine="480" w:firstLineChars="200"/>
        <w:jc w:val="left"/>
        <w:rPr>
          <w:rFonts w:hint="eastAsia"/>
          <w:szCs w:val="32"/>
        </w:rPr>
      </w:pPr>
      <w:r>
        <w:rPr>
          <w:rFonts w:hint="eastAsia"/>
          <w:szCs w:val="32"/>
        </w:rPr>
        <w:t>（4）在项目生产管理过程中，做好设备的维护、检修，杜绝跑、冒、滴、漏现象。同时，加强主要污染物产生环节的安全防护、报警措施，以便及时发现事故隐患，采取有效的应对措施。</w:t>
      </w:r>
    </w:p>
    <w:p w14:paraId="676BAA54">
      <w:pPr>
        <w:pStyle w:val="4"/>
        <w:rPr>
          <w:rFonts w:hint="default" w:eastAsia="宋体"/>
          <w:lang w:val="en-US" w:eastAsia="zh-CN"/>
        </w:rPr>
      </w:pPr>
      <w:r>
        <w:t>9.6.</w:t>
      </w:r>
      <w:r>
        <w:rPr>
          <w:rFonts w:hint="eastAsia"/>
          <w:lang w:val="en-US" w:eastAsia="zh-CN"/>
        </w:rPr>
        <w:t>7</w:t>
      </w:r>
      <w:r>
        <w:t xml:space="preserve"> </w:t>
      </w:r>
      <w:r>
        <w:rPr>
          <w:rFonts w:hint="eastAsia"/>
          <w:lang w:val="en-US" w:eastAsia="zh-CN"/>
        </w:rPr>
        <w:t>环境风险防治措施</w:t>
      </w:r>
    </w:p>
    <w:p w14:paraId="261C96BA">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w:t>
      </w:r>
      <w:r>
        <w:rPr>
          <w:rFonts w:hint="eastAsia" w:cs="Times New Roman"/>
          <w:lang w:val="en-US" w:eastAsia="zh-CN" w:bidi="ar"/>
        </w:rPr>
        <w:t>1</w:t>
      </w:r>
      <w:r>
        <w:rPr>
          <w:rFonts w:hint="eastAsia" w:ascii="Times New Roman" w:hAnsi="Times New Roman" w:cs="Times New Roman"/>
          <w:lang w:val="en-US" w:eastAsia="zh-CN" w:bidi="ar"/>
        </w:rPr>
        <w:t>）污水事故排放风险防范措施</w:t>
      </w:r>
    </w:p>
    <w:p w14:paraId="322BEF75">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①选用优质的污水处理设备，重要设备设置备用件。</w:t>
      </w:r>
    </w:p>
    <w:p w14:paraId="79BF5CA7">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②对各类设备加强巡检维护，及时发现问题，消灭隐患。</w:t>
      </w:r>
    </w:p>
    <w:p w14:paraId="7933A070">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③加强供电设施的维护及管理，保证供电设施及线路正常运行。</w:t>
      </w:r>
    </w:p>
    <w:p w14:paraId="01A21F1E">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④加强工作人员的理论知识和操作技能的培训，建立技术考核档案，不合格者不得上岗。</w:t>
      </w:r>
    </w:p>
    <w:p w14:paraId="54EBE856">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w:t>
      </w:r>
      <w:r>
        <w:rPr>
          <w:rFonts w:hint="eastAsia" w:cs="Times New Roman"/>
          <w:lang w:val="en-US" w:eastAsia="zh-CN" w:bidi="ar"/>
        </w:rPr>
        <w:t>2</w:t>
      </w:r>
      <w:r>
        <w:rPr>
          <w:rFonts w:hint="eastAsia" w:ascii="Times New Roman" w:hAnsi="Times New Roman" w:cs="Times New Roman"/>
          <w:lang w:val="en-US" w:eastAsia="zh-CN" w:bidi="ar"/>
        </w:rPr>
        <w:t>）污泥处置风险防范措施</w:t>
      </w:r>
    </w:p>
    <w:p w14:paraId="02EA6E9A">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①贮泥池设计时考虑缓冲容积。</w:t>
      </w:r>
    </w:p>
    <w:p w14:paraId="32E28D64">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②选用优质的污泥脱水处理设备，浓缩机、压滤机等主要设备设置备用件。</w:t>
      </w:r>
    </w:p>
    <w:p w14:paraId="19C3A4C1">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③对污泥脱水间加强巡检维护，及时发现问题及时解决。</w:t>
      </w:r>
    </w:p>
    <w:p w14:paraId="6AA0F1CC">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④加强供电设施的维护及管理，保证供电设施及线路正常运行。</w:t>
      </w:r>
    </w:p>
    <w:p w14:paraId="027965D9">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⑤一旦发生事故，及时进行设备维修，争取在贮泥池存放污泥的限度内修好，并及时投加药剂，如石灰等，防止污泥发酵，减少恶臭气体排放。</w:t>
      </w:r>
    </w:p>
    <w:p w14:paraId="3D030117">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w:t>
      </w:r>
      <w:r>
        <w:rPr>
          <w:rFonts w:hint="eastAsia" w:cs="Times New Roman"/>
          <w:lang w:val="en-US" w:eastAsia="zh-CN" w:bidi="ar"/>
        </w:rPr>
        <w:t>3</w:t>
      </w:r>
      <w:r>
        <w:rPr>
          <w:rFonts w:hint="eastAsia" w:ascii="Times New Roman" w:hAnsi="Times New Roman" w:cs="Times New Roman"/>
          <w:lang w:val="en-US" w:eastAsia="zh-CN" w:bidi="ar"/>
        </w:rPr>
        <w:t>）恶臭处理风险防范措施</w:t>
      </w:r>
    </w:p>
    <w:p w14:paraId="24006FA5">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①除臭设备和风机等臭气处理设备均设置备用设备。</w:t>
      </w:r>
    </w:p>
    <w:p w14:paraId="5274E71E">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②对除臭设备进行定期检修，维护仪器仪表等设备的正常运作。</w:t>
      </w:r>
    </w:p>
    <w:p w14:paraId="1F2687D9">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③安装设备故障报警及联动停机装置，一旦设备运行故障，则立刻停机。</w:t>
      </w:r>
    </w:p>
    <w:p w14:paraId="113E2067">
      <w:pPr>
        <w:spacing w:line="360" w:lineRule="auto"/>
        <w:ind w:firstLine="480" w:firstLineChars="200"/>
        <w:jc w:val="left"/>
        <w:rPr>
          <w:rFonts w:hint="eastAsia" w:ascii="Times New Roman" w:hAnsi="Times New Roman" w:cs="Times New Roman"/>
          <w:lang w:val="en-US" w:eastAsia="zh-CN" w:bidi="ar"/>
        </w:rPr>
      </w:pPr>
      <w:r>
        <w:rPr>
          <w:rFonts w:hint="eastAsia" w:ascii="Times New Roman" w:hAnsi="Times New Roman" w:cs="Times New Roman"/>
          <w:lang w:val="en-US" w:eastAsia="zh-CN" w:bidi="ar"/>
        </w:rPr>
        <w:t>④加强供电设施的维护及管理，保证供电设施及线路正常运行。</w:t>
      </w:r>
    </w:p>
    <w:p w14:paraId="6FDBBF77">
      <w:pPr>
        <w:pStyle w:val="3"/>
      </w:pPr>
      <w:bookmarkStart w:id="562" w:name="_Toc12184"/>
      <w:r>
        <w:t>9.7环境影响评价结论</w:t>
      </w:r>
      <w:bookmarkEnd w:id="557"/>
      <w:bookmarkEnd w:id="558"/>
      <w:bookmarkEnd w:id="559"/>
      <w:bookmarkEnd w:id="560"/>
      <w:bookmarkEnd w:id="561"/>
      <w:bookmarkEnd w:id="562"/>
    </w:p>
    <w:p w14:paraId="4178EC47">
      <w:pPr>
        <w:pStyle w:val="4"/>
      </w:pPr>
      <w:bookmarkStart w:id="563" w:name="_Toc490466626"/>
      <w:bookmarkStart w:id="564" w:name="_Toc2129"/>
      <w:r>
        <w:t>9.7.1 地表水环境影响分析结论</w:t>
      </w:r>
      <w:bookmarkEnd w:id="563"/>
      <w:bookmarkEnd w:id="564"/>
    </w:p>
    <w:p w14:paraId="30DD95C7">
      <w:pPr>
        <w:spacing w:line="360" w:lineRule="auto"/>
        <w:ind w:firstLine="480" w:firstLineChars="200"/>
        <w:outlineLvl w:val="9"/>
        <w:rPr>
          <w:rFonts w:hint="eastAsia" w:ascii="Times New Roman" w:hAnsi="Times New Roman" w:eastAsia="宋体" w:cs="Times New Roman"/>
          <w:b w:val="0"/>
          <w:sz w:val="24"/>
          <w:szCs w:val="24"/>
          <w:lang w:val="en-US" w:eastAsia="zh-CN" w:bidi="ar-SA"/>
        </w:rPr>
      </w:pPr>
      <w:bookmarkStart w:id="565" w:name="_Toc490466627"/>
      <w:bookmarkStart w:id="566" w:name="_Toc32309"/>
      <w:r>
        <w:rPr>
          <w:rFonts w:hint="eastAsia" w:ascii="Times New Roman" w:hAnsi="Times New Roman" w:eastAsia="宋体" w:cs="Times New Roman"/>
          <w:b w:val="0"/>
          <w:sz w:val="24"/>
          <w:szCs w:val="24"/>
          <w:lang w:val="en-US" w:eastAsia="zh-CN" w:bidi="ar-SA"/>
        </w:rPr>
        <w:t>本项目实施后各污染物排入嫩江中对嫩江影响不大，随距离增加，污染物充分混合衰减，到各断面水质浓度亦随之减小，故项目实施后对嫩江水质可接受。</w:t>
      </w:r>
    </w:p>
    <w:p w14:paraId="63B3BBFB">
      <w:pPr>
        <w:pStyle w:val="4"/>
      </w:pPr>
      <w:r>
        <w:t>9.7.2 环境空气环境影响评价结论</w:t>
      </w:r>
      <w:bookmarkEnd w:id="565"/>
      <w:bookmarkEnd w:id="566"/>
    </w:p>
    <w:p w14:paraId="64E06314">
      <w:pPr>
        <w:spacing w:line="360" w:lineRule="auto"/>
        <w:ind w:firstLine="480" w:firstLineChars="200"/>
        <w:jc w:val="left"/>
        <w:rPr>
          <w:rFonts w:hint="default" w:ascii="Times New Roman" w:hAnsi="Times New Roman" w:cs="Times New Roman"/>
          <w:color w:val="auto"/>
          <w:sz w:val="24"/>
        </w:rPr>
      </w:pPr>
      <w:bookmarkStart w:id="567" w:name="_Toc5056"/>
      <w:bookmarkStart w:id="568" w:name="_Toc490466631"/>
      <w:r>
        <w:rPr>
          <w:rFonts w:hint="default" w:ascii="Times New Roman" w:hAnsi="Times New Roman" w:cs="Times New Roman"/>
          <w:color w:val="auto"/>
          <w:sz w:val="24"/>
        </w:rPr>
        <w:t>a）新增污染源正常排放下的污染物（</w:t>
      </w:r>
      <w:r>
        <w:rPr>
          <w:rFonts w:hint="eastAsia"/>
          <w:color w:val="auto"/>
          <w:lang w:val="en-GB"/>
        </w:rPr>
        <w:t>NH</w:t>
      </w:r>
      <w:r>
        <w:rPr>
          <w:rFonts w:hint="eastAsia"/>
          <w:color w:val="auto"/>
          <w:vertAlign w:val="subscript"/>
          <w:lang w:val="en-GB"/>
        </w:rPr>
        <w:t>3</w:t>
      </w:r>
      <w:r>
        <w:rPr>
          <w:rFonts w:hint="eastAsia"/>
          <w:color w:val="auto"/>
          <w:lang w:val="en-GB"/>
        </w:rPr>
        <w:t>、H</w:t>
      </w:r>
      <w:r>
        <w:rPr>
          <w:rFonts w:hint="eastAsia"/>
          <w:color w:val="auto"/>
          <w:vertAlign w:val="subscript"/>
          <w:lang w:val="en-GB"/>
        </w:rPr>
        <w:t>2</w:t>
      </w:r>
      <w:r>
        <w:rPr>
          <w:rFonts w:hint="eastAsia"/>
          <w:color w:val="auto"/>
          <w:lang w:val="en-GB"/>
        </w:rPr>
        <w:t>S</w:t>
      </w:r>
      <w:r>
        <w:rPr>
          <w:rFonts w:hint="eastAsia"/>
          <w:color w:val="auto"/>
          <w:lang w:val="en-GB" w:eastAsia="zh-CN"/>
        </w:rPr>
        <w:t>、</w:t>
      </w:r>
      <w:r>
        <w:rPr>
          <w:rFonts w:hint="eastAsia"/>
          <w:color w:val="auto"/>
          <w:lang w:val="en-US" w:eastAsia="zh-CN"/>
        </w:rPr>
        <w:t>NMHC、PM</w:t>
      </w:r>
      <w:r>
        <w:rPr>
          <w:rFonts w:hint="eastAsia"/>
          <w:color w:val="auto"/>
          <w:vertAlign w:val="subscript"/>
          <w:lang w:val="en-US" w:eastAsia="zh-CN"/>
        </w:rPr>
        <w:t>10</w:t>
      </w:r>
      <w:r>
        <w:rPr>
          <w:rFonts w:hint="default" w:ascii="Times New Roman" w:hAnsi="Times New Roman" w:cs="Times New Roman"/>
          <w:color w:val="auto"/>
          <w:sz w:val="24"/>
        </w:rPr>
        <w:t>）短期浓度贡献值的最大浓度占标率≤100%；</w:t>
      </w:r>
    </w:p>
    <w:p w14:paraId="6856B936">
      <w:p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b）新增污染源正常排放下的污染物（PM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）年均浓度贡献值的最大浓度占标率≤30%。</w:t>
      </w:r>
    </w:p>
    <w:p w14:paraId="2BB89F14">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c）项目环境影响符合环境功能区划。叠加现状浓度</w:t>
      </w:r>
      <w:r>
        <w:rPr>
          <w:rFonts w:hint="default" w:ascii="Times New Roman" w:hAnsi="Times New Roman" w:cs="Times New Roman"/>
          <w:color w:val="auto"/>
          <w:sz w:val="24"/>
          <w:szCs w:val="24"/>
          <w:lang w:val="en-US" w:eastAsia="zh-CN"/>
        </w:rPr>
        <w:t>的</w:t>
      </w:r>
      <w:r>
        <w:rPr>
          <w:rFonts w:hint="default" w:ascii="Times New Roman" w:hAnsi="Times New Roman" w:cs="Times New Roman"/>
          <w:color w:val="auto"/>
          <w:sz w:val="24"/>
          <w:szCs w:val="24"/>
        </w:rPr>
        <w:t>环境影响后，污染物</w:t>
      </w:r>
      <w:r>
        <w:rPr>
          <w:rFonts w:hint="eastAsia"/>
          <w:color w:val="auto"/>
          <w:lang w:val="en-GB"/>
        </w:rPr>
        <w:t>NH</w:t>
      </w:r>
      <w:r>
        <w:rPr>
          <w:rFonts w:hint="eastAsia"/>
          <w:color w:val="auto"/>
          <w:vertAlign w:val="subscript"/>
          <w:lang w:val="en-GB"/>
        </w:rPr>
        <w:t>3</w:t>
      </w:r>
      <w:r>
        <w:rPr>
          <w:rFonts w:hint="eastAsia"/>
          <w:color w:val="auto"/>
          <w:lang w:val="en-GB"/>
        </w:rPr>
        <w:t>、H</w:t>
      </w:r>
      <w:r>
        <w:rPr>
          <w:rFonts w:hint="eastAsia"/>
          <w:color w:val="auto"/>
          <w:vertAlign w:val="subscript"/>
          <w:lang w:val="en-GB"/>
        </w:rPr>
        <w:t>2</w:t>
      </w:r>
      <w:r>
        <w:rPr>
          <w:rFonts w:hint="eastAsia"/>
          <w:color w:val="auto"/>
          <w:lang w:val="en-GB"/>
        </w:rPr>
        <w:t>S</w:t>
      </w:r>
      <w:r>
        <w:rPr>
          <w:rFonts w:hint="default" w:ascii="Times New Roman" w:hAnsi="Times New Roman" w:cs="Times New Roman"/>
          <w:color w:val="auto"/>
          <w:sz w:val="24"/>
          <w:szCs w:val="24"/>
          <w:highlight w:val="none"/>
          <w:vertAlign w:val="baseline"/>
          <w:lang w:val="en-US" w:eastAsia="zh-CN"/>
        </w:rPr>
        <w:t>小时</w:t>
      </w:r>
      <w:r>
        <w:rPr>
          <w:rFonts w:hint="default" w:ascii="Times New Roman" w:hAnsi="Times New Roman" w:cs="Times New Roman"/>
          <w:color w:val="auto"/>
          <w:sz w:val="24"/>
          <w:szCs w:val="24"/>
        </w:rPr>
        <w:t>平均质量浓度符合《环境影响评价技术导则 大气环境》（HJ2.2-2018）附录D</w:t>
      </w:r>
      <w:r>
        <w:rPr>
          <w:rFonts w:hint="default" w:ascii="Times New Roman" w:hAnsi="Times New Roman" w:cs="Times New Roman"/>
          <w:color w:val="auto"/>
          <w:sz w:val="24"/>
          <w:szCs w:val="24"/>
          <w:lang w:eastAsia="zh-CN"/>
        </w:rPr>
        <w:t>。</w:t>
      </w:r>
      <w:r>
        <w:rPr>
          <w:rFonts w:hint="eastAsia"/>
          <w:color w:val="auto"/>
          <w:lang w:val="en-US" w:eastAsia="zh-CN"/>
        </w:rPr>
        <w:t>NMHC</w:t>
      </w:r>
      <w:r>
        <w:rPr>
          <w:rFonts w:hint="default" w:ascii="Times New Roman" w:hAnsi="Times New Roman" w:cs="Times New Roman"/>
          <w:color w:val="auto"/>
          <w:sz w:val="24"/>
          <w:szCs w:val="24"/>
          <w:highlight w:val="none"/>
          <w:vertAlign w:val="baseline"/>
          <w:lang w:val="en-US" w:eastAsia="zh-CN"/>
        </w:rPr>
        <w:t>小时</w:t>
      </w:r>
      <w:r>
        <w:rPr>
          <w:rFonts w:hint="default" w:ascii="Times New Roman" w:hAnsi="Times New Roman" w:cs="Times New Roman"/>
          <w:color w:val="auto"/>
          <w:sz w:val="24"/>
          <w:szCs w:val="24"/>
        </w:rPr>
        <w:t>平均质量浓度符合</w:t>
      </w:r>
      <w:r>
        <w:rPr>
          <w:rFonts w:hint="eastAsia" w:cs="Times New Roman"/>
          <w:color w:val="auto"/>
          <w:sz w:val="24"/>
          <w:szCs w:val="24"/>
          <w:lang w:eastAsia="zh-CN"/>
        </w:rPr>
        <w:t>《环境空气质量 非甲烷总烃限值》（DB13/1577-2012）二级标准限值</w:t>
      </w:r>
      <w:r>
        <w:rPr>
          <w:rFonts w:hint="eastAsia" w:ascii="Times New Roman" w:hAnsi="Times New Roman" w:eastAsia="宋体" w:cs="Times New Roman"/>
          <w:color w:val="auto"/>
          <w:sz w:val="24"/>
          <w:szCs w:val="24"/>
          <w:lang w:eastAsia="zh-CN"/>
        </w:rPr>
        <w:t>。</w:t>
      </w:r>
    </w:p>
    <w:p w14:paraId="58BB32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根据大气软件的环境防护区域预测模式的计算结果，项目各污染物小时贡献浓度均无超标点，无需设置大气环境防护距离。</w:t>
      </w:r>
    </w:p>
    <w:p w14:paraId="6B87DBA3">
      <w:pPr>
        <w:spacing w:line="360" w:lineRule="auto"/>
        <w:ind w:firstLine="480" w:firstLineChars="200"/>
        <w:jc w:val="left"/>
        <w:rPr>
          <w:rFonts w:hint="eastAsia"/>
          <w:lang w:val="en-GB"/>
        </w:rPr>
      </w:pPr>
      <w:r>
        <w:rPr>
          <w:rFonts w:hint="eastAsia"/>
          <w:lang w:val="en-GB"/>
        </w:rPr>
        <w:t>根据以上分析，本工程投产运行后，对周边环境空气的影响可接受，从环境空气影响角度而言，本工程的建设是可行的。</w:t>
      </w:r>
    </w:p>
    <w:p w14:paraId="42580960">
      <w:pPr>
        <w:pStyle w:val="4"/>
      </w:pPr>
      <w:r>
        <w:t>9.7.3 噪声环境影响评价结论</w:t>
      </w:r>
      <w:bookmarkEnd w:id="567"/>
      <w:bookmarkEnd w:id="568"/>
    </w:p>
    <w:p w14:paraId="3AC223D8">
      <w:pPr>
        <w:spacing w:line="360" w:lineRule="auto"/>
        <w:ind w:firstLine="480" w:firstLineChars="200"/>
        <w:jc w:val="left"/>
        <w:rPr>
          <w:szCs w:val="32"/>
        </w:rPr>
      </w:pPr>
      <w:bookmarkStart w:id="569" w:name="_Toc490466632"/>
      <w:bookmarkStart w:id="570" w:name="_Toc23433"/>
      <w:r>
        <w:rPr>
          <w:rFonts w:hint="eastAsia"/>
          <w:szCs w:val="32"/>
          <w:lang w:val="en-US" w:eastAsia="zh-CN"/>
        </w:rPr>
        <w:t>本项目</w:t>
      </w:r>
      <w:r>
        <w:rPr>
          <w:szCs w:val="32"/>
        </w:rPr>
        <w:t>噪声源对场界贡献值在2</w:t>
      </w:r>
      <w:r>
        <w:rPr>
          <w:rFonts w:hint="eastAsia"/>
          <w:szCs w:val="32"/>
          <w:lang w:val="en-US" w:eastAsia="zh-CN"/>
        </w:rPr>
        <w:t>7.69</w:t>
      </w:r>
      <w:r>
        <w:rPr>
          <w:szCs w:val="32"/>
        </w:rPr>
        <w:t>~3</w:t>
      </w:r>
      <w:r>
        <w:rPr>
          <w:rFonts w:hint="eastAsia"/>
          <w:szCs w:val="32"/>
          <w:lang w:val="en-US" w:eastAsia="zh-CN"/>
        </w:rPr>
        <w:t>6.74</w:t>
      </w:r>
      <w:r>
        <w:rPr>
          <w:szCs w:val="32"/>
        </w:rPr>
        <w:t>dB(A)之间，</w:t>
      </w:r>
      <w:r>
        <w:t>项目厂界噪声满足《工业企业厂界环境噪声排放标准》（GB12348-2008）中的</w:t>
      </w:r>
      <w:r>
        <w:rPr>
          <w:rFonts w:hint="eastAsia"/>
          <w:lang w:eastAsia="zh-CN"/>
        </w:rPr>
        <w:t>3类</w:t>
      </w:r>
      <w:r>
        <w:t>标准</w:t>
      </w:r>
      <w:r>
        <w:rPr>
          <w:szCs w:val="32"/>
        </w:rPr>
        <w:t>。</w:t>
      </w:r>
    </w:p>
    <w:p w14:paraId="26DFEC4F">
      <w:pPr>
        <w:spacing w:line="360" w:lineRule="auto"/>
        <w:ind w:firstLine="480" w:firstLineChars="200"/>
        <w:jc w:val="left"/>
      </w:pPr>
      <w:r>
        <w:rPr>
          <w:rFonts w:hint="eastAsia"/>
          <w:szCs w:val="32"/>
          <w:lang w:eastAsia="zh-CN"/>
        </w:rPr>
        <w:t>本项目</w:t>
      </w:r>
      <w:r>
        <w:rPr>
          <w:szCs w:val="32"/>
        </w:rPr>
        <w:t>噪声经降噪、隔声和距离衰减后，</w:t>
      </w:r>
      <w:r>
        <w:rPr>
          <w:rFonts w:hint="eastAsia"/>
          <w:szCs w:val="21"/>
          <w:lang w:val="en-US" w:eastAsia="zh-CN"/>
        </w:rPr>
        <w:t>东北侧</w:t>
      </w:r>
      <w:r>
        <w:rPr>
          <w:szCs w:val="21"/>
        </w:rPr>
        <w:t>的</w:t>
      </w:r>
      <w:r>
        <w:rPr>
          <w:rFonts w:hint="eastAsia"/>
          <w:szCs w:val="21"/>
          <w:lang w:val="en-US" w:eastAsia="zh-CN"/>
        </w:rPr>
        <w:t>居民区</w:t>
      </w:r>
      <w:r>
        <w:rPr>
          <w:szCs w:val="32"/>
        </w:rPr>
        <w:t>噪声昼间预测值为</w:t>
      </w:r>
      <w:r>
        <w:rPr>
          <w:rFonts w:hint="eastAsia"/>
          <w:szCs w:val="32"/>
          <w:lang w:val="en-US" w:eastAsia="zh-CN"/>
        </w:rPr>
        <w:t>49.64</w:t>
      </w:r>
      <w:r>
        <w:rPr>
          <w:szCs w:val="32"/>
        </w:rPr>
        <w:t>dB(A)，夜间预测值为</w:t>
      </w:r>
      <w:r>
        <w:rPr>
          <w:rFonts w:hint="eastAsia"/>
          <w:szCs w:val="32"/>
          <w:lang w:val="en-US" w:eastAsia="zh-CN"/>
        </w:rPr>
        <w:t>41.73</w:t>
      </w:r>
      <w:r>
        <w:rPr>
          <w:szCs w:val="32"/>
        </w:rPr>
        <w:t>dB(A)</w:t>
      </w:r>
      <w:r>
        <w:rPr>
          <w:rFonts w:hint="eastAsia"/>
          <w:szCs w:val="32"/>
        </w:rPr>
        <w:t>；</w:t>
      </w:r>
      <w:r>
        <w:rPr>
          <w:rFonts w:hint="eastAsia"/>
          <w:szCs w:val="32"/>
          <w:lang w:val="en-US" w:eastAsia="zh-CN"/>
        </w:rPr>
        <w:t>东南侧</w:t>
      </w:r>
      <w:r>
        <w:rPr>
          <w:szCs w:val="21"/>
        </w:rPr>
        <w:t>处</w:t>
      </w:r>
      <w:r>
        <w:rPr>
          <w:rFonts w:hint="eastAsia"/>
          <w:szCs w:val="21"/>
          <w:lang w:val="en-US" w:eastAsia="zh-CN"/>
        </w:rPr>
        <w:t>居民区</w:t>
      </w:r>
      <w:r>
        <w:rPr>
          <w:szCs w:val="21"/>
        </w:rPr>
        <w:t>的</w:t>
      </w:r>
      <w:r>
        <w:rPr>
          <w:szCs w:val="32"/>
        </w:rPr>
        <w:t>噪声昼间预测值为</w:t>
      </w:r>
      <w:r>
        <w:rPr>
          <w:rFonts w:hint="eastAsia"/>
          <w:szCs w:val="32"/>
          <w:lang w:val="en-US" w:eastAsia="zh-CN"/>
        </w:rPr>
        <w:t>52.72</w:t>
      </w:r>
      <w:r>
        <w:rPr>
          <w:szCs w:val="32"/>
        </w:rPr>
        <w:t>dB(A)，夜间预测值为</w:t>
      </w:r>
      <w:r>
        <w:rPr>
          <w:rFonts w:hint="eastAsia"/>
          <w:szCs w:val="32"/>
          <w:lang w:val="en-US" w:eastAsia="zh-CN"/>
        </w:rPr>
        <w:t>43.60</w:t>
      </w:r>
      <w:r>
        <w:rPr>
          <w:szCs w:val="32"/>
        </w:rPr>
        <w:t>dB(A)</w:t>
      </w:r>
      <w:r>
        <w:rPr>
          <w:rFonts w:hint="eastAsia"/>
          <w:szCs w:val="32"/>
        </w:rPr>
        <w:t>；</w:t>
      </w:r>
      <w:r>
        <w:rPr>
          <w:rFonts w:hint="eastAsia"/>
          <w:szCs w:val="21"/>
          <w:lang w:val="en-US" w:eastAsia="zh-CN"/>
        </w:rPr>
        <w:t>东北侧的居民区</w:t>
      </w:r>
      <w:r>
        <w:rPr>
          <w:rFonts w:hint="eastAsia"/>
          <w:szCs w:val="21"/>
        </w:rPr>
        <w:t>和</w:t>
      </w:r>
      <w:r>
        <w:rPr>
          <w:rFonts w:hint="eastAsia"/>
          <w:szCs w:val="21"/>
          <w:lang w:val="en-US" w:eastAsia="zh-CN"/>
        </w:rPr>
        <w:t>东南侧的居民区</w:t>
      </w:r>
      <w:r>
        <w:rPr>
          <w:szCs w:val="21"/>
        </w:rPr>
        <w:t>声环境质量</w:t>
      </w:r>
      <w:r>
        <w:t>可以满足《声环境质量标准》（GB3096-2008）中的</w:t>
      </w:r>
      <w:r>
        <w:rPr>
          <w:rFonts w:hint="eastAsia"/>
          <w:lang w:val="en-US" w:eastAsia="zh-CN"/>
        </w:rPr>
        <w:t>1</w:t>
      </w:r>
      <w:r>
        <w:rPr>
          <w:rFonts w:hint="eastAsia"/>
          <w:lang w:eastAsia="zh-CN"/>
        </w:rPr>
        <w:t>类</w:t>
      </w:r>
      <w:r>
        <w:t>标准：昼间</w:t>
      </w:r>
      <w:r>
        <w:rPr>
          <w:rFonts w:hint="eastAsia"/>
          <w:lang w:val="en-US" w:eastAsia="zh-CN"/>
        </w:rPr>
        <w:t>55</w:t>
      </w:r>
      <w:r>
        <w:t>dB(A)，夜间</w:t>
      </w:r>
      <w:r>
        <w:rPr>
          <w:rFonts w:hint="eastAsia"/>
          <w:lang w:val="en-US" w:eastAsia="zh-CN"/>
        </w:rPr>
        <w:t>45</w:t>
      </w:r>
      <w:r>
        <w:t>dB(A)。</w:t>
      </w:r>
      <w:r>
        <w:rPr>
          <w:szCs w:val="32"/>
        </w:rPr>
        <w:t>因此项目投产后对周围声环境影响较小。</w:t>
      </w:r>
    </w:p>
    <w:p w14:paraId="6FA4A0C4">
      <w:pPr>
        <w:pStyle w:val="4"/>
      </w:pPr>
      <w:r>
        <w:t>9.7.</w:t>
      </w:r>
      <w:r>
        <w:rPr>
          <w:rFonts w:hint="eastAsia"/>
          <w:lang w:val="en-US" w:eastAsia="zh-CN"/>
        </w:rPr>
        <w:t>4</w:t>
      </w:r>
      <w:r>
        <w:t>地</w:t>
      </w:r>
      <w:r>
        <w:rPr>
          <w:rFonts w:hint="eastAsia"/>
          <w:lang w:val="en-US" w:eastAsia="zh-CN"/>
        </w:rPr>
        <w:t>下</w:t>
      </w:r>
      <w:r>
        <w:t>水环境影响分析结论</w:t>
      </w:r>
    </w:p>
    <w:p w14:paraId="201B5225">
      <w:pPr>
        <w:spacing w:line="360" w:lineRule="auto"/>
        <w:ind w:firstLine="480" w:firstLineChars="200"/>
        <w:jc w:val="left"/>
        <w:rPr>
          <w:rFonts w:hint="eastAsia"/>
          <w:szCs w:val="32"/>
        </w:rPr>
      </w:pPr>
      <w:r>
        <w:rPr>
          <w:rFonts w:hint="eastAsia"/>
          <w:szCs w:val="32"/>
        </w:rPr>
        <w:t>由预测结果可知，当</w:t>
      </w:r>
      <w:r>
        <w:rPr>
          <w:rFonts w:hint="eastAsia"/>
          <w:szCs w:val="32"/>
          <w:lang w:eastAsia="zh-CN"/>
        </w:rPr>
        <w:t>事故状态</w:t>
      </w:r>
      <w:r>
        <w:rPr>
          <w:rFonts w:hint="eastAsia"/>
          <w:szCs w:val="32"/>
        </w:rPr>
        <w:t>下污水处理设施调节池发生因老化腐蚀造成跑冒滴漏，污水直接进入潜水含水层，造成地下水污染，污染程度与含水层的渗透性能、源强浓度、污水泄漏时间等有关。污染物渗漏到达潜水含水层后，逐渐向下游迁移，影响范围逐渐扩大，COD100d超标距离达28m，最大影响距离29m；1000d超标距离141m，最大影响距离143m；氨氮100d超标距离达21m，最大影响距离29m；1000d超标距离119m，最大影响距离145m</w:t>
      </w:r>
      <w:r>
        <w:rPr>
          <w:rFonts w:hint="eastAsia"/>
          <w:szCs w:val="32"/>
          <w:lang w:eastAsia="zh-CN"/>
        </w:rPr>
        <w:t>，</w:t>
      </w:r>
      <w:r>
        <w:rPr>
          <w:rFonts w:hint="eastAsia"/>
          <w:szCs w:val="32"/>
          <w:lang w:val="en-US" w:eastAsia="zh-CN"/>
        </w:rPr>
        <w:t>上述距离均位于厂区内。</w:t>
      </w:r>
    </w:p>
    <w:p w14:paraId="12791D18">
      <w:pPr>
        <w:spacing w:line="360" w:lineRule="auto"/>
        <w:ind w:firstLine="480" w:firstLineChars="200"/>
        <w:jc w:val="left"/>
        <w:rPr>
          <w:rFonts w:hint="eastAsia"/>
          <w:szCs w:val="32"/>
        </w:rPr>
      </w:pPr>
      <w:r>
        <w:rPr>
          <w:rFonts w:hint="eastAsia"/>
          <w:szCs w:val="32"/>
        </w:rPr>
        <w:t>本项目应建立地下水环境监测管理体系，以便及时发现问题，采取措施，根据《环境影响评价技术导则地下水环境》（HJ 610－2016），三级评价的建设项目跟踪监测点数量要求一般不少于一个，应至少在建设项目场地下游布置一个，根据预测结果，项目建成后污染物若泄漏，综合COD、氨氮两种污染物超标和影响距离，并当地地下水流向为东北向西南，故</w:t>
      </w:r>
      <w:r>
        <w:rPr>
          <w:rFonts w:hint="eastAsia"/>
          <w:szCs w:val="32"/>
          <w:lang w:val="en-US" w:eastAsia="zh-CN"/>
        </w:rPr>
        <w:t>本项目结合原有</w:t>
      </w:r>
      <w:r>
        <w:rPr>
          <w:rFonts w:hint="eastAsia"/>
          <w:szCs w:val="32"/>
        </w:rPr>
        <w:t>项目</w:t>
      </w:r>
      <w:r>
        <w:rPr>
          <w:rFonts w:hint="eastAsia"/>
          <w:szCs w:val="32"/>
          <w:lang w:eastAsia="zh-CN"/>
        </w:rPr>
        <w:t>设置一个地下水监测井，该</w:t>
      </w:r>
      <w:r>
        <w:rPr>
          <w:rFonts w:hint="eastAsia"/>
          <w:szCs w:val="32"/>
        </w:rPr>
        <w:t>地下水监测井设置在调节池西南29m处。</w:t>
      </w:r>
    </w:p>
    <w:p w14:paraId="6C766FC5">
      <w:pPr>
        <w:spacing w:line="360" w:lineRule="auto"/>
        <w:ind w:firstLine="480" w:firstLineChars="200"/>
        <w:jc w:val="left"/>
        <w:rPr>
          <w:rFonts w:hint="eastAsia"/>
          <w:szCs w:val="32"/>
        </w:rPr>
      </w:pPr>
      <w:r>
        <w:rPr>
          <w:rFonts w:hint="eastAsia"/>
          <w:szCs w:val="32"/>
        </w:rPr>
        <w:t>综上所述，项目开工建设期做好防渗工作，避免事故状态产生，并建立地下水环境监测管理体系，以便及时发现问题，采取措施，项目建成后不会对当地地下水产生影响。</w:t>
      </w:r>
    </w:p>
    <w:p w14:paraId="3398CE85">
      <w:pPr>
        <w:pStyle w:val="4"/>
      </w:pPr>
      <w:r>
        <w:rPr>
          <w:rFonts w:hint="eastAsia"/>
          <w:lang w:val="en-US" w:eastAsia="zh-CN"/>
        </w:rPr>
        <w:t>9.7.5</w:t>
      </w:r>
      <w:r>
        <w:t xml:space="preserve"> 固体废物环境影响分析结论</w:t>
      </w:r>
      <w:bookmarkEnd w:id="569"/>
      <w:bookmarkEnd w:id="570"/>
    </w:p>
    <w:p w14:paraId="3D768166">
      <w:pPr>
        <w:numPr>
          <w:ilvl w:val="0"/>
          <w:numId w:val="0"/>
        </w:numPr>
        <w:spacing w:line="360" w:lineRule="auto"/>
        <w:ind w:firstLine="480" w:firstLineChars="200"/>
        <w:jc w:val="left"/>
        <w:rPr>
          <w:rFonts w:hint="eastAsia" w:cs="Times New Roman"/>
          <w:lang w:val="en-US" w:eastAsia="zh-CN" w:bidi="ar"/>
        </w:rPr>
      </w:pPr>
      <w:bookmarkStart w:id="571" w:name="_Toc1183"/>
      <w:bookmarkStart w:id="572" w:name="_Toc109"/>
      <w:bookmarkStart w:id="573" w:name="_Toc1680"/>
      <w:bookmarkStart w:id="574" w:name="_Toc15715"/>
      <w:bookmarkStart w:id="575" w:name="_Toc490466638"/>
      <w:r>
        <w:rPr>
          <w:rFonts w:hint="eastAsia" w:cs="Times New Roman"/>
          <w:lang w:val="en-US" w:eastAsia="zh-CN" w:bidi="ar"/>
        </w:rPr>
        <w:t>本项目产生的污泥</w:t>
      </w:r>
      <w:r>
        <w:rPr>
          <w:rFonts w:hint="eastAsia" w:ascii="Times New Roman" w:hAnsi="Times New Roman" w:eastAsia="宋体" w:cs="Times New Roman"/>
          <w:color w:val="auto"/>
          <w:lang w:val="en-US" w:eastAsia="zh-CN"/>
        </w:rPr>
        <w:t>掺混入燃煤进入锅炉燃烧</w:t>
      </w:r>
      <w:r>
        <w:rPr>
          <w:rFonts w:hint="eastAsia" w:cs="Times New Roman"/>
          <w:lang w:eastAsia="zh-CN" w:bidi="ar"/>
        </w:rPr>
        <w:t>，</w:t>
      </w:r>
      <w:r>
        <w:rPr>
          <w:rFonts w:hint="eastAsia" w:cs="Times New Roman"/>
          <w:lang w:val="en-US" w:eastAsia="zh-CN" w:bidi="ar"/>
        </w:rPr>
        <w:t>废活性炭由生产厂家统一回收处置。</w:t>
      </w:r>
    </w:p>
    <w:p w14:paraId="6A0887C9">
      <w:pPr>
        <w:pStyle w:val="4"/>
        <w:rPr>
          <w:rFonts w:hint="eastAsia" w:eastAsia="宋体"/>
          <w:lang w:val="en-US" w:eastAsia="zh-CN"/>
        </w:rPr>
      </w:pPr>
      <w:r>
        <w:t>9.7.</w:t>
      </w:r>
      <w:r>
        <w:rPr>
          <w:rFonts w:hint="eastAsia"/>
          <w:lang w:val="en-US" w:eastAsia="zh-CN"/>
        </w:rPr>
        <w:t>6</w:t>
      </w:r>
      <w:r>
        <w:t xml:space="preserve"> 土壤环境影响分析</w:t>
      </w:r>
      <w:r>
        <w:rPr>
          <w:rFonts w:hint="eastAsia"/>
          <w:lang w:val="en-US" w:eastAsia="zh-CN"/>
        </w:rPr>
        <w:t>结论</w:t>
      </w:r>
    </w:p>
    <w:bookmarkEnd w:id="571"/>
    <w:bookmarkEnd w:id="572"/>
    <w:bookmarkEnd w:id="573"/>
    <w:bookmarkEnd w:id="574"/>
    <w:bookmarkEnd w:id="575"/>
    <w:p w14:paraId="36414319">
      <w:pPr>
        <w:spacing w:line="360" w:lineRule="auto"/>
        <w:ind w:firstLine="480" w:firstLineChars="200"/>
        <w:jc w:val="left"/>
        <w:rPr>
          <w:rFonts w:hint="eastAsia"/>
          <w:szCs w:val="32"/>
        </w:rPr>
      </w:pPr>
      <w:bookmarkStart w:id="576" w:name="_Toc25388"/>
      <w:bookmarkStart w:id="577" w:name="_Toc2006"/>
      <w:bookmarkStart w:id="578" w:name="_Toc5157"/>
      <w:bookmarkStart w:id="579" w:name="_Toc9242"/>
      <w:bookmarkStart w:id="580" w:name="_Toc490466640"/>
      <w:r>
        <w:rPr>
          <w:rFonts w:hint="eastAsia"/>
          <w:szCs w:val="32"/>
        </w:rPr>
        <w:t>废水采用</w:t>
      </w:r>
      <w:r>
        <w:rPr>
          <w:rFonts w:hint="eastAsia" w:ascii="Times New Roman" w:hAnsi="Times New Roman" w:cs="Times New Roman"/>
          <w:szCs w:val="32"/>
        </w:rPr>
        <w:t>“</w:t>
      </w:r>
      <w:r>
        <w:rPr>
          <w:rFonts w:hint="eastAsia" w:ascii="Times New Roman" w:hAnsi="Times New Roman" w:cs="Times New Roman"/>
          <w:szCs w:val="32"/>
          <w:lang w:eastAsia="zh-CN"/>
        </w:rPr>
        <w:t>SPIC厌氧+生物接触氧化+连续活性砂滤</w:t>
      </w:r>
      <w:r>
        <w:rPr>
          <w:rFonts w:hint="eastAsia" w:ascii="Times New Roman" w:hAnsi="Times New Roman" w:cs="Times New Roman"/>
          <w:szCs w:val="32"/>
        </w:rPr>
        <w:t>”</w:t>
      </w:r>
      <w:r>
        <w:rPr>
          <w:rFonts w:hint="eastAsia"/>
          <w:szCs w:val="32"/>
        </w:rPr>
        <w:t>处理工艺，出水能够满足《城镇污水处理厂污染物排放标准》中的一级A标准，</w:t>
      </w:r>
      <w:r>
        <w:rPr>
          <w:rFonts w:hint="eastAsia"/>
          <w:szCs w:val="32"/>
          <w:lang w:eastAsia="zh-CN"/>
        </w:rPr>
        <w:t>经拉哈生物技术与化学制药产业园区污水处理厂入河排污口排入到嫩江</w:t>
      </w:r>
      <w:r>
        <w:rPr>
          <w:rFonts w:hint="eastAsia"/>
          <w:szCs w:val="32"/>
        </w:rPr>
        <w:t>。产生的固体废物均采取了妥善的处理措施，厂内暂存场所满足《一般工业固体废物贮存和填埋污染控制标准》（GB18599-2020）；对厂区污水处理设备区地面、固废临时堆放场所、厂区地坪都进行了防渗防漏处理，采用黏土夯实，防渗性能满足要求，可有效防止废水和固废渗滤液下渗到土壤中。</w:t>
      </w:r>
    </w:p>
    <w:p w14:paraId="4473EAEE">
      <w:pPr>
        <w:spacing w:line="360" w:lineRule="auto"/>
        <w:ind w:firstLine="480" w:firstLineChars="200"/>
        <w:jc w:val="left"/>
        <w:rPr>
          <w:rFonts w:hint="eastAsia"/>
          <w:szCs w:val="32"/>
        </w:rPr>
      </w:pPr>
      <w:r>
        <w:rPr>
          <w:rFonts w:hint="eastAsia"/>
          <w:szCs w:val="32"/>
        </w:rPr>
        <w:t>污水厂建成后对土壤的影响主要是调节池、等池体以及污泥暂存场所因防渗老化、破坏及意外等造成废水渗漏进入土壤造成土壤污染。为了分析本工程对土壤环境的影响，本次评价类比调查项目黑龙江鸿展生物科技股份有限公司内的污水处理站厂区及周边土壤的监测结果。</w:t>
      </w:r>
    </w:p>
    <w:p w14:paraId="4D4A8EAF">
      <w:pPr>
        <w:spacing w:line="360" w:lineRule="auto"/>
        <w:ind w:firstLine="480" w:firstLineChars="200"/>
        <w:jc w:val="left"/>
        <w:rPr>
          <w:rFonts w:hint="eastAsia"/>
          <w:szCs w:val="32"/>
        </w:rPr>
      </w:pPr>
      <w:r>
        <w:rPr>
          <w:rFonts w:hint="eastAsia"/>
          <w:szCs w:val="32"/>
        </w:rPr>
        <w:t>黑龙江鸿展生物科技股份有限公司配套污水处理站已稳定运行多年，运行过程中未发生池体渗漏等情况，为了了解项目场地内土壤现状情况，在现有厂区周边布置了监测点位，通过对监测结果的分析，现有黑龙江鸿展生物科技股份有限公司污水处理站布设的厂区监测因子均能满足《土壤环境质量 建设用地土壤污染风险管控标准（试行）》（GB36600-2018）第二类用地筛选值的要求。说明污水站在运行过程中对土壤的影响较小，因此，只要项目在做好相应防渗漏措施，加强环境管理的基础上，预计本项目建成后对土壤环境影响不大。</w:t>
      </w:r>
    </w:p>
    <w:p w14:paraId="4025CD28">
      <w:pPr>
        <w:pStyle w:val="4"/>
        <w:rPr>
          <w:rFonts w:hint="eastAsia"/>
        </w:rPr>
      </w:pPr>
      <w:r>
        <w:rPr>
          <w:rFonts w:hint="eastAsia"/>
          <w:lang w:val="en-US" w:eastAsia="zh-CN"/>
        </w:rPr>
        <w:t>9.7.7</w:t>
      </w:r>
      <w:r>
        <w:rPr>
          <w:rFonts w:hint="eastAsia"/>
        </w:rPr>
        <w:t>环境风险</w:t>
      </w:r>
      <w:r>
        <w:rPr>
          <w:rFonts w:hint="eastAsia"/>
          <w:lang w:val="en-US" w:eastAsia="zh-CN"/>
        </w:rPr>
        <w:t>影响分析</w:t>
      </w:r>
      <w:r>
        <w:rPr>
          <w:rFonts w:hint="eastAsia"/>
        </w:rPr>
        <w:t>结论</w:t>
      </w:r>
    </w:p>
    <w:p w14:paraId="71A87129">
      <w:pPr>
        <w:spacing w:line="360" w:lineRule="auto"/>
        <w:ind w:firstLine="480" w:firstLineChars="200"/>
        <w:jc w:val="left"/>
        <w:rPr>
          <w:rFonts w:hint="eastAsia"/>
          <w:szCs w:val="32"/>
        </w:rPr>
      </w:pPr>
      <w:r>
        <w:rPr>
          <w:rFonts w:hint="eastAsia"/>
          <w:szCs w:val="32"/>
        </w:rPr>
        <w:t>本项目无重大危险源，主要环境风险为污泥发酵膨胀。项目在运营期认真落实并严格执行本报告书中关于风险防范等方面的措施，并加强风险管理，杜绝违章操作，完善各类安全设备、设施，建立相应的风险管理制度和应急救援预案，严格执行并遵守风险管理制度和安全生产操作规程，将风险水平降至最低。</w:t>
      </w:r>
    </w:p>
    <w:p w14:paraId="0E0A5B53">
      <w:pPr>
        <w:pStyle w:val="3"/>
      </w:pPr>
      <w:bookmarkStart w:id="581" w:name="_Toc13741"/>
      <w:r>
        <w:t>9.8</w:t>
      </w:r>
      <w:bookmarkEnd w:id="576"/>
      <w:bookmarkEnd w:id="577"/>
      <w:bookmarkEnd w:id="578"/>
      <w:bookmarkEnd w:id="579"/>
      <w:bookmarkEnd w:id="580"/>
      <w:bookmarkStart w:id="582" w:name="_Toc11696"/>
      <w:bookmarkStart w:id="583" w:name="_Toc490466641"/>
      <w:bookmarkStart w:id="584" w:name="_Toc22948"/>
      <w:bookmarkStart w:id="585" w:name="_Toc27124"/>
      <w:bookmarkStart w:id="586" w:name="_Toc28479"/>
      <w:r>
        <w:t>公众意见采纳情况</w:t>
      </w:r>
      <w:bookmarkEnd w:id="582"/>
      <w:bookmarkEnd w:id="583"/>
      <w:r>
        <w:t>说明</w:t>
      </w:r>
      <w:bookmarkEnd w:id="581"/>
      <w:bookmarkEnd w:id="584"/>
      <w:bookmarkEnd w:id="585"/>
      <w:bookmarkEnd w:id="586"/>
    </w:p>
    <w:p w14:paraId="4329C2BB">
      <w:pPr>
        <w:spacing w:line="360" w:lineRule="auto"/>
        <w:ind w:firstLine="480" w:firstLineChars="200"/>
      </w:pPr>
      <w:bookmarkStart w:id="587" w:name="_Toc490466642"/>
      <w:bookmarkStart w:id="588" w:name="_Toc14068"/>
      <w:bookmarkStart w:id="589" w:name="_Toc17544"/>
      <w:bookmarkStart w:id="590" w:name="_Toc21213"/>
      <w:r>
        <w:t>在</w:t>
      </w:r>
      <w:r>
        <w:rPr>
          <w:rFonts w:hint="eastAsia"/>
          <w:lang w:eastAsia="zh-CN"/>
        </w:rPr>
        <w:t>本项目</w:t>
      </w:r>
      <w:r>
        <w:t>的环评报告编制期间，</w:t>
      </w:r>
      <w:r>
        <w:rPr>
          <w:rFonts w:hint="eastAsia"/>
          <w:lang w:eastAsia="zh-CN"/>
        </w:rPr>
        <w:t>黑龙江鸿展生物科技股份有限公司</w:t>
      </w:r>
      <w:r>
        <w:t>组织展开了公众参与工作，通过对厂址所在地区的公众进行调查，包括在建设单位所在地公共媒体网站、当地报纸进行信息公开、告示栏公示。</w:t>
      </w:r>
      <w:r>
        <w:rPr>
          <w:rFonts w:hint="eastAsia"/>
          <w:lang w:eastAsia="zh-CN"/>
        </w:rPr>
        <w:t>本项目</w:t>
      </w:r>
      <w:r>
        <w:t>在环境影响评价信息公示平台进行了网上公示，同时在所在地报纸又进行了报纸公示，建设单位已充分采纳公众参与意见。并在报告初稿完成后在环境影响评价信息公示平台进行了全本公示，在信息公开阶段未收到任何反对意见。环境影响评价信息公示平台对以上公示流程及公参调查表进行了整理总结，编制了《</w:t>
      </w:r>
      <w:r>
        <w:rPr>
          <w:rFonts w:hint="eastAsia"/>
          <w:lang w:eastAsia="zh-CN"/>
        </w:rPr>
        <w:t>黑龙江鸿展生物科技股份有限公司年产70万吨医用酒精技术改造项目</w:t>
      </w:r>
      <w:r>
        <w:t>环境影响评价公众参与说明》。</w:t>
      </w:r>
    </w:p>
    <w:p w14:paraId="65176776">
      <w:pPr>
        <w:pStyle w:val="2"/>
        <w:spacing w:line="480" w:lineRule="auto"/>
      </w:pPr>
      <w:bookmarkStart w:id="591" w:name="_Toc4782"/>
      <w:r>
        <w:t>总结论</w:t>
      </w:r>
      <w:bookmarkEnd w:id="587"/>
      <w:bookmarkEnd w:id="588"/>
      <w:bookmarkEnd w:id="589"/>
      <w:bookmarkEnd w:id="590"/>
      <w:bookmarkEnd w:id="591"/>
    </w:p>
    <w:p w14:paraId="552CEF26">
      <w:pPr>
        <w:autoSpaceDN w:val="0"/>
        <w:snapToGrid w:val="0"/>
        <w:spacing w:line="360" w:lineRule="auto"/>
        <w:ind w:firstLine="480" w:firstLineChars="200"/>
        <w:jc w:val="left"/>
      </w:pPr>
      <w:r>
        <w:t>综合对建设项目的建设概况、环境质量现状、污染物排放情况、主要环境影响、公众意见采纳情况、环境保护措施、环境影响经济损益分析、环境管理与监测计划等结论，在确保污染防治措施全面实施并正常运行的前提下，</w:t>
      </w:r>
      <w:r>
        <w:rPr>
          <w:rFonts w:hint="eastAsia"/>
          <w:lang w:eastAsia="zh-CN"/>
        </w:rPr>
        <w:t>本项目</w:t>
      </w:r>
      <w:r>
        <w:t>的建设可被周围环境所接受。因此，该工程建设从环境保护角度分析是可行的。</w:t>
      </w:r>
    </w:p>
    <w:p w14:paraId="2CFEA3EA">
      <w:r>
        <w:br w:type="page"/>
      </w:r>
    </w:p>
    <w:p w14:paraId="20347B35">
      <w:pPr>
        <w:spacing w:line="360" w:lineRule="auto"/>
        <w:jc w:val="center"/>
        <w:textAlignment w:val="baseline"/>
        <w:rPr>
          <w:kern w:val="24"/>
          <w:sz w:val="28"/>
          <w:szCs w:val="28"/>
        </w:rPr>
      </w:pPr>
      <w:r>
        <w:rPr>
          <w:b/>
          <w:bCs/>
          <w:kern w:val="24"/>
          <w:sz w:val="28"/>
          <w:szCs w:val="28"/>
        </w:rPr>
        <w:t>附表1  大气环境影响评价自查表</w:t>
      </w:r>
    </w:p>
    <w:tbl>
      <w:tblPr>
        <w:tblStyle w:val="53"/>
        <w:tblW w:w="9045"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15" w:type="dxa"/>
          <w:left w:w="15" w:type="dxa"/>
          <w:bottom w:w="15" w:type="dxa"/>
          <w:right w:w="15" w:type="dxa"/>
        </w:tblCellMar>
      </w:tblPr>
      <w:tblGrid>
        <w:gridCol w:w="571"/>
        <w:gridCol w:w="935"/>
        <w:gridCol w:w="1115"/>
        <w:gridCol w:w="799"/>
        <w:gridCol w:w="507"/>
        <w:gridCol w:w="964"/>
        <w:gridCol w:w="1418"/>
        <w:gridCol w:w="1202"/>
        <w:gridCol w:w="728"/>
        <w:gridCol w:w="806"/>
      </w:tblGrid>
      <w:tr w14:paraId="2D9856A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1506" w:type="dxa"/>
            <w:gridSpan w:val="2"/>
            <w:vAlign w:val="center"/>
          </w:tcPr>
          <w:p w14:paraId="0996F0EA">
            <w:pPr>
              <w:adjustRightInd w:val="0"/>
              <w:snapToGrid w:val="0"/>
              <w:jc w:val="center"/>
              <w:textAlignment w:val="center"/>
              <w:rPr>
                <w:szCs w:val="21"/>
              </w:rPr>
            </w:pPr>
            <w:r>
              <w:rPr>
                <w:szCs w:val="21"/>
                <w:lang w:bidi="ar"/>
              </w:rPr>
              <w:t>工作内容</w:t>
            </w:r>
          </w:p>
        </w:tc>
        <w:tc>
          <w:tcPr>
            <w:tcW w:w="7539" w:type="dxa"/>
            <w:gridSpan w:val="8"/>
            <w:vAlign w:val="center"/>
          </w:tcPr>
          <w:p w14:paraId="3915C27D">
            <w:pPr>
              <w:adjustRightInd w:val="0"/>
              <w:snapToGrid w:val="0"/>
              <w:jc w:val="center"/>
              <w:textAlignment w:val="center"/>
              <w:rPr>
                <w:szCs w:val="21"/>
              </w:rPr>
            </w:pPr>
            <w:r>
              <w:rPr>
                <w:szCs w:val="21"/>
                <w:lang w:bidi="ar"/>
              </w:rPr>
              <w:t>自查项目</w:t>
            </w:r>
          </w:p>
        </w:tc>
      </w:tr>
      <w:tr w14:paraId="251A2A8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restart"/>
            <w:vAlign w:val="center"/>
          </w:tcPr>
          <w:p w14:paraId="5509E8A9">
            <w:pPr>
              <w:adjustRightInd w:val="0"/>
              <w:snapToGrid w:val="0"/>
              <w:jc w:val="center"/>
              <w:textAlignment w:val="center"/>
              <w:rPr>
                <w:szCs w:val="21"/>
              </w:rPr>
            </w:pPr>
            <w:r>
              <w:rPr>
                <w:szCs w:val="21"/>
                <w:lang w:bidi="ar"/>
              </w:rPr>
              <w:t>评价等级与范围</w:t>
            </w:r>
          </w:p>
        </w:tc>
        <w:tc>
          <w:tcPr>
            <w:tcW w:w="935" w:type="dxa"/>
            <w:vAlign w:val="center"/>
          </w:tcPr>
          <w:p w14:paraId="6D835DD3">
            <w:pPr>
              <w:adjustRightInd w:val="0"/>
              <w:snapToGrid w:val="0"/>
              <w:jc w:val="center"/>
              <w:textAlignment w:val="center"/>
              <w:rPr>
                <w:szCs w:val="21"/>
              </w:rPr>
            </w:pPr>
            <w:r>
              <w:rPr>
                <w:szCs w:val="21"/>
                <w:lang w:bidi="ar"/>
              </w:rPr>
              <w:t>评价等级</w:t>
            </w:r>
          </w:p>
        </w:tc>
        <w:tc>
          <w:tcPr>
            <w:tcW w:w="3385" w:type="dxa"/>
            <w:gridSpan w:val="4"/>
            <w:vAlign w:val="center"/>
          </w:tcPr>
          <w:p w14:paraId="40914AD9">
            <w:pPr>
              <w:adjustRightInd w:val="0"/>
              <w:snapToGrid w:val="0"/>
              <w:jc w:val="center"/>
              <w:textAlignment w:val="center"/>
              <w:rPr>
                <w:rFonts w:hint="eastAsia" w:eastAsia="宋体"/>
                <w:szCs w:val="21"/>
                <w:lang w:eastAsia="zh-CN"/>
              </w:rPr>
            </w:pPr>
            <w:r>
              <w:rPr>
                <w:szCs w:val="21"/>
                <w:lang w:bidi="ar"/>
              </w:rPr>
              <w:t>一级</w:t>
            </w:r>
            <w:r>
              <w:rPr>
                <w:rFonts w:hint="eastAsia"/>
                <w:szCs w:val="21"/>
                <w:lang w:eastAsia="zh-CN" w:bidi="ar"/>
              </w:rPr>
              <w:t>☑</w:t>
            </w:r>
          </w:p>
        </w:tc>
        <w:tc>
          <w:tcPr>
            <w:tcW w:w="2620" w:type="dxa"/>
            <w:gridSpan w:val="2"/>
            <w:vAlign w:val="center"/>
          </w:tcPr>
          <w:p w14:paraId="5F4DA303">
            <w:pPr>
              <w:adjustRightInd w:val="0"/>
              <w:snapToGrid w:val="0"/>
              <w:jc w:val="center"/>
              <w:textAlignment w:val="center"/>
              <w:rPr>
                <w:rFonts w:hint="eastAsia" w:eastAsia="宋体"/>
                <w:szCs w:val="21"/>
                <w:lang w:eastAsia="zh-CN"/>
              </w:rPr>
            </w:pPr>
            <w:r>
              <w:rPr>
                <w:szCs w:val="21"/>
                <w:lang w:bidi="ar"/>
              </w:rPr>
              <w:t>二级</w:t>
            </w:r>
            <w:r>
              <w:rPr>
                <w:rFonts w:hint="eastAsia"/>
                <w:szCs w:val="21"/>
                <w:lang w:eastAsia="zh-CN" w:bidi="ar"/>
              </w:rPr>
              <w:t>□</w:t>
            </w:r>
          </w:p>
        </w:tc>
        <w:tc>
          <w:tcPr>
            <w:tcW w:w="1534" w:type="dxa"/>
            <w:gridSpan w:val="2"/>
            <w:vAlign w:val="center"/>
          </w:tcPr>
          <w:p w14:paraId="4EFD3640">
            <w:pPr>
              <w:adjustRightInd w:val="0"/>
              <w:snapToGrid w:val="0"/>
              <w:jc w:val="center"/>
              <w:textAlignment w:val="center"/>
              <w:rPr>
                <w:szCs w:val="21"/>
              </w:rPr>
            </w:pPr>
            <w:r>
              <w:rPr>
                <w:szCs w:val="21"/>
                <w:lang w:bidi="ar"/>
              </w:rPr>
              <w:t>三级□</w:t>
            </w:r>
          </w:p>
        </w:tc>
      </w:tr>
      <w:tr w14:paraId="3D504DC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3A760BAD">
            <w:pPr>
              <w:adjustRightInd w:val="0"/>
              <w:snapToGrid w:val="0"/>
              <w:jc w:val="center"/>
              <w:rPr>
                <w:szCs w:val="21"/>
              </w:rPr>
            </w:pPr>
          </w:p>
        </w:tc>
        <w:tc>
          <w:tcPr>
            <w:tcW w:w="935" w:type="dxa"/>
            <w:vAlign w:val="center"/>
          </w:tcPr>
          <w:p w14:paraId="2A2BEB64">
            <w:pPr>
              <w:adjustRightInd w:val="0"/>
              <w:snapToGrid w:val="0"/>
              <w:jc w:val="center"/>
              <w:textAlignment w:val="center"/>
              <w:rPr>
                <w:szCs w:val="21"/>
              </w:rPr>
            </w:pPr>
            <w:r>
              <w:rPr>
                <w:szCs w:val="21"/>
                <w:lang w:bidi="ar"/>
              </w:rPr>
              <w:t>评价范围</w:t>
            </w:r>
          </w:p>
        </w:tc>
        <w:tc>
          <w:tcPr>
            <w:tcW w:w="3385" w:type="dxa"/>
            <w:gridSpan w:val="4"/>
            <w:vAlign w:val="center"/>
          </w:tcPr>
          <w:p w14:paraId="413CAAA9">
            <w:pPr>
              <w:adjustRightInd w:val="0"/>
              <w:snapToGrid w:val="0"/>
              <w:jc w:val="center"/>
              <w:textAlignment w:val="center"/>
              <w:rPr>
                <w:szCs w:val="21"/>
              </w:rPr>
            </w:pPr>
            <w:r>
              <w:rPr>
                <w:szCs w:val="21"/>
                <w:lang w:bidi="ar"/>
              </w:rPr>
              <w:t>边长=50km□</w:t>
            </w:r>
          </w:p>
        </w:tc>
        <w:tc>
          <w:tcPr>
            <w:tcW w:w="2620" w:type="dxa"/>
            <w:gridSpan w:val="2"/>
            <w:vAlign w:val="center"/>
          </w:tcPr>
          <w:p w14:paraId="7D217EE4">
            <w:pPr>
              <w:adjustRightInd w:val="0"/>
              <w:snapToGrid w:val="0"/>
              <w:jc w:val="center"/>
              <w:textAlignment w:val="center"/>
              <w:rPr>
                <w:rFonts w:hint="eastAsia" w:eastAsia="宋体"/>
                <w:szCs w:val="21"/>
                <w:lang w:eastAsia="zh-CN"/>
              </w:rPr>
            </w:pPr>
            <w:r>
              <w:rPr>
                <w:szCs w:val="21"/>
                <w:lang w:bidi="ar"/>
              </w:rPr>
              <w:t>边长=5~50km</w:t>
            </w:r>
            <w:r>
              <w:rPr>
                <w:rFonts w:hint="eastAsia"/>
                <w:szCs w:val="21"/>
                <w:lang w:eastAsia="zh-CN" w:bidi="ar"/>
              </w:rPr>
              <w:t>□</w:t>
            </w:r>
          </w:p>
        </w:tc>
        <w:tc>
          <w:tcPr>
            <w:tcW w:w="1534" w:type="dxa"/>
            <w:gridSpan w:val="2"/>
            <w:vAlign w:val="center"/>
          </w:tcPr>
          <w:p w14:paraId="7912C9C8">
            <w:pPr>
              <w:adjustRightInd w:val="0"/>
              <w:snapToGrid w:val="0"/>
              <w:jc w:val="center"/>
              <w:textAlignment w:val="center"/>
              <w:rPr>
                <w:rFonts w:hint="eastAsia" w:eastAsia="宋体"/>
                <w:szCs w:val="21"/>
                <w:lang w:eastAsia="zh-CN"/>
              </w:rPr>
            </w:pPr>
            <w:r>
              <w:rPr>
                <w:szCs w:val="21"/>
                <w:lang w:bidi="ar"/>
              </w:rPr>
              <w:t>边长=5km</w:t>
            </w:r>
            <w:r>
              <w:rPr>
                <w:rFonts w:hint="eastAsia"/>
                <w:szCs w:val="21"/>
                <w:lang w:eastAsia="zh-CN" w:bidi="ar"/>
              </w:rPr>
              <w:t>☑</w:t>
            </w:r>
          </w:p>
        </w:tc>
      </w:tr>
      <w:tr w14:paraId="0F9D93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restart"/>
            <w:vAlign w:val="center"/>
          </w:tcPr>
          <w:p w14:paraId="2EDE3784">
            <w:pPr>
              <w:adjustRightInd w:val="0"/>
              <w:snapToGrid w:val="0"/>
              <w:jc w:val="center"/>
              <w:textAlignment w:val="center"/>
              <w:rPr>
                <w:szCs w:val="21"/>
              </w:rPr>
            </w:pPr>
            <w:r>
              <w:rPr>
                <w:szCs w:val="21"/>
                <w:lang w:bidi="ar"/>
              </w:rPr>
              <w:t>评价因子</w:t>
            </w:r>
          </w:p>
        </w:tc>
        <w:tc>
          <w:tcPr>
            <w:tcW w:w="935" w:type="dxa"/>
            <w:vAlign w:val="center"/>
          </w:tcPr>
          <w:p w14:paraId="676BE153">
            <w:pPr>
              <w:adjustRightInd w:val="0"/>
              <w:snapToGrid w:val="0"/>
              <w:jc w:val="center"/>
              <w:textAlignment w:val="center"/>
              <w:rPr>
                <w:szCs w:val="21"/>
              </w:rPr>
            </w:pPr>
            <w:r>
              <w:rPr>
                <w:szCs w:val="21"/>
                <w:lang w:bidi="ar"/>
              </w:rPr>
              <w:t>SO</w:t>
            </w:r>
            <w:r>
              <w:rPr>
                <w:szCs w:val="21"/>
                <w:vertAlign w:val="subscript"/>
                <w:lang w:bidi="ar"/>
              </w:rPr>
              <w:t>2</w:t>
            </w:r>
            <w:r>
              <w:rPr>
                <w:szCs w:val="21"/>
                <w:lang w:bidi="ar"/>
              </w:rPr>
              <w:t>+NOx排放量</w:t>
            </w:r>
          </w:p>
        </w:tc>
        <w:tc>
          <w:tcPr>
            <w:tcW w:w="1914" w:type="dxa"/>
            <w:gridSpan w:val="2"/>
            <w:vAlign w:val="center"/>
          </w:tcPr>
          <w:p w14:paraId="257E5146">
            <w:pPr>
              <w:adjustRightInd w:val="0"/>
              <w:snapToGrid w:val="0"/>
              <w:jc w:val="center"/>
              <w:textAlignment w:val="center"/>
              <w:rPr>
                <w:szCs w:val="21"/>
              </w:rPr>
            </w:pPr>
            <w:r>
              <w:rPr>
                <w:szCs w:val="21"/>
                <w:lang w:bidi="ar"/>
              </w:rPr>
              <w:t>≥2000t/a□</w:t>
            </w:r>
          </w:p>
        </w:tc>
        <w:tc>
          <w:tcPr>
            <w:tcW w:w="2889" w:type="dxa"/>
            <w:gridSpan w:val="3"/>
            <w:vAlign w:val="center"/>
          </w:tcPr>
          <w:p w14:paraId="248F11E9">
            <w:pPr>
              <w:adjustRightInd w:val="0"/>
              <w:snapToGrid w:val="0"/>
              <w:jc w:val="center"/>
              <w:textAlignment w:val="center"/>
              <w:rPr>
                <w:szCs w:val="21"/>
              </w:rPr>
            </w:pPr>
            <w:r>
              <w:rPr>
                <w:szCs w:val="21"/>
                <w:lang w:bidi="ar"/>
              </w:rPr>
              <w:t>500~2000t/a□</w:t>
            </w:r>
          </w:p>
        </w:tc>
        <w:tc>
          <w:tcPr>
            <w:tcW w:w="2736" w:type="dxa"/>
            <w:gridSpan w:val="3"/>
            <w:vAlign w:val="center"/>
          </w:tcPr>
          <w:p w14:paraId="107BB6AC">
            <w:pPr>
              <w:adjustRightInd w:val="0"/>
              <w:snapToGrid w:val="0"/>
              <w:jc w:val="center"/>
              <w:textAlignment w:val="center"/>
              <w:rPr>
                <w:szCs w:val="21"/>
              </w:rPr>
            </w:pPr>
            <w:r>
              <w:rPr>
                <w:szCs w:val="21"/>
                <w:lang w:bidi="ar"/>
              </w:rPr>
              <w:t>&lt;500t/a☑</w:t>
            </w:r>
          </w:p>
        </w:tc>
      </w:tr>
      <w:tr w14:paraId="0F6BBDC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738C8E5E">
            <w:pPr>
              <w:adjustRightInd w:val="0"/>
              <w:snapToGrid w:val="0"/>
              <w:jc w:val="center"/>
              <w:rPr>
                <w:szCs w:val="21"/>
              </w:rPr>
            </w:pPr>
          </w:p>
        </w:tc>
        <w:tc>
          <w:tcPr>
            <w:tcW w:w="935" w:type="dxa"/>
            <w:vAlign w:val="center"/>
          </w:tcPr>
          <w:p w14:paraId="3AC30563">
            <w:pPr>
              <w:adjustRightInd w:val="0"/>
              <w:snapToGrid w:val="0"/>
              <w:jc w:val="center"/>
              <w:textAlignment w:val="center"/>
              <w:rPr>
                <w:szCs w:val="21"/>
              </w:rPr>
            </w:pPr>
            <w:r>
              <w:rPr>
                <w:szCs w:val="21"/>
                <w:lang w:bidi="ar"/>
              </w:rPr>
              <w:t>评价因子</w:t>
            </w:r>
          </w:p>
        </w:tc>
        <w:tc>
          <w:tcPr>
            <w:tcW w:w="4803" w:type="dxa"/>
            <w:gridSpan w:val="5"/>
            <w:vAlign w:val="center"/>
          </w:tcPr>
          <w:p w14:paraId="45C2A80D">
            <w:pPr>
              <w:adjustRightInd w:val="0"/>
              <w:snapToGrid w:val="0"/>
              <w:jc w:val="center"/>
              <w:textAlignment w:val="center"/>
              <w:rPr>
                <w:szCs w:val="21"/>
                <w:lang w:bidi="ar"/>
              </w:rPr>
            </w:pPr>
            <w:r>
              <w:rPr>
                <w:szCs w:val="21"/>
                <w:lang w:bidi="ar"/>
              </w:rPr>
              <w:t>基本污染物（）</w:t>
            </w:r>
          </w:p>
          <w:p w14:paraId="1741332E">
            <w:pPr>
              <w:adjustRightInd w:val="0"/>
              <w:snapToGrid w:val="0"/>
              <w:jc w:val="center"/>
              <w:textAlignment w:val="center"/>
              <w:rPr>
                <w:szCs w:val="21"/>
              </w:rPr>
            </w:pPr>
            <w:r>
              <w:rPr>
                <w:szCs w:val="21"/>
                <w:lang w:bidi="ar"/>
              </w:rPr>
              <w:t>其他污染物（</w:t>
            </w:r>
            <w:r>
              <w:rPr>
                <w:rFonts w:hint="eastAsia"/>
                <w:szCs w:val="21"/>
                <w:lang w:val="en-US" w:eastAsia="zh-CN" w:bidi="ar"/>
              </w:rPr>
              <w:t>NH</w:t>
            </w:r>
            <w:r>
              <w:rPr>
                <w:rFonts w:hint="eastAsia"/>
                <w:szCs w:val="21"/>
                <w:vertAlign w:val="subscript"/>
                <w:lang w:val="en-US" w:eastAsia="zh-CN" w:bidi="ar"/>
              </w:rPr>
              <w:t>3</w:t>
            </w:r>
            <w:r>
              <w:rPr>
                <w:rFonts w:hint="eastAsia"/>
                <w:szCs w:val="21"/>
                <w:lang w:val="en-US" w:eastAsia="zh-CN" w:bidi="ar"/>
              </w:rPr>
              <w:t>、H</w:t>
            </w:r>
            <w:r>
              <w:rPr>
                <w:rFonts w:hint="eastAsia"/>
                <w:szCs w:val="21"/>
                <w:vertAlign w:val="subscript"/>
                <w:lang w:val="en-US" w:eastAsia="zh-CN" w:bidi="ar"/>
              </w:rPr>
              <w:t>2</w:t>
            </w:r>
            <w:r>
              <w:rPr>
                <w:rFonts w:hint="eastAsia"/>
                <w:szCs w:val="21"/>
                <w:lang w:val="en-US" w:eastAsia="zh-CN" w:bidi="ar"/>
              </w:rPr>
              <w:t>S、非甲烷总烃、TSP</w:t>
            </w:r>
            <w:r>
              <w:rPr>
                <w:szCs w:val="21"/>
                <w:lang w:bidi="ar"/>
              </w:rPr>
              <w:t>）</w:t>
            </w:r>
          </w:p>
        </w:tc>
        <w:tc>
          <w:tcPr>
            <w:tcW w:w="2736" w:type="dxa"/>
            <w:gridSpan w:val="3"/>
            <w:vAlign w:val="center"/>
          </w:tcPr>
          <w:p w14:paraId="7CD65E97">
            <w:pPr>
              <w:adjustRightInd w:val="0"/>
              <w:snapToGrid w:val="0"/>
              <w:jc w:val="center"/>
              <w:rPr>
                <w:szCs w:val="21"/>
              </w:rPr>
            </w:pPr>
            <w:r>
              <w:rPr>
                <w:szCs w:val="21"/>
              </w:rPr>
              <w:t>包括二次PM</w:t>
            </w:r>
            <w:r>
              <w:rPr>
                <w:szCs w:val="21"/>
                <w:vertAlign w:val="subscript"/>
              </w:rPr>
              <w:t>2.5</w:t>
            </w:r>
            <w:r>
              <w:rPr>
                <w:szCs w:val="21"/>
              </w:rPr>
              <w:t>□</w:t>
            </w:r>
          </w:p>
          <w:p w14:paraId="38F10D4F">
            <w:pPr>
              <w:adjustRightInd w:val="0"/>
              <w:snapToGrid w:val="0"/>
              <w:jc w:val="center"/>
              <w:rPr>
                <w:szCs w:val="21"/>
              </w:rPr>
            </w:pPr>
            <w:r>
              <w:rPr>
                <w:szCs w:val="21"/>
              </w:rPr>
              <w:t>不包括二次PM</w:t>
            </w:r>
            <w:r>
              <w:rPr>
                <w:szCs w:val="21"/>
                <w:vertAlign w:val="subscript"/>
              </w:rPr>
              <w:t>2.5</w:t>
            </w:r>
            <w:r>
              <w:rPr>
                <w:szCs w:val="21"/>
                <w:lang w:bidi="ar"/>
              </w:rPr>
              <w:t>☑</w:t>
            </w:r>
          </w:p>
        </w:tc>
      </w:tr>
      <w:tr w14:paraId="353BC66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Align w:val="center"/>
          </w:tcPr>
          <w:p w14:paraId="33A61462">
            <w:pPr>
              <w:adjustRightInd w:val="0"/>
              <w:snapToGrid w:val="0"/>
              <w:jc w:val="center"/>
              <w:textAlignment w:val="center"/>
              <w:rPr>
                <w:szCs w:val="21"/>
              </w:rPr>
            </w:pPr>
            <w:r>
              <w:rPr>
                <w:szCs w:val="21"/>
                <w:lang w:bidi="ar"/>
              </w:rPr>
              <w:t>评价标准</w:t>
            </w:r>
          </w:p>
        </w:tc>
        <w:tc>
          <w:tcPr>
            <w:tcW w:w="935" w:type="dxa"/>
            <w:vAlign w:val="center"/>
          </w:tcPr>
          <w:p w14:paraId="6088B427">
            <w:pPr>
              <w:adjustRightInd w:val="0"/>
              <w:snapToGrid w:val="0"/>
              <w:jc w:val="center"/>
              <w:textAlignment w:val="center"/>
              <w:rPr>
                <w:szCs w:val="21"/>
              </w:rPr>
            </w:pPr>
            <w:r>
              <w:rPr>
                <w:szCs w:val="21"/>
                <w:lang w:bidi="ar"/>
              </w:rPr>
              <w:t>评价标准</w:t>
            </w:r>
          </w:p>
        </w:tc>
        <w:tc>
          <w:tcPr>
            <w:tcW w:w="2421" w:type="dxa"/>
            <w:gridSpan w:val="3"/>
            <w:vAlign w:val="center"/>
          </w:tcPr>
          <w:p w14:paraId="277EE707">
            <w:pPr>
              <w:adjustRightInd w:val="0"/>
              <w:snapToGrid w:val="0"/>
              <w:jc w:val="center"/>
              <w:textAlignment w:val="center"/>
              <w:rPr>
                <w:rFonts w:hint="eastAsia" w:eastAsia="宋体"/>
                <w:szCs w:val="21"/>
                <w:lang w:eastAsia="zh-CN"/>
              </w:rPr>
            </w:pPr>
            <w:r>
              <w:rPr>
                <w:szCs w:val="21"/>
                <w:lang w:bidi="ar"/>
              </w:rPr>
              <w:t>国家标准</w:t>
            </w:r>
            <w:r>
              <w:rPr>
                <w:rFonts w:hint="eastAsia"/>
                <w:szCs w:val="21"/>
                <w:lang w:eastAsia="zh-CN"/>
              </w:rPr>
              <w:t>☑</w:t>
            </w:r>
          </w:p>
        </w:tc>
        <w:tc>
          <w:tcPr>
            <w:tcW w:w="2382" w:type="dxa"/>
            <w:gridSpan w:val="2"/>
            <w:vAlign w:val="center"/>
          </w:tcPr>
          <w:p w14:paraId="7ABF0E05">
            <w:pPr>
              <w:adjustRightInd w:val="0"/>
              <w:snapToGrid w:val="0"/>
              <w:jc w:val="center"/>
              <w:textAlignment w:val="center"/>
              <w:rPr>
                <w:rFonts w:hint="eastAsia" w:eastAsia="宋体"/>
                <w:szCs w:val="21"/>
                <w:lang w:eastAsia="zh-CN"/>
              </w:rPr>
            </w:pPr>
            <w:r>
              <w:rPr>
                <w:szCs w:val="21"/>
                <w:lang w:bidi="ar"/>
              </w:rPr>
              <w:t>地方标准</w:t>
            </w:r>
            <w:r>
              <w:rPr>
                <w:rFonts w:hint="eastAsia"/>
                <w:szCs w:val="21"/>
                <w:lang w:eastAsia="zh-CN" w:bidi="ar"/>
              </w:rPr>
              <w:t>☑</w:t>
            </w:r>
          </w:p>
        </w:tc>
        <w:tc>
          <w:tcPr>
            <w:tcW w:w="1202" w:type="dxa"/>
            <w:vAlign w:val="center"/>
          </w:tcPr>
          <w:p w14:paraId="5AB54AE6">
            <w:pPr>
              <w:adjustRightInd w:val="0"/>
              <w:snapToGrid w:val="0"/>
              <w:jc w:val="center"/>
              <w:textAlignment w:val="center"/>
              <w:rPr>
                <w:rFonts w:hint="eastAsia" w:eastAsia="宋体"/>
                <w:szCs w:val="21"/>
                <w:lang w:eastAsia="zh-CN"/>
              </w:rPr>
            </w:pPr>
            <w:r>
              <w:rPr>
                <w:szCs w:val="21"/>
                <w:lang w:bidi="ar"/>
              </w:rPr>
              <w:t>附录D</w:t>
            </w:r>
            <w:r>
              <w:rPr>
                <w:rFonts w:hint="eastAsia"/>
                <w:szCs w:val="21"/>
                <w:lang w:eastAsia="zh-CN" w:bidi="ar"/>
              </w:rPr>
              <w:t>☑</w:t>
            </w:r>
          </w:p>
        </w:tc>
        <w:tc>
          <w:tcPr>
            <w:tcW w:w="1534" w:type="dxa"/>
            <w:gridSpan w:val="2"/>
            <w:vAlign w:val="center"/>
          </w:tcPr>
          <w:p w14:paraId="4574065C">
            <w:pPr>
              <w:adjustRightInd w:val="0"/>
              <w:snapToGrid w:val="0"/>
              <w:jc w:val="center"/>
              <w:textAlignment w:val="center"/>
              <w:rPr>
                <w:szCs w:val="21"/>
              </w:rPr>
            </w:pPr>
            <w:r>
              <w:rPr>
                <w:szCs w:val="21"/>
                <w:lang w:bidi="ar"/>
              </w:rPr>
              <w:t>其他标准□</w:t>
            </w:r>
          </w:p>
        </w:tc>
      </w:tr>
      <w:tr w14:paraId="2B394E3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restart"/>
            <w:vAlign w:val="center"/>
          </w:tcPr>
          <w:p w14:paraId="190AF284">
            <w:pPr>
              <w:adjustRightInd w:val="0"/>
              <w:snapToGrid w:val="0"/>
              <w:jc w:val="center"/>
              <w:textAlignment w:val="center"/>
              <w:rPr>
                <w:szCs w:val="21"/>
              </w:rPr>
            </w:pPr>
            <w:r>
              <w:rPr>
                <w:szCs w:val="21"/>
                <w:lang w:bidi="ar"/>
              </w:rPr>
              <w:t>现状评价</w:t>
            </w:r>
          </w:p>
        </w:tc>
        <w:tc>
          <w:tcPr>
            <w:tcW w:w="935" w:type="dxa"/>
            <w:vAlign w:val="center"/>
          </w:tcPr>
          <w:p w14:paraId="66A9B8A7">
            <w:pPr>
              <w:adjustRightInd w:val="0"/>
              <w:snapToGrid w:val="0"/>
              <w:jc w:val="center"/>
              <w:textAlignment w:val="center"/>
              <w:rPr>
                <w:szCs w:val="21"/>
              </w:rPr>
            </w:pPr>
            <w:r>
              <w:rPr>
                <w:szCs w:val="21"/>
                <w:lang w:bidi="ar"/>
              </w:rPr>
              <w:t>评价功能区</w:t>
            </w:r>
          </w:p>
        </w:tc>
        <w:tc>
          <w:tcPr>
            <w:tcW w:w="3385" w:type="dxa"/>
            <w:gridSpan w:val="4"/>
            <w:vAlign w:val="center"/>
          </w:tcPr>
          <w:p w14:paraId="10B82258">
            <w:pPr>
              <w:adjustRightInd w:val="0"/>
              <w:snapToGrid w:val="0"/>
              <w:jc w:val="center"/>
              <w:textAlignment w:val="center"/>
              <w:rPr>
                <w:szCs w:val="21"/>
              </w:rPr>
            </w:pPr>
            <w:r>
              <w:rPr>
                <w:szCs w:val="21"/>
                <w:lang w:bidi="ar"/>
              </w:rPr>
              <w:t>一类区□</w:t>
            </w:r>
          </w:p>
        </w:tc>
        <w:tc>
          <w:tcPr>
            <w:tcW w:w="2620" w:type="dxa"/>
            <w:gridSpan w:val="2"/>
            <w:vAlign w:val="center"/>
          </w:tcPr>
          <w:p w14:paraId="448E82BE">
            <w:pPr>
              <w:adjustRightInd w:val="0"/>
              <w:snapToGrid w:val="0"/>
              <w:jc w:val="center"/>
              <w:textAlignment w:val="center"/>
              <w:rPr>
                <w:szCs w:val="21"/>
              </w:rPr>
            </w:pPr>
            <w:r>
              <w:rPr>
                <w:szCs w:val="21"/>
                <w:lang w:bidi="ar"/>
              </w:rPr>
              <w:t>二类区</w:t>
            </w:r>
            <w:r>
              <w:rPr>
                <w:szCs w:val="21"/>
              </w:rPr>
              <w:t>☑</w:t>
            </w:r>
          </w:p>
        </w:tc>
        <w:tc>
          <w:tcPr>
            <w:tcW w:w="1534" w:type="dxa"/>
            <w:gridSpan w:val="2"/>
            <w:vAlign w:val="center"/>
          </w:tcPr>
          <w:p w14:paraId="239C646B">
            <w:pPr>
              <w:adjustRightInd w:val="0"/>
              <w:snapToGrid w:val="0"/>
              <w:jc w:val="center"/>
              <w:textAlignment w:val="center"/>
              <w:rPr>
                <w:szCs w:val="21"/>
              </w:rPr>
            </w:pPr>
            <w:r>
              <w:rPr>
                <w:szCs w:val="21"/>
                <w:lang w:bidi="ar"/>
              </w:rPr>
              <w:t>一类区和二类区□</w:t>
            </w:r>
          </w:p>
        </w:tc>
      </w:tr>
      <w:tr w14:paraId="4B258A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1761FA1C">
            <w:pPr>
              <w:adjustRightInd w:val="0"/>
              <w:snapToGrid w:val="0"/>
              <w:jc w:val="center"/>
              <w:rPr>
                <w:szCs w:val="21"/>
              </w:rPr>
            </w:pPr>
          </w:p>
        </w:tc>
        <w:tc>
          <w:tcPr>
            <w:tcW w:w="935" w:type="dxa"/>
            <w:vAlign w:val="center"/>
          </w:tcPr>
          <w:p w14:paraId="5227C85A">
            <w:pPr>
              <w:adjustRightInd w:val="0"/>
              <w:snapToGrid w:val="0"/>
              <w:jc w:val="center"/>
              <w:textAlignment w:val="center"/>
              <w:rPr>
                <w:szCs w:val="21"/>
              </w:rPr>
            </w:pPr>
            <w:r>
              <w:rPr>
                <w:szCs w:val="21"/>
                <w:lang w:bidi="ar"/>
              </w:rPr>
              <w:t>评价基准年</w:t>
            </w:r>
          </w:p>
        </w:tc>
        <w:tc>
          <w:tcPr>
            <w:tcW w:w="7539" w:type="dxa"/>
            <w:gridSpan w:val="8"/>
            <w:vAlign w:val="center"/>
          </w:tcPr>
          <w:p w14:paraId="154F57D2">
            <w:pPr>
              <w:adjustRightInd w:val="0"/>
              <w:snapToGrid w:val="0"/>
              <w:jc w:val="center"/>
              <w:textAlignment w:val="center"/>
              <w:rPr>
                <w:szCs w:val="21"/>
              </w:rPr>
            </w:pPr>
            <w:r>
              <w:rPr>
                <w:szCs w:val="21"/>
                <w:lang w:bidi="ar"/>
              </w:rPr>
              <w:t>（20</w:t>
            </w:r>
            <w:r>
              <w:rPr>
                <w:rFonts w:hint="eastAsia"/>
                <w:szCs w:val="21"/>
                <w:lang w:bidi="ar"/>
              </w:rPr>
              <w:t>2</w:t>
            </w:r>
            <w:r>
              <w:rPr>
                <w:rFonts w:hint="eastAsia"/>
                <w:szCs w:val="21"/>
                <w:lang w:val="en-US" w:eastAsia="zh-CN" w:bidi="ar"/>
              </w:rPr>
              <w:t>4</w:t>
            </w:r>
            <w:r>
              <w:rPr>
                <w:szCs w:val="21"/>
                <w:lang w:bidi="ar"/>
              </w:rPr>
              <w:t>）年</w:t>
            </w:r>
          </w:p>
        </w:tc>
      </w:tr>
      <w:tr w14:paraId="734A9CD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30ABA64A">
            <w:pPr>
              <w:adjustRightInd w:val="0"/>
              <w:snapToGrid w:val="0"/>
              <w:jc w:val="center"/>
              <w:rPr>
                <w:szCs w:val="21"/>
              </w:rPr>
            </w:pPr>
          </w:p>
        </w:tc>
        <w:tc>
          <w:tcPr>
            <w:tcW w:w="935" w:type="dxa"/>
            <w:vAlign w:val="center"/>
          </w:tcPr>
          <w:p w14:paraId="2796FDF2">
            <w:pPr>
              <w:adjustRightInd w:val="0"/>
              <w:snapToGrid w:val="0"/>
              <w:jc w:val="center"/>
              <w:textAlignment w:val="center"/>
              <w:rPr>
                <w:szCs w:val="21"/>
              </w:rPr>
            </w:pPr>
            <w:r>
              <w:rPr>
                <w:szCs w:val="21"/>
                <w:lang w:bidi="ar"/>
              </w:rPr>
              <w:t>环境空气质量现状调查数据来源</w:t>
            </w:r>
          </w:p>
        </w:tc>
        <w:tc>
          <w:tcPr>
            <w:tcW w:w="3385" w:type="dxa"/>
            <w:gridSpan w:val="4"/>
            <w:vAlign w:val="center"/>
          </w:tcPr>
          <w:p w14:paraId="3C23AD31">
            <w:pPr>
              <w:adjustRightInd w:val="0"/>
              <w:snapToGrid w:val="0"/>
              <w:jc w:val="center"/>
              <w:textAlignment w:val="center"/>
              <w:rPr>
                <w:szCs w:val="21"/>
              </w:rPr>
            </w:pPr>
            <w:r>
              <w:rPr>
                <w:szCs w:val="21"/>
                <w:lang w:bidi="ar"/>
              </w:rPr>
              <w:t>长期例行监测数据☑</w:t>
            </w:r>
          </w:p>
        </w:tc>
        <w:tc>
          <w:tcPr>
            <w:tcW w:w="2620" w:type="dxa"/>
            <w:gridSpan w:val="2"/>
            <w:vAlign w:val="center"/>
          </w:tcPr>
          <w:p w14:paraId="26EE9842">
            <w:pPr>
              <w:adjustRightInd w:val="0"/>
              <w:snapToGrid w:val="0"/>
              <w:jc w:val="center"/>
              <w:textAlignment w:val="center"/>
              <w:rPr>
                <w:szCs w:val="21"/>
              </w:rPr>
            </w:pPr>
            <w:r>
              <w:rPr>
                <w:szCs w:val="21"/>
                <w:lang w:bidi="ar"/>
              </w:rPr>
              <w:t>主管部门发布的数据</w:t>
            </w:r>
            <w:r>
              <w:rPr>
                <w:szCs w:val="21"/>
              </w:rPr>
              <w:t>□</w:t>
            </w:r>
          </w:p>
        </w:tc>
        <w:tc>
          <w:tcPr>
            <w:tcW w:w="1534" w:type="dxa"/>
            <w:gridSpan w:val="2"/>
            <w:vAlign w:val="center"/>
          </w:tcPr>
          <w:p w14:paraId="471B28FD">
            <w:pPr>
              <w:adjustRightInd w:val="0"/>
              <w:snapToGrid w:val="0"/>
              <w:jc w:val="center"/>
              <w:textAlignment w:val="center"/>
              <w:rPr>
                <w:szCs w:val="21"/>
              </w:rPr>
            </w:pPr>
            <w:r>
              <w:rPr>
                <w:szCs w:val="21"/>
                <w:lang w:bidi="ar"/>
              </w:rPr>
              <w:t>现状补充检测</w:t>
            </w:r>
            <w:r>
              <w:rPr>
                <w:rFonts w:hint="eastAsia"/>
                <w:szCs w:val="21"/>
              </w:rPr>
              <w:t>☑</w:t>
            </w:r>
          </w:p>
        </w:tc>
      </w:tr>
      <w:tr w14:paraId="16B24E3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6A207AC1">
            <w:pPr>
              <w:adjustRightInd w:val="0"/>
              <w:snapToGrid w:val="0"/>
              <w:jc w:val="center"/>
              <w:rPr>
                <w:szCs w:val="21"/>
              </w:rPr>
            </w:pPr>
          </w:p>
        </w:tc>
        <w:tc>
          <w:tcPr>
            <w:tcW w:w="935" w:type="dxa"/>
            <w:vAlign w:val="center"/>
          </w:tcPr>
          <w:p w14:paraId="3A190990">
            <w:pPr>
              <w:adjustRightInd w:val="0"/>
              <w:snapToGrid w:val="0"/>
              <w:jc w:val="center"/>
              <w:textAlignment w:val="center"/>
              <w:rPr>
                <w:szCs w:val="21"/>
              </w:rPr>
            </w:pPr>
            <w:r>
              <w:rPr>
                <w:szCs w:val="21"/>
                <w:lang w:bidi="ar"/>
              </w:rPr>
              <w:t>现状评价</w:t>
            </w:r>
          </w:p>
        </w:tc>
        <w:tc>
          <w:tcPr>
            <w:tcW w:w="4803" w:type="dxa"/>
            <w:gridSpan w:val="5"/>
            <w:vAlign w:val="center"/>
          </w:tcPr>
          <w:p w14:paraId="5F3808B9">
            <w:pPr>
              <w:adjustRightInd w:val="0"/>
              <w:snapToGrid w:val="0"/>
              <w:jc w:val="center"/>
              <w:textAlignment w:val="center"/>
              <w:rPr>
                <w:szCs w:val="21"/>
              </w:rPr>
            </w:pPr>
            <w:r>
              <w:rPr>
                <w:szCs w:val="21"/>
                <w:lang w:bidi="ar"/>
              </w:rPr>
              <w:t>达标区☑</w:t>
            </w:r>
          </w:p>
        </w:tc>
        <w:tc>
          <w:tcPr>
            <w:tcW w:w="2736" w:type="dxa"/>
            <w:gridSpan w:val="3"/>
            <w:vAlign w:val="center"/>
          </w:tcPr>
          <w:p w14:paraId="593EE0D9">
            <w:pPr>
              <w:adjustRightInd w:val="0"/>
              <w:snapToGrid w:val="0"/>
              <w:jc w:val="center"/>
              <w:textAlignment w:val="center"/>
              <w:rPr>
                <w:szCs w:val="21"/>
              </w:rPr>
            </w:pPr>
            <w:r>
              <w:rPr>
                <w:szCs w:val="21"/>
                <w:lang w:bidi="ar"/>
              </w:rPr>
              <w:t>不达标区</w:t>
            </w:r>
            <w:r>
              <w:rPr>
                <w:szCs w:val="21"/>
              </w:rPr>
              <w:t>□</w:t>
            </w:r>
          </w:p>
        </w:tc>
      </w:tr>
      <w:tr w14:paraId="61E1D83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Align w:val="center"/>
          </w:tcPr>
          <w:p w14:paraId="69123E5B">
            <w:pPr>
              <w:adjustRightInd w:val="0"/>
              <w:snapToGrid w:val="0"/>
              <w:jc w:val="center"/>
              <w:textAlignment w:val="center"/>
              <w:rPr>
                <w:szCs w:val="21"/>
              </w:rPr>
            </w:pPr>
            <w:r>
              <w:rPr>
                <w:szCs w:val="21"/>
                <w:lang w:bidi="ar"/>
              </w:rPr>
              <w:t>污染源调查</w:t>
            </w:r>
          </w:p>
        </w:tc>
        <w:tc>
          <w:tcPr>
            <w:tcW w:w="935" w:type="dxa"/>
            <w:vAlign w:val="center"/>
          </w:tcPr>
          <w:p w14:paraId="063639BD">
            <w:pPr>
              <w:adjustRightInd w:val="0"/>
              <w:snapToGrid w:val="0"/>
              <w:jc w:val="center"/>
              <w:textAlignment w:val="center"/>
              <w:rPr>
                <w:szCs w:val="21"/>
              </w:rPr>
            </w:pPr>
            <w:r>
              <w:rPr>
                <w:szCs w:val="21"/>
                <w:lang w:bidi="ar"/>
              </w:rPr>
              <w:t>调查内容</w:t>
            </w:r>
          </w:p>
        </w:tc>
        <w:tc>
          <w:tcPr>
            <w:tcW w:w="2421" w:type="dxa"/>
            <w:gridSpan w:val="3"/>
            <w:vAlign w:val="center"/>
          </w:tcPr>
          <w:p w14:paraId="2ED15779">
            <w:pPr>
              <w:adjustRightInd w:val="0"/>
              <w:snapToGrid w:val="0"/>
              <w:jc w:val="center"/>
              <w:textAlignment w:val="center"/>
              <w:rPr>
                <w:szCs w:val="21"/>
              </w:rPr>
            </w:pPr>
            <w:r>
              <w:rPr>
                <w:szCs w:val="21"/>
                <w:lang w:bidi="ar"/>
              </w:rPr>
              <w:t>本项目正常排放源</w:t>
            </w:r>
            <w:r>
              <w:rPr>
                <w:szCs w:val="21"/>
              </w:rPr>
              <w:t>☑</w:t>
            </w:r>
          </w:p>
          <w:p w14:paraId="011A2789">
            <w:pPr>
              <w:adjustRightInd w:val="0"/>
              <w:snapToGrid w:val="0"/>
              <w:jc w:val="center"/>
              <w:textAlignment w:val="center"/>
              <w:rPr>
                <w:szCs w:val="21"/>
                <w:lang w:bidi="ar"/>
              </w:rPr>
            </w:pPr>
            <w:r>
              <w:rPr>
                <w:szCs w:val="21"/>
                <w:lang w:bidi="ar"/>
              </w:rPr>
              <w:t>本项目非正常排放源☑</w:t>
            </w:r>
          </w:p>
          <w:p w14:paraId="6D963650">
            <w:pPr>
              <w:adjustRightInd w:val="0"/>
              <w:snapToGrid w:val="0"/>
              <w:jc w:val="center"/>
              <w:textAlignment w:val="center"/>
              <w:rPr>
                <w:szCs w:val="21"/>
              </w:rPr>
            </w:pPr>
            <w:r>
              <w:rPr>
                <w:szCs w:val="21"/>
                <w:lang w:bidi="ar"/>
              </w:rPr>
              <w:t>现有污染源□</w:t>
            </w:r>
          </w:p>
        </w:tc>
        <w:tc>
          <w:tcPr>
            <w:tcW w:w="2382" w:type="dxa"/>
            <w:gridSpan w:val="2"/>
            <w:vAlign w:val="center"/>
          </w:tcPr>
          <w:p w14:paraId="0443DB3F">
            <w:pPr>
              <w:adjustRightInd w:val="0"/>
              <w:snapToGrid w:val="0"/>
              <w:jc w:val="center"/>
              <w:textAlignment w:val="center"/>
              <w:rPr>
                <w:rFonts w:hint="eastAsia" w:eastAsia="宋体"/>
                <w:szCs w:val="21"/>
                <w:lang w:eastAsia="zh-CN"/>
              </w:rPr>
            </w:pPr>
            <w:r>
              <w:rPr>
                <w:szCs w:val="21"/>
                <w:lang w:bidi="ar"/>
              </w:rPr>
              <w:t>拟替代的污染源</w:t>
            </w:r>
            <w:r>
              <w:rPr>
                <w:rFonts w:hint="eastAsia"/>
                <w:szCs w:val="21"/>
                <w:lang w:eastAsia="zh-CN" w:bidi="ar"/>
              </w:rPr>
              <w:t>□</w:t>
            </w:r>
          </w:p>
        </w:tc>
        <w:tc>
          <w:tcPr>
            <w:tcW w:w="1202" w:type="dxa"/>
            <w:vAlign w:val="center"/>
          </w:tcPr>
          <w:p w14:paraId="2CDC53BE">
            <w:pPr>
              <w:adjustRightInd w:val="0"/>
              <w:snapToGrid w:val="0"/>
              <w:jc w:val="center"/>
              <w:textAlignment w:val="center"/>
              <w:rPr>
                <w:szCs w:val="21"/>
              </w:rPr>
            </w:pPr>
            <w:r>
              <w:rPr>
                <w:szCs w:val="21"/>
                <w:lang w:bidi="ar"/>
              </w:rPr>
              <w:t>其他在建、拟建项目污染源□</w:t>
            </w:r>
          </w:p>
        </w:tc>
        <w:tc>
          <w:tcPr>
            <w:tcW w:w="1534" w:type="dxa"/>
            <w:gridSpan w:val="2"/>
            <w:vAlign w:val="center"/>
          </w:tcPr>
          <w:p w14:paraId="0D105DDE">
            <w:pPr>
              <w:adjustRightInd w:val="0"/>
              <w:snapToGrid w:val="0"/>
              <w:jc w:val="center"/>
              <w:textAlignment w:val="center"/>
              <w:rPr>
                <w:szCs w:val="21"/>
              </w:rPr>
            </w:pPr>
            <w:r>
              <w:rPr>
                <w:szCs w:val="21"/>
                <w:lang w:bidi="ar"/>
              </w:rPr>
              <w:t>区域污染源□</w:t>
            </w:r>
          </w:p>
        </w:tc>
      </w:tr>
      <w:tr w14:paraId="74CD4A6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restart"/>
            <w:vAlign w:val="center"/>
          </w:tcPr>
          <w:p w14:paraId="44A27D92">
            <w:pPr>
              <w:adjustRightInd w:val="0"/>
              <w:snapToGrid w:val="0"/>
              <w:jc w:val="center"/>
              <w:textAlignment w:val="center"/>
              <w:rPr>
                <w:szCs w:val="21"/>
                <w:lang w:bidi="ar"/>
              </w:rPr>
            </w:pPr>
            <w:r>
              <w:rPr>
                <w:szCs w:val="21"/>
                <w:lang w:bidi="ar"/>
              </w:rPr>
              <w:t>大气环境影响预测与评价</w:t>
            </w:r>
          </w:p>
        </w:tc>
        <w:tc>
          <w:tcPr>
            <w:tcW w:w="935" w:type="dxa"/>
            <w:vAlign w:val="center"/>
          </w:tcPr>
          <w:p w14:paraId="1E3C0734">
            <w:pPr>
              <w:adjustRightInd w:val="0"/>
              <w:snapToGrid w:val="0"/>
              <w:jc w:val="center"/>
              <w:textAlignment w:val="center"/>
              <w:rPr>
                <w:szCs w:val="21"/>
              </w:rPr>
            </w:pPr>
            <w:r>
              <w:rPr>
                <w:szCs w:val="21"/>
                <w:lang w:bidi="ar"/>
              </w:rPr>
              <w:t>预测模型</w:t>
            </w:r>
          </w:p>
        </w:tc>
        <w:tc>
          <w:tcPr>
            <w:tcW w:w="1115" w:type="dxa"/>
            <w:vAlign w:val="center"/>
          </w:tcPr>
          <w:p w14:paraId="6EEA0A9B">
            <w:pPr>
              <w:adjustRightInd w:val="0"/>
              <w:snapToGrid w:val="0"/>
              <w:jc w:val="center"/>
              <w:textAlignment w:val="center"/>
              <w:rPr>
                <w:szCs w:val="21"/>
              </w:rPr>
            </w:pPr>
            <w:r>
              <w:rPr>
                <w:szCs w:val="21"/>
                <w:lang w:bidi="ar"/>
              </w:rPr>
              <w:t>AERMOD☑</w:t>
            </w:r>
          </w:p>
        </w:tc>
        <w:tc>
          <w:tcPr>
            <w:tcW w:w="799" w:type="dxa"/>
            <w:vAlign w:val="center"/>
          </w:tcPr>
          <w:p w14:paraId="1C1326E0">
            <w:pPr>
              <w:adjustRightInd w:val="0"/>
              <w:snapToGrid w:val="0"/>
              <w:jc w:val="center"/>
              <w:textAlignment w:val="center"/>
              <w:rPr>
                <w:szCs w:val="21"/>
              </w:rPr>
            </w:pPr>
            <w:r>
              <w:rPr>
                <w:szCs w:val="21"/>
                <w:lang w:bidi="ar"/>
              </w:rPr>
              <w:t>ADMS□</w:t>
            </w:r>
          </w:p>
        </w:tc>
        <w:tc>
          <w:tcPr>
            <w:tcW w:w="1471" w:type="dxa"/>
            <w:gridSpan w:val="2"/>
            <w:vAlign w:val="center"/>
          </w:tcPr>
          <w:p w14:paraId="01577828">
            <w:pPr>
              <w:adjustRightInd w:val="0"/>
              <w:snapToGrid w:val="0"/>
              <w:jc w:val="center"/>
              <w:textAlignment w:val="center"/>
              <w:rPr>
                <w:szCs w:val="21"/>
              </w:rPr>
            </w:pPr>
            <w:r>
              <w:rPr>
                <w:szCs w:val="21"/>
                <w:lang w:bidi="ar"/>
              </w:rPr>
              <w:t>AUSTA</w:t>
            </w:r>
            <w:r>
              <w:rPr>
                <w:rFonts w:hint="eastAsia"/>
                <w:szCs w:val="21"/>
                <w:lang w:eastAsia="zh-CN" w:bidi="ar"/>
              </w:rPr>
              <w:t>12</w:t>
            </w:r>
            <w:r>
              <w:rPr>
                <w:szCs w:val="21"/>
                <w:lang w:bidi="ar"/>
              </w:rPr>
              <w:t>000□</w:t>
            </w:r>
          </w:p>
        </w:tc>
        <w:tc>
          <w:tcPr>
            <w:tcW w:w="1418" w:type="dxa"/>
            <w:vAlign w:val="center"/>
          </w:tcPr>
          <w:p w14:paraId="1B9CFB67">
            <w:pPr>
              <w:adjustRightInd w:val="0"/>
              <w:snapToGrid w:val="0"/>
              <w:jc w:val="center"/>
              <w:textAlignment w:val="center"/>
              <w:rPr>
                <w:szCs w:val="21"/>
              </w:rPr>
            </w:pPr>
            <w:r>
              <w:rPr>
                <w:szCs w:val="21"/>
                <w:lang w:bidi="ar"/>
              </w:rPr>
              <w:t>EDMS/AEDT□</w:t>
            </w:r>
          </w:p>
        </w:tc>
        <w:tc>
          <w:tcPr>
            <w:tcW w:w="1202" w:type="dxa"/>
            <w:vAlign w:val="center"/>
          </w:tcPr>
          <w:p w14:paraId="0AB12107">
            <w:pPr>
              <w:adjustRightInd w:val="0"/>
              <w:snapToGrid w:val="0"/>
              <w:jc w:val="center"/>
              <w:textAlignment w:val="center"/>
              <w:rPr>
                <w:szCs w:val="21"/>
              </w:rPr>
            </w:pPr>
            <w:r>
              <w:rPr>
                <w:szCs w:val="21"/>
                <w:lang w:bidi="ar"/>
              </w:rPr>
              <w:t>CALPUFF□</w:t>
            </w:r>
          </w:p>
        </w:tc>
        <w:tc>
          <w:tcPr>
            <w:tcW w:w="728" w:type="dxa"/>
            <w:vAlign w:val="center"/>
          </w:tcPr>
          <w:p w14:paraId="5F755212">
            <w:pPr>
              <w:adjustRightInd w:val="0"/>
              <w:snapToGrid w:val="0"/>
              <w:jc w:val="center"/>
              <w:textAlignment w:val="center"/>
              <w:rPr>
                <w:szCs w:val="21"/>
              </w:rPr>
            </w:pPr>
            <w:r>
              <w:rPr>
                <w:szCs w:val="21"/>
                <w:lang w:bidi="ar"/>
              </w:rPr>
              <w:t>网格模型□</w:t>
            </w:r>
          </w:p>
        </w:tc>
        <w:tc>
          <w:tcPr>
            <w:tcW w:w="806" w:type="dxa"/>
            <w:vAlign w:val="center"/>
          </w:tcPr>
          <w:p w14:paraId="7D98E96E">
            <w:pPr>
              <w:adjustRightInd w:val="0"/>
              <w:snapToGrid w:val="0"/>
              <w:jc w:val="center"/>
              <w:textAlignment w:val="center"/>
              <w:rPr>
                <w:szCs w:val="21"/>
              </w:rPr>
            </w:pPr>
            <w:r>
              <w:rPr>
                <w:szCs w:val="21"/>
                <w:lang w:bidi="ar"/>
              </w:rPr>
              <w:t>其他□</w:t>
            </w:r>
          </w:p>
        </w:tc>
      </w:tr>
      <w:tr w14:paraId="30C1A8A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04E2B482">
            <w:pPr>
              <w:adjustRightInd w:val="0"/>
              <w:snapToGrid w:val="0"/>
              <w:jc w:val="center"/>
              <w:rPr>
                <w:szCs w:val="21"/>
              </w:rPr>
            </w:pPr>
          </w:p>
        </w:tc>
        <w:tc>
          <w:tcPr>
            <w:tcW w:w="935" w:type="dxa"/>
            <w:vAlign w:val="center"/>
          </w:tcPr>
          <w:p w14:paraId="505E6BB9">
            <w:pPr>
              <w:adjustRightInd w:val="0"/>
              <w:snapToGrid w:val="0"/>
              <w:jc w:val="center"/>
              <w:textAlignment w:val="center"/>
              <w:rPr>
                <w:szCs w:val="21"/>
              </w:rPr>
            </w:pPr>
            <w:r>
              <w:rPr>
                <w:szCs w:val="21"/>
                <w:lang w:bidi="ar"/>
              </w:rPr>
              <w:t>预测范围</w:t>
            </w:r>
          </w:p>
        </w:tc>
        <w:tc>
          <w:tcPr>
            <w:tcW w:w="3385" w:type="dxa"/>
            <w:gridSpan w:val="4"/>
            <w:vAlign w:val="center"/>
          </w:tcPr>
          <w:p w14:paraId="42B0AC12">
            <w:pPr>
              <w:adjustRightInd w:val="0"/>
              <w:snapToGrid w:val="0"/>
              <w:jc w:val="center"/>
              <w:textAlignment w:val="center"/>
              <w:rPr>
                <w:szCs w:val="21"/>
              </w:rPr>
            </w:pPr>
            <w:r>
              <w:rPr>
                <w:szCs w:val="21"/>
                <w:lang w:bidi="ar"/>
              </w:rPr>
              <w:t>边长≥50km□</w:t>
            </w:r>
          </w:p>
        </w:tc>
        <w:tc>
          <w:tcPr>
            <w:tcW w:w="2620" w:type="dxa"/>
            <w:gridSpan w:val="2"/>
            <w:vAlign w:val="center"/>
          </w:tcPr>
          <w:p w14:paraId="4CFC4E9A">
            <w:pPr>
              <w:adjustRightInd w:val="0"/>
              <w:snapToGrid w:val="0"/>
              <w:jc w:val="center"/>
              <w:textAlignment w:val="center"/>
              <w:rPr>
                <w:rFonts w:hint="eastAsia" w:eastAsia="宋体"/>
                <w:szCs w:val="21"/>
                <w:lang w:eastAsia="zh-CN"/>
              </w:rPr>
            </w:pPr>
            <w:r>
              <w:rPr>
                <w:szCs w:val="21"/>
                <w:lang w:bidi="ar"/>
              </w:rPr>
              <w:t>边长5~50km</w:t>
            </w:r>
            <w:r>
              <w:rPr>
                <w:rFonts w:hint="eastAsia"/>
                <w:szCs w:val="21"/>
                <w:lang w:eastAsia="zh-CN" w:bidi="ar"/>
              </w:rPr>
              <w:t>□</w:t>
            </w:r>
          </w:p>
        </w:tc>
        <w:tc>
          <w:tcPr>
            <w:tcW w:w="1534" w:type="dxa"/>
            <w:gridSpan w:val="2"/>
            <w:vAlign w:val="center"/>
          </w:tcPr>
          <w:p w14:paraId="3CED6F57">
            <w:pPr>
              <w:adjustRightInd w:val="0"/>
              <w:snapToGrid w:val="0"/>
              <w:jc w:val="center"/>
              <w:textAlignment w:val="center"/>
              <w:rPr>
                <w:rFonts w:hint="eastAsia" w:eastAsia="宋体"/>
                <w:szCs w:val="21"/>
                <w:lang w:eastAsia="zh-CN"/>
              </w:rPr>
            </w:pPr>
            <w:r>
              <w:rPr>
                <w:szCs w:val="21"/>
                <w:lang w:bidi="ar"/>
              </w:rPr>
              <w:t>边长=5km</w:t>
            </w:r>
            <w:r>
              <w:rPr>
                <w:rFonts w:hint="eastAsia"/>
                <w:szCs w:val="21"/>
                <w:lang w:eastAsia="zh-CN" w:bidi="ar"/>
              </w:rPr>
              <w:t>☑</w:t>
            </w:r>
          </w:p>
        </w:tc>
      </w:tr>
      <w:tr w14:paraId="07C7DC3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473F0A67">
            <w:pPr>
              <w:adjustRightInd w:val="0"/>
              <w:snapToGrid w:val="0"/>
              <w:jc w:val="center"/>
              <w:rPr>
                <w:szCs w:val="21"/>
              </w:rPr>
            </w:pPr>
          </w:p>
        </w:tc>
        <w:tc>
          <w:tcPr>
            <w:tcW w:w="935" w:type="dxa"/>
            <w:vAlign w:val="center"/>
          </w:tcPr>
          <w:p w14:paraId="4377B35A">
            <w:pPr>
              <w:adjustRightInd w:val="0"/>
              <w:snapToGrid w:val="0"/>
              <w:jc w:val="center"/>
              <w:textAlignment w:val="center"/>
              <w:rPr>
                <w:szCs w:val="21"/>
              </w:rPr>
            </w:pPr>
            <w:r>
              <w:rPr>
                <w:szCs w:val="21"/>
                <w:lang w:bidi="ar"/>
              </w:rPr>
              <w:t>预测因子</w:t>
            </w:r>
          </w:p>
        </w:tc>
        <w:tc>
          <w:tcPr>
            <w:tcW w:w="4803" w:type="dxa"/>
            <w:gridSpan w:val="5"/>
            <w:vAlign w:val="center"/>
          </w:tcPr>
          <w:p w14:paraId="66EB19E3">
            <w:pPr>
              <w:adjustRightInd w:val="0"/>
              <w:snapToGrid w:val="0"/>
              <w:jc w:val="center"/>
              <w:textAlignment w:val="center"/>
              <w:rPr>
                <w:szCs w:val="21"/>
              </w:rPr>
            </w:pPr>
            <w:r>
              <w:rPr>
                <w:szCs w:val="21"/>
                <w:lang w:bidi="ar"/>
              </w:rPr>
              <w:t>预测因子（</w:t>
            </w:r>
            <w:r>
              <w:rPr>
                <w:rFonts w:hint="eastAsia"/>
                <w:szCs w:val="21"/>
                <w:lang w:val="en-US" w:eastAsia="zh-CN" w:bidi="ar"/>
              </w:rPr>
              <w:t>NH</w:t>
            </w:r>
            <w:r>
              <w:rPr>
                <w:rFonts w:hint="eastAsia"/>
                <w:szCs w:val="21"/>
                <w:vertAlign w:val="subscript"/>
                <w:lang w:val="en-US" w:eastAsia="zh-CN" w:bidi="ar"/>
              </w:rPr>
              <w:t>3</w:t>
            </w:r>
            <w:r>
              <w:rPr>
                <w:rFonts w:hint="eastAsia"/>
                <w:szCs w:val="21"/>
                <w:lang w:val="en-US" w:eastAsia="zh-CN" w:bidi="ar"/>
              </w:rPr>
              <w:t>、H</w:t>
            </w:r>
            <w:r>
              <w:rPr>
                <w:rFonts w:hint="eastAsia"/>
                <w:szCs w:val="21"/>
                <w:vertAlign w:val="subscript"/>
                <w:lang w:val="en-US" w:eastAsia="zh-CN" w:bidi="ar"/>
              </w:rPr>
              <w:t>2</w:t>
            </w:r>
            <w:r>
              <w:rPr>
                <w:rFonts w:hint="eastAsia"/>
                <w:szCs w:val="21"/>
                <w:lang w:val="en-US" w:eastAsia="zh-CN" w:bidi="ar"/>
              </w:rPr>
              <w:t>S</w:t>
            </w:r>
            <w:r>
              <w:rPr>
                <w:szCs w:val="21"/>
                <w:lang w:bidi="ar"/>
              </w:rPr>
              <w:t xml:space="preserve"> </w:t>
            </w:r>
            <w:r>
              <w:rPr>
                <w:rFonts w:hint="eastAsia"/>
                <w:szCs w:val="21"/>
                <w:lang w:eastAsia="zh-CN" w:bidi="ar"/>
              </w:rPr>
              <w:t>、</w:t>
            </w:r>
            <w:r>
              <w:rPr>
                <w:rFonts w:hint="eastAsia"/>
                <w:szCs w:val="21"/>
                <w:lang w:val="en-US" w:eastAsia="zh-CN" w:bidi="ar"/>
              </w:rPr>
              <w:t>PM</w:t>
            </w:r>
            <w:r>
              <w:rPr>
                <w:rFonts w:hint="eastAsia"/>
                <w:szCs w:val="21"/>
                <w:vertAlign w:val="subscript"/>
                <w:lang w:val="en-US" w:eastAsia="zh-CN" w:bidi="ar"/>
              </w:rPr>
              <w:t>10</w:t>
            </w:r>
            <w:r>
              <w:rPr>
                <w:rFonts w:hint="eastAsia"/>
                <w:szCs w:val="21"/>
                <w:vertAlign w:val="baseline"/>
                <w:lang w:val="en-US" w:eastAsia="zh-CN" w:bidi="ar"/>
              </w:rPr>
              <w:t>、非甲烷总烃</w:t>
            </w:r>
            <w:r>
              <w:rPr>
                <w:szCs w:val="21"/>
                <w:lang w:bidi="ar"/>
              </w:rPr>
              <w:t>）</w:t>
            </w:r>
          </w:p>
        </w:tc>
        <w:tc>
          <w:tcPr>
            <w:tcW w:w="2736" w:type="dxa"/>
            <w:gridSpan w:val="3"/>
            <w:vAlign w:val="center"/>
          </w:tcPr>
          <w:p w14:paraId="3095B04F">
            <w:pPr>
              <w:adjustRightInd w:val="0"/>
              <w:snapToGrid w:val="0"/>
              <w:jc w:val="center"/>
              <w:textAlignment w:val="center"/>
              <w:rPr>
                <w:szCs w:val="21"/>
                <w:lang w:bidi="ar"/>
              </w:rPr>
            </w:pPr>
            <w:r>
              <w:rPr>
                <w:szCs w:val="21"/>
                <w:lang w:bidi="ar"/>
              </w:rPr>
              <w:t>包括二次PM</w:t>
            </w:r>
            <w:r>
              <w:rPr>
                <w:szCs w:val="21"/>
                <w:vertAlign w:val="subscript"/>
                <w:lang w:bidi="ar"/>
              </w:rPr>
              <w:t>2.5</w:t>
            </w:r>
            <w:r>
              <w:rPr>
                <w:szCs w:val="21"/>
                <w:lang w:bidi="ar"/>
              </w:rPr>
              <w:t>□</w:t>
            </w:r>
          </w:p>
          <w:p w14:paraId="7509A966">
            <w:pPr>
              <w:adjustRightInd w:val="0"/>
              <w:snapToGrid w:val="0"/>
              <w:jc w:val="center"/>
              <w:textAlignment w:val="center"/>
              <w:rPr>
                <w:szCs w:val="21"/>
              </w:rPr>
            </w:pPr>
            <w:r>
              <w:rPr>
                <w:szCs w:val="21"/>
                <w:lang w:bidi="ar"/>
              </w:rPr>
              <w:t>不包括二次PM</w:t>
            </w:r>
            <w:r>
              <w:rPr>
                <w:szCs w:val="21"/>
                <w:vertAlign w:val="subscript"/>
                <w:lang w:bidi="ar"/>
              </w:rPr>
              <w:t>2.5</w:t>
            </w:r>
            <w:r>
              <w:rPr>
                <w:szCs w:val="21"/>
                <w:lang w:bidi="ar"/>
              </w:rPr>
              <w:t>☑</w:t>
            </w:r>
          </w:p>
        </w:tc>
      </w:tr>
      <w:tr w14:paraId="373CB05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6409B060">
            <w:pPr>
              <w:adjustRightInd w:val="0"/>
              <w:snapToGrid w:val="0"/>
              <w:jc w:val="center"/>
              <w:rPr>
                <w:szCs w:val="21"/>
              </w:rPr>
            </w:pPr>
          </w:p>
        </w:tc>
        <w:tc>
          <w:tcPr>
            <w:tcW w:w="935" w:type="dxa"/>
            <w:vAlign w:val="center"/>
          </w:tcPr>
          <w:p w14:paraId="1479C0CF">
            <w:pPr>
              <w:adjustRightInd w:val="0"/>
              <w:snapToGrid w:val="0"/>
              <w:jc w:val="center"/>
              <w:textAlignment w:val="center"/>
              <w:rPr>
                <w:szCs w:val="21"/>
              </w:rPr>
            </w:pPr>
            <w:r>
              <w:rPr>
                <w:szCs w:val="21"/>
                <w:lang w:bidi="ar"/>
              </w:rPr>
              <w:t>正常排放短期浓度贡献值</w:t>
            </w:r>
          </w:p>
        </w:tc>
        <w:tc>
          <w:tcPr>
            <w:tcW w:w="4803" w:type="dxa"/>
            <w:gridSpan w:val="5"/>
            <w:vAlign w:val="center"/>
          </w:tcPr>
          <w:p w14:paraId="71E30274">
            <w:pPr>
              <w:adjustRightInd w:val="0"/>
              <w:snapToGrid w:val="0"/>
              <w:jc w:val="center"/>
              <w:textAlignment w:val="center"/>
              <w:rPr>
                <w:szCs w:val="21"/>
              </w:rPr>
            </w:pPr>
            <w:r>
              <w:rPr>
                <w:szCs w:val="21"/>
                <w:lang w:bidi="ar"/>
              </w:rPr>
              <w:t>C本项目最大占标率≤100%☑</w:t>
            </w:r>
          </w:p>
        </w:tc>
        <w:tc>
          <w:tcPr>
            <w:tcW w:w="2736" w:type="dxa"/>
            <w:gridSpan w:val="3"/>
            <w:vAlign w:val="center"/>
          </w:tcPr>
          <w:p w14:paraId="30D2A95A">
            <w:pPr>
              <w:adjustRightInd w:val="0"/>
              <w:snapToGrid w:val="0"/>
              <w:jc w:val="center"/>
              <w:textAlignment w:val="center"/>
              <w:rPr>
                <w:szCs w:val="21"/>
              </w:rPr>
            </w:pPr>
            <w:r>
              <w:rPr>
                <w:szCs w:val="21"/>
                <w:lang w:bidi="ar"/>
              </w:rPr>
              <w:t>C本项目最大占标率&gt;100%□</w:t>
            </w:r>
          </w:p>
        </w:tc>
      </w:tr>
      <w:tr w14:paraId="026460ED">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30F8D6E2">
            <w:pPr>
              <w:adjustRightInd w:val="0"/>
              <w:snapToGrid w:val="0"/>
              <w:jc w:val="center"/>
              <w:rPr>
                <w:szCs w:val="21"/>
              </w:rPr>
            </w:pPr>
          </w:p>
        </w:tc>
        <w:tc>
          <w:tcPr>
            <w:tcW w:w="935" w:type="dxa"/>
            <w:vMerge w:val="restart"/>
            <w:vAlign w:val="center"/>
          </w:tcPr>
          <w:p w14:paraId="5DFDDF1C">
            <w:pPr>
              <w:adjustRightInd w:val="0"/>
              <w:snapToGrid w:val="0"/>
              <w:jc w:val="center"/>
              <w:textAlignment w:val="center"/>
              <w:rPr>
                <w:szCs w:val="21"/>
              </w:rPr>
            </w:pPr>
            <w:r>
              <w:rPr>
                <w:szCs w:val="21"/>
                <w:lang w:bidi="ar"/>
              </w:rPr>
              <w:t>正常排放年均浓度贡献值</w:t>
            </w:r>
          </w:p>
        </w:tc>
        <w:tc>
          <w:tcPr>
            <w:tcW w:w="1914" w:type="dxa"/>
            <w:gridSpan w:val="2"/>
            <w:vAlign w:val="center"/>
          </w:tcPr>
          <w:p w14:paraId="7A9CE1A1">
            <w:pPr>
              <w:adjustRightInd w:val="0"/>
              <w:snapToGrid w:val="0"/>
              <w:jc w:val="center"/>
              <w:textAlignment w:val="center"/>
              <w:rPr>
                <w:szCs w:val="21"/>
              </w:rPr>
            </w:pPr>
            <w:r>
              <w:rPr>
                <w:szCs w:val="21"/>
                <w:lang w:bidi="ar"/>
              </w:rPr>
              <w:t>一类区</w:t>
            </w:r>
          </w:p>
        </w:tc>
        <w:tc>
          <w:tcPr>
            <w:tcW w:w="2889" w:type="dxa"/>
            <w:gridSpan w:val="3"/>
            <w:vAlign w:val="center"/>
          </w:tcPr>
          <w:p w14:paraId="4200CA51">
            <w:pPr>
              <w:adjustRightInd w:val="0"/>
              <w:snapToGrid w:val="0"/>
              <w:jc w:val="center"/>
              <w:textAlignment w:val="center"/>
              <w:rPr>
                <w:szCs w:val="21"/>
              </w:rPr>
            </w:pPr>
            <w:r>
              <w:rPr>
                <w:szCs w:val="21"/>
                <w:lang w:bidi="ar"/>
              </w:rPr>
              <w:t>C</w:t>
            </w:r>
            <w:r>
              <w:rPr>
                <w:szCs w:val="21"/>
                <w:vertAlign w:val="subscript"/>
                <w:lang w:bidi="ar"/>
              </w:rPr>
              <w:t>本项目</w:t>
            </w:r>
            <w:r>
              <w:rPr>
                <w:szCs w:val="21"/>
                <w:lang w:bidi="ar"/>
              </w:rPr>
              <w:t>最大占标率≤10%□</w:t>
            </w:r>
          </w:p>
        </w:tc>
        <w:tc>
          <w:tcPr>
            <w:tcW w:w="2736" w:type="dxa"/>
            <w:gridSpan w:val="3"/>
            <w:vAlign w:val="center"/>
          </w:tcPr>
          <w:p w14:paraId="537AFF78">
            <w:pPr>
              <w:adjustRightInd w:val="0"/>
              <w:snapToGrid w:val="0"/>
              <w:jc w:val="center"/>
              <w:textAlignment w:val="center"/>
              <w:rPr>
                <w:szCs w:val="21"/>
              </w:rPr>
            </w:pPr>
            <w:r>
              <w:rPr>
                <w:szCs w:val="21"/>
                <w:lang w:bidi="ar"/>
              </w:rPr>
              <w:t>C</w:t>
            </w:r>
            <w:r>
              <w:rPr>
                <w:szCs w:val="21"/>
                <w:vertAlign w:val="subscript"/>
                <w:lang w:bidi="ar"/>
              </w:rPr>
              <w:t>本项目</w:t>
            </w:r>
            <w:r>
              <w:rPr>
                <w:szCs w:val="21"/>
                <w:lang w:bidi="ar"/>
              </w:rPr>
              <w:t>最大占标率&gt;10%□</w:t>
            </w:r>
          </w:p>
        </w:tc>
      </w:tr>
      <w:tr w14:paraId="269522E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53B6987D">
            <w:pPr>
              <w:adjustRightInd w:val="0"/>
              <w:snapToGrid w:val="0"/>
              <w:jc w:val="center"/>
              <w:rPr>
                <w:szCs w:val="21"/>
              </w:rPr>
            </w:pPr>
          </w:p>
        </w:tc>
        <w:tc>
          <w:tcPr>
            <w:tcW w:w="935" w:type="dxa"/>
            <w:vMerge w:val="continue"/>
            <w:vAlign w:val="center"/>
          </w:tcPr>
          <w:p w14:paraId="08F5C9D5">
            <w:pPr>
              <w:adjustRightInd w:val="0"/>
              <w:snapToGrid w:val="0"/>
              <w:jc w:val="center"/>
              <w:rPr>
                <w:szCs w:val="21"/>
              </w:rPr>
            </w:pPr>
          </w:p>
        </w:tc>
        <w:tc>
          <w:tcPr>
            <w:tcW w:w="1914" w:type="dxa"/>
            <w:gridSpan w:val="2"/>
            <w:vAlign w:val="center"/>
          </w:tcPr>
          <w:p w14:paraId="2FF1C87D">
            <w:pPr>
              <w:adjustRightInd w:val="0"/>
              <w:snapToGrid w:val="0"/>
              <w:jc w:val="center"/>
              <w:textAlignment w:val="center"/>
              <w:rPr>
                <w:szCs w:val="21"/>
              </w:rPr>
            </w:pPr>
            <w:r>
              <w:rPr>
                <w:szCs w:val="21"/>
                <w:lang w:bidi="ar"/>
              </w:rPr>
              <w:t>二类区</w:t>
            </w:r>
          </w:p>
        </w:tc>
        <w:tc>
          <w:tcPr>
            <w:tcW w:w="2889" w:type="dxa"/>
            <w:gridSpan w:val="3"/>
            <w:vAlign w:val="center"/>
          </w:tcPr>
          <w:p w14:paraId="599AEDEE">
            <w:pPr>
              <w:adjustRightInd w:val="0"/>
              <w:snapToGrid w:val="0"/>
              <w:jc w:val="center"/>
              <w:textAlignment w:val="center"/>
              <w:rPr>
                <w:szCs w:val="21"/>
              </w:rPr>
            </w:pPr>
            <w:r>
              <w:rPr>
                <w:szCs w:val="21"/>
                <w:lang w:bidi="ar"/>
              </w:rPr>
              <w:t>C</w:t>
            </w:r>
            <w:r>
              <w:rPr>
                <w:szCs w:val="21"/>
                <w:vertAlign w:val="subscript"/>
                <w:lang w:bidi="ar"/>
              </w:rPr>
              <w:t>本项目</w:t>
            </w:r>
            <w:r>
              <w:rPr>
                <w:szCs w:val="21"/>
                <w:lang w:bidi="ar"/>
              </w:rPr>
              <w:t>最大占标率≤30%□</w:t>
            </w:r>
          </w:p>
        </w:tc>
        <w:tc>
          <w:tcPr>
            <w:tcW w:w="2736" w:type="dxa"/>
            <w:gridSpan w:val="3"/>
            <w:vAlign w:val="center"/>
          </w:tcPr>
          <w:p w14:paraId="07249B97">
            <w:pPr>
              <w:adjustRightInd w:val="0"/>
              <w:snapToGrid w:val="0"/>
              <w:jc w:val="center"/>
              <w:textAlignment w:val="center"/>
              <w:rPr>
                <w:szCs w:val="21"/>
              </w:rPr>
            </w:pPr>
            <w:r>
              <w:rPr>
                <w:szCs w:val="21"/>
                <w:lang w:bidi="ar"/>
              </w:rPr>
              <w:t>C</w:t>
            </w:r>
            <w:r>
              <w:rPr>
                <w:szCs w:val="21"/>
                <w:vertAlign w:val="subscript"/>
                <w:lang w:bidi="ar"/>
              </w:rPr>
              <w:t>本项目</w:t>
            </w:r>
            <w:r>
              <w:rPr>
                <w:szCs w:val="21"/>
                <w:lang w:bidi="ar"/>
              </w:rPr>
              <w:t>最大占标率&gt;30%☑</w:t>
            </w:r>
          </w:p>
        </w:tc>
      </w:tr>
      <w:tr w14:paraId="3818AB4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3D0CCC07">
            <w:pPr>
              <w:adjustRightInd w:val="0"/>
              <w:snapToGrid w:val="0"/>
              <w:jc w:val="center"/>
              <w:rPr>
                <w:szCs w:val="21"/>
              </w:rPr>
            </w:pPr>
          </w:p>
        </w:tc>
        <w:tc>
          <w:tcPr>
            <w:tcW w:w="935" w:type="dxa"/>
            <w:vAlign w:val="center"/>
          </w:tcPr>
          <w:p w14:paraId="216551FE">
            <w:pPr>
              <w:adjustRightInd w:val="0"/>
              <w:snapToGrid w:val="0"/>
              <w:jc w:val="center"/>
              <w:textAlignment w:val="center"/>
              <w:rPr>
                <w:szCs w:val="21"/>
              </w:rPr>
            </w:pPr>
            <w:r>
              <w:rPr>
                <w:szCs w:val="21"/>
                <w:lang w:bidi="ar"/>
              </w:rPr>
              <w:t>非正常1h浓度贡献值</w:t>
            </w:r>
          </w:p>
        </w:tc>
        <w:tc>
          <w:tcPr>
            <w:tcW w:w="2421" w:type="dxa"/>
            <w:gridSpan w:val="3"/>
            <w:vAlign w:val="center"/>
          </w:tcPr>
          <w:p w14:paraId="1A599D20">
            <w:pPr>
              <w:adjustRightInd w:val="0"/>
              <w:snapToGrid w:val="0"/>
              <w:jc w:val="center"/>
              <w:textAlignment w:val="center"/>
              <w:rPr>
                <w:szCs w:val="21"/>
                <w:lang w:bidi="ar"/>
              </w:rPr>
            </w:pPr>
            <w:r>
              <w:rPr>
                <w:szCs w:val="21"/>
                <w:lang w:bidi="ar"/>
              </w:rPr>
              <w:t>非正常持续时长</w:t>
            </w:r>
          </w:p>
          <w:p w14:paraId="65B55FAF">
            <w:pPr>
              <w:adjustRightInd w:val="0"/>
              <w:snapToGrid w:val="0"/>
              <w:jc w:val="center"/>
              <w:textAlignment w:val="center"/>
              <w:rPr>
                <w:szCs w:val="21"/>
              </w:rPr>
            </w:pPr>
            <w:r>
              <w:rPr>
                <w:szCs w:val="21"/>
                <w:lang w:bidi="ar"/>
              </w:rPr>
              <w:t>（ 8 ）h</w:t>
            </w:r>
          </w:p>
        </w:tc>
        <w:tc>
          <w:tcPr>
            <w:tcW w:w="3584" w:type="dxa"/>
            <w:gridSpan w:val="3"/>
            <w:vAlign w:val="center"/>
          </w:tcPr>
          <w:p w14:paraId="7C4268C3">
            <w:pPr>
              <w:adjustRightInd w:val="0"/>
              <w:snapToGrid w:val="0"/>
              <w:jc w:val="center"/>
              <w:textAlignment w:val="center"/>
              <w:rPr>
                <w:szCs w:val="21"/>
              </w:rPr>
            </w:pPr>
            <w:r>
              <w:rPr>
                <w:szCs w:val="21"/>
                <w:lang w:bidi="ar"/>
              </w:rPr>
              <w:t>C</w:t>
            </w:r>
            <w:r>
              <w:rPr>
                <w:szCs w:val="21"/>
                <w:vertAlign w:val="subscript"/>
                <w:lang w:bidi="ar"/>
              </w:rPr>
              <w:t>非正常</w:t>
            </w:r>
            <w:r>
              <w:rPr>
                <w:szCs w:val="21"/>
                <w:lang w:bidi="ar"/>
              </w:rPr>
              <w:t>占标率≤100%□</w:t>
            </w:r>
          </w:p>
        </w:tc>
        <w:tc>
          <w:tcPr>
            <w:tcW w:w="1534" w:type="dxa"/>
            <w:gridSpan w:val="2"/>
            <w:vAlign w:val="center"/>
          </w:tcPr>
          <w:p w14:paraId="574ACFED">
            <w:pPr>
              <w:adjustRightInd w:val="0"/>
              <w:snapToGrid w:val="0"/>
              <w:jc w:val="center"/>
              <w:textAlignment w:val="center"/>
              <w:rPr>
                <w:szCs w:val="21"/>
              </w:rPr>
            </w:pPr>
            <w:r>
              <w:rPr>
                <w:szCs w:val="21"/>
                <w:lang w:bidi="ar"/>
              </w:rPr>
              <w:t>C</w:t>
            </w:r>
            <w:r>
              <w:rPr>
                <w:szCs w:val="21"/>
                <w:vertAlign w:val="subscript"/>
                <w:lang w:bidi="ar"/>
              </w:rPr>
              <w:t>非正常</w:t>
            </w:r>
            <w:r>
              <w:rPr>
                <w:szCs w:val="21"/>
                <w:lang w:bidi="ar"/>
              </w:rPr>
              <w:t>占标率&gt;100%□</w:t>
            </w:r>
          </w:p>
        </w:tc>
      </w:tr>
      <w:tr w14:paraId="7914E2A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502D6FD6">
            <w:pPr>
              <w:adjustRightInd w:val="0"/>
              <w:snapToGrid w:val="0"/>
              <w:jc w:val="center"/>
              <w:rPr>
                <w:szCs w:val="21"/>
              </w:rPr>
            </w:pPr>
          </w:p>
        </w:tc>
        <w:tc>
          <w:tcPr>
            <w:tcW w:w="935" w:type="dxa"/>
            <w:vAlign w:val="center"/>
          </w:tcPr>
          <w:p w14:paraId="39929C1E">
            <w:pPr>
              <w:adjustRightInd w:val="0"/>
              <w:snapToGrid w:val="0"/>
              <w:jc w:val="center"/>
              <w:textAlignment w:val="center"/>
              <w:rPr>
                <w:szCs w:val="21"/>
              </w:rPr>
            </w:pPr>
            <w:r>
              <w:rPr>
                <w:szCs w:val="21"/>
                <w:lang w:bidi="ar"/>
              </w:rPr>
              <w:t>保证率日平均浓度和年平均浓度叠加值</w:t>
            </w:r>
          </w:p>
        </w:tc>
        <w:tc>
          <w:tcPr>
            <w:tcW w:w="4803" w:type="dxa"/>
            <w:gridSpan w:val="5"/>
            <w:vAlign w:val="center"/>
          </w:tcPr>
          <w:p w14:paraId="06EC6195">
            <w:pPr>
              <w:adjustRightInd w:val="0"/>
              <w:snapToGrid w:val="0"/>
              <w:jc w:val="center"/>
              <w:textAlignment w:val="center"/>
              <w:rPr>
                <w:szCs w:val="21"/>
              </w:rPr>
            </w:pPr>
            <w:r>
              <w:rPr>
                <w:szCs w:val="21"/>
                <w:lang w:bidi="ar"/>
              </w:rPr>
              <w:t>C叠加达标☑</w:t>
            </w:r>
          </w:p>
        </w:tc>
        <w:tc>
          <w:tcPr>
            <w:tcW w:w="2736" w:type="dxa"/>
            <w:gridSpan w:val="3"/>
            <w:vAlign w:val="center"/>
          </w:tcPr>
          <w:p w14:paraId="03D8E484">
            <w:pPr>
              <w:adjustRightInd w:val="0"/>
              <w:snapToGrid w:val="0"/>
              <w:jc w:val="center"/>
              <w:textAlignment w:val="center"/>
              <w:rPr>
                <w:szCs w:val="21"/>
              </w:rPr>
            </w:pPr>
            <w:r>
              <w:rPr>
                <w:szCs w:val="21"/>
                <w:lang w:bidi="ar"/>
              </w:rPr>
              <w:t>C叠加不达标□</w:t>
            </w:r>
          </w:p>
        </w:tc>
      </w:tr>
      <w:tr w14:paraId="76FD38F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6FF8CE73">
            <w:pPr>
              <w:adjustRightInd w:val="0"/>
              <w:snapToGrid w:val="0"/>
              <w:jc w:val="center"/>
              <w:rPr>
                <w:szCs w:val="21"/>
              </w:rPr>
            </w:pPr>
          </w:p>
        </w:tc>
        <w:tc>
          <w:tcPr>
            <w:tcW w:w="935" w:type="dxa"/>
            <w:vAlign w:val="center"/>
          </w:tcPr>
          <w:p w14:paraId="036A88BF">
            <w:pPr>
              <w:adjustRightInd w:val="0"/>
              <w:snapToGrid w:val="0"/>
              <w:jc w:val="center"/>
              <w:textAlignment w:val="center"/>
              <w:rPr>
                <w:szCs w:val="21"/>
              </w:rPr>
            </w:pPr>
            <w:r>
              <w:rPr>
                <w:szCs w:val="21"/>
                <w:lang w:bidi="ar"/>
              </w:rPr>
              <w:t>区域环境质量的整体变化情况</w:t>
            </w:r>
          </w:p>
        </w:tc>
        <w:tc>
          <w:tcPr>
            <w:tcW w:w="4803" w:type="dxa"/>
            <w:gridSpan w:val="5"/>
            <w:vAlign w:val="center"/>
          </w:tcPr>
          <w:p w14:paraId="45FFD3DD">
            <w:pPr>
              <w:adjustRightInd w:val="0"/>
              <w:snapToGrid w:val="0"/>
              <w:jc w:val="center"/>
              <w:textAlignment w:val="center"/>
              <w:rPr>
                <w:szCs w:val="21"/>
              </w:rPr>
            </w:pPr>
            <w:r>
              <w:rPr>
                <w:szCs w:val="21"/>
                <w:lang w:bidi="ar"/>
              </w:rPr>
              <w:t>k≤-20%☑</w:t>
            </w:r>
          </w:p>
        </w:tc>
        <w:tc>
          <w:tcPr>
            <w:tcW w:w="2736" w:type="dxa"/>
            <w:gridSpan w:val="3"/>
            <w:vAlign w:val="center"/>
          </w:tcPr>
          <w:p w14:paraId="0DF984EE">
            <w:pPr>
              <w:adjustRightInd w:val="0"/>
              <w:snapToGrid w:val="0"/>
              <w:jc w:val="center"/>
              <w:textAlignment w:val="center"/>
              <w:rPr>
                <w:szCs w:val="21"/>
              </w:rPr>
            </w:pPr>
            <w:r>
              <w:rPr>
                <w:szCs w:val="21"/>
                <w:lang w:bidi="ar"/>
              </w:rPr>
              <w:t>k&gt;-20%□</w:t>
            </w:r>
          </w:p>
        </w:tc>
      </w:tr>
      <w:tr w14:paraId="31E403A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restart"/>
            <w:vAlign w:val="center"/>
          </w:tcPr>
          <w:p w14:paraId="40D9BB18">
            <w:pPr>
              <w:adjustRightInd w:val="0"/>
              <w:snapToGrid w:val="0"/>
              <w:jc w:val="center"/>
              <w:textAlignment w:val="center"/>
              <w:rPr>
                <w:szCs w:val="21"/>
              </w:rPr>
            </w:pPr>
            <w:r>
              <w:rPr>
                <w:szCs w:val="21"/>
                <w:lang w:bidi="ar"/>
              </w:rPr>
              <w:t>环境监测计划</w:t>
            </w:r>
          </w:p>
        </w:tc>
        <w:tc>
          <w:tcPr>
            <w:tcW w:w="935" w:type="dxa"/>
            <w:vAlign w:val="center"/>
          </w:tcPr>
          <w:p w14:paraId="09FA391F">
            <w:pPr>
              <w:adjustRightInd w:val="0"/>
              <w:snapToGrid w:val="0"/>
              <w:jc w:val="center"/>
              <w:textAlignment w:val="center"/>
              <w:rPr>
                <w:szCs w:val="21"/>
              </w:rPr>
            </w:pPr>
            <w:r>
              <w:rPr>
                <w:szCs w:val="21"/>
                <w:lang w:bidi="ar"/>
              </w:rPr>
              <w:t>污染源监测</w:t>
            </w:r>
          </w:p>
        </w:tc>
        <w:tc>
          <w:tcPr>
            <w:tcW w:w="3385" w:type="dxa"/>
            <w:gridSpan w:val="4"/>
            <w:vAlign w:val="center"/>
          </w:tcPr>
          <w:p w14:paraId="32C09599">
            <w:pPr>
              <w:adjustRightInd w:val="0"/>
              <w:snapToGrid w:val="0"/>
              <w:jc w:val="center"/>
              <w:textAlignment w:val="center"/>
              <w:rPr>
                <w:szCs w:val="21"/>
              </w:rPr>
            </w:pPr>
            <w:r>
              <w:rPr>
                <w:szCs w:val="21"/>
                <w:lang w:bidi="ar"/>
              </w:rPr>
              <w:t>监测因子：（</w:t>
            </w:r>
            <w:r>
              <w:rPr>
                <w:rFonts w:hint="eastAsia"/>
                <w:szCs w:val="21"/>
                <w:lang w:val="en-US" w:eastAsia="zh-CN" w:bidi="ar"/>
              </w:rPr>
              <w:t>NH</w:t>
            </w:r>
            <w:r>
              <w:rPr>
                <w:rFonts w:hint="eastAsia"/>
                <w:szCs w:val="21"/>
                <w:vertAlign w:val="subscript"/>
                <w:lang w:val="en-US" w:eastAsia="zh-CN" w:bidi="ar"/>
              </w:rPr>
              <w:t>3</w:t>
            </w:r>
            <w:r>
              <w:rPr>
                <w:rFonts w:hint="eastAsia"/>
                <w:szCs w:val="21"/>
                <w:lang w:val="en-US" w:eastAsia="zh-CN" w:bidi="ar"/>
              </w:rPr>
              <w:t>、H</w:t>
            </w:r>
            <w:r>
              <w:rPr>
                <w:rFonts w:hint="eastAsia"/>
                <w:szCs w:val="21"/>
                <w:vertAlign w:val="subscript"/>
                <w:lang w:val="en-US" w:eastAsia="zh-CN" w:bidi="ar"/>
              </w:rPr>
              <w:t>2</w:t>
            </w:r>
            <w:r>
              <w:rPr>
                <w:rFonts w:hint="eastAsia"/>
                <w:szCs w:val="21"/>
                <w:lang w:val="en-US" w:eastAsia="zh-CN" w:bidi="ar"/>
              </w:rPr>
              <w:t>S</w:t>
            </w:r>
            <w:r>
              <w:rPr>
                <w:szCs w:val="21"/>
                <w:lang w:bidi="ar"/>
              </w:rPr>
              <w:t xml:space="preserve"> </w:t>
            </w:r>
            <w:r>
              <w:rPr>
                <w:rFonts w:hint="eastAsia"/>
                <w:szCs w:val="21"/>
                <w:lang w:eastAsia="zh-CN" w:bidi="ar"/>
              </w:rPr>
              <w:t>、</w:t>
            </w:r>
            <w:r>
              <w:rPr>
                <w:rFonts w:hint="eastAsia"/>
                <w:szCs w:val="21"/>
                <w:lang w:val="en-US" w:eastAsia="zh-CN" w:bidi="ar"/>
              </w:rPr>
              <w:t>PM</w:t>
            </w:r>
            <w:r>
              <w:rPr>
                <w:rFonts w:hint="eastAsia"/>
                <w:szCs w:val="21"/>
                <w:vertAlign w:val="subscript"/>
                <w:lang w:val="en-US" w:eastAsia="zh-CN" w:bidi="ar"/>
              </w:rPr>
              <w:t>10</w:t>
            </w:r>
            <w:r>
              <w:rPr>
                <w:rFonts w:hint="eastAsia"/>
                <w:szCs w:val="21"/>
                <w:vertAlign w:val="baseline"/>
                <w:lang w:val="en-US" w:eastAsia="zh-CN" w:bidi="ar"/>
              </w:rPr>
              <w:t>、非甲烷总烃</w:t>
            </w:r>
            <w:r>
              <w:rPr>
                <w:szCs w:val="21"/>
                <w:lang w:bidi="ar"/>
              </w:rPr>
              <w:t>）</w:t>
            </w:r>
          </w:p>
        </w:tc>
        <w:tc>
          <w:tcPr>
            <w:tcW w:w="2620" w:type="dxa"/>
            <w:gridSpan w:val="2"/>
            <w:vAlign w:val="center"/>
          </w:tcPr>
          <w:p w14:paraId="2C9D5D53">
            <w:pPr>
              <w:adjustRightInd w:val="0"/>
              <w:snapToGrid w:val="0"/>
              <w:jc w:val="center"/>
              <w:textAlignment w:val="center"/>
              <w:rPr>
                <w:szCs w:val="21"/>
              </w:rPr>
            </w:pPr>
            <w:r>
              <w:rPr>
                <w:szCs w:val="21"/>
                <w:lang w:bidi="ar"/>
              </w:rPr>
              <w:t>有组织废气监测</w:t>
            </w:r>
            <w:r>
              <w:rPr>
                <w:szCs w:val="21"/>
              </w:rPr>
              <w:t>☑</w:t>
            </w:r>
          </w:p>
          <w:p w14:paraId="1BA50779">
            <w:pPr>
              <w:adjustRightInd w:val="0"/>
              <w:snapToGrid w:val="0"/>
              <w:jc w:val="center"/>
              <w:textAlignment w:val="center"/>
              <w:rPr>
                <w:szCs w:val="21"/>
              </w:rPr>
            </w:pPr>
            <w:r>
              <w:rPr>
                <w:szCs w:val="21"/>
                <w:lang w:bidi="ar"/>
              </w:rPr>
              <w:t>无组织废气监测</w:t>
            </w:r>
            <w:r>
              <w:rPr>
                <w:szCs w:val="21"/>
              </w:rPr>
              <w:t>☑</w:t>
            </w:r>
          </w:p>
        </w:tc>
        <w:tc>
          <w:tcPr>
            <w:tcW w:w="1534" w:type="dxa"/>
            <w:gridSpan w:val="2"/>
            <w:vAlign w:val="center"/>
          </w:tcPr>
          <w:p w14:paraId="494AC09D">
            <w:pPr>
              <w:adjustRightInd w:val="0"/>
              <w:snapToGrid w:val="0"/>
              <w:jc w:val="center"/>
              <w:textAlignment w:val="center"/>
              <w:rPr>
                <w:szCs w:val="21"/>
              </w:rPr>
            </w:pPr>
            <w:r>
              <w:rPr>
                <w:szCs w:val="21"/>
                <w:lang w:bidi="ar"/>
              </w:rPr>
              <w:t>无监测□</w:t>
            </w:r>
          </w:p>
        </w:tc>
      </w:tr>
      <w:tr w14:paraId="0EFE2D8C">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25673170">
            <w:pPr>
              <w:adjustRightInd w:val="0"/>
              <w:snapToGrid w:val="0"/>
              <w:jc w:val="center"/>
              <w:rPr>
                <w:szCs w:val="21"/>
              </w:rPr>
            </w:pPr>
          </w:p>
        </w:tc>
        <w:tc>
          <w:tcPr>
            <w:tcW w:w="935" w:type="dxa"/>
            <w:vAlign w:val="center"/>
          </w:tcPr>
          <w:p w14:paraId="5960ED55">
            <w:pPr>
              <w:adjustRightInd w:val="0"/>
              <w:snapToGrid w:val="0"/>
              <w:jc w:val="center"/>
              <w:textAlignment w:val="center"/>
              <w:rPr>
                <w:szCs w:val="21"/>
              </w:rPr>
            </w:pPr>
            <w:r>
              <w:rPr>
                <w:szCs w:val="21"/>
                <w:lang w:bidi="ar"/>
              </w:rPr>
              <w:t>环境质量监测</w:t>
            </w:r>
          </w:p>
        </w:tc>
        <w:tc>
          <w:tcPr>
            <w:tcW w:w="3385" w:type="dxa"/>
            <w:gridSpan w:val="4"/>
            <w:vAlign w:val="center"/>
          </w:tcPr>
          <w:p w14:paraId="4ADD88E7">
            <w:pPr>
              <w:adjustRightInd w:val="0"/>
              <w:snapToGrid w:val="0"/>
              <w:jc w:val="center"/>
              <w:textAlignment w:val="center"/>
              <w:rPr>
                <w:szCs w:val="21"/>
              </w:rPr>
            </w:pPr>
            <w:r>
              <w:rPr>
                <w:szCs w:val="21"/>
                <w:lang w:bidi="ar"/>
              </w:rPr>
              <w:t>监测因子：（</w:t>
            </w:r>
            <w:r>
              <w:rPr>
                <w:rFonts w:hint="eastAsia"/>
                <w:szCs w:val="21"/>
                <w:lang w:val="en-US" w:eastAsia="zh-CN" w:bidi="ar"/>
              </w:rPr>
              <w:t>NH</w:t>
            </w:r>
            <w:r>
              <w:rPr>
                <w:rFonts w:hint="eastAsia"/>
                <w:szCs w:val="21"/>
                <w:vertAlign w:val="subscript"/>
                <w:lang w:val="en-US" w:eastAsia="zh-CN" w:bidi="ar"/>
              </w:rPr>
              <w:t>3</w:t>
            </w:r>
            <w:r>
              <w:rPr>
                <w:rFonts w:hint="eastAsia"/>
                <w:szCs w:val="21"/>
                <w:lang w:val="en-US" w:eastAsia="zh-CN" w:bidi="ar"/>
              </w:rPr>
              <w:t>、H</w:t>
            </w:r>
            <w:r>
              <w:rPr>
                <w:rFonts w:hint="eastAsia"/>
                <w:szCs w:val="21"/>
                <w:vertAlign w:val="subscript"/>
                <w:lang w:val="en-US" w:eastAsia="zh-CN" w:bidi="ar"/>
              </w:rPr>
              <w:t>2</w:t>
            </w:r>
            <w:r>
              <w:rPr>
                <w:rFonts w:hint="eastAsia"/>
                <w:szCs w:val="21"/>
                <w:lang w:val="en-US" w:eastAsia="zh-CN" w:bidi="ar"/>
              </w:rPr>
              <w:t>S</w:t>
            </w:r>
            <w:r>
              <w:rPr>
                <w:szCs w:val="21"/>
                <w:lang w:bidi="ar"/>
              </w:rPr>
              <w:t xml:space="preserve"> </w:t>
            </w:r>
            <w:r>
              <w:rPr>
                <w:rFonts w:hint="eastAsia"/>
                <w:szCs w:val="21"/>
                <w:lang w:eastAsia="zh-CN" w:bidi="ar"/>
              </w:rPr>
              <w:t>、</w:t>
            </w:r>
            <w:r>
              <w:rPr>
                <w:rFonts w:hint="eastAsia"/>
                <w:szCs w:val="21"/>
                <w:lang w:val="en-US" w:eastAsia="zh-CN" w:bidi="ar"/>
              </w:rPr>
              <w:t>PM</w:t>
            </w:r>
            <w:r>
              <w:rPr>
                <w:rFonts w:hint="eastAsia"/>
                <w:szCs w:val="21"/>
                <w:vertAlign w:val="subscript"/>
                <w:lang w:val="en-US" w:eastAsia="zh-CN" w:bidi="ar"/>
              </w:rPr>
              <w:t>10</w:t>
            </w:r>
            <w:r>
              <w:rPr>
                <w:rFonts w:hint="eastAsia"/>
                <w:szCs w:val="21"/>
                <w:vertAlign w:val="baseline"/>
                <w:lang w:val="en-US" w:eastAsia="zh-CN" w:bidi="ar"/>
              </w:rPr>
              <w:t>、非甲烷总烃</w:t>
            </w:r>
            <w:r>
              <w:rPr>
                <w:szCs w:val="21"/>
                <w:lang w:bidi="ar"/>
              </w:rPr>
              <w:t xml:space="preserve">  ）</w:t>
            </w:r>
          </w:p>
        </w:tc>
        <w:tc>
          <w:tcPr>
            <w:tcW w:w="2620" w:type="dxa"/>
            <w:gridSpan w:val="2"/>
            <w:vAlign w:val="center"/>
          </w:tcPr>
          <w:p w14:paraId="1A75E851">
            <w:pPr>
              <w:adjustRightInd w:val="0"/>
              <w:snapToGrid w:val="0"/>
              <w:jc w:val="center"/>
              <w:textAlignment w:val="center"/>
              <w:rPr>
                <w:szCs w:val="21"/>
              </w:rPr>
            </w:pPr>
            <w:r>
              <w:rPr>
                <w:szCs w:val="21"/>
                <w:lang w:bidi="ar"/>
              </w:rPr>
              <w:t>监测点位数（1  ）</w:t>
            </w:r>
          </w:p>
        </w:tc>
        <w:tc>
          <w:tcPr>
            <w:tcW w:w="1534" w:type="dxa"/>
            <w:gridSpan w:val="2"/>
            <w:vAlign w:val="center"/>
          </w:tcPr>
          <w:p w14:paraId="1C3D698C">
            <w:pPr>
              <w:adjustRightInd w:val="0"/>
              <w:snapToGrid w:val="0"/>
              <w:jc w:val="center"/>
              <w:textAlignment w:val="center"/>
              <w:rPr>
                <w:szCs w:val="21"/>
              </w:rPr>
            </w:pPr>
            <w:r>
              <w:rPr>
                <w:szCs w:val="21"/>
                <w:lang w:bidi="ar"/>
              </w:rPr>
              <w:t>无监测□</w:t>
            </w:r>
          </w:p>
        </w:tc>
      </w:tr>
      <w:tr w14:paraId="35B1234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restart"/>
            <w:vAlign w:val="center"/>
          </w:tcPr>
          <w:p w14:paraId="1D908896">
            <w:pPr>
              <w:adjustRightInd w:val="0"/>
              <w:snapToGrid w:val="0"/>
              <w:jc w:val="center"/>
              <w:textAlignment w:val="center"/>
              <w:rPr>
                <w:szCs w:val="21"/>
              </w:rPr>
            </w:pPr>
            <w:r>
              <w:rPr>
                <w:szCs w:val="21"/>
                <w:lang w:bidi="ar"/>
              </w:rPr>
              <w:t>评价结论</w:t>
            </w:r>
          </w:p>
        </w:tc>
        <w:tc>
          <w:tcPr>
            <w:tcW w:w="935" w:type="dxa"/>
            <w:vAlign w:val="center"/>
          </w:tcPr>
          <w:p w14:paraId="63E657D9">
            <w:pPr>
              <w:adjustRightInd w:val="0"/>
              <w:snapToGrid w:val="0"/>
              <w:jc w:val="center"/>
              <w:textAlignment w:val="center"/>
              <w:rPr>
                <w:szCs w:val="21"/>
              </w:rPr>
            </w:pPr>
            <w:r>
              <w:rPr>
                <w:szCs w:val="21"/>
                <w:lang w:bidi="ar"/>
              </w:rPr>
              <w:t>环境影响</w:t>
            </w:r>
          </w:p>
        </w:tc>
        <w:tc>
          <w:tcPr>
            <w:tcW w:w="7539" w:type="dxa"/>
            <w:gridSpan w:val="8"/>
            <w:vAlign w:val="center"/>
          </w:tcPr>
          <w:p w14:paraId="739E269B">
            <w:pPr>
              <w:adjustRightInd w:val="0"/>
              <w:snapToGrid w:val="0"/>
              <w:jc w:val="center"/>
              <w:textAlignment w:val="center"/>
              <w:rPr>
                <w:szCs w:val="21"/>
              </w:rPr>
            </w:pPr>
            <w:r>
              <w:rPr>
                <w:szCs w:val="21"/>
                <w:lang w:bidi="ar"/>
              </w:rPr>
              <w:t>可以接受 ☑            不可以接受 □</w:t>
            </w:r>
          </w:p>
        </w:tc>
      </w:tr>
      <w:tr w14:paraId="0C3BEF7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1FEEB2B1">
            <w:pPr>
              <w:adjustRightInd w:val="0"/>
              <w:snapToGrid w:val="0"/>
              <w:jc w:val="center"/>
              <w:rPr>
                <w:szCs w:val="21"/>
              </w:rPr>
            </w:pPr>
          </w:p>
        </w:tc>
        <w:tc>
          <w:tcPr>
            <w:tcW w:w="935" w:type="dxa"/>
            <w:vAlign w:val="center"/>
          </w:tcPr>
          <w:p w14:paraId="64D3B1DA">
            <w:pPr>
              <w:adjustRightInd w:val="0"/>
              <w:snapToGrid w:val="0"/>
              <w:jc w:val="center"/>
              <w:textAlignment w:val="center"/>
              <w:rPr>
                <w:szCs w:val="21"/>
              </w:rPr>
            </w:pPr>
            <w:r>
              <w:rPr>
                <w:szCs w:val="21"/>
                <w:lang w:bidi="ar"/>
              </w:rPr>
              <w:t>大气环境防护距离</w:t>
            </w:r>
          </w:p>
        </w:tc>
        <w:tc>
          <w:tcPr>
            <w:tcW w:w="7539" w:type="dxa"/>
            <w:gridSpan w:val="8"/>
            <w:vAlign w:val="center"/>
          </w:tcPr>
          <w:p w14:paraId="3283F896">
            <w:pPr>
              <w:adjustRightInd w:val="0"/>
              <w:snapToGrid w:val="0"/>
              <w:jc w:val="center"/>
              <w:textAlignment w:val="center"/>
              <w:rPr>
                <w:szCs w:val="21"/>
              </w:rPr>
            </w:pPr>
            <w:r>
              <w:rPr>
                <w:szCs w:val="21"/>
                <w:lang w:bidi="ar"/>
              </w:rPr>
              <w:t xml:space="preserve">距（   </w:t>
            </w:r>
            <w:r>
              <w:rPr>
                <w:rFonts w:hint="eastAsia"/>
                <w:szCs w:val="21"/>
                <w:lang w:val="en-US" w:eastAsia="zh-CN" w:bidi="ar"/>
              </w:rPr>
              <w:t xml:space="preserve">南 </w:t>
            </w:r>
            <w:r>
              <w:rPr>
                <w:szCs w:val="21"/>
                <w:lang w:bidi="ar"/>
              </w:rPr>
              <w:t xml:space="preserve"> )厂界最远（ </w:t>
            </w:r>
            <w:r>
              <w:rPr>
                <w:rFonts w:hint="eastAsia"/>
                <w:szCs w:val="21"/>
                <w:lang w:val="en-US" w:eastAsia="zh-CN" w:bidi="ar"/>
              </w:rPr>
              <w:t>185</w:t>
            </w:r>
            <w:r>
              <w:rPr>
                <w:szCs w:val="21"/>
                <w:lang w:bidi="ar"/>
              </w:rPr>
              <w:t xml:space="preserve">   ）m</w:t>
            </w:r>
          </w:p>
        </w:tc>
      </w:tr>
      <w:tr w14:paraId="36C1C81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571" w:type="dxa"/>
            <w:vMerge w:val="continue"/>
            <w:vAlign w:val="center"/>
          </w:tcPr>
          <w:p w14:paraId="47D8EC2D">
            <w:pPr>
              <w:adjustRightInd w:val="0"/>
              <w:snapToGrid w:val="0"/>
              <w:jc w:val="center"/>
              <w:rPr>
                <w:szCs w:val="21"/>
              </w:rPr>
            </w:pPr>
          </w:p>
        </w:tc>
        <w:tc>
          <w:tcPr>
            <w:tcW w:w="935" w:type="dxa"/>
            <w:vAlign w:val="center"/>
          </w:tcPr>
          <w:p w14:paraId="3B50DD10">
            <w:pPr>
              <w:adjustRightInd w:val="0"/>
              <w:snapToGrid w:val="0"/>
              <w:jc w:val="center"/>
              <w:textAlignment w:val="center"/>
              <w:rPr>
                <w:szCs w:val="21"/>
              </w:rPr>
            </w:pPr>
            <w:r>
              <w:rPr>
                <w:szCs w:val="21"/>
                <w:lang w:bidi="ar"/>
              </w:rPr>
              <w:t>污染源年排放量</w:t>
            </w:r>
          </w:p>
        </w:tc>
        <w:tc>
          <w:tcPr>
            <w:tcW w:w="2421" w:type="dxa"/>
            <w:gridSpan w:val="3"/>
            <w:vAlign w:val="center"/>
          </w:tcPr>
          <w:p w14:paraId="1130AE30">
            <w:pPr>
              <w:adjustRightInd w:val="0"/>
              <w:snapToGrid w:val="0"/>
              <w:jc w:val="center"/>
              <w:textAlignment w:val="center"/>
              <w:rPr>
                <w:szCs w:val="21"/>
              </w:rPr>
            </w:pPr>
            <w:r>
              <w:rPr>
                <w:szCs w:val="21"/>
                <w:lang w:bidi="ar"/>
              </w:rPr>
              <w:t>SO</w:t>
            </w:r>
            <w:r>
              <w:rPr>
                <w:szCs w:val="21"/>
                <w:vertAlign w:val="subscript"/>
                <w:lang w:bidi="ar"/>
              </w:rPr>
              <w:t>2</w:t>
            </w:r>
            <w:r>
              <w:rPr>
                <w:szCs w:val="21"/>
                <w:lang w:bidi="ar"/>
              </w:rPr>
              <w:t>:()t/a</w:t>
            </w:r>
          </w:p>
        </w:tc>
        <w:tc>
          <w:tcPr>
            <w:tcW w:w="2382" w:type="dxa"/>
            <w:gridSpan w:val="2"/>
            <w:vAlign w:val="center"/>
          </w:tcPr>
          <w:p w14:paraId="39E5D434">
            <w:pPr>
              <w:adjustRightInd w:val="0"/>
              <w:snapToGrid w:val="0"/>
              <w:jc w:val="center"/>
              <w:textAlignment w:val="center"/>
              <w:rPr>
                <w:szCs w:val="21"/>
              </w:rPr>
            </w:pPr>
            <w:r>
              <w:rPr>
                <w:szCs w:val="21"/>
                <w:lang w:bidi="ar"/>
              </w:rPr>
              <w:t>NOx:（）t/a</w:t>
            </w:r>
          </w:p>
        </w:tc>
        <w:tc>
          <w:tcPr>
            <w:tcW w:w="1202" w:type="dxa"/>
            <w:vAlign w:val="center"/>
          </w:tcPr>
          <w:p w14:paraId="2D7E04A7">
            <w:pPr>
              <w:adjustRightInd w:val="0"/>
              <w:snapToGrid w:val="0"/>
              <w:jc w:val="center"/>
              <w:textAlignment w:val="center"/>
              <w:rPr>
                <w:szCs w:val="21"/>
                <w:lang w:bidi="ar"/>
              </w:rPr>
            </w:pPr>
            <w:r>
              <w:rPr>
                <w:szCs w:val="21"/>
                <w:lang w:bidi="ar"/>
              </w:rPr>
              <w:t>颗粒物:</w:t>
            </w:r>
          </w:p>
          <w:p w14:paraId="1C66EA1C">
            <w:pPr>
              <w:adjustRightInd w:val="0"/>
              <w:snapToGrid w:val="0"/>
              <w:jc w:val="center"/>
              <w:textAlignment w:val="center"/>
              <w:rPr>
                <w:szCs w:val="21"/>
              </w:rPr>
            </w:pPr>
            <w:r>
              <w:rPr>
                <w:szCs w:val="21"/>
                <w:lang w:bidi="ar"/>
              </w:rPr>
              <w:t>()t/a</w:t>
            </w:r>
          </w:p>
        </w:tc>
        <w:tc>
          <w:tcPr>
            <w:tcW w:w="1534" w:type="dxa"/>
            <w:gridSpan w:val="2"/>
            <w:vAlign w:val="center"/>
          </w:tcPr>
          <w:p w14:paraId="304AEE2F">
            <w:pPr>
              <w:adjustRightInd w:val="0"/>
              <w:snapToGrid w:val="0"/>
              <w:jc w:val="center"/>
              <w:textAlignment w:val="center"/>
              <w:rPr>
                <w:szCs w:val="21"/>
              </w:rPr>
            </w:pPr>
            <w:r>
              <w:rPr>
                <w:szCs w:val="21"/>
                <w:lang w:bidi="ar"/>
              </w:rPr>
              <w:t>VOCs:()t/a</w:t>
            </w:r>
          </w:p>
        </w:tc>
      </w:tr>
      <w:tr w14:paraId="3D26F75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15" w:type="dxa"/>
            <w:left w:w="15" w:type="dxa"/>
            <w:bottom w:w="15" w:type="dxa"/>
            <w:right w:w="15" w:type="dxa"/>
          </w:tblCellMar>
        </w:tblPrEx>
        <w:tc>
          <w:tcPr>
            <w:tcW w:w="9045" w:type="dxa"/>
            <w:gridSpan w:val="10"/>
            <w:vAlign w:val="center"/>
          </w:tcPr>
          <w:p w14:paraId="7D68BA28">
            <w:pPr>
              <w:adjustRightInd w:val="0"/>
              <w:snapToGrid w:val="0"/>
              <w:jc w:val="center"/>
              <w:textAlignment w:val="center"/>
              <w:rPr>
                <w:szCs w:val="21"/>
              </w:rPr>
            </w:pPr>
            <w:r>
              <w:rPr>
                <w:szCs w:val="21"/>
                <w:lang w:bidi="ar"/>
              </w:rPr>
              <w:t>注：“□”，填“√”；“（  ）”为内容填写项</w:t>
            </w:r>
          </w:p>
        </w:tc>
      </w:tr>
    </w:tbl>
    <w:p w14:paraId="7322AC10">
      <w:pPr>
        <w:jc w:val="center"/>
        <w:rPr>
          <w:sz w:val="28"/>
          <w:szCs w:val="28"/>
        </w:rPr>
        <w:sectPr>
          <w:footerReference r:id="rId17" w:type="default"/>
          <w:pgSz w:w="11850" w:h="16783"/>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0E06B7F0">
      <w:pPr>
        <w:jc w:val="center"/>
        <w:rPr>
          <w:b/>
          <w:bCs/>
          <w:sz w:val="28"/>
          <w:szCs w:val="28"/>
        </w:rPr>
      </w:pPr>
      <w:r>
        <w:rPr>
          <w:b/>
          <w:bCs/>
          <w:sz w:val="28"/>
          <w:szCs w:val="28"/>
        </w:rPr>
        <w:t>附表2  建设项目地表水环境影响评价自查表</w:t>
      </w:r>
    </w:p>
    <w:tbl>
      <w:tblPr>
        <w:tblStyle w:val="53"/>
        <w:tblW w:w="923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4"/>
        <w:gridCol w:w="1520"/>
        <w:gridCol w:w="1629"/>
        <w:gridCol w:w="298"/>
        <w:gridCol w:w="1116"/>
        <w:gridCol w:w="534"/>
        <w:gridCol w:w="880"/>
        <w:gridCol w:w="1174"/>
        <w:gridCol w:w="240"/>
        <w:gridCol w:w="102"/>
        <w:gridCol w:w="1313"/>
      </w:tblGrid>
      <w:tr w14:paraId="50001C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944" w:type="dxa"/>
            <w:gridSpan w:val="2"/>
            <w:vAlign w:val="center"/>
          </w:tcPr>
          <w:p w14:paraId="7D3C5E81">
            <w:pPr>
              <w:jc w:val="center"/>
              <w:rPr>
                <w:sz w:val="21"/>
                <w:szCs w:val="21"/>
              </w:rPr>
            </w:pPr>
            <w:r>
              <w:rPr>
                <w:sz w:val="21"/>
                <w:szCs w:val="21"/>
              </w:rPr>
              <w:t>工作内容</w:t>
            </w:r>
          </w:p>
        </w:tc>
        <w:tc>
          <w:tcPr>
            <w:tcW w:w="7286" w:type="dxa"/>
            <w:gridSpan w:val="9"/>
            <w:vAlign w:val="center"/>
          </w:tcPr>
          <w:p w14:paraId="24661E69">
            <w:pPr>
              <w:jc w:val="center"/>
              <w:rPr>
                <w:sz w:val="21"/>
                <w:szCs w:val="21"/>
              </w:rPr>
            </w:pPr>
            <w:r>
              <w:rPr>
                <w:sz w:val="21"/>
                <w:szCs w:val="21"/>
              </w:rPr>
              <w:t>自查项目</w:t>
            </w:r>
          </w:p>
        </w:tc>
      </w:tr>
      <w:tr w14:paraId="1D3926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restart"/>
            <w:vAlign w:val="center"/>
          </w:tcPr>
          <w:p w14:paraId="5F253A02">
            <w:pPr>
              <w:jc w:val="center"/>
              <w:rPr>
                <w:sz w:val="21"/>
                <w:szCs w:val="21"/>
              </w:rPr>
            </w:pPr>
            <w:r>
              <w:rPr>
                <w:sz w:val="21"/>
                <w:szCs w:val="21"/>
              </w:rPr>
              <w:t>影响识别</w:t>
            </w:r>
          </w:p>
          <w:p w14:paraId="5F48E0CB">
            <w:pPr>
              <w:jc w:val="left"/>
              <w:rPr>
                <w:sz w:val="21"/>
                <w:szCs w:val="21"/>
              </w:rPr>
            </w:pPr>
          </w:p>
          <w:p w14:paraId="5AED393F">
            <w:pPr>
              <w:pStyle w:val="42"/>
              <w:tabs>
                <w:tab w:val="right" w:leader="dot" w:pos="8303"/>
              </w:tabs>
              <w:rPr>
                <w:sz w:val="21"/>
                <w:szCs w:val="21"/>
              </w:rPr>
            </w:pPr>
          </w:p>
        </w:tc>
        <w:tc>
          <w:tcPr>
            <w:tcW w:w="1520" w:type="dxa"/>
            <w:vAlign w:val="center"/>
          </w:tcPr>
          <w:p w14:paraId="61DB0F9A">
            <w:pPr>
              <w:jc w:val="center"/>
              <w:rPr>
                <w:sz w:val="21"/>
                <w:szCs w:val="21"/>
              </w:rPr>
            </w:pPr>
            <w:r>
              <w:rPr>
                <w:sz w:val="21"/>
                <w:szCs w:val="21"/>
              </w:rPr>
              <w:t>影响类型</w:t>
            </w:r>
          </w:p>
        </w:tc>
        <w:tc>
          <w:tcPr>
            <w:tcW w:w="7286" w:type="dxa"/>
            <w:gridSpan w:val="9"/>
            <w:vAlign w:val="center"/>
          </w:tcPr>
          <w:p w14:paraId="4BEE6D16">
            <w:pPr>
              <w:rPr>
                <w:sz w:val="21"/>
                <w:szCs w:val="21"/>
              </w:rPr>
            </w:pPr>
            <w:r>
              <w:rPr>
                <w:sz w:val="21"/>
                <w:szCs w:val="21"/>
              </w:rPr>
              <w:t xml:space="preserve">水污染影响型 </w:t>
            </w:r>
            <w:r>
              <w:rPr>
                <w:sz w:val="21"/>
                <w:szCs w:val="21"/>
                <w:lang w:bidi="ar"/>
              </w:rPr>
              <w:t>☑</w:t>
            </w:r>
            <w:r>
              <w:rPr>
                <w:sz w:val="21"/>
                <w:szCs w:val="21"/>
              </w:rPr>
              <w:t xml:space="preserve">；水文要素型 </w:t>
            </w:r>
            <w:r>
              <w:rPr>
                <w:sz w:val="21"/>
                <w:szCs w:val="21"/>
                <w:lang w:bidi="ar"/>
              </w:rPr>
              <w:t>□</w:t>
            </w:r>
          </w:p>
        </w:tc>
      </w:tr>
      <w:tr w14:paraId="708DE6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5" w:hRule="atLeast"/>
          <w:jc w:val="center"/>
        </w:trPr>
        <w:tc>
          <w:tcPr>
            <w:tcW w:w="424" w:type="dxa"/>
            <w:vMerge w:val="continue"/>
            <w:vAlign w:val="center"/>
          </w:tcPr>
          <w:p w14:paraId="5B3E0038">
            <w:pPr>
              <w:jc w:val="left"/>
              <w:rPr>
                <w:sz w:val="21"/>
                <w:szCs w:val="21"/>
              </w:rPr>
            </w:pPr>
          </w:p>
        </w:tc>
        <w:tc>
          <w:tcPr>
            <w:tcW w:w="1520" w:type="dxa"/>
            <w:vAlign w:val="center"/>
          </w:tcPr>
          <w:p w14:paraId="55828D71">
            <w:pPr>
              <w:jc w:val="center"/>
              <w:rPr>
                <w:sz w:val="21"/>
                <w:szCs w:val="21"/>
              </w:rPr>
            </w:pPr>
            <w:r>
              <w:rPr>
                <w:sz w:val="21"/>
                <w:szCs w:val="21"/>
              </w:rPr>
              <w:t>水环境保护目标</w:t>
            </w:r>
          </w:p>
        </w:tc>
        <w:tc>
          <w:tcPr>
            <w:tcW w:w="7286" w:type="dxa"/>
            <w:gridSpan w:val="9"/>
            <w:vAlign w:val="center"/>
          </w:tcPr>
          <w:p w14:paraId="5B9F4FB5">
            <w:pPr>
              <w:jc w:val="center"/>
              <w:rPr>
                <w:sz w:val="21"/>
                <w:szCs w:val="21"/>
              </w:rPr>
            </w:pPr>
            <w:r>
              <w:rPr>
                <w:sz w:val="21"/>
                <w:szCs w:val="21"/>
              </w:rPr>
              <w:t xml:space="preserve">饮用水水源保护区 </w:t>
            </w:r>
            <w:r>
              <w:rPr>
                <w:sz w:val="21"/>
                <w:szCs w:val="21"/>
                <w:lang w:bidi="ar"/>
              </w:rPr>
              <w:t>□</w:t>
            </w:r>
            <w:r>
              <w:rPr>
                <w:sz w:val="21"/>
                <w:szCs w:val="21"/>
              </w:rPr>
              <w:t xml:space="preserve">；饮用水取水口 </w:t>
            </w:r>
            <w:r>
              <w:rPr>
                <w:sz w:val="21"/>
                <w:szCs w:val="21"/>
                <w:lang w:bidi="ar"/>
              </w:rPr>
              <w:t>□</w:t>
            </w:r>
            <w:r>
              <w:rPr>
                <w:sz w:val="21"/>
                <w:szCs w:val="21"/>
              </w:rPr>
              <w:t xml:space="preserve">；涉及的自然保护区 </w:t>
            </w:r>
            <w:r>
              <w:rPr>
                <w:sz w:val="21"/>
                <w:szCs w:val="21"/>
                <w:lang w:bidi="ar"/>
              </w:rPr>
              <w:t>□</w:t>
            </w:r>
            <w:r>
              <w:rPr>
                <w:sz w:val="21"/>
                <w:szCs w:val="21"/>
              </w:rPr>
              <w:t xml:space="preserve">；重要湿地 </w:t>
            </w:r>
            <w:r>
              <w:rPr>
                <w:sz w:val="21"/>
                <w:szCs w:val="21"/>
                <w:lang w:bidi="ar"/>
              </w:rPr>
              <w:t>□</w:t>
            </w:r>
            <w:r>
              <w:rPr>
                <w:sz w:val="21"/>
                <w:szCs w:val="21"/>
              </w:rPr>
              <w:t xml:space="preserve">；重点保护与珍稀水生生物的栖息地 </w:t>
            </w:r>
            <w:r>
              <w:rPr>
                <w:sz w:val="21"/>
                <w:szCs w:val="21"/>
                <w:lang w:bidi="ar"/>
              </w:rPr>
              <w:t>□</w:t>
            </w:r>
            <w:r>
              <w:rPr>
                <w:sz w:val="21"/>
                <w:szCs w:val="21"/>
              </w:rPr>
              <w:t xml:space="preserve">；重要水生生物的自然产卵场及索饵场、越冬场和洄游通道、天然浴场等渔业水体 </w:t>
            </w:r>
            <w:r>
              <w:rPr>
                <w:sz w:val="21"/>
                <w:szCs w:val="21"/>
                <w:lang w:bidi="ar"/>
              </w:rPr>
              <w:t>□</w:t>
            </w:r>
            <w:r>
              <w:rPr>
                <w:sz w:val="21"/>
                <w:szCs w:val="21"/>
              </w:rPr>
              <w:t xml:space="preserve">；涉水的风景名胜区 </w:t>
            </w:r>
            <w:r>
              <w:rPr>
                <w:sz w:val="21"/>
                <w:szCs w:val="21"/>
                <w:lang w:bidi="ar"/>
              </w:rPr>
              <w:t>□</w:t>
            </w:r>
            <w:r>
              <w:rPr>
                <w:sz w:val="21"/>
                <w:szCs w:val="21"/>
              </w:rPr>
              <w:t xml:space="preserve">；其他 </w:t>
            </w:r>
            <w:r>
              <w:rPr>
                <w:sz w:val="21"/>
                <w:szCs w:val="21"/>
                <w:lang w:bidi="ar"/>
              </w:rPr>
              <w:t>□</w:t>
            </w:r>
          </w:p>
        </w:tc>
      </w:tr>
      <w:tr w14:paraId="51CFD43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424" w:type="dxa"/>
            <w:vMerge w:val="continue"/>
            <w:vAlign w:val="center"/>
          </w:tcPr>
          <w:p w14:paraId="25F5BF59">
            <w:pPr>
              <w:jc w:val="left"/>
              <w:rPr>
                <w:sz w:val="21"/>
                <w:szCs w:val="21"/>
              </w:rPr>
            </w:pPr>
          </w:p>
        </w:tc>
        <w:tc>
          <w:tcPr>
            <w:tcW w:w="1520" w:type="dxa"/>
            <w:vMerge w:val="restart"/>
            <w:vAlign w:val="center"/>
          </w:tcPr>
          <w:p w14:paraId="364A43DB">
            <w:pPr>
              <w:jc w:val="center"/>
              <w:rPr>
                <w:sz w:val="21"/>
                <w:szCs w:val="21"/>
              </w:rPr>
            </w:pPr>
            <w:r>
              <w:rPr>
                <w:sz w:val="21"/>
                <w:szCs w:val="21"/>
              </w:rPr>
              <w:t>影响途径</w:t>
            </w:r>
          </w:p>
        </w:tc>
        <w:tc>
          <w:tcPr>
            <w:tcW w:w="3577" w:type="dxa"/>
            <w:gridSpan w:val="4"/>
            <w:vAlign w:val="center"/>
          </w:tcPr>
          <w:p w14:paraId="3C35876A">
            <w:pPr>
              <w:jc w:val="center"/>
              <w:rPr>
                <w:sz w:val="21"/>
                <w:szCs w:val="21"/>
              </w:rPr>
            </w:pPr>
            <w:r>
              <w:rPr>
                <w:sz w:val="21"/>
                <w:szCs w:val="21"/>
              </w:rPr>
              <w:t>水污染影响型</w:t>
            </w:r>
          </w:p>
        </w:tc>
        <w:tc>
          <w:tcPr>
            <w:tcW w:w="3709" w:type="dxa"/>
            <w:gridSpan w:val="5"/>
            <w:vAlign w:val="center"/>
          </w:tcPr>
          <w:p w14:paraId="315E3A3D">
            <w:pPr>
              <w:jc w:val="center"/>
              <w:rPr>
                <w:sz w:val="21"/>
                <w:szCs w:val="21"/>
              </w:rPr>
            </w:pPr>
            <w:r>
              <w:rPr>
                <w:sz w:val="21"/>
                <w:szCs w:val="21"/>
              </w:rPr>
              <w:t>水文要素型</w:t>
            </w:r>
          </w:p>
        </w:tc>
      </w:tr>
      <w:tr w14:paraId="4CE8CA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424" w:type="dxa"/>
            <w:vMerge w:val="continue"/>
            <w:vAlign w:val="center"/>
          </w:tcPr>
          <w:p w14:paraId="1D644F09">
            <w:pPr>
              <w:pStyle w:val="42"/>
              <w:tabs>
                <w:tab w:val="right" w:leader="dot" w:pos="8303"/>
              </w:tabs>
              <w:rPr>
                <w:sz w:val="21"/>
                <w:szCs w:val="21"/>
              </w:rPr>
            </w:pPr>
          </w:p>
        </w:tc>
        <w:tc>
          <w:tcPr>
            <w:tcW w:w="1520" w:type="dxa"/>
            <w:vMerge w:val="continue"/>
            <w:vAlign w:val="center"/>
          </w:tcPr>
          <w:p w14:paraId="029BA7D3">
            <w:pPr>
              <w:jc w:val="center"/>
              <w:rPr>
                <w:sz w:val="21"/>
                <w:szCs w:val="21"/>
              </w:rPr>
            </w:pPr>
          </w:p>
        </w:tc>
        <w:tc>
          <w:tcPr>
            <w:tcW w:w="3577" w:type="dxa"/>
            <w:gridSpan w:val="4"/>
            <w:vAlign w:val="center"/>
          </w:tcPr>
          <w:p w14:paraId="13299599">
            <w:pPr>
              <w:rPr>
                <w:rFonts w:hint="eastAsia" w:eastAsia="宋体"/>
                <w:sz w:val="21"/>
                <w:szCs w:val="21"/>
                <w:lang w:eastAsia="zh-CN"/>
              </w:rPr>
            </w:pPr>
            <w:r>
              <w:rPr>
                <w:sz w:val="21"/>
                <w:szCs w:val="21"/>
              </w:rPr>
              <w:t xml:space="preserve">直接排放 </w:t>
            </w:r>
            <w:r>
              <w:rPr>
                <w:rFonts w:hint="eastAsia"/>
                <w:sz w:val="21"/>
                <w:szCs w:val="21"/>
                <w:lang w:eastAsia="zh-CN" w:bidi="ar"/>
              </w:rPr>
              <w:t>☑</w:t>
            </w:r>
            <w:r>
              <w:rPr>
                <w:sz w:val="21"/>
                <w:szCs w:val="21"/>
              </w:rPr>
              <w:t xml:space="preserve">；间接排放 </w:t>
            </w:r>
            <w:r>
              <w:rPr>
                <w:sz w:val="21"/>
                <w:szCs w:val="21"/>
                <w:lang w:bidi="ar"/>
              </w:rPr>
              <w:t>□</w:t>
            </w:r>
            <w:r>
              <w:rPr>
                <w:sz w:val="21"/>
                <w:szCs w:val="21"/>
              </w:rPr>
              <w:t xml:space="preserve">；其他 </w:t>
            </w:r>
            <w:r>
              <w:rPr>
                <w:rFonts w:hint="eastAsia"/>
                <w:sz w:val="21"/>
                <w:szCs w:val="21"/>
                <w:lang w:eastAsia="zh-CN" w:bidi="ar"/>
              </w:rPr>
              <w:t>□</w:t>
            </w:r>
          </w:p>
        </w:tc>
        <w:tc>
          <w:tcPr>
            <w:tcW w:w="3709" w:type="dxa"/>
            <w:gridSpan w:val="5"/>
            <w:vAlign w:val="center"/>
          </w:tcPr>
          <w:p w14:paraId="7A7B7075">
            <w:pPr>
              <w:rPr>
                <w:sz w:val="21"/>
                <w:szCs w:val="21"/>
              </w:rPr>
            </w:pPr>
            <w:r>
              <w:rPr>
                <w:sz w:val="21"/>
                <w:szCs w:val="21"/>
              </w:rPr>
              <w:t xml:space="preserve">水温 </w:t>
            </w:r>
            <w:r>
              <w:rPr>
                <w:sz w:val="21"/>
                <w:szCs w:val="21"/>
                <w:lang w:bidi="ar"/>
              </w:rPr>
              <w:t>□</w:t>
            </w:r>
            <w:r>
              <w:rPr>
                <w:sz w:val="21"/>
                <w:szCs w:val="21"/>
              </w:rPr>
              <w:t xml:space="preserve">；径流 </w:t>
            </w:r>
            <w:r>
              <w:rPr>
                <w:sz w:val="21"/>
                <w:szCs w:val="21"/>
                <w:lang w:bidi="ar"/>
              </w:rPr>
              <w:t>□</w:t>
            </w:r>
            <w:r>
              <w:rPr>
                <w:sz w:val="21"/>
                <w:szCs w:val="21"/>
              </w:rPr>
              <w:t xml:space="preserve">；水域面积 </w:t>
            </w:r>
            <w:r>
              <w:rPr>
                <w:sz w:val="21"/>
                <w:szCs w:val="21"/>
                <w:lang w:bidi="ar"/>
              </w:rPr>
              <w:t>□</w:t>
            </w:r>
          </w:p>
        </w:tc>
      </w:tr>
      <w:tr w14:paraId="1E8A15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424" w:type="dxa"/>
            <w:vMerge w:val="continue"/>
            <w:vAlign w:val="center"/>
          </w:tcPr>
          <w:p w14:paraId="7F71A7B6">
            <w:pPr>
              <w:pStyle w:val="42"/>
              <w:tabs>
                <w:tab w:val="right" w:leader="dot" w:pos="8303"/>
              </w:tabs>
              <w:rPr>
                <w:sz w:val="21"/>
                <w:szCs w:val="21"/>
              </w:rPr>
            </w:pPr>
          </w:p>
        </w:tc>
        <w:tc>
          <w:tcPr>
            <w:tcW w:w="1520" w:type="dxa"/>
            <w:vAlign w:val="center"/>
          </w:tcPr>
          <w:p w14:paraId="5A41B7A4">
            <w:pPr>
              <w:jc w:val="center"/>
              <w:rPr>
                <w:sz w:val="21"/>
                <w:szCs w:val="21"/>
              </w:rPr>
            </w:pPr>
            <w:r>
              <w:rPr>
                <w:sz w:val="21"/>
                <w:szCs w:val="21"/>
              </w:rPr>
              <w:t>影响因子</w:t>
            </w:r>
          </w:p>
        </w:tc>
        <w:tc>
          <w:tcPr>
            <w:tcW w:w="3577" w:type="dxa"/>
            <w:gridSpan w:val="4"/>
            <w:vAlign w:val="center"/>
          </w:tcPr>
          <w:p w14:paraId="10FD1B8D">
            <w:pPr>
              <w:rPr>
                <w:rFonts w:hint="eastAsia" w:eastAsia="宋体"/>
                <w:sz w:val="21"/>
                <w:szCs w:val="21"/>
                <w:lang w:eastAsia="zh-CN"/>
              </w:rPr>
            </w:pPr>
            <w:r>
              <w:rPr>
                <w:sz w:val="21"/>
                <w:szCs w:val="21"/>
              </w:rPr>
              <w:t xml:space="preserve">持久性污染物 </w:t>
            </w:r>
            <w:r>
              <w:rPr>
                <w:sz w:val="21"/>
                <w:szCs w:val="21"/>
                <w:lang w:bidi="ar"/>
              </w:rPr>
              <w:t>□</w:t>
            </w:r>
            <w:r>
              <w:rPr>
                <w:sz w:val="21"/>
                <w:szCs w:val="21"/>
              </w:rPr>
              <w:t>；有毒有害污染物</w:t>
            </w:r>
            <w:r>
              <w:rPr>
                <w:sz w:val="21"/>
                <w:szCs w:val="21"/>
                <w:lang w:bidi="ar"/>
              </w:rPr>
              <w:t>□</w:t>
            </w:r>
            <w:r>
              <w:rPr>
                <w:sz w:val="21"/>
                <w:szCs w:val="21"/>
              </w:rPr>
              <w:t xml:space="preserve">；非持久性污染物 </w:t>
            </w:r>
            <w:r>
              <w:rPr>
                <w:rFonts w:hint="eastAsia"/>
                <w:sz w:val="21"/>
                <w:szCs w:val="21"/>
                <w:lang w:eastAsia="zh-CN" w:bidi="ar"/>
              </w:rPr>
              <w:t>☑</w:t>
            </w:r>
            <w:r>
              <w:rPr>
                <w:sz w:val="21"/>
                <w:szCs w:val="21"/>
              </w:rPr>
              <w:t xml:space="preserve">；pH值 </w:t>
            </w:r>
            <w:r>
              <w:rPr>
                <w:sz w:val="21"/>
                <w:szCs w:val="21"/>
                <w:lang w:bidi="ar"/>
              </w:rPr>
              <w:t>□</w:t>
            </w:r>
            <w:r>
              <w:rPr>
                <w:sz w:val="21"/>
                <w:szCs w:val="21"/>
              </w:rPr>
              <w:t xml:space="preserve">；热污染 </w:t>
            </w:r>
            <w:r>
              <w:rPr>
                <w:sz w:val="21"/>
                <w:szCs w:val="21"/>
                <w:lang w:bidi="ar"/>
              </w:rPr>
              <w:t>□</w:t>
            </w:r>
            <w:r>
              <w:rPr>
                <w:sz w:val="21"/>
                <w:szCs w:val="21"/>
              </w:rPr>
              <w:t xml:space="preserve">；富营养化 </w:t>
            </w:r>
            <w:r>
              <w:rPr>
                <w:sz w:val="21"/>
                <w:szCs w:val="21"/>
                <w:lang w:bidi="ar"/>
              </w:rPr>
              <w:t>□</w:t>
            </w:r>
            <w:r>
              <w:rPr>
                <w:sz w:val="21"/>
                <w:szCs w:val="21"/>
              </w:rPr>
              <w:t xml:space="preserve">；其他 </w:t>
            </w:r>
            <w:r>
              <w:rPr>
                <w:rFonts w:hint="eastAsia"/>
                <w:sz w:val="21"/>
                <w:szCs w:val="21"/>
                <w:lang w:eastAsia="zh-CN" w:bidi="ar"/>
              </w:rPr>
              <w:t>□</w:t>
            </w:r>
          </w:p>
        </w:tc>
        <w:tc>
          <w:tcPr>
            <w:tcW w:w="3709" w:type="dxa"/>
            <w:gridSpan w:val="5"/>
            <w:vAlign w:val="center"/>
          </w:tcPr>
          <w:p w14:paraId="3252BF3C">
            <w:pPr>
              <w:rPr>
                <w:sz w:val="21"/>
                <w:szCs w:val="21"/>
              </w:rPr>
            </w:pPr>
            <w:r>
              <w:rPr>
                <w:sz w:val="21"/>
                <w:szCs w:val="21"/>
              </w:rPr>
              <w:t xml:space="preserve">水温 </w:t>
            </w:r>
            <w:r>
              <w:rPr>
                <w:sz w:val="21"/>
                <w:szCs w:val="21"/>
                <w:lang w:bidi="ar"/>
              </w:rPr>
              <w:t>□</w:t>
            </w:r>
            <w:r>
              <w:rPr>
                <w:sz w:val="21"/>
                <w:szCs w:val="21"/>
              </w:rPr>
              <w:t>；水位（水深）</w:t>
            </w:r>
            <w:r>
              <w:rPr>
                <w:sz w:val="21"/>
                <w:szCs w:val="21"/>
                <w:lang w:bidi="ar"/>
              </w:rPr>
              <w:t>□</w:t>
            </w:r>
            <w:r>
              <w:rPr>
                <w:sz w:val="21"/>
                <w:szCs w:val="21"/>
              </w:rPr>
              <w:t xml:space="preserve">；流速 </w:t>
            </w:r>
            <w:r>
              <w:rPr>
                <w:sz w:val="21"/>
                <w:szCs w:val="21"/>
                <w:lang w:bidi="ar"/>
              </w:rPr>
              <w:t>□</w:t>
            </w:r>
            <w:r>
              <w:rPr>
                <w:sz w:val="21"/>
                <w:szCs w:val="21"/>
              </w:rPr>
              <w:t xml:space="preserve">；流量 </w:t>
            </w:r>
            <w:r>
              <w:rPr>
                <w:sz w:val="21"/>
                <w:szCs w:val="21"/>
                <w:lang w:bidi="ar"/>
              </w:rPr>
              <w:t>□</w:t>
            </w:r>
            <w:r>
              <w:rPr>
                <w:sz w:val="21"/>
                <w:szCs w:val="21"/>
              </w:rPr>
              <w:t xml:space="preserve">；其他 </w:t>
            </w:r>
            <w:r>
              <w:rPr>
                <w:sz w:val="21"/>
                <w:szCs w:val="21"/>
                <w:lang w:bidi="ar"/>
              </w:rPr>
              <w:t>□</w:t>
            </w:r>
          </w:p>
        </w:tc>
      </w:tr>
      <w:tr w14:paraId="304A58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944" w:type="dxa"/>
            <w:gridSpan w:val="2"/>
            <w:vMerge w:val="restart"/>
            <w:vAlign w:val="center"/>
          </w:tcPr>
          <w:p w14:paraId="0B9874DA">
            <w:pPr>
              <w:jc w:val="center"/>
              <w:rPr>
                <w:sz w:val="21"/>
                <w:szCs w:val="21"/>
              </w:rPr>
            </w:pPr>
            <w:r>
              <w:rPr>
                <w:sz w:val="21"/>
                <w:szCs w:val="21"/>
              </w:rPr>
              <w:t>评价等级</w:t>
            </w:r>
          </w:p>
        </w:tc>
        <w:tc>
          <w:tcPr>
            <w:tcW w:w="3577" w:type="dxa"/>
            <w:gridSpan w:val="4"/>
            <w:vAlign w:val="center"/>
          </w:tcPr>
          <w:p w14:paraId="3FC81638">
            <w:pPr>
              <w:jc w:val="center"/>
              <w:rPr>
                <w:sz w:val="21"/>
                <w:szCs w:val="21"/>
              </w:rPr>
            </w:pPr>
            <w:r>
              <w:rPr>
                <w:sz w:val="21"/>
                <w:szCs w:val="21"/>
              </w:rPr>
              <w:t>水污染影响型</w:t>
            </w:r>
          </w:p>
        </w:tc>
        <w:tc>
          <w:tcPr>
            <w:tcW w:w="3709" w:type="dxa"/>
            <w:gridSpan w:val="5"/>
            <w:vAlign w:val="center"/>
          </w:tcPr>
          <w:p w14:paraId="46BC870C">
            <w:pPr>
              <w:jc w:val="center"/>
              <w:rPr>
                <w:sz w:val="21"/>
                <w:szCs w:val="21"/>
              </w:rPr>
            </w:pPr>
            <w:r>
              <w:rPr>
                <w:sz w:val="21"/>
                <w:szCs w:val="21"/>
              </w:rPr>
              <w:t>水文要素型</w:t>
            </w:r>
          </w:p>
        </w:tc>
      </w:tr>
      <w:tr w14:paraId="5E1EAD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944" w:type="dxa"/>
            <w:gridSpan w:val="2"/>
            <w:vMerge w:val="continue"/>
            <w:vAlign w:val="center"/>
          </w:tcPr>
          <w:p w14:paraId="13209389">
            <w:pPr>
              <w:jc w:val="center"/>
              <w:rPr>
                <w:sz w:val="21"/>
                <w:szCs w:val="21"/>
              </w:rPr>
            </w:pPr>
          </w:p>
        </w:tc>
        <w:tc>
          <w:tcPr>
            <w:tcW w:w="3577" w:type="dxa"/>
            <w:gridSpan w:val="4"/>
            <w:vAlign w:val="center"/>
          </w:tcPr>
          <w:p w14:paraId="277B9552">
            <w:pPr>
              <w:rPr>
                <w:rFonts w:hint="eastAsia" w:eastAsia="宋体"/>
                <w:sz w:val="21"/>
                <w:szCs w:val="21"/>
                <w:lang w:eastAsia="zh-CN"/>
              </w:rPr>
            </w:pPr>
            <w:r>
              <w:rPr>
                <w:sz w:val="21"/>
                <w:szCs w:val="21"/>
              </w:rPr>
              <w:t xml:space="preserve">一级 </w:t>
            </w:r>
            <w:r>
              <w:rPr>
                <w:sz w:val="21"/>
                <w:szCs w:val="21"/>
                <w:lang w:bidi="ar"/>
              </w:rPr>
              <w:t>□</w:t>
            </w:r>
            <w:r>
              <w:rPr>
                <w:sz w:val="21"/>
                <w:szCs w:val="21"/>
              </w:rPr>
              <w:t xml:space="preserve">；二级 </w:t>
            </w:r>
            <w:r>
              <w:rPr>
                <w:rFonts w:hint="eastAsia"/>
                <w:sz w:val="21"/>
                <w:szCs w:val="21"/>
                <w:lang w:eastAsia="zh-CN" w:bidi="ar"/>
              </w:rPr>
              <w:t>☑</w:t>
            </w:r>
            <w:r>
              <w:rPr>
                <w:sz w:val="21"/>
                <w:szCs w:val="21"/>
              </w:rPr>
              <w:t xml:space="preserve">；三级A </w:t>
            </w:r>
            <w:r>
              <w:rPr>
                <w:sz w:val="21"/>
                <w:szCs w:val="21"/>
                <w:lang w:bidi="ar"/>
              </w:rPr>
              <w:t>□</w:t>
            </w:r>
            <w:r>
              <w:rPr>
                <w:sz w:val="21"/>
                <w:szCs w:val="21"/>
              </w:rPr>
              <w:t xml:space="preserve">；三级B </w:t>
            </w:r>
            <w:r>
              <w:rPr>
                <w:rFonts w:hint="eastAsia"/>
                <w:sz w:val="21"/>
                <w:szCs w:val="21"/>
                <w:lang w:eastAsia="zh-CN" w:bidi="ar"/>
              </w:rPr>
              <w:t>□</w:t>
            </w:r>
          </w:p>
        </w:tc>
        <w:tc>
          <w:tcPr>
            <w:tcW w:w="3709" w:type="dxa"/>
            <w:gridSpan w:val="5"/>
            <w:vAlign w:val="center"/>
          </w:tcPr>
          <w:p w14:paraId="2BE0FC2B">
            <w:pPr>
              <w:rPr>
                <w:sz w:val="21"/>
                <w:szCs w:val="21"/>
              </w:rPr>
            </w:pPr>
            <w:r>
              <w:rPr>
                <w:sz w:val="21"/>
                <w:szCs w:val="21"/>
              </w:rPr>
              <w:t xml:space="preserve">一级 </w:t>
            </w:r>
            <w:r>
              <w:rPr>
                <w:sz w:val="21"/>
                <w:szCs w:val="21"/>
                <w:lang w:bidi="ar"/>
              </w:rPr>
              <w:t>□</w:t>
            </w:r>
            <w:r>
              <w:rPr>
                <w:sz w:val="21"/>
                <w:szCs w:val="21"/>
              </w:rPr>
              <w:t xml:space="preserve">；二级 </w:t>
            </w:r>
            <w:r>
              <w:rPr>
                <w:sz w:val="21"/>
                <w:szCs w:val="21"/>
                <w:lang w:bidi="ar"/>
              </w:rPr>
              <w:t>□</w:t>
            </w:r>
            <w:r>
              <w:rPr>
                <w:sz w:val="21"/>
                <w:szCs w:val="21"/>
              </w:rPr>
              <w:t xml:space="preserve">；三级 </w:t>
            </w:r>
            <w:r>
              <w:rPr>
                <w:sz w:val="21"/>
                <w:szCs w:val="21"/>
                <w:lang w:bidi="ar"/>
              </w:rPr>
              <w:t>□</w:t>
            </w:r>
          </w:p>
        </w:tc>
      </w:tr>
      <w:tr w14:paraId="4A6A7B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424" w:type="dxa"/>
            <w:vMerge w:val="restart"/>
            <w:vAlign w:val="center"/>
          </w:tcPr>
          <w:p w14:paraId="18E214D9">
            <w:pPr>
              <w:jc w:val="center"/>
              <w:rPr>
                <w:sz w:val="21"/>
                <w:szCs w:val="21"/>
              </w:rPr>
            </w:pPr>
            <w:r>
              <w:rPr>
                <w:sz w:val="21"/>
                <w:szCs w:val="21"/>
              </w:rPr>
              <w:t>现状调查</w:t>
            </w:r>
          </w:p>
        </w:tc>
        <w:tc>
          <w:tcPr>
            <w:tcW w:w="1520" w:type="dxa"/>
            <w:vMerge w:val="restart"/>
            <w:vAlign w:val="center"/>
          </w:tcPr>
          <w:p w14:paraId="4EBD6DC7">
            <w:pPr>
              <w:jc w:val="center"/>
              <w:rPr>
                <w:sz w:val="21"/>
                <w:szCs w:val="21"/>
              </w:rPr>
            </w:pPr>
            <w:r>
              <w:rPr>
                <w:sz w:val="21"/>
                <w:szCs w:val="21"/>
              </w:rPr>
              <w:t>区域污染源</w:t>
            </w:r>
          </w:p>
        </w:tc>
        <w:tc>
          <w:tcPr>
            <w:tcW w:w="3577" w:type="dxa"/>
            <w:gridSpan w:val="4"/>
            <w:vAlign w:val="center"/>
          </w:tcPr>
          <w:p w14:paraId="3FB1055B">
            <w:pPr>
              <w:jc w:val="center"/>
              <w:rPr>
                <w:sz w:val="21"/>
                <w:szCs w:val="21"/>
              </w:rPr>
            </w:pPr>
            <w:r>
              <w:rPr>
                <w:sz w:val="21"/>
                <w:szCs w:val="21"/>
              </w:rPr>
              <w:t>调查项目</w:t>
            </w:r>
          </w:p>
        </w:tc>
        <w:tc>
          <w:tcPr>
            <w:tcW w:w="3709" w:type="dxa"/>
            <w:gridSpan w:val="5"/>
            <w:vAlign w:val="center"/>
          </w:tcPr>
          <w:p w14:paraId="77FDC372">
            <w:pPr>
              <w:jc w:val="center"/>
              <w:rPr>
                <w:sz w:val="21"/>
                <w:szCs w:val="21"/>
              </w:rPr>
            </w:pPr>
            <w:r>
              <w:rPr>
                <w:sz w:val="21"/>
                <w:szCs w:val="21"/>
              </w:rPr>
              <w:t>数据来源</w:t>
            </w:r>
          </w:p>
        </w:tc>
      </w:tr>
      <w:tr w14:paraId="712065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424" w:type="dxa"/>
            <w:vMerge w:val="continue"/>
            <w:vAlign w:val="center"/>
          </w:tcPr>
          <w:p w14:paraId="0DC3FACC">
            <w:pPr>
              <w:jc w:val="left"/>
              <w:rPr>
                <w:sz w:val="21"/>
                <w:szCs w:val="21"/>
              </w:rPr>
            </w:pPr>
          </w:p>
        </w:tc>
        <w:tc>
          <w:tcPr>
            <w:tcW w:w="1520" w:type="dxa"/>
            <w:vMerge w:val="continue"/>
            <w:vAlign w:val="center"/>
          </w:tcPr>
          <w:p w14:paraId="7A43C871">
            <w:pPr>
              <w:jc w:val="center"/>
              <w:rPr>
                <w:sz w:val="21"/>
                <w:szCs w:val="21"/>
              </w:rPr>
            </w:pPr>
          </w:p>
        </w:tc>
        <w:tc>
          <w:tcPr>
            <w:tcW w:w="1927" w:type="dxa"/>
            <w:gridSpan w:val="2"/>
            <w:vAlign w:val="center"/>
          </w:tcPr>
          <w:p w14:paraId="11E26021">
            <w:pPr>
              <w:rPr>
                <w:sz w:val="21"/>
                <w:szCs w:val="21"/>
              </w:rPr>
            </w:pPr>
            <w:r>
              <w:rPr>
                <w:sz w:val="21"/>
                <w:szCs w:val="21"/>
              </w:rPr>
              <w:t xml:space="preserve">已建 </w:t>
            </w:r>
            <w:r>
              <w:rPr>
                <w:sz w:val="21"/>
                <w:szCs w:val="21"/>
                <w:lang w:bidi="ar"/>
              </w:rPr>
              <w:t>□</w:t>
            </w:r>
            <w:r>
              <w:rPr>
                <w:sz w:val="21"/>
                <w:szCs w:val="21"/>
              </w:rPr>
              <w:t xml:space="preserve">；在建 </w:t>
            </w:r>
            <w:r>
              <w:rPr>
                <w:sz w:val="21"/>
                <w:szCs w:val="21"/>
                <w:lang w:bidi="ar"/>
              </w:rPr>
              <w:t>□</w:t>
            </w:r>
            <w:r>
              <w:rPr>
                <w:sz w:val="21"/>
                <w:szCs w:val="21"/>
              </w:rPr>
              <w:t xml:space="preserve">；拟建 </w:t>
            </w:r>
            <w:r>
              <w:rPr>
                <w:sz w:val="21"/>
                <w:szCs w:val="21"/>
                <w:lang w:bidi="ar"/>
              </w:rPr>
              <w:t>□</w:t>
            </w:r>
            <w:r>
              <w:rPr>
                <w:sz w:val="21"/>
                <w:szCs w:val="21"/>
              </w:rPr>
              <w:t xml:space="preserve">；其他 </w:t>
            </w:r>
            <w:r>
              <w:rPr>
                <w:sz w:val="21"/>
                <w:szCs w:val="21"/>
                <w:lang w:bidi="ar"/>
              </w:rPr>
              <w:t>☑</w:t>
            </w:r>
          </w:p>
        </w:tc>
        <w:tc>
          <w:tcPr>
            <w:tcW w:w="1650" w:type="dxa"/>
            <w:gridSpan w:val="2"/>
            <w:vAlign w:val="center"/>
          </w:tcPr>
          <w:p w14:paraId="28ED6AD1">
            <w:pPr>
              <w:rPr>
                <w:sz w:val="21"/>
                <w:szCs w:val="21"/>
              </w:rPr>
            </w:pPr>
            <w:r>
              <w:rPr>
                <w:sz w:val="21"/>
                <w:szCs w:val="21"/>
              </w:rPr>
              <w:t>拟替代的污染源</w:t>
            </w:r>
            <w:r>
              <w:rPr>
                <w:sz w:val="21"/>
                <w:szCs w:val="21"/>
                <w:lang w:bidi="ar"/>
              </w:rPr>
              <w:t>□</w:t>
            </w:r>
          </w:p>
        </w:tc>
        <w:tc>
          <w:tcPr>
            <w:tcW w:w="3709" w:type="dxa"/>
            <w:gridSpan w:val="5"/>
            <w:vAlign w:val="center"/>
          </w:tcPr>
          <w:p w14:paraId="3936C01A">
            <w:pPr>
              <w:rPr>
                <w:rFonts w:hint="eastAsia" w:eastAsia="宋体"/>
                <w:sz w:val="21"/>
                <w:szCs w:val="21"/>
                <w:lang w:eastAsia="zh-CN"/>
              </w:rPr>
            </w:pPr>
            <w:r>
              <w:rPr>
                <w:sz w:val="21"/>
                <w:szCs w:val="21"/>
              </w:rPr>
              <w:t xml:space="preserve">排污许可证 </w:t>
            </w:r>
            <w:r>
              <w:rPr>
                <w:sz w:val="21"/>
                <w:szCs w:val="21"/>
                <w:lang w:bidi="ar"/>
              </w:rPr>
              <w:t>□</w:t>
            </w:r>
            <w:r>
              <w:rPr>
                <w:sz w:val="21"/>
                <w:szCs w:val="21"/>
              </w:rPr>
              <w:t xml:space="preserve">；环评 </w:t>
            </w:r>
            <w:r>
              <w:rPr>
                <w:sz w:val="21"/>
                <w:szCs w:val="21"/>
                <w:lang w:bidi="ar"/>
              </w:rPr>
              <w:t>□</w:t>
            </w:r>
            <w:r>
              <w:rPr>
                <w:sz w:val="21"/>
                <w:szCs w:val="21"/>
              </w:rPr>
              <w:t xml:space="preserve">；环保验收 </w:t>
            </w:r>
            <w:r>
              <w:rPr>
                <w:sz w:val="21"/>
                <w:szCs w:val="21"/>
                <w:lang w:bidi="ar"/>
              </w:rPr>
              <w:t>□</w:t>
            </w:r>
            <w:r>
              <w:rPr>
                <w:sz w:val="21"/>
                <w:szCs w:val="21"/>
              </w:rPr>
              <w:t xml:space="preserve">；既有实测 </w:t>
            </w:r>
            <w:r>
              <w:rPr>
                <w:sz w:val="21"/>
                <w:szCs w:val="21"/>
                <w:lang w:bidi="ar"/>
              </w:rPr>
              <w:t>□</w:t>
            </w:r>
            <w:r>
              <w:rPr>
                <w:sz w:val="21"/>
                <w:szCs w:val="21"/>
              </w:rPr>
              <w:t xml:space="preserve">；现场监测 </w:t>
            </w:r>
            <w:r>
              <w:rPr>
                <w:sz w:val="21"/>
                <w:szCs w:val="21"/>
                <w:lang w:bidi="ar"/>
              </w:rPr>
              <w:t>□</w:t>
            </w:r>
            <w:r>
              <w:rPr>
                <w:sz w:val="21"/>
                <w:szCs w:val="21"/>
              </w:rPr>
              <w:t xml:space="preserve">；入河排放口数据 </w:t>
            </w:r>
            <w:r>
              <w:rPr>
                <w:sz w:val="21"/>
                <w:szCs w:val="21"/>
                <w:lang w:bidi="ar"/>
              </w:rPr>
              <w:t>□</w:t>
            </w:r>
            <w:r>
              <w:rPr>
                <w:sz w:val="21"/>
                <w:szCs w:val="21"/>
              </w:rPr>
              <w:t xml:space="preserve">；其他 </w:t>
            </w:r>
            <w:r>
              <w:rPr>
                <w:rFonts w:hint="eastAsia"/>
                <w:sz w:val="21"/>
                <w:szCs w:val="21"/>
                <w:lang w:eastAsia="zh-CN" w:bidi="ar"/>
              </w:rPr>
              <w:t>□</w:t>
            </w:r>
          </w:p>
        </w:tc>
      </w:tr>
      <w:tr w14:paraId="5376FB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424" w:type="dxa"/>
            <w:vMerge w:val="continue"/>
            <w:vAlign w:val="center"/>
          </w:tcPr>
          <w:p w14:paraId="4E076D7A">
            <w:pPr>
              <w:jc w:val="left"/>
              <w:rPr>
                <w:sz w:val="21"/>
                <w:szCs w:val="21"/>
              </w:rPr>
            </w:pPr>
          </w:p>
        </w:tc>
        <w:tc>
          <w:tcPr>
            <w:tcW w:w="1520" w:type="dxa"/>
            <w:vMerge w:val="restart"/>
            <w:vAlign w:val="center"/>
          </w:tcPr>
          <w:p w14:paraId="26B70CE1">
            <w:pPr>
              <w:jc w:val="center"/>
              <w:rPr>
                <w:sz w:val="21"/>
                <w:szCs w:val="21"/>
              </w:rPr>
            </w:pPr>
            <w:r>
              <w:rPr>
                <w:sz w:val="21"/>
                <w:szCs w:val="21"/>
              </w:rPr>
              <w:t>受影响水体水环境质量</w:t>
            </w:r>
          </w:p>
        </w:tc>
        <w:tc>
          <w:tcPr>
            <w:tcW w:w="3577" w:type="dxa"/>
            <w:gridSpan w:val="4"/>
            <w:vAlign w:val="center"/>
          </w:tcPr>
          <w:p w14:paraId="64877BBE">
            <w:pPr>
              <w:jc w:val="center"/>
              <w:rPr>
                <w:sz w:val="21"/>
                <w:szCs w:val="21"/>
              </w:rPr>
            </w:pPr>
            <w:r>
              <w:rPr>
                <w:sz w:val="21"/>
                <w:szCs w:val="21"/>
              </w:rPr>
              <w:t>调查时期</w:t>
            </w:r>
          </w:p>
        </w:tc>
        <w:tc>
          <w:tcPr>
            <w:tcW w:w="3709" w:type="dxa"/>
            <w:gridSpan w:val="5"/>
            <w:vAlign w:val="center"/>
          </w:tcPr>
          <w:p w14:paraId="3E7F18FF">
            <w:pPr>
              <w:jc w:val="center"/>
              <w:rPr>
                <w:sz w:val="21"/>
                <w:szCs w:val="21"/>
              </w:rPr>
            </w:pPr>
            <w:r>
              <w:rPr>
                <w:sz w:val="21"/>
                <w:szCs w:val="21"/>
              </w:rPr>
              <w:t>数据来源</w:t>
            </w:r>
          </w:p>
        </w:tc>
      </w:tr>
      <w:tr w14:paraId="0744B9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5" w:hRule="atLeast"/>
          <w:jc w:val="center"/>
        </w:trPr>
        <w:tc>
          <w:tcPr>
            <w:tcW w:w="424" w:type="dxa"/>
            <w:vMerge w:val="continue"/>
            <w:vAlign w:val="center"/>
          </w:tcPr>
          <w:p w14:paraId="190630F2">
            <w:pPr>
              <w:jc w:val="left"/>
              <w:rPr>
                <w:sz w:val="21"/>
                <w:szCs w:val="21"/>
              </w:rPr>
            </w:pPr>
          </w:p>
        </w:tc>
        <w:tc>
          <w:tcPr>
            <w:tcW w:w="1520" w:type="dxa"/>
            <w:vMerge w:val="continue"/>
            <w:vAlign w:val="center"/>
          </w:tcPr>
          <w:p w14:paraId="74F16C9A">
            <w:pPr>
              <w:jc w:val="center"/>
              <w:rPr>
                <w:sz w:val="21"/>
                <w:szCs w:val="21"/>
              </w:rPr>
            </w:pPr>
          </w:p>
        </w:tc>
        <w:tc>
          <w:tcPr>
            <w:tcW w:w="3577" w:type="dxa"/>
            <w:gridSpan w:val="4"/>
            <w:vAlign w:val="center"/>
          </w:tcPr>
          <w:p w14:paraId="40EF8BB9">
            <w:pPr>
              <w:rPr>
                <w:sz w:val="21"/>
                <w:szCs w:val="21"/>
              </w:rPr>
            </w:pPr>
            <w:r>
              <w:rPr>
                <w:sz w:val="21"/>
                <w:szCs w:val="21"/>
              </w:rPr>
              <w:t xml:space="preserve">丰水期 </w:t>
            </w:r>
            <w:r>
              <w:rPr>
                <w:rFonts w:hint="eastAsia"/>
                <w:sz w:val="21"/>
                <w:szCs w:val="21"/>
                <w:lang w:eastAsia="zh-CN" w:bidi="ar"/>
              </w:rPr>
              <w:t>□</w:t>
            </w:r>
            <w:r>
              <w:rPr>
                <w:sz w:val="21"/>
                <w:szCs w:val="21"/>
              </w:rPr>
              <w:t xml:space="preserve">；平水期 </w:t>
            </w:r>
            <w:r>
              <w:rPr>
                <w:sz w:val="21"/>
                <w:szCs w:val="21"/>
                <w:lang w:bidi="ar"/>
              </w:rPr>
              <w:t>□</w:t>
            </w:r>
            <w:r>
              <w:rPr>
                <w:sz w:val="21"/>
                <w:szCs w:val="21"/>
              </w:rPr>
              <w:t xml:space="preserve">；枯水期 </w:t>
            </w:r>
            <w:r>
              <w:rPr>
                <w:rFonts w:hint="eastAsia"/>
                <w:sz w:val="21"/>
                <w:szCs w:val="21"/>
                <w:lang w:eastAsia="zh-CN" w:bidi="ar"/>
              </w:rPr>
              <w:t>☑</w:t>
            </w:r>
            <w:r>
              <w:rPr>
                <w:sz w:val="21"/>
                <w:szCs w:val="21"/>
              </w:rPr>
              <w:t xml:space="preserve">；冰封期 </w:t>
            </w:r>
            <w:r>
              <w:rPr>
                <w:sz w:val="21"/>
                <w:szCs w:val="21"/>
                <w:lang w:bidi="ar"/>
              </w:rPr>
              <w:t>□</w:t>
            </w:r>
            <w:r>
              <w:rPr>
                <w:sz w:val="21"/>
                <w:szCs w:val="21"/>
              </w:rPr>
              <w:t xml:space="preserve">；春季 </w:t>
            </w:r>
            <w:r>
              <w:rPr>
                <w:sz w:val="21"/>
                <w:szCs w:val="21"/>
                <w:lang w:bidi="ar"/>
              </w:rPr>
              <w:t>□</w:t>
            </w:r>
            <w:r>
              <w:rPr>
                <w:sz w:val="21"/>
                <w:szCs w:val="21"/>
              </w:rPr>
              <w:t xml:space="preserve">；夏季 </w:t>
            </w:r>
            <w:r>
              <w:rPr>
                <w:sz w:val="21"/>
                <w:szCs w:val="21"/>
                <w:lang w:bidi="ar"/>
              </w:rPr>
              <w:t>□</w:t>
            </w:r>
            <w:r>
              <w:rPr>
                <w:sz w:val="21"/>
                <w:szCs w:val="21"/>
              </w:rPr>
              <w:t xml:space="preserve">；秋季 </w:t>
            </w:r>
            <w:r>
              <w:rPr>
                <w:sz w:val="21"/>
                <w:szCs w:val="21"/>
                <w:lang w:bidi="ar"/>
              </w:rPr>
              <w:t>□</w:t>
            </w:r>
            <w:r>
              <w:rPr>
                <w:sz w:val="21"/>
                <w:szCs w:val="21"/>
              </w:rPr>
              <w:t xml:space="preserve">；冬季 </w:t>
            </w:r>
            <w:r>
              <w:rPr>
                <w:sz w:val="21"/>
                <w:szCs w:val="21"/>
                <w:lang w:bidi="ar"/>
              </w:rPr>
              <w:t>□</w:t>
            </w:r>
          </w:p>
        </w:tc>
        <w:tc>
          <w:tcPr>
            <w:tcW w:w="3709" w:type="dxa"/>
            <w:gridSpan w:val="5"/>
            <w:vAlign w:val="center"/>
          </w:tcPr>
          <w:p w14:paraId="78B9CC65">
            <w:pPr>
              <w:ind w:left="240" w:hanging="210" w:hangingChars="100"/>
              <w:rPr>
                <w:sz w:val="21"/>
                <w:szCs w:val="21"/>
              </w:rPr>
            </w:pPr>
            <w:r>
              <w:rPr>
                <w:sz w:val="21"/>
                <w:szCs w:val="21"/>
              </w:rPr>
              <w:t xml:space="preserve">生态环境保护主管部门 </w:t>
            </w:r>
            <w:r>
              <w:rPr>
                <w:sz w:val="21"/>
                <w:szCs w:val="21"/>
                <w:lang w:bidi="ar"/>
              </w:rPr>
              <w:t>□</w:t>
            </w:r>
            <w:r>
              <w:rPr>
                <w:sz w:val="21"/>
                <w:szCs w:val="21"/>
              </w:rPr>
              <w:t>；补充监测</w:t>
            </w:r>
            <w:r>
              <w:rPr>
                <w:sz w:val="21"/>
                <w:szCs w:val="21"/>
                <w:lang w:bidi="ar"/>
              </w:rPr>
              <w:t>□</w:t>
            </w:r>
            <w:r>
              <w:rPr>
                <w:sz w:val="21"/>
                <w:szCs w:val="21"/>
              </w:rPr>
              <w:t xml:space="preserve">；其他 </w:t>
            </w:r>
            <w:r>
              <w:rPr>
                <w:sz w:val="21"/>
                <w:szCs w:val="21"/>
                <w:lang w:bidi="ar"/>
              </w:rPr>
              <w:t>☑</w:t>
            </w:r>
          </w:p>
        </w:tc>
      </w:tr>
      <w:tr w14:paraId="4B7F65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424" w:type="dxa"/>
            <w:vMerge w:val="continue"/>
            <w:vAlign w:val="center"/>
          </w:tcPr>
          <w:p w14:paraId="0CF25B6B">
            <w:pPr>
              <w:jc w:val="center"/>
              <w:rPr>
                <w:sz w:val="21"/>
                <w:szCs w:val="21"/>
              </w:rPr>
            </w:pPr>
          </w:p>
        </w:tc>
        <w:tc>
          <w:tcPr>
            <w:tcW w:w="1520" w:type="dxa"/>
            <w:vAlign w:val="center"/>
          </w:tcPr>
          <w:p w14:paraId="202E9C7F">
            <w:pPr>
              <w:jc w:val="center"/>
              <w:rPr>
                <w:sz w:val="21"/>
                <w:szCs w:val="21"/>
              </w:rPr>
            </w:pPr>
            <w:r>
              <w:rPr>
                <w:sz w:val="21"/>
                <w:szCs w:val="21"/>
              </w:rPr>
              <w:t>区域水资源开发利用状况</w:t>
            </w:r>
          </w:p>
        </w:tc>
        <w:tc>
          <w:tcPr>
            <w:tcW w:w="7286" w:type="dxa"/>
            <w:gridSpan w:val="9"/>
            <w:vAlign w:val="center"/>
          </w:tcPr>
          <w:p w14:paraId="5149817A">
            <w:pPr>
              <w:rPr>
                <w:sz w:val="21"/>
                <w:szCs w:val="21"/>
              </w:rPr>
            </w:pPr>
            <w:r>
              <w:rPr>
                <w:sz w:val="21"/>
                <w:szCs w:val="21"/>
              </w:rPr>
              <w:t xml:space="preserve">未开发 </w:t>
            </w:r>
            <w:r>
              <w:rPr>
                <w:sz w:val="21"/>
                <w:szCs w:val="21"/>
                <w:lang w:bidi="ar"/>
              </w:rPr>
              <w:t>□</w:t>
            </w:r>
            <w:r>
              <w:rPr>
                <w:sz w:val="21"/>
                <w:szCs w:val="21"/>
              </w:rPr>
              <w:t xml:space="preserve">；开发量40%以下 </w:t>
            </w:r>
            <w:r>
              <w:rPr>
                <w:sz w:val="21"/>
                <w:szCs w:val="21"/>
                <w:lang w:bidi="ar"/>
              </w:rPr>
              <w:t>□</w:t>
            </w:r>
            <w:r>
              <w:rPr>
                <w:sz w:val="21"/>
                <w:szCs w:val="21"/>
              </w:rPr>
              <w:t xml:space="preserve">；开发量40%以上 </w:t>
            </w:r>
            <w:r>
              <w:rPr>
                <w:sz w:val="21"/>
                <w:szCs w:val="21"/>
                <w:lang w:bidi="ar"/>
              </w:rPr>
              <w:t>□</w:t>
            </w:r>
          </w:p>
        </w:tc>
      </w:tr>
      <w:tr w14:paraId="176CD9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424" w:type="dxa"/>
            <w:vMerge w:val="continue"/>
            <w:vAlign w:val="center"/>
          </w:tcPr>
          <w:p w14:paraId="31C582C3">
            <w:pPr>
              <w:jc w:val="left"/>
              <w:rPr>
                <w:sz w:val="21"/>
                <w:szCs w:val="21"/>
              </w:rPr>
            </w:pPr>
          </w:p>
        </w:tc>
        <w:tc>
          <w:tcPr>
            <w:tcW w:w="1520" w:type="dxa"/>
            <w:vMerge w:val="restart"/>
            <w:vAlign w:val="center"/>
          </w:tcPr>
          <w:p w14:paraId="0B393963">
            <w:pPr>
              <w:jc w:val="center"/>
              <w:rPr>
                <w:sz w:val="21"/>
                <w:szCs w:val="21"/>
              </w:rPr>
            </w:pPr>
            <w:r>
              <w:rPr>
                <w:sz w:val="21"/>
                <w:szCs w:val="21"/>
              </w:rPr>
              <w:t>水文情势调查</w:t>
            </w:r>
          </w:p>
        </w:tc>
        <w:tc>
          <w:tcPr>
            <w:tcW w:w="3577" w:type="dxa"/>
            <w:gridSpan w:val="4"/>
            <w:vAlign w:val="center"/>
          </w:tcPr>
          <w:p w14:paraId="6E3956CC">
            <w:pPr>
              <w:jc w:val="center"/>
              <w:rPr>
                <w:sz w:val="21"/>
                <w:szCs w:val="21"/>
              </w:rPr>
            </w:pPr>
            <w:r>
              <w:rPr>
                <w:sz w:val="21"/>
                <w:szCs w:val="21"/>
              </w:rPr>
              <w:t>调查时期</w:t>
            </w:r>
          </w:p>
        </w:tc>
        <w:tc>
          <w:tcPr>
            <w:tcW w:w="3709" w:type="dxa"/>
            <w:gridSpan w:val="5"/>
            <w:vAlign w:val="center"/>
          </w:tcPr>
          <w:p w14:paraId="77D958D9">
            <w:pPr>
              <w:jc w:val="center"/>
              <w:rPr>
                <w:sz w:val="21"/>
                <w:szCs w:val="21"/>
              </w:rPr>
            </w:pPr>
            <w:r>
              <w:rPr>
                <w:sz w:val="21"/>
                <w:szCs w:val="21"/>
              </w:rPr>
              <w:t>数据来源</w:t>
            </w:r>
          </w:p>
        </w:tc>
      </w:tr>
      <w:tr w14:paraId="3E26E2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24" w:type="dxa"/>
            <w:vMerge w:val="continue"/>
            <w:vAlign w:val="center"/>
          </w:tcPr>
          <w:p w14:paraId="56D438C0">
            <w:pPr>
              <w:jc w:val="left"/>
              <w:rPr>
                <w:sz w:val="21"/>
                <w:szCs w:val="21"/>
              </w:rPr>
            </w:pPr>
          </w:p>
        </w:tc>
        <w:tc>
          <w:tcPr>
            <w:tcW w:w="1520" w:type="dxa"/>
            <w:vMerge w:val="continue"/>
            <w:vAlign w:val="center"/>
          </w:tcPr>
          <w:p w14:paraId="55A316C5">
            <w:pPr>
              <w:jc w:val="left"/>
              <w:rPr>
                <w:sz w:val="21"/>
                <w:szCs w:val="21"/>
              </w:rPr>
            </w:pPr>
          </w:p>
        </w:tc>
        <w:tc>
          <w:tcPr>
            <w:tcW w:w="3577" w:type="dxa"/>
            <w:gridSpan w:val="4"/>
            <w:vAlign w:val="center"/>
          </w:tcPr>
          <w:p w14:paraId="5E833A91">
            <w:pPr>
              <w:rPr>
                <w:sz w:val="21"/>
                <w:szCs w:val="21"/>
              </w:rPr>
            </w:pPr>
            <w:r>
              <w:rPr>
                <w:sz w:val="21"/>
                <w:szCs w:val="21"/>
              </w:rPr>
              <w:t xml:space="preserve">丰水期 </w:t>
            </w:r>
            <w:r>
              <w:rPr>
                <w:sz w:val="21"/>
                <w:szCs w:val="21"/>
                <w:lang w:bidi="ar"/>
              </w:rPr>
              <w:t>□</w:t>
            </w:r>
            <w:r>
              <w:rPr>
                <w:sz w:val="21"/>
                <w:szCs w:val="21"/>
              </w:rPr>
              <w:t xml:space="preserve">；平水期 </w:t>
            </w:r>
            <w:r>
              <w:rPr>
                <w:sz w:val="21"/>
                <w:szCs w:val="21"/>
                <w:lang w:bidi="ar"/>
              </w:rPr>
              <w:t>□</w:t>
            </w:r>
            <w:r>
              <w:rPr>
                <w:sz w:val="21"/>
                <w:szCs w:val="21"/>
              </w:rPr>
              <w:t xml:space="preserve">；枯水期 </w:t>
            </w:r>
            <w:r>
              <w:rPr>
                <w:rFonts w:hint="eastAsia"/>
                <w:sz w:val="21"/>
                <w:szCs w:val="21"/>
                <w:lang w:eastAsia="zh-CN" w:bidi="ar"/>
              </w:rPr>
              <w:t>☑</w:t>
            </w:r>
            <w:r>
              <w:rPr>
                <w:sz w:val="21"/>
                <w:szCs w:val="21"/>
              </w:rPr>
              <w:t xml:space="preserve">；冰封期 </w:t>
            </w:r>
            <w:r>
              <w:rPr>
                <w:sz w:val="21"/>
                <w:szCs w:val="21"/>
                <w:lang w:bidi="ar"/>
              </w:rPr>
              <w:t>□</w:t>
            </w:r>
            <w:r>
              <w:rPr>
                <w:sz w:val="21"/>
                <w:szCs w:val="21"/>
              </w:rPr>
              <w:t xml:space="preserve">；春季 </w:t>
            </w:r>
            <w:r>
              <w:rPr>
                <w:sz w:val="21"/>
                <w:szCs w:val="21"/>
                <w:lang w:bidi="ar"/>
              </w:rPr>
              <w:t>□</w:t>
            </w:r>
            <w:r>
              <w:rPr>
                <w:sz w:val="21"/>
                <w:szCs w:val="21"/>
              </w:rPr>
              <w:t xml:space="preserve">；夏季 </w:t>
            </w:r>
            <w:r>
              <w:rPr>
                <w:sz w:val="21"/>
                <w:szCs w:val="21"/>
                <w:lang w:bidi="ar"/>
              </w:rPr>
              <w:t>□</w:t>
            </w:r>
            <w:r>
              <w:rPr>
                <w:sz w:val="21"/>
                <w:szCs w:val="21"/>
              </w:rPr>
              <w:t xml:space="preserve">；秋季 </w:t>
            </w:r>
            <w:r>
              <w:rPr>
                <w:sz w:val="21"/>
                <w:szCs w:val="21"/>
                <w:lang w:bidi="ar"/>
              </w:rPr>
              <w:t>□</w:t>
            </w:r>
            <w:r>
              <w:rPr>
                <w:sz w:val="21"/>
                <w:szCs w:val="21"/>
              </w:rPr>
              <w:t xml:space="preserve">；冬季 </w:t>
            </w:r>
            <w:r>
              <w:rPr>
                <w:sz w:val="21"/>
                <w:szCs w:val="21"/>
                <w:lang w:bidi="ar"/>
              </w:rPr>
              <w:t>□</w:t>
            </w:r>
          </w:p>
        </w:tc>
        <w:tc>
          <w:tcPr>
            <w:tcW w:w="3709" w:type="dxa"/>
            <w:gridSpan w:val="5"/>
            <w:vAlign w:val="center"/>
          </w:tcPr>
          <w:p w14:paraId="229A8CC5">
            <w:pPr>
              <w:rPr>
                <w:sz w:val="21"/>
                <w:szCs w:val="21"/>
              </w:rPr>
            </w:pPr>
            <w:r>
              <w:rPr>
                <w:sz w:val="21"/>
                <w:szCs w:val="21"/>
              </w:rPr>
              <w:t xml:space="preserve">水行政主管部门 </w:t>
            </w:r>
            <w:r>
              <w:rPr>
                <w:rFonts w:hint="eastAsia"/>
                <w:sz w:val="21"/>
                <w:szCs w:val="21"/>
                <w:lang w:eastAsia="zh-CN" w:bidi="ar"/>
              </w:rPr>
              <w:t>☑</w:t>
            </w:r>
            <w:r>
              <w:rPr>
                <w:sz w:val="21"/>
                <w:szCs w:val="21"/>
              </w:rPr>
              <w:t xml:space="preserve">；补充监测 </w:t>
            </w:r>
            <w:r>
              <w:rPr>
                <w:sz w:val="21"/>
                <w:szCs w:val="21"/>
                <w:lang w:bidi="ar"/>
              </w:rPr>
              <w:t>□</w:t>
            </w:r>
            <w:r>
              <w:rPr>
                <w:sz w:val="21"/>
                <w:szCs w:val="21"/>
              </w:rPr>
              <w:t xml:space="preserve">；其他 </w:t>
            </w:r>
            <w:r>
              <w:rPr>
                <w:sz w:val="21"/>
                <w:szCs w:val="21"/>
                <w:lang w:bidi="ar"/>
              </w:rPr>
              <w:t>□</w:t>
            </w:r>
          </w:p>
        </w:tc>
      </w:tr>
      <w:tr w14:paraId="5AE5D4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24" w:type="dxa"/>
            <w:vMerge w:val="continue"/>
            <w:vAlign w:val="center"/>
          </w:tcPr>
          <w:p w14:paraId="3AECDE46">
            <w:pPr>
              <w:jc w:val="left"/>
              <w:rPr>
                <w:sz w:val="21"/>
                <w:szCs w:val="21"/>
              </w:rPr>
            </w:pPr>
          </w:p>
        </w:tc>
        <w:tc>
          <w:tcPr>
            <w:tcW w:w="1520" w:type="dxa"/>
            <w:vMerge w:val="restart"/>
            <w:vAlign w:val="center"/>
          </w:tcPr>
          <w:p w14:paraId="424E5478">
            <w:pPr>
              <w:jc w:val="center"/>
              <w:rPr>
                <w:sz w:val="21"/>
                <w:szCs w:val="21"/>
              </w:rPr>
            </w:pPr>
            <w:r>
              <w:rPr>
                <w:sz w:val="21"/>
                <w:szCs w:val="21"/>
              </w:rPr>
              <w:t>补充监测</w:t>
            </w:r>
          </w:p>
        </w:tc>
        <w:tc>
          <w:tcPr>
            <w:tcW w:w="3577" w:type="dxa"/>
            <w:gridSpan w:val="4"/>
            <w:vAlign w:val="center"/>
          </w:tcPr>
          <w:p w14:paraId="66BC2DE3">
            <w:pPr>
              <w:jc w:val="center"/>
              <w:rPr>
                <w:sz w:val="21"/>
                <w:szCs w:val="21"/>
              </w:rPr>
            </w:pPr>
            <w:r>
              <w:rPr>
                <w:sz w:val="21"/>
                <w:szCs w:val="21"/>
              </w:rPr>
              <w:t>监测时期</w:t>
            </w:r>
          </w:p>
        </w:tc>
        <w:tc>
          <w:tcPr>
            <w:tcW w:w="2054" w:type="dxa"/>
            <w:gridSpan w:val="2"/>
            <w:vAlign w:val="center"/>
          </w:tcPr>
          <w:p w14:paraId="23520A87">
            <w:pPr>
              <w:jc w:val="center"/>
              <w:rPr>
                <w:sz w:val="21"/>
                <w:szCs w:val="21"/>
              </w:rPr>
            </w:pPr>
            <w:r>
              <w:rPr>
                <w:sz w:val="21"/>
                <w:szCs w:val="21"/>
              </w:rPr>
              <w:t>监测因子</w:t>
            </w:r>
          </w:p>
        </w:tc>
        <w:tc>
          <w:tcPr>
            <w:tcW w:w="1655" w:type="dxa"/>
            <w:gridSpan w:val="3"/>
            <w:vAlign w:val="center"/>
          </w:tcPr>
          <w:p w14:paraId="3003A519">
            <w:pPr>
              <w:jc w:val="center"/>
              <w:rPr>
                <w:sz w:val="21"/>
                <w:szCs w:val="21"/>
              </w:rPr>
            </w:pPr>
            <w:r>
              <w:rPr>
                <w:sz w:val="21"/>
                <w:szCs w:val="21"/>
              </w:rPr>
              <w:t>监测断面或点位</w:t>
            </w:r>
          </w:p>
        </w:tc>
      </w:tr>
      <w:tr w14:paraId="1E74B7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424" w:type="dxa"/>
            <w:vMerge w:val="continue"/>
            <w:vAlign w:val="center"/>
          </w:tcPr>
          <w:p w14:paraId="3040C4C7">
            <w:pPr>
              <w:jc w:val="left"/>
              <w:rPr>
                <w:sz w:val="21"/>
                <w:szCs w:val="21"/>
              </w:rPr>
            </w:pPr>
          </w:p>
        </w:tc>
        <w:tc>
          <w:tcPr>
            <w:tcW w:w="1520" w:type="dxa"/>
            <w:vMerge w:val="continue"/>
            <w:vAlign w:val="center"/>
          </w:tcPr>
          <w:p w14:paraId="19455EB3">
            <w:pPr>
              <w:jc w:val="left"/>
              <w:rPr>
                <w:sz w:val="21"/>
                <w:szCs w:val="21"/>
              </w:rPr>
            </w:pPr>
          </w:p>
        </w:tc>
        <w:tc>
          <w:tcPr>
            <w:tcW w:w="3577" w:type="dxa"/>
            <w:gridSpan w:val="4"/>
            <w:vAlign w:val="center"/>
          </w:tcPr>
          <w:p w14:paraId="6A7B276A">
            <w:pPr>
              <w:rPr>
                <w:sz w:val="21"/>
                <w:szCs w:val="21"/>
              </w:rPr>
            </w:pPr>
            <w:r>
              <w:rPr>
                <w:sz w:val="21"/>
                <w:szCs w:val="21"/>
              </w:rPr>
              <w:t xml:space="preserve">丰水期 </w:t>
            </w:r>
            <w:r>
              <w:rPr>
                <w:sz w:val="21"/>
                <w:szCs w:val="21"/>
                <w:lang w:bidi="ar"/>
              </w:rPr>
              <w:t>□</w:t>
            </w:r>
            <w:r>
              <w:rPr>
                <w:sz w:val="21"/>
                <w:szCs w:val="21"/>
              </w:rPr>
              <w:t xml:space="preserve">；平水期 </w:t>
            </w:r>
            <w:r>
              <w:rPr>
                <w:sz w:val="21"/>
                <w:szCs w:val="21"/>
                <w:lang w:bidi="ar"/>
              </w:rPr>
              <w:t>□</w:t>
            </w:r>
            <w:r>
              <w:rPr>
                <w:sz w:val="21"/>
                <w:szCs w:val="21"/>
              </w:rPr>
              <w:t xml:space="preserve">；枯水期 </w:t>
            </w:r>
            <w:r>
              <w:rPr>
                <w:sz w:val="21"/>
                <w:szCs w:val="21"/>
                <w:lang w:bidi="ar"/>
              </w:rPr>
              <w:t>□</w:t>
            </w:r>
            <w:r>
              <w:rPr>
                <w:sz w:val="21"/>
                <w:szCs w:val="21"/>
              </w:rPr>
              <w:t xml:space="preserve">；冰封期 </w:t>
            </w:r>
            <w:r>
              <w:rPr>
                <w:sz w:val="21"/>
                <w:szCs w:val="21"/>
                <w:lang w:bidi="ar"/>
              </w:rPr>
              <w:t>□</w:t>
            </w:r>
            <w:r>
              <w:rPr>
                <w:sz w:val="21"/>
                <w:szCs w:val="21"/>
              </w:rPr>
              <w:t xml:space="preserve">；春季 </w:t>
            </w:r>
            <w:r>
              <w:rPr>
                <w:sz w:val="21"/>
                <w:szCs w:val="21"/>
                <w:lang w:bidi="ar"/>
              </w:rPr>
              <w:t>□</w:t>
            </w:r>
            <w:r>
              <w:rPr>
                <w:sz w:val="21"/>
                <w:szCs w:val="21"/>
              </w:rPr>
              <w:t xml:space="preserve">；夏季 </w:t>
            </w:r>
            <w:r>
              <w:rPr>
                <w:sz w:val="21"/>
                <w:szCs w:val="21"/>
                <w:lang w:bidi="ar"/>
              </w:rPr>
              <w:t>□</w:t>
            </w:r>
            <w:r>
              <w:rPr>
                <w:sz w:val="21"/>
                <w:szCs w:val="21"/>
              </w:rPr>
              <w:t xml:space="preserve">；秋季 </w:t>
            </w:r>
            <w:r>
              <w:rPr>
                <w:sz w:val="21"/>
                <w:szCs w:val="21"/>
                <w:lang w:bidi="ar"/>
              </w:rPr>
              <w:t>□</w:t>
            </w:r>
            <w:r>
              <w:rPr>
                <w:sz w:val="21"/>
                <w:szCs w:val="21"/>
              </w:rPr>
              <w:t xml:space="preserve">；冬季 </w:t>
            </w:r>
            <w:r>
              <w:rPr>
                <w:sz w:val="21"/>
                <w:szCs w:val="21"/>
                <w:lang w:bidi="ar"/>
              </w:rPr>
              <w:t>□</w:t>
            </w:r>
          </w:p>
        </w:tc>
        <w:tc>
          <w:tcPr>
            <w:tcW w:w="2054" w:type="dxa"/>
            <w:gridSpan w:val="2"/>
            <w:vAlign w:val="center"/>
          </w:tcPr>
          <w:p w14:paraId="19767AE5">
            <w:pPr>
              <w:rPr>
                <w:sz w:val="21"/>
                <w:szCs w:val="21"/>
              </w:rPr>
            </w:pPr>
            <w:r>
              <w:rPr>
                <w:sz w:val="21"/>
                <w:szCs w:val="21"/>
              </w:rPr>
              <w:t>（）</w:t>
            </w:r>
          </w:p>
        </w:tc>
        <w:tc>
          <w:tcPr>
            <w:tcW w:w="1655" w:type="dxa"/>
            <w:gridSpan w:val="3"/>
            <w:vAlign w:val="center"/>
          </w:tcPr>
          <w:p w14:paraId="302CE229">
            <w:pPr>
              <w:rPr>
                <w:sz w:val="21"/>
                <w:szCs w:val="21"/>
              </w:rPr>
            </w:pPr>
            <w:r>
              <w:rPr>
                <w:sz w:val="21"/>
                <w:szCs w:val="21"/>
              </w:rPr>
              <w:t>监测断面或点位个数（）个</w:t>
            </w:r>
          </w:p>
        </w:tc>
      </w:tr>
      <w:tr w14:paraId="2786CF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24" w:type="dxa"/>
            <w:vMerge w:val="restart"/>
            <w:vAlign w:val="center"/>
          </w:tcPr>
          <w:p w14:paraId="261D7891">
            <w:pPr>
              <w:jc w:val="center"/>
              <w:rPr>
                <w:sz w:val="21"/>
                <w:szCs w:val="21"/>
              </w:rPr>
            </w:pPr>
            <w:r>
              <w:rPr>
                <w:sz w:val="21"/>
                <w:szCs w:val="21"/>
              </w:rPr>
              <w:t>现状评价</w:t>
            </w:r>
          </w:p>
        </w:tc>
        <w:tc>
          <w:tcPr>
            <w:tcW w:w="1520" w:type="dxa"/>
            <w:vAlign w:val="center"/>
          </w:tcPr>
          <w:p w14:paraId="66C18B10">
            <w:pPr>
              <w:jc w:val="center"/>
              <w:rPr>
                <w:sz w:val="21"/>
                <w:szCs w:val="21"/>
              </w:rPr>
            </w:pPr>
            <w:r>
              <w:rPr>
                <w:sz w:val="21"/>
                <w:szCs w:val="21"/>
              </w:rPr>
              <w:t>评价范围</w:t>
            </w:r>
          </w:p>
        </w:tc>
        <w:tc>
          <w:tcPr>
            <w:tcW w:w="7286" w:type="dxa"/>
            <w:gridSpan w:val="9"/>
            <w:vAlign w:val="center"/>
          </w:tcPr>
          <w:p w14:paraId="45253410">
            <w:pPr>
              <w:rPr>
                <w:sz w:val="21"/>
                <w:szCs w:val="21"/>
              </w:rPr>
            </w:pPr>
            <w:r>
              <w:rPr>
                <w:sz w:val="21"/>
                <w:szCs w:val="21"/>
              </w:rPr>
              <w:t>河流：长度（）km；湖库、河口及近岸海域：面积（）km</w:t>
            </w:r>
            <w:r>
              <w:rPr>
                <w:sz w:val="21"/>
                <w:szCs w:val="21"/>
                <w:vertAlign w:val="superscript"/>
              </w:rPr>
              <w:t>2</w:t>
            </w:r>
          </w:p>
        </w:tc>
      </w:tr>
      <w:tr w14:paraId="015CD3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424" w:type="dxa"/>
            <w:vMerge w:val="continue"/>
            <w:vAlign w:val="center"/>
          </w:tcPr>
          <w:p w14:paraId="1B7E63BE">
            <w:pPr>
              <w:jc w:val="center"/>
              <w:rPr>
                <w:sz w:val="21"/>
                <w:szCs w:val="21"/>
              </w:rPr>
            </w:pPr>
          </w:p>
        </w:tc>
        <w:tc>
          <w:tcPr>
            <w:tcW w:w="1520" w:type="dxa"/>
            <w:vAlign w:val="center"/>
          </w:tcPr>
          <w:p w14:paraId="64690238">
            <w:pPr>
              <w:jc w:val="center"/>
              <w:rPr>
                <w:sz w:val="21"/>
                <w:szCs w:val="21"/>
              </w:rPr>
            </w:pPr>
            <w:r>
              <w:rPr>
                <w:sz w:val="21"/>
                <w:szCs w:val="21"/>
              </w:rPr>
              <w:t>评价因子</w:t>
            </w:r>
          </w:p>
        </w:tc>
        <w:tc>
          <w:tcPr>
            <w:tcW w:w="7286" w:type="dxa"/>
            <w:gridSpan w:val="9"/>
            <w:vAlign w:val="center"/>
          </w:tcPr>
          <w:p w14:paraId="5BF75005">
            <w:pPr>
              <w:rPr>
                <w:sz w:val="21"/>
                <w:szCs w:val="21"/>
              </w:rPr>
            </w:pPr>
            <w:r>
              <w:rPr>
                <w:sz w:val="21"/>
                <w:szCs w:val="21"/>
              </w:rPr>
              <w:t>（）</w:t>
            </w:r>
          </w:p>
        </w:tc>
      </w:tr>
      <w:tr w14:paraId="582BCA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24" w:type="dxa"/>
            <w:vMerge w:val="continue"/>
            <w:vAlign w:val="center"/>
          </w:tcPr>
          <w:p w14:paraId="654B9B69">
            <w:pPr>
              <w:jc w:val="left"/>
              <w:rPr>
                <w:sz w:val="21"/>
                <w:szCs w:val="21"/>
              </w:rPr>
            </w:pPr>
          </w:p>
        </w:tc>
        <w:tc>
          <w:tcPr>
            <w:tcW w:w="1520" w:type="dxa"/>
            <w:vAlign w:val="center"/>
          </w:tcPr>
          <w:p w14:paraId="5D0DEC5E">
            <w:pPr>
              <w:jc w:val="center"/>
              <w:rPr>
                <w:sz w:val="21"/>
                <w:szCs w:val="21"/>
              </w:rPr>
            </w:pPr>
            <w:r>
              <w:rPr>
                <w:sz w:val="21"/>
                <w:szCs w:val="21"/>
              </w:rPr>
              <w:t>评价标准</w:t>
            </w:r>
          </w:p>
        </w:tc>
        <w:tc>
          <w:tcPr>
            <w:tcW w:w="7286" w:type="dxa"/>
            <w:gridSpan w:val="9"/>
            <w:vAlign w:val="center"/>
          </w:tcPr>
          <w:p w14:paraId="51663019">
            <w:pPr>
              <w:rPr>
                <w:sz w:val="21"/>
                <w:szCs w:val="21"/>
              </w:rPr>
            </w:pPr>
            <w:r>
              <w:rPr>
                <w:sz w:val="21"/>
                <w:szCs w:val="21"/>
              </w:rPr>
              <w:t>河流、湖库、河口：</w:t>
            </w:r>
            <w:r>
              <w:rPr>
                <w:sz w:val="21"/>
                <w:szCs w:val="21"/>
              </w:rPr>
              <w:fldChar w:fldCharType="begin"/>
            </w:r>
            <w:r>
              <w:rPr>
                <w:sz w:val="21"/>
                <w:szCs w:val="21"/>
              </w:rPr>
              <w:instrText xml:space="preserve"> = 1 \* ROMAN \* MERGEFORMAT </w:instrText>
            </w:r>
            <w:r>
              <w:rPr>
                <w:sz w:val="21"/>
                <w:szCs w:val="21"/>
              </w:rPr>
              <w:fldChar w:fldCharType="separate"/>
            </w:r>
            <w:r>
              <w:rPr>
                <w:sz w:val="21"/>
                <w:szCs w:val="21"/>
              </w:rPr>
              <w:t>I</w:t>
            </w:r>
            <w:r>
              <w:rPr>
                <w:sz w:val="21"/>
                <w:szCs w:val="21"/>
              </w:rPr>
              <w:fldChar w:fldCharType="end"/>
            </w:r>
            <w:r>
              <w:rPr>
                <w:sz w:val="21"/>
                <w:szCs w:val="21"/>
              </w:rPr>
              <w:t xml:space="preserve">类 </w:t>
            </w:r>
            <w:r>
              <w:rPr>
                <w:sz w:val="21"/>
                <w:szCs w:val="21"/>
                <w:lang w:bidi="ar"/>
              </w:rPr>
              <w:t>□</w:t>
            </w:r>
            <w:r>
              <w:rPr>
                <w:sz w:val="21"/>
                <w:szCs w:val="21"/>
              </w:rPr>
              <w:t xml:space="preserve">； </w:t>
            </w:r>
            <w:r>
              <w:rPr>
                <w:sz w:val="21"/>
                <w:szCs w:val="21"/>
              </w:rPr>
              <w:fldChar w:fldCharType="begin"/>
            </w:r>
            <w:r>
              <w:rPr>
                <w:sz w:val="21"/>
                <w:szCs w:val="21"/>
              </w:rPr>
              <w:instrText xml:space="preserve"> = 2 \* ROMAN \* MERGEFORMAT </w:instrText>
            </w:r>
            <w:r>
              <w:rPr>
                <w:sz w:val="21"/>
                <w:szCs w:val="21"/>
              </w:rPr>
              <w:fldChar w:fldCharType="separate"/>
            </w:r>
            <w:r>
              <w:rPr>
                <w:sz w:val="21"/>
                <w:szCs w:val="21"/>
              </w:rPr>
              <w:t>II</w:t>
            </w:r>
            <w:r>
              <w:rPr>
                <w:sz w:val="21"/>
                <w:szCs w:val="21"/>
              </w:rPr>
              <w:fldChar w:fldCharType="end"/>
            </w:r>
            <w:r>
              <w:rPr>
                <w:sz w:val="21"/>
                <w:szCs w:val="21"/>
              </w:rPr>
              <w:t xml:space="preserve"> </w:t>
            </w:r>
            <w:r>
              <w:rPr>
                <w:sz w:val="21"/>
                <w:szCs w:val="21"/>
                <w:lang w:bidi="ar"/>
              </w:rPr>
              <w:t>□</w:t>
            </w:r>
            <w:r>
              <w:rPr>
                <w:sz w:val="21"/>
                <w:szCs w:val="21"/>
              </w:rPr>
              <w:t>；</w:t>
            </w:r>
            <w:r>
              <w:rPr>
                <w:sz w:val="21"/>
                <w:szCs w:val="21"/>
              </w:rPr>
              <w:fldChar w:fldCharType="begin"/>
            </w:r>
            <w:r>
              <w:rPr>
                <w:sz w:val="21"/>
                <w:szCs w:val="21"/>
              </w:rPr>
              <w:instrText xml:space="preserve"> = 3 \* ROMAN \* MERGEFORMAT </w:instrText>
            </w:r>
            <w:r>
              <w:rPr>
                <w:sz w:val="21"/>
                <w:szCs w:val="21"/>
              </w:rPr>
              <w:fldChar w:fldCharType="separate"/>
            </w:r>
            <w:r>
              <w:rPr>
                <w:sz w:val="21"/>
                <w:szCs w:val="21"/>
              </w:rPr>
              <w:t>III</w:t>
            </w:r>
            <w:r>
              <w:rPr>
                <w:sz w:val="21"/>
                <w:szCs w:val="21"/>
              </w:rPr>
              <w:fldChar w:fldCharType="end"/>
            </w:r>
            <w:r>
              <w:rPr>
                <w:sz w:val="21"/>
                <w:szCs w:val="21"/>
              </w:rPr>
              <w:t xml:space="preserve"> </w:t>
            </w:r>
            <w:r>
              <w:rPr>
                <w:rFonts w:hint="eastAsia"/>
                <w:sz w:val="21"/>
                <w:szCs w:val="21"/>
                <w:lang w:bidi="ar"/>
              </w:rPr>
              <w:t>☑</w:t>
            </w:r>
            <w:r>
              <w:rPr>
                <w:sz w:val="21"/>
                <w:szCs w:val="21"/>
              </w:rPr>
              <w:t>；</w:t>
            </w:r>
            <w:r>
              <w:rPr>
                <w:sz w:val="21"/>
                <w:szCs w:val="21"/>
              </w:rPr>
              <w:fldChar w:fldCharType="begin"/>
            </w:r>
            <w:r>
              <w:rPr>
                <w:sz w:val="21"/>
                <w:szCs w:val="21"/>
              </w:rPr>
              <w:instrText xml:space="preserve"> = 4 \* ROMAN \* MERGEFORMAT </w:instrText>
            </w:r>
            <w:r>
              <w:rPr>
                <w:sz w:val="21"/>
                <w:szCs w:val="21"/>
              </w:rPr>
              <w:fldChar w:fldCharType="separate"/>
            </w:r>
            <w:r>
              <w:rPr>
                <w:sz w:val="21"/>
                <w:szCs w:val="21"/>
              </w:rPr>
              <w:t>IV</w:t>
            </w:r>
            <w:r>
              <w:rPr>
                <w:sz w:val="21"/>
                <w:szCs w:val="21"/>
              </w:rPr>
              <w:fldChar w:fldCharType="end"/>
            </w:r>
            <w:r>
              <w:rPr>
                <w:sz w:val="21"/>
                <w:szCs w:val="21"/>
              </w:rPr>
              <w:t xml:space="preserve"> </w:t>
            </w:r>
            <w:r>
              <w:rPr>
                <w:rFonts w:hint="eastAsia"/>
                <w:sz w:val="21"/>
                <w:szCs w:val="21"/>
                <w:lang w:bidi="ar"/>
              </w:rPr>
              <w:t>□</w:t>
            </w:r>
            <w:r>
              <w:rPr>
                <w:sz w:val="21"/>
                <w:szCs w:val="21"/>
              </w:rPr>
              <w:t>；</w:t>
            </w:r>
            <w:r>
              <w:rPr>
                <w:sz w:val="21"/>
                <w:szCs w:val="21"/>
              </w:rPr>
              <w:fldChar w:fldCharType="begin"/>
            </w:r>
            <w:r>
              <w:rPr>
                <w:sz w:val="21"/>
                <w:szCs w:val="21"/>
              </w:rPr>
              <w:instrText xml:space="preserve"> = 5 \* ROMAN \* MERGEFORMAT </w:instrText>
            </w:r>
            <w:r>
              <w:rPr>
                <w:sz w:val="21"/>
                <w:szCs w:val="21"/>
              </w:rPr>
              <w:fldChar w:fldCharType="separate"/>
            </w:r>
            <w:r>
              <w:rPr>
                <w:sz w:val="21"/>
                <w:szCs w:val="21"/>
              </w:rPr>
              <w:t>V</w:t>
            </w:r>
            <w:r>
              <w:rPr>
                <w:sz w:val="21"/>
                <w:szCs w:val="21"/>
              </w:rPr>
              <w:fldChar w:fldCharType="end"/>
            </w:r>
            <w:r>
              <w:rPr>
                <w:sz w:val="21"/>
                <w:szCs w:val="21"/>
              </w:rPr>
              <w:t xml:space="preserve"> </w:t>
            </w:r>
            <w:r>
              <w:rPr>
                <w:sz w:val="21"/>
                <w:szCs w:val="21"/>
                <w:lang w:bidi="ar"/>
              </w:rPr>
              <w:t>□</w:t>
            </w:r>
            <w:r>
              <w:rPr>
                <w:sz w:val="21"/>
                <w:szCs w:val="21"/>
              </w:rPr>
              <w:t>；</w:t>
            </w:r>
          </w:p>
          <w:p w14:paraId="19172E7A">
            <w:pPr>
              <w:pStyle w:val="42"/>
              <w:tabs>
                <w:tab w:val="right" w:leader="dot" w:pos="8303"/>
              </w:tabs>
              <w:ind w:left="0"/>
              <w:rPr>
                <w:sz w:val="21"/>
                <w:szCs w:val="21"/>
              </w:rPr>
            </w:pPr>
            <w:r>
              <w:rPr>
                <w:sz w:val="21"/>
                <w:szCs w:val="21"/>
              </w:rPr>
              <w:t xml:space="preserve">近岸海域：第一类 </w:t>
            </w:r>
            <w:r>
              <w:rPr>
                <w:sz w:val="21"/>
                <w:szCs w:val="21"/>
                <w:lang w:bidi="ar"/>
              </w:rPr>
              <w:t>□</w:t>
            </w:r>
            <w:r>
              <w:rPr>
                <w:sz w:val="21"/>
                <w:szCs w:val="21"/>
              </w:rPr>
              <w:t xml:space="preserve">；第二类 </w:t>
            </w:r>
            <w:r>
              <w:rPr>
                <w:sz w:val="21"/>
                <w:szCs w:val="21"/>
                <w:lang w:bidi="ar"/>
              </w:rPr>
              <w:t>□</w:t>
            </w:r>
            <w:r>
              <w:rPr>
                <w:sz w:val="21"/>
                <w:szCs w:val="21"/>
              </w:rPr>
              <w:t xml:space="preserve">；第三类 </w:t>
            </w:r>
            <w:r>
              <w:rPr>
                <w:sz w:val="21"/>
                <w:szCs w:val="21"/>
                <w:lang w:bidi="ar"/>
              </w:rPr>
              <w:t>□</w:t>
            </w:r>
            <w:r>
              <w:rPr>
                <w:sz w:val="21"/>
                <w:szCs w:val="21"/>
              </w:rPr>
              <w:t xml:space="preserve">；第四类 </w:t>
            </w:r>
            <w:r>
              <w:rPr>
                <w:sz w:val="21"/>
                <w:szCs w:val="21"/>
                <w:lang w:bidi="ar"/>
              </w:rPr>
              <w:t>□</w:t>
            </w:r>
          </w:p>
          <w:p w14:paraId="082AEE07">
            <w:pPr>
              <w:rPr>
                <w:sz w:val="21"/>
                <w:szCs w:val="21"/>
              </w:rPr>
            </w:pPr>
            <w:r>
              <w:rPr>
                <w:sz w:val="21"/>
                <w:szCs w:val="21"/>
              </w:rPr>
              <w:t>规划年评价标准（）</w:t>
            </w:r>
          </w:p>
        </w:tc>
      </w:tr>
      <w:tr w14:paraId="41A4E0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59" w:hRule="atLeast"/>
          <w:jc w:val="center"/>
        </w:trPr>
        <w:tc>
          <w:tcPr>
            <w:tcW w:w="424" w:type="dxa"/>
            <w:vMerge w:val="continue"/>
            <w:vAlign w:val="center"/>
          </w:tcPr>
          <w:p w14:paraId="4C6BE2EA">
            <w:pPr>
              <w:jc w:val="left"/>
              <w:rPr>
                <w:sz w:val="21"/>
                <w:szCs w:val="21"/>
              </w:rPr>
            </w:pPr>
          </w:p>
        </w:tc>
        <w:tc>
          <w:tcPr>
            <w:tcW w:w="1520" w:type="dxa"/>
            <w:vAlign w:val="center"/>
          </w:tcPr>
          <w:p w14:paraId="1A86F218">
            <w:pPr>
              <w:jc w:val="center"/>
              <w:rPr>
                <w:sz w:val="21"/>
                <w:szCs w:val="21"/>
              </w:rPr>
            </w:pPr>
            <w:r>
              <w:rPr>
                <w:sz w:val="21"/>
                <w:szCs w:val="21"/>
              </w:rPr>
              <w:t>评价时期</w:t>
            </w:r>
          </w:p>
        </w:tc>
        <w:tc>
          <w:tcPr>
            <w:tcW w:w="7286" w:type="dxa"/>
            <w:gridSpan w:val="9"/>
            <w:vAlign w:val="center"/>
          </w:tcPr>
          <w:p w14:paraId="0DEB1443">
            <w:pPr>
              <w:rPr>
                <w:sz w:val="21"/>
                <w:szCs w:val="21"/>
              </w:rPr>
            </w:pPr>
            <w:r>
              <w:rPr>
                <w:sz w:val="21"/>
                <w:szCs w:val="21"/>
              </w:rPr>
              <w:t xml:space="preserve">丰水期 </w:t>
            </w:r>
            <w:r>
              <w:rPr>
                <w:sz w:val="21"/>
                <w:szCs w:val="21"/>
                <w:lang w:bidi="ar"/>
              </w:rPr>
              <w:t>□</w:t>
            </w:r>
            <w:r>
              <w:rPr>
                <w:sz w:val="21"/>
                <w:szCs w:val="21"/>
              </w:rPr>
              <w:t xml:space="preserve">；平水期 </w:t>
            </w:r>
            <w:r>
              <w:rPr>
                <w:sz w:val="21"/>
                <w:szCs w:val="21"/>
                <w:lang w:bidi="ar"/>
              </w:rPr>
              <w:t>☑</w:t>
            </w:r>
            <w:r>
              <w:rPr>
                <w:sz w:val="21"/>
                <w:szCs w:val="21"/>
              </w:rPr>
              <w:t xml:space="preserve">；枯水期 </w:t>
            </w:r>
            <w:r>
              <w:rPr>
                <w:sz w:val="21"/>
                <w:szCs w:val="21"/>
                <w:lang w:bidi="ar"/>
              </w:rPr>
              <w:t>□</w:t>
            </w:r>
            <w:r>
              <w:rPr>
                <w:sz w:val="21"/>
                <w:szCs w:val="21"/>
              </w:rPr>
              <w:t xml:space="preserve">；冰封期 </w:t>
            </w:r>
            <w:r>
              <w:rPr>
                <w:sz w:val="21"/>
                <w:szCs w:val="21"/>
                <w:lang w:bidi="ar"/>
              </w:rPr>
              <w:t>□</w:t>
            </w:r>
          </w:p>
          <w:p w14:paraId="0AA3295C">
            <w:pPr>
              <w:pStyle w:val="42"/>
              <w:tabs>
                <w:tab w:val="right" w:leader="dot" w:pos="8303"/>
              </w:tabs>
              <w:ind w:left="0"/>
              <w:rPr>
                <w:sz w:val="21"/>
                <w:szCs w:val="21"/>
              </w:rPr>
            </w:pPr>
            <w:r>
              <w:rPr>
                <w:sz w:val="21"/>
                <w:szCs w:val="21"/>
              </w:rPr>
              <w:t xml:space="preserve">春季 </w:t>
            </w:r>
            <w:r>
              <w:rPr>
                <w:sz w:val="21"/>
                <w:szCs w:val="21"/>
                <w:lang w:bidi="ar"/>
              </w:rPr>
              <w:t>☑</w:t>
            </w:r>
            <w:r>
              <w:rPr>
                <w:sz w:val="21"/>
                <w:szCs w:val="21"/>
              </w:rPr>
              <w:t xml:space="preserve">；夏季 </w:t>
            </w:r>
            <w:r>
              <w:rPr>
                <w:sz w:val="21"/>
                <w:szCs w:val="21"/>
                <w:lang w:bidi="ar"/>
              </w:rPr>
              <w:t>□</w:t>
            </w:r>
            <w:r>
              <w:rPr>
                <w:sz w:val="21"/>
                <w:szCs w:val="21"/>
              </w:rPr>
              <w:t xml:space="preserve">；秋季 </w:t>
            </w:r>
            <w:r>
              <w:rPr>
                <w:sz w:val="21"/>
                <w:szCs w:val="21"/>
                <w:lang w:bidi="ar"/>
              </w:rPr>
              <w:t>□</w:t>
            </w:r>
            <w:r>
              <w:rPr>
                <w:sz w:val="21"/>
                <w:szCs w:val="21"/>
              </w:rPr>
              <w:t xml:space="preserve">；冬季 </w:t>
            </w:r>
            <w:r>
              <w:rPr>
                <w:sz w:val="21"/>
                <w:szCs w:val="21"/>
                <w:lang w:bidi="ar"/>
              </w:rPr>
              <w:t>□</w:t>
            </w:r>
          </w:p>
        </w:tc>
      </w:tr>
      <w:tr w14:paraId="18AF26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continue"/>
            <w:vAlign w:val="center"/>
          </w:tcPr>
          <w:p w14:paraId="1196E4CD">
            <w:pPr>
              <w:jc w:val="left"/>
              <w:rPr>
                <w:sz w:val="21"/>
                <w:szCs w:val="21"/>
              </w:rPr>
            </w:pPr>
          </w:p>
        </w:tc>
        <w:tc>
          <w:tcPr>
            <w:tcW w:w="1520" w:type="dxa"/>
            <w:vAlign w:val="center"/>
          </w:tcPr>
          <w:p w14:paraId="11842A66">
            <w:pPr>
              <w:jc w:val="center"/>
              <w:rPr>
                <w:sz w:val="21"/>
                <w:szCs w:val="21"/>
              </w:rPr>
            </w:pPr>
            <w:r>
              <w:rPr>
                <w:sz w:val="21"/>
                <w:szCs w:val="21"/>
              </w:rPr>
              <w:t>评价结论</w:t>
            </w:r>
          </w:p>
        </w:tc>
        <w:tc>
          <w:tcPr>
            <w:tcW w:w="5973" w:type="dxa"/>
            <w:gridSpan w:val="8"/>
            <w:vAlign w:val="center"/>
          </w:tcPr>
          <w:p w14:paraId="28BF2969">
            <w:pPr>
              <w:rPr>
                <w:sz w:val="21"/>
                <w:szCs w:val="21"/>
              </w:rPr>
            </w:pPr>
            <w:r>
              <w:rPr>
                <w:sz w:val="21"/>
                <w:szCs w:val="21"/>
              </w:rPr>
              <w:t xml:space="preserve">水环境功能区活水功能区、近岸海域环境功能区水质达标状况 </w:t>
            </w:r>
            <w:r>
              <w:rPr>
                <w:sz w:val="21"/>
                <w:szCs w:val="21"/>
                <w:lang w:bidi="ar"/>
              </w:rPr>
              <w:t>□</w:t>
            </w:r>
            <w:r>
              <w:rPr>
                <w:sz w:val="21"/>
                <w:szCs w:val="21"/>
              </w:rPr>
              <w:t xml:space="preserve">：达标 </w:t>
            </w:r>
            <w:r>
              <w:rPr>
                <w:sz w:val="21"/>
                <w:szCs w:val="21"/>
                <w:lang w:bidi="ar"/>
              </w:rPr>
              <w:t>☑</w:t>
            </w:r>
            <w:r>
              <w:rPr>
                <w:sz w:val="21"/>
                <w:szCs w:val="21"/>
              </w:rPr>
              <w:t xml:space="preserve">；不达标 </w:t>
            </w:r>
            <w:r>
              <w:rPr>
                <w:sz w:val="21"/>
                <w:szCs w:val="21"/>
                <w:lang w:bidi="ar"/>
              </w:rPr>
              <w:t>□</w:t>
            </w:r>
          </w:p>
          <w:p w14:paraId="02C5AA64">
            <w:pPr>
              <w:rPr>
                <w:sz w:val="21"/>
                <w:szCs w:val="21"/>
              </w:rPr>
            </w:pPr>
            <w:r>
              <w:rPr>
                <w:sz w:val="21"/>
                <w:szCs w:val="21"/>
              </w:rPr>
              <w:t xml:space="preserve">水环境控制单元活断面水质达标状况 </w:t>
            </w:r>
            <w:r>
              <w:rPr>
                <w:sz w:val="21"/>
                <w:szCs w:val="21"/>
                <w:lang w:bidi="ar"/>
              </w:rPr>
              <w:t>□</w:t>
            </w:r>
            <w:r>
              <w:rPr>
                <w:sz w:val="21"/>
                <w:szCs w:val="21"/>
              </w:rPr>
              <w:t xml:space="preserve">：达标 </w:t>
            </w:r>
            <w:r>
              <w:rPr>
                <w:sz w:val="21"/>
                <w:szCs w:val="21"/>
                <w:lang w:bidi="ar"/>
              </w:rPr>
              <w:t>□</w:t>
            </w:r>
            <w:r>
              <w:rPr>
                <w:sz w:val="21"/>
                <w:szCs w:val="21"/>
              </w:rPr>
              <w:t xml:space="preserve">；不达标 </w:t>
            </w:r>
            <w:r>
              <w:rPr>
                <w:sz w:val="21"/>
                <w:szCs w:val="21"/>
                <w:lang w:bidi="ar"/>
              </w:rPr>
              <w:t>□</w:t>
            </w:r>
          </w:p>
          <w:p w14:paraId="134934E8">
            <w:pPr>
              <w:pStyle w:val="42"/>
              <w:tabs>
                <w:tab w:val="right" w:leader="dot" w:pos="8303"/>
              </w:tabs>
              <w:ind w:left="0"/>
              <w:rPr>
                <w:sz w:val="21"/>
                <w:szCs w:val="21"/>
              </w:rPr>
            </w:pPr>
            <w:r>
              <w:rPr>
                <w:sz w:val="21"/>
                <w:szCs w:val="21"/>
              </w:rPr>
              <w:t>水环境保护目标质量状况</w:t>
            </w:r>
            <w:r>
              <w:rPr>
                <w:sz w:val="21"/>
                <w:szCs w:val="21"/>
                <w:lang w:bidi="ar"/>
              </w:rPr>
              <w:t>□</w:t>
            </w:r>
            <w:r>
              <w:rPr>
                <w:sz w:val="21"/>
                <w:szCs w:val="21"/>
              </w:rPr>
              <w:t xml:space="preserve">：达标 </w:t>
            </w:r>
            <w:r>
              <w:rPr>
                <w:sz w:val="21"/>
                <w:szCs w:val="21"/>
                <w:lang w:bidi="ar"/>
              </w:rPr>
              <w:t>□</w:t>
            </w:r>
            <w:r>
              <w:rPr>
                <w:sz w:val="21"/>
                <w:szCs w:val="21"/>
              </w:rPr>
              <w:t xml:space="preserve">；不达标 </w:t>
            </w:r>
            <w:r>
              <w:rPr>
                <w:sz w:val="21"/>
                <w:szCs w:val="21"/>
                <w:lang w:bidi="ar"/>
              </w:rPr>
              <w:t>□</w:t>
            </w:r>
          </w:p>
          <w:p w14:paraId="608DFD7D">
            <w:pPr>
              <w:rPr>
                <w:sz w:val="21"/>
                <w:szCs w:val="21"/>
              </w:rPr>
            </w:pPr>
            <w:r>
              <w:rPr>
                <w:sz w:val="21"/>
                <w:szCs w:val="21"/>
              </w:rPr>
              <w:t>对照断面、控制断面等代表性断面的水质状况</w:t>
            </w:r>
            <w:r>
              <w:rPr>
                <w:sz w:val="21"/>
                <w:szCs w:val="21"/>
                <w:lang w:bidi="ar"/>
              </w:rPr>
              <w:t>□</w:t>
            </w:r>
            <w:r>
              <w:rPr>
                <w:sz w:val="21"/>
                <w:szCs w:val="21"/>
              </w:rPr>
              <w:t xml:space="preserve">：达标 </w:t>
            </w:r>
            <w:r>
              <w:rPr>
                <w:sz w:val="21"/>
                <w:szCs w:val="21"/>
                <w:lang w:bidi="ar"/>
              </w:rPr>
              <w:t>□</w:t>
            </w:r>
            <w:r>
              <w:rPr>
                <w:sz w:val="21"/>
                <w:szCs w:val="21"/>
              </w:rPr>
              <w:t xml:space="preserve">；不达标 </w:t>
            </w:r>
            <w:r>
              <w:rPr>
                <w:sz w:val="21"/>
                <w:szCs w:val="21"/>
                <w:lang w:bidi="ar"/>
              </w:rPr>
              <w:t>□</w:t>
            </w:r>
          </w:p>
          <w:p w14:paraId="48A44FF3">
            <w:pPr>
              <w:pStyle w:val="42"/>
              <w:tabs>
                <w:tab w:val="right" w:leader="dot" w:pos="8303"/>
              </w:tabs>
              <w:ind w:left="0"/>
              <w:rPr>
                <w:sz w:val="21"/>
                <w:szCs w:val="21"/>
              </w:rPr>
            </w:pPr>
            <w:r>
              <w:rPr>
                <w:sz w:val="21"/>
                <w:szCs w:val="21"/>
              </w:rPr>
              <w:t xml:space="preserve">底泥污染评价 </w:t>
            </w:r>
            <w:r>
              <w:rPr>
                <w:sz w:val="21"/>
                <w:szCs w:val="21"/>
                <w:lang w:bidi="ar"/>
              </w:rPr>
              <w:t>□</w:t>
            </w:r>
          </w:p>
          <w:p w14:paraId="16552FF5">
            <w:pPr>
              <w:rPr>
                <w:sz w:val="21"/>
                <w:szCs w:val="21"/>
              </w:rPr>
            </w:pPr>
            <w:r>
              <w:rPr>
                <w:sz w:val="21"/>
                <w:szCs w:val="21"/>
              </w:rPr>
              <w:t xml:space="preserve">水资源与开发利用程度及其水文情势评价 </w:t>
            </w:r>
            <w:r>
              <w:rPr>
                <w:sz w:val="21"/>
                <w:szCs w:val="21"/>
                <w:lang w:bidi="ar"/>
              </w:rPr>
              <w:t>□</w:t>
            </w:r>
          </w:p>
          <w:p w14:paraId="3F6E7992">
            <w:pPr>
              <w:pStyle w:val="42"/>
              <w:tabs>
                <w:tab w:val="right" w:leader="dot" w:pos="8303"/>
              </w:tabs>
              <w:ind w:left="0"/>
              <w:rPr>
                <w:sz w:val="21"/>
                <w:szCs w:val="21"/>
              </w:rPr>
            </w:pPr>
            <w:r>
              <w:rPr>
                <w:sz w:val="21"/>
                <w:szCs w:val="21"/>
              </w:rPr>
              <w:t xml:space="preserve">水环境质量回顾评价 </w:t>
            </w:r>
            <w:r>
              <w:rPr>
                <w:sz w:val="21"/>
                <w:szCs w:val="21"/>
                <w:lang w:bidi="ar"/>
              </w:rPr>
              <w:t>□</w:t>
            </w:r>
          </w:p>
          <w:p w14:paraId="4505336A">
            <w:pPr>
              <w:rPr>
                <w:sz w:val="21"/>
                <w:szCs w:val="21"/>
              </w:rPr>
            </w:pPr>
            <w:r>
              <w:rPr>
                <w:sz w:val="21"/>
                <w:szCs w:val="21"/>
              </w:rPr>
              <w:t xml:space="preserve">流域（区域）水资源（包括水能资源）与开发利用总体状况、生态流量管理要求与现状满足程度、建设项目占用水域空间的水流状况与河湖演变状况 </w:t>
            </w:r>
            <w:r>
              <w:rPr>
                <w:sz w:val="21"/>
                <w:szCs w:val="21"/>
                <w:lang w:bidi="ar"/>
              </w:rPr>
              <w:t>□</w:t>
            </w:r>
          </w:p>
        </w:tc>
        <w:tc>
          <w:tcPr>
            <w:tcW w:w="1313" w:type="dxa"/>
            <w:vAlign w:val="center"/>
          </w:tcPr>
          <w:p w14:paraId="787C2252">
            <w:pPr>
              <w:pStyle w:val="42"/>
              <w:tabs>
                <w:tab w:val="right" w:leader="dot" w:pos="8303"/>
              </w:tabs>
              <w:ind w:left="0"/>
              <w:rPr>
                <w:sz w:val="21"/>
                <w:szCs w:val="21"/>
              </w:rPr>
            </w:pPr>
            <w:r>
              <w:rPr>
                <w:sz w:val="21"/>
                <w:szCs w:val="21"/>
              </w:rPr>
              <w:t xml:space="preserve">达标区 </w:t>
            </w:r>
            <w:r>
              <w:rPr>
                <w:sz w:val="21"/>
                <w:szCs w:val="21"/>
                <w:lang w:bidi="ar"/>
              </w:rPr>
              <w:t>☑</w:t>
            </w:r>
          </w:p>
          <w:p w14:paraId="5C565435">
            <w:pPr>
              <w:pStyle w:val="42"/>
              <w:tabs>
                <w:tab w:val="right" w:leader="dot" w:pos="8303"/>
              </w:tabs>
              <w:ind w:left="0"/>
              <w:rPr>
                <w:sz w:val="21"/>
                <w:szCs w:val="21"/>
              </w:rPr>
            </w:pPr>
            <w:r>
              <w:rPr>
                <w:sz w:val="21"/>
                <w:szCs w:val="21"/>
              </w:rPr>
              <w:t xml:space="preserve">不达标区 </w:t>
            </w:r>
            <w:r>
              <w:rPr>
                <w:sz w:val="21"/>
                <w:szCs w:val="21"/>
                <w:lang w:bidi="ar"/>
              </w:rPr>
              <w:t>□</w:t>
            </w:r>
          </w:p>
          <w:p w14:paraId="32AA675E">
            <w:pPr>
              <w:jc w:val="center"/>
              <w:rPr>
                <w:sz w:val="21"/>
                <w:szCs w:val="21"/>
              </w:rPr>
            </w:pPr>
            <w:r>
              <w:rPr>
                <w:sz w:val="21"/>
                <w:szCs w:val="21"/>
              </w:rPr>
              <w:t></w:t>
            </w:r>
          </w:p>
        </w:tc>
      </w:tr>
      <w:tr w14:paraId="2195FC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24" w:type="dxa"/>
            <w:vMerge w:val="restart"/>
            <w:vAlign w:val="center"/>
          </w:tcPr>
          <w:p w14:paraId="4700B793">
            <w:pPr>
              <w:jc w:val="center"/>
              <w:rPr>
                <w:sz w:val="21"/>
                <w:szCs w:val="21"/>
              </w:rPr>
            </w:pPr>
            <w:r>
              <w:rPr>
                <w:sz w:val="21"/>
                <w:szCs w:val="21"/>
              </w:rPr>
              <w:t>影响预测</w:t>
            </w:r>
          </w:p>
        </w:tc>
        <w:tc>
          <w:tcPr>
            <w:tcW w:w="1520" w:type="dxa"/>
            <w:vAlign w:val="center"/>
          </w:tcPr>
          <w:p w14:paraId="1A503A59">
            <w:pPr>
              <w:jc w:val="center"/>
              <w:rPr>
                <w:sz w:val="21"/>
                <w:szCs w:val="21"/>
              </w:rPr>
            </w:pPr>
            <w:r>
              <w:rPr>
                <w:sz w:val="21"/>
                <w:szCs w:val="21"/>
              </w:rPr>
              <w:t>预测范围</w:t>
            </w:r>
          </w:p>
        </w:tc>
        <w:tc>
          <w:tcPr>
            <w:tcW w:w="7286" w:type="dxa"/>
            <w:gridSpan w:val="9"/>
            <w:vAlign w:val="center"/>
          </w:tcPr>
          <w:p w14:paraId="03E7DBD9">
            <w:pPr>
              <w:rPr>
                <w:sz w:val="21"/>
                <w:szCs w:val="21"/>
              </w:rPr>
            </w:pPr>
            <w:r>
              <w:rPr>
                <w:sz w:val="21"/>
                <w:szCs w:val="21"/>
              </w:rPr>
              <w:t>河流：长度（）km；湖库、河口及近岸海域：面积（）km</w:t>
            </w:r>
            <w:r>
              <w:rPr>
                <w:sz w:val="21"/>
                <w:szCs w:val="21"/>
                <w:vertAlign w:val="superscript"/>
              </w:rPr>
              <w:t>2</w:t>
            </w:r>
          </w:p>
        </w:tc>
      </w:tr>
      <w:tr w14:paraId="40362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424" w:type="dxa"/>
            <w:vMerge w:val="continue"/>
            <w:vAlign w:val="center"/>
          </w:tcPr>
          <w:p w14:paraId="0DF6432A">
            <w:pPr>
              <w:jc w:val="center"/>
              <w:rPr>
                <w:sz w:val="21"/>
                <w:szCs w:val="21"/>
              </w:rPr>
            </w:pPr>
          </w:p>
        </w:tc>
        <w:tc>
          <w:tcPr>
            <w:tcW w:w="1520" w:type="dxa"/>
            <w:vAlign w:val="center"/>
          </w:tcPr>
          <w:p w14:paraId="6DAD4FB9">
            <w:pPr>
              <w:jc w:val="center"/>
              <w:rPr>
                <w:sz w:val="21"/>
                <w:szCs w:val="21"/>
              </w:rPr>
            </w:pPr>
            <w:r>
              <w:rPr>
                <w:sz w:val="21"/>
                <w:szCs w:val="21"/>
              </w:rPr>
              <w:t>预测因子</w:t>
            </w:r>
          </w:p>
        </w:tc>
        <w:tc>
          <w:tcPr>
            <w:tcW w:w="7286" w:type="dxa"/>
            <w:gridSpan w:val="9"/>
            <w:vAlign w:val="center"/>
          </w:tcPr>
          <w:p w14:paraId="79DADBAC">
            <w:pPr>
              <w:rPr>
                <w:sz w:val="21"/>
                <w:szCs w:val="21"/>
              </w:rPr>
            </w:pPr>
            <w:r>
              <w:rPr>
                <w:sz w:val="21"/>
                <w:szCs w:val="21"/>
              </w:rPr>
              <w:t>（）</w:t>
            </w:r>
          </w:p>
        </w:tc>
      </w:tr>
      <w:tr w14:paraId="000B0C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424" w:type="dxa"/>
            <w:vMerge w:val="continue"/>
            <w:vAlign w:val="center"/>
          </w:tcPr>
          <w:p w14:paraId="14909F34">
            <w:pPr>
              <w:jc w:val="center"/>
              <w:rPr>
                <w:sz w:val="21"/>
                <w:szCs w:val="21"/>
              </w:rPr>
            </w:pPr>
          </w:p>
        </w:tc>
        <w:tc>
          <w:tcPr>
            <w:tcW w:w="1520" w:type="dxa"/>
            <w:vAlign w:val="center"/>
          </w:tcPr>
          <w:p w14:paraId="18B985D4">
            <w:pPr>
              <w:jc w:val="center"/>
              <w:rPr>
                <w:sz w:val="21"/>
                <w:szCs w:val="21"/>
              </w:rPr>
            </w:pPr>
            <w:r>
              <w:rPr>
                <w:sz w:val="21"/>
                <w:szCs w:val="21"/>
              </w:rPr>
              <w:t>预测时期</w:t>
            </w:r>
          </w:p>
        </w:tc>
        <w:tc>
          <w:tcPr>
            <w:tcW w:w="7286" w:type="dxa"/>
            <w:gridSpan w:val="9"/>
            <w:vAlign w:val="center"/>
          </w:tcPr>
          <w:p w14:paraId="43D06322">
            <w:pPr>
              <w:rPr>
                <w:sz w:val="21"/>
                <w:szCs w:val="21"/>
              </w:rPr>
            </w:pPr>
            <w:r>
              <w:rPr>
                <w:sz w:val="21"/>
                <w:szCs w:val="21"/>
              </w:rPr>
              <w:t xml:space="preserve">丰水期 </w:t>
            </w:r>
            <w:r>
              <w:rPr>
                <w:sz w:val="21"/>
                <w:szCs w:val="21"/>
                <w:lang w:bidi="ar"/>
              </w:rPr>
              <w:t>□</w:t>
            </w:r>
            <w:r>
              <w:rPr>
                <w:sz w:val="21"/>
                <w:szCs w:val="21"/>
              </w:rPr>
              <w:t xml:space="preserve">；平水期 </w:t>
            </w:r>
            <w:r>
              <w:rPr>
                <w:sz w:val="21"/>
                <w:szCs w:val="21"/>
                <w:lang w:bidi="ar"/>
              </w:rPr>
              <w:t>□</w:t>
            </w:r>
            <w:r>
              <w:rPr>
                <w:sz w:val="21"/>
                <w:szCs w:val="21"/>
              </w:rPr>
              <w:t xml:space="preserve">；枯水期 </w:t>
            </w:r>
            <w:r>
              <w:rPr>
                <w:sz w:val="21"/>
                <w:szCs w:val="21"/>
                <w:lang w:bidi="ar"/>
              </w:rPr>
              <w:t>□</w:t>
            </w:r>
            <w:r>
              <w:rPr>
                <w:sz w:val="21"/>
                <w:szCs w:val="21"/>
              </w:rPr>
              <w:t xml:space="preserve">；冰封期 </w:t>
            </w:r>
            <w:r>
              <w:rPr>
                <w:sz w:val="21"/>
                <w:szCs w:val="21"/>
                <w:lang w:bidi="ar"/>
              </w:rPr>
              <w:t>□</w:t>
            </w:r>
          </w:p>
          <w:p w14:paraId="3719A472">
            <w:pPr>
              <w:tabs>
                <w:tab w:val="center" w:pos="3794"/>
              </w:tabs>
              <w:rPr>
                <w:sz w:val="21"/>
                <w:szCs w:val="21"/>
              </w:rPr>
            </w:pPr>
            <w:r>
              <w:rPr>
                <w:sz w:val="21"/>
                <w:szCs w:val="21"/>
              </w:rPr>
              <w:t xml:space="preserve">春季 </w:t>
            </w:r>
            <w:r>
              <w:rPr>
                <w:sz w:val="21"/>
                <w:szCs w:val="21"/>
                <w:lang w:bidi="ar"/>
              </w:rPr>
              <w:t>□</w:t>
            </w:r>
            <w:r>
              <w:rPr>
                <w:sz w:val="21"/>
                <w:szCs w:val="21"/>
              </w:rPr>
              <w:t xml:space="preserve">；夏季 </w:t>
            </w:r>
            <w:r>
              <w:rPr>
                <w:sz w:val="21"/>
                <w:szCs w:val="21"/>
                <w:lang w:bidi="ar"/>
              </w:rPr>
              <w:t>□</w:t>
            </w:r>
            <w:r>
              <w:rPr>
                <w:sz w:val="21"/>
                <w:szCs w:val="21"/>
              </w:rPr>
              <w:t xml:space="preserve">；秋季 </w:t>
            </w:r>
            <w:r>
              <w:rPr>
                <w:sz w:val="21"/>
                <w:szCs w:val="21"/>
                <w:lang w:bidi="ar"/>
              </w:rPr>
              <w:t>□</w:t>
            </w:r>
            <w:r>
              <w:rPr>
                <w:sz w:val="21"/>
                <w:szCs w:val="21"/>
              </w:rPr>
              <w:t xml:space="preserve">；冬季 </w:t>
            </w:r>
            <w:r>
              <w:rPr>
                <w:sz w:val="21"/>
                <w:szCs w:val="21"/>
                <w:lang w:bidi="ar"/>
              </w:rPr>
              <w:t>□</w:t>
            </w:r>
            <w:r>
              <w:rPr>
                <w:sz w:val="21"/>
                <w:szCs w:val="21"/>
              </w:rPr>
              <w:tab/>
            </w:r>
          </w:p>
          <w:p w14:paraId="2D413257">
            <w:pPr>
              <w:pStyle w:val="42"/>
              <w:tabs>
                <w:tab w:val="right" w:leader="dot" w:pos="8303"/>
              </w:tabs>
              <w:ind w:left="0"/>
              <w:rPr>
                <w:sz w:val="21"/>
                <w:szCs w:val="21"/>
              </w:rPr>
            </w:pPr>
            <w:r>
              <w:rPr>
                <w:sz w:val="21"/>
                <w:szCs w:val="21"/>
              </w:rPr>
              <w:t>设计水文条件</w:t>
            </w:r>
          </w:p>
        </w:tc>
      </w:tr>
      <w:tr w14:paraId="67D13A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424" w:type="dxa"/>
            <w:vMerge w:val="continue"/>
            <w:vAlign w:val="center"/>
          </w:tcPr>
          <w:p w14:paraId="6E4E909D">
            <w:pPr>
              <w:jc w:val="center"/>
              <w:rPr>
                <w:sz w:val="21"/>
                <w:szCs w:val="21"/>
              </w:rPr>
            </w:pPr>
          </w:p>
        </w:tc>
        <w:tc>
          <w:tcPr>
            <w:tcW w:w="1520" w:type="dxa"/>
            <w:vAlign w:val="center"/>
          </w:tcPr>
          <w:p w14:paraId="6C51ED63">
            <w:pPr>
              <w:jc w:val="center"/>
              <w:rPr>
                <w:sz w:val="21"/>
                <w:szCs w:val="21"/>
              </w:rPr>
            </w:pPr>
            <w:r>
              <w:rPr>
                <w:sz w:val="21"/>
                <w:szCs w:val="21"/>
              </w:rPr>
              <w:t>预测情景</w:t>
            </w:r>
          </w:p>
        </w:tc>
        <w:tc>
          <w:tcPr>
            <w:tcW w:w="7286" w:type="dxa"/>
            <w:gridSpan w:val="9"/>
            <w:vAlign w:val="center"/>
          </w:tcPr>
          <w:p w14:paraId="00CC30D8">
            <w:pPr>
              <w:rPr>
                <w:sz w:val="21"/>
                <w:szCs w:val="21"/>
              </w:rPr>
            </w:pPr>
            <w:r>
              <w:rPr>
                <w:sz w:val="21"/>
                <w:szCs w:val="21"/>
              </w:rPr>
              <w:t xml:space="preserve">建设期 </w:t>
            </w:r>
            <w:r>
              <w:rPr>
                <w:sz w:val="21"/>
                <w:szCs w:val="21"/>
                <w:lang w:bidi="ar"/>
              </w:rPr>
              <w:t>□</w:t>
            </w:r>
            <w:r>
              <w:rPr>
                <w:sz w:val="21"/>
                <w:szCs w:val="21"/>
              </w:rPr>
              <w:t xml:space="preserve">；生产运行期 </w:t>
            </w:r>
            <w:r>
              <w:rPr>
                <w:sz w:val="21"/>
                <w:szCs w:val="21"/>
                <w:lang w:bidi="ar"/>
              </w:rPr>
              <w:t>□</w:t>
            </w:r>
            <w:r>
              <w:rPr>
                <w:sz w:val="21"/>
                <w:szCs w:val="21"/>
              </w:rPr>
              <w:t xml:space="preserve">；服务期满后 </w:t>
            </w:r>
            <w:r>
              <w:rPr>
                <w:sz w:val="21"/>
                <w:szCs w:val="21"/>
                <w:lang w:bidi="ar"/>
              </w:rPr>
              <w:t>□</w:t>
            </w:r>
          </w:p>
          <w:p w14:paraId="4A6BBA9F">
            <w:pPr>
              <w:pStyle w:val="42"/>
              <w:tabs>
                <w:tab w:val="right" w:leader="dot" w:pos="8303"/>
              </w:tabs>
              <w:ind w:left="0"/>
              <w:rPr>
                <w:sz w:val="21"/>
                <w:szCs w:val="21"/>
              </w:rPr>
            </w:pPr>
            <w:r>
              <w:rPr>
                <w:sz w:val="21"/>
                <w:szCs w:val="21"/>
              </w:rPr>
              <w:t xml:space="preserve">正常工况 </w:t>
            </w:r>
            <w:r>
              <w:rPr>
                <w:sz w:val="21"/>
                <w:szCs w:val="21"/>
                <w:lang w:bidi="ar"/>
              </w:rPr>
              <w:t>□</w:t>
            </w:r>
            <w:r>
              <w:rPr>
                <w:sz w:val="21"/>
                <w:szCs w:val="21"/>
              </w:rPr>
              <w:t xml:space="preserve">；非正常工况 </w:t>
            </w:r>
            <w:r>
              <w:rPr>
                <w:sz w:val="21"/>
                <w:szCs w:val="21"/>
                <w:lang w:bidi="ar"/>
              </w:rPr>
              <w:t>□</w:t>
            </w:r>
          </w:p>
          <w:p w14:paraId="56069BE4">
            <w:pPr>
              <w:rPr>
                <w:sz w:val="21"/>
                <w:szCs w:val="21"/>
              </w:rPr>
            </w:pPr>
            <w:r>
              <w:rPr>
                <w:sz w:val="21"/>
                <w:szCs w:val="21"/>
              </w:rPr>
              <w:t xml:space="preserve">污染控制和减缓措施方案 </w:t>
            </w:r>
            <w:r>
              <w:rPr>
                <w:sz w:val="21"/>
                <w:szCs w:val="21"/>
                <w:lang w:bidi="ar"/>
              </w:rPr>
              <w:t>□</w:t>
            </w:r>
          </w:p>
          <w:p w14:paraId="4690092B">
            <w:pPr>
              <w:pStyle w:val="42"/>
              <w:tabs>
                <w:tab w:val="right" w:leader="dot" w:pos="8303"/>
              </w:tabs>
              <w:ind w:left="0"/>
              <w:rPr>
                <w:sz w:val="21"/>
                <w:szCs w:val="21"/>
              </w:rPr>
            </w:pPr>
            <w:r>
              <w:rPr>
                <w:sz w:val="21"/>
                <w:szCs w:val="21"/>
              </w:rPr>
              <w:t xml:space="preserve">区（流）域环境质量改善目标要求情景 </w:t>
            </w:r>
            <w:r>
              <w:rPr>
                <w:sz w:val="21"/>
                <w:szCs w:val="21"/>
                <w:lang w:bidi="ar"/>
              </w:rPr>
              <w:t>□</w:t>
            </w:r>
          </w:p>
        </w:tc>
      </w:tr>
      <w:tr w14:paraId="6491F0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424" w:type="dxa"/>
            <w:vMerge w:val="continue"/>
            <w:vAlign w:val="center"/>
          </w:tcPr>
          <w:p w14:paraId="142F4584">
            <w:pPr>
              <w:jc w:val="center"/>
              <w:rPr>
                <w:sz w:val="21"/>
                <w:szCs w:val="21"/>
              </w:rPr>
            </w:pPr>
          </w:p>
        </w:tc>
        <w:tc>
          <w:tcPr>
            <w:tcW w:w="1520" w:type="dxa"/>
            <w:vAlign w:val="center"/>
          </w:tcPr>
          <w:p w14:paraId="3305ECC4">
            <w:pPr>
              <w:jc w:val="center"/>
              <w:rPr>
                <w:sz w:val="21"/>
                <w:szCs w:val="21"/>
              </w:rPr>
            </w:pPr>
            <w:r>
              <w:rPr>
                <w:sz w:val="21"/>
                <w:szCs w:val="21"/>
              </w:rPr>
              <w:t>预测方法</w:t>
            </w:r>
          </w:p>
        </w:tc>
        <w:tc>
          <w:tcPr>
            <w:tcW w:w="7286" w:type="dxa"/>
            <w:gridSpan w:val="9"/>
            <w:vAlign w:val="center"/>
          </w:tcPr>
          <w:p w14:paraId="278F6000">
            <w:pPr>
              <w:rPr>
                <w:sz w:val="21"/>
                <w:szCs w:val="21"/>
              </w:rPr>
            </w:pPr>
            <w:r>
              <w:rPr>
                <w:sz w:val="21"/>
                <w:szCs w:val="21"/>
              </w:rPr>
              <w:t xml:space="preserve">数值解 </w:t>
            </w:r>
            <w:r>
              <w:rPr>
                <w:sz w:val="21"/>
                <w:szCs w:val="21"/>
                <w:lang w:bidi="ar"/>
              </w:rPr>
              <w:t>□</w:t>
            </w:r>
            <w:r>
              <w:rPr>
                <w:sz w:val="21"/>
                <w:szCs w:val="21"/>
              </w:rPr>
              <w:t xml:space="preserve">；解析解 </w:t>
            </w:r>
            <w:r>
              <w:rPr>
                <w:sz w:val="21"/>
                <w:szCs w:val="21"/>
                <w:lang w:bidi="ar"/>
              </w:rPr>
              <w:t>□</w:t>
            </w:r>
            <w:r>
              <w:rPr>
                <w:sz w:val="21"/>
                <w:szCs w:val="21"/>
              </w:rPr>
              <w:t xml:space="preserve">；其他 </w:t>
            </w:r>
            <w:r>
              <w:rPr>
                <w:sz w:val="21"/>
                <w:szCs w:val="21"/>
                <w:lang w:bidi="ar"/>
              </w:rPr>
              <w:t>□</w:t>
            </w:r>
          </w:p>
          <w:p w14:paraId="294714B1">
            <w:pPr>
              <w:pStyle w:val="42"/>
              <w:tabs>
                <w:tab w:val="right" w:leader="dot" w:pos="8303"/>
              </w:tabs>
              <w:ind w:left="0"/>
              <w:rPr>
                <w:sz w:val="21"/>
                <w:szCs w:val="21"/>
              </w:rPr>
            </w:pPr>
            <w:r>
              <w:rPr>
                <w:sz w:val="21"/>
                <w:szCs w:val="21"/>
              </w:rPr>
              <w:t xml:space="preserve">导则推荐模式 </w:t>
            </w:r>
            <w:r>
              <w:rPr>
                <w:sz w:val="21"/>
                <w:szCs w:val="21"/>
                <w:lang w:bidi="ar"/>
              </w:rPr>
              <w:t>□</w:t>
            </w:r>
            <w:r>
              <w:rPr>
                <w:sz w:val="21"/>
                <w:szCs w:val="21"/>
              </w:rPr>
              <w:t xml:space="preserve">；其他 </w:t>
            </w:r>
            <w:r>
              <w:rPr>
                <w:sz w:val="21"/>
                <w:szCs w:val="21"/>
                <w:lang w:bidi="ar"/>
              </w:rPr>
              <w:t>□</w:t>
            </w:r>
          </w:p>
        </w:tc>
      </w:tr>
      <w:tr w14:paraId="3A8E31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restart"/>
            <w:vAlign w:val="center"/>
          </w:tcPr>
          <w:p w14:paraId="2E395362">
            <w:pPr>
              <w:jc w:val="center"/>
              <w:rPr>
                <w:sz w:val="21"/>
                <w:szCs w:val="21"/>
              </w:rPr>
            </w:pPr>
            <w:r>
              <w:rPr>
                <w:sz w:val="21"/>
                <w:szCs w:val="21"/>
              </w:rPr>
              <w:t>影响评价</w:t>
            </w:r>
          </w:p>
        </w:tc>
        <w:tc>
          <w:tcPr>
            <w:tcW w:w="1520" w:type="dxa"/>
            <w:vAlign w:val="center"/>
          </w:tcPr>
          <w:p w14:paraId="2DC43921">
            <w:pPr>
              <w:jc w:val="center"/>
              <w:rPr>
                <w:sz w:val="21"/>
                <w:szCs w:val="21"/>
              </w:rPr>
            </w:pPr>
            <w:r>
              <w:rPr>
                <w:sz w:val="21"/>
                <w:szCs w:val="21"/>
              </w:rPr>
              <w:t>水污染控制和水环境影响减缓措施有效性评价</w:t>
            </w:r>
          </w:p>
        </w:tc>
        <w:tc>
          <w:tcPr>
            <w:tcW w:w="7286" w:type="dxa"/>
            <w:gridSpan w:val="9"/>
            <w:vAlign w:val="center"/>
          </w:tcPr>
          <w:p w14:paraId="3D539FCB">
            <w:pPr>
              <w:rPr>
                <w:sz w:val="21"/>
                <w:szCs w:val="21"/>
              </w:rPr>
            </w:pPr>
            <w:r>
              <w:rPr>
                <w:sz w:val="21"/>
                <w:szCs w:val="21"/>
              </w:rPr>
              <w:t xml:space="preserve">区（流）域水环境质量改善目标 </w:t>
            </w:r>
            <w:r>
              <w:rPr>
                <w:sz w:val="21"/>
                <w:szCs w:val="21"/>
                <w:lang w:bidi="ar"/>
              </w:rPr>
              <w:t>□</w:t>
            </w:r>
            <w:r>
              <w:rPr>
                <w:sz w:val="21"/>
                <w:szCs w:val="21"/>
              </w:rPr>
              <w:t xml:space="preserve">；替代削减源 </w:t>
            </w:r>
            <w:r>
              <w:rPr>
                <w:sz w:val="21"/>
                <w:szCs w:val="21"/>
                <w:lang w:bidi="ar"/>
              </w:rPr>
              <w:t>□</w:t>
            </w:r>
          </w:p>
        </w:tc>
      </w:tr>
      <w:tr w14:paraId="6A6B77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continue"/>
            <w:vAlign w:val="center"/>
          </w:tcPr>
          <w:p w14:paraId="472CC6ED">
            <w:pPr>
              <w:jc w:val="left"/>
              <w:rPr>
                <w:sz w:val="21"/>
                <w:szCs w:val="21"/>
              </w:rPr>
            </w:pPr>
          </w:p>
        </w:tc>
        <w:tc>
          <w:tcPr>
            <w:tcW w:w="1520" w:type="dxa"/>
            <w:vAlign w:val="center"/>
          </w:tcPr>
          <w:p w14:paraId="1C8E11BA">
            <w:pPr>
              <w:jc w:val="left"/>
              <w:rPr>
                <w:sz w:val="21"/>
                <w:szCs w:val="21"/>
              </w:rPr>
            </w:pPr>
            <w:r>
              <w:rPr>
                <w:sz w:val="21"/>
                <w:szCs w:val="21"/>
              </w:rPr>
              <w:t>水环境影响评价</w:t>
            </w:r>
          </w:p>
        </w:tc>
        <w:tc>
          <w:tcPr>
            <w:tcW w:w="7286" w:type="dxa"/>
            <w:gridSpan w:val="9"/>
            <w:vAlign w:val="center"/>
          </w:tcPr>
          <w:p w14:paraId="2D7A01B3">
            <w:pPr>
              <w:jc w:val="left"/>
              <w:rPr>
                <w:sz w:val="21"/>
                <w:szCs w:val="21"/>
              </w:rPr>
            </w:pPr>
            <w:r>
              <w:rPr>
                <w:sz w:val="21"/>
                <w:szCs w:val="21"/>
              </w:rPr>
              <w:t xml:space="preserve">排放口混合区外满足水环境管理要求 </w:t>
            </w:r>
            <w:r>
              <w:rPr>
                <w:sz w:val="21"/>
                <w:szCs w:val="21"/>
                <w:lang w:bidi="ar"/>
              </w:rPr>
              <w:t>□</w:t>
            </w:r>
          </w:p>
          <w:p w14:paraId="5FAD14A8">
            <w:pPr>
              <w:jc w:val="left"/>
              <w:rPr>
                <w:sz w:val="21"/>
                <w:szCs w:val="21"/>
              </w:rPr>
            </w:pPr>
            <w:r>
              <w:rPr>
                <w:sz w:val="21"/>
                <w:szCs w:val="21"/>
              </w:rPr>
              <w:t xml:space="preserve">水环境功能区或水功能区、近岸海域环境功能区水质达标 </w:t>
            </w:r>
            <w:r>
              <w:rPr>
                <w:sz w:val="21"/>
                <w:szCs w:val="21"/>
                <w:lang w:bidi="ar"/>
              </w:rPr>
              <w:t>□</w:t>
            </w:r>
          </w:p>
          <w:p w14:paraId="18B03441">
            <w:pPr>
              <w:rPr>
                <w:sz w:val="21"/>
                <w:szCs w:val="21"/>
              </w:rPr>
            </w:pPr>
            <w:r>
              <w:rPr>
                <w:sz w:val="21"/>
                <w:szCs w:val="21"/>
              </w:rPr>
              <w:t xml:space="preserve">满足水环境保护目标水域水环境质量要求 </w:t>
            </w:r>
            <w:r>
              <w:rPr>
                <w:sz w:val="21"/>
                <w:szCs w:val="21"/>
                <w:lang w:bidi="ar"/>
              </w:rPr>
              <w:t>□</w:t>
            </w:r>
          </w:p>
          <w:p w14:paraId="33439920">
            <w:pPr>
              <w:rPr>
                <w:sz w:val="21"/>
                <w:szCs w:val="21"/>
              </w:rPr>
            </w:pPr>
            <w:r>
              <w:rPr>
                <w:sz w:val="21"/>
                <w:szCs w:val="21"/>
              </w:rPr>
              <w:t xml:space="preserve">水环境控制单元或断面水质达标 </w:t>
            </w:r>
            <w:r>
              <w:rPr>
                <w:sz w:val="21"/>
                <w:szCs w:val="21"/>
                <w:lang w:bidi="ar"/>
              </w:rPr>
              <w:t>□</w:t>
            </w:r>
          </w:p>
          <w:p w14:paraId="2A6DC5E2">
            <w:pPr>
              <w:rPr>
                <w:sz w:val="21"/>
                <w:szCs w:val="21"/>
              </w:rPr>
            </w:pPr>
            <w:r>
              <w:rPr>
                <w:sz w:val="21"/>
                <w:szCs w:val="21"/>
              </w:rPr>
              <w:t xml:space="preserve">满足重点水污染物排放总量控制要求，重点行业建设项目，主要污染物排放满足等量或减量替代要求 </w:t>
            </w:r>
            <w:r>
              <w:rPr>
                <w:sz w:val="21"/>
                <w:szCs w:val="21"/>
                <w:lang w:bidi="ar"/>
              </w:rPr>
              <w:t>□</w:t>
            </w:r>
          </w:p>
          <w:p w14:paraId="06EF5D6F">
            <w:pPr>
              <w:rPr>
                <w:sz w:val="21"/>
                <w:szCs w:val="21"/>
              </w:rPr>
            </w:pPr>
            <w:r>
              <w:rPr>
                <w:sz w:val="21"/>
                <w:szCs w:val="21"/>
              </w:rPr>
              <w:t xml:space="preserve">满足区(流)域水环境质量改善目标要求 </w:t>
            </w:r>
            <w:r>
              <w:rPr>
                <w:sz w:val="21"/>
                <w:szCs w:val="21"/>
                <w:lang w:bidi="ar"/>
              </w:rPr>
              <w:t>□</w:t>
            </w:r>
          </w:p>
          <w:p w14:paraId="75A77B40">
            <w:pPr>
              <w:rPr>
                <w:sz w:val="21"/>
                <w:szCs w:val="21"/>
              </w:rPr>
            </w:pPr>
            <w:r>
              <w:rPr>
                <w:sz w:val="21"/>
                <w:szCs w:val="21"/>
              </w:rPr>
              <w:t xml:space="preserve">水文要素影响型建设项目同时应包括水文情势变化评价、主要水文特征值影响评价、生态流量符合性评价 </w:t>
            </w:r>
            <w:r>
              <w:rPr>
                <w:sz w:val="21"/>
                <w:szCs w:val="21"/>
                <w:lang w:bidi="ar"/>
              </w:rPr>
              <w:t>□</w:t>
            </w:r>
          </w:p>
          <w:p w14:paraId="373C8845">
            <w:pPr>
              <w:rPr>
                <w:sz w:val="21"/>
                <w:szCs w:val="21"/>
              </w:rPr>
            </w:pPr>
            <w:r>
              <w:rPr>
                <w:sz w:val="21"/>
                <w:szCs w:val="21"/>
              </w:rPr>
              <w:t xml:space="preserve">对于新设或调整入河（湖库、近岸海域）排放口的建设项目，应包括排放口设置的环境合理性评价 </w:t>
            </w:r>
            <w:r>
              <w:rPr>
                <w:sz w:val="21"/>
                <w:szCs w:val="21"/>
                <w:lang w:bidi="ar"/>
              </w:rPr>
              <w:t>□</w:t>
            </w:r>
          </w:p>
          <w:p w14:paraId="7EDDF6A4">
            <w:pPr>
              <w:rPr>
                <w:sz w:val="21"/>
                <w:szCs w:val="21"/>
              </w:rPr>
            </w:pPr>
            <w:r>
              <w:rPr>
                <w:sz w:val="21"/>
                <w:szCs w:val="21"/>
              </w:rPr>
              <w:t xml:space="preserve">满足生态保护红线，水环境质量底线、资源利用上线和环境准入清单管理要求 </w:t>
            </w:r>
            <w:r>
              <w:rPr>
                <w:sz w:val="21"/>
                <w:szCs w:val="21"/>
                <w:lang w:bidi="ar"/>
              </w:rPr>
              <w:t>□</w:t>
            </w:r>
          </w:p>
        </w:tc>
      </w:tr>
      <w:tr w14:paraId="787C3B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24" w:type="dxa"/>
            <w:vMerge w:val="continue"/>
            <w:vAlign w:val="center"/>
          </w:tcPr>
          <w:p w14:paraId="315BE8C9">
            <w:pPr>
              <w:jc w:val="left"/>
              <w:rPr>
                <w:sz w:val="21"/>
                <w:szCs w:val="21"/>
              </w:rPr>
            </w:pPr>
          </w:p>
        </w:tc>
        <w:tc>
          <w:tcPr>
            <w:tcW w:w="1520" w:type="dxa"/>
            <w:vMerge w:val="restart"/>
            <w:vAlign w:val="center"/>
          </w:tcPr>
          <w:p w14:paraId="3C0A49D4">
            <w:pPr>
              <w:jc w:val="left"/>
              <w:rPr>
                <w:sz w:val="21"/>
                <w:szCs w:val="21"/>
              </w:rPr>
            </w:pPr>
            <w:r>
              <w:rPr>
                <w:sz w:val="21"/>
                <w:szCs w:val="21"/>
              </w:rPr>
              <w:t>污染源排放量核算</w:t>
            </w:r>
          </w:p>
        </w:tc>
        <w:tc>
          <w:tcPr>
            <w:tcW w:w="1629" w:type="dxa"/>
            <w:vAlign w:val="center"/>
          </w:tcPr>
          <w:p w14:paraId="70586548">
            <w:pPr>
              <w:jc w:val="left"/>
              <w:rPr>
                <w:sz w:val="21"/>
                <w:szCs w:val="21"/>
              </w:rPr>
            </w:pPr>
            <w:r>
              <w:rPr>
                <w:sz w:val="21"/>
                <w:szCs w:val="21"/>
              </w:rPr>
              <w:t>污染物名称</w:t>
            </w:r>
          </w:p>
        </w:tc>
        <w:tc>
          <w:tcPr>
            <w:tcW w:w="2828" w:type="dxa"/>
            <w:gridSpan w:val="4"/>
            <w:vAlign w:val="center"/>
          </w:tcPr>
          <w:p w14:paraId="084D0CAD">
            <w:pPr>
              <w:jc w:val="left"/>
              <w:rPr>
                <w:sz w:val="21"/>
                <w:szCs w:val="21"/>
              </w:rPr>
            </w:pPr>
            <w:r>
              <w:rPr>
                <w:sz w:val="21"/>
                <w:szCs w:val="21"/>
              </w:rPr>
              <w:t>排放量（t/a）</w:t>
            </w:r>
          </w:p>
        </w:tc>
        <w:tc>
          <w:tcPr>
            <w:tcW w:w="2829" w:type="dxa"/>
            <w:gridSpan w:val="4"/>
            <w:vAlign w:val="center"/>
          </w:tcPr>
          <w:p w14:paraId="2D8A2010">
            <w:pPr>
              <w:jc w:val="left"/>
              <w:rPr>
                <w:sz w:val="21"/>
                <w:szCs w:val="21"/>
              </w:rPr>
            </w:pPr>
            <w:r>
              <w:rPr>
                <w:sz w:val="21"/>
                <w:szCs w:val="21"/>
              </w:rPr>
              <w:t>排放浓度（mg/L）</w:t>
            </w:r>
          </w:p>
        </w:tc>
      </w:tr>
      <w:tr w14:paraId="253A73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continue"/>
            <w:vAlign w:val="center"/>
          </w:tcPr>
          <w:p w14:paraId="7D76AF81">
            <w:pPr>
              <w:jc w:val="left"/>
              <w:rPr>
                <w:sz w:val="21"/>
                <w:szCs w:val="21"/>
              </w:rPr>
            </w:pPr>
          </w:p>
        </w:tc>
        <w:tc>
          <w:tcPr>
            <w:tcW w:w="1520" w:type="dxa"/>
            <w:vMerge w:val="continue"/>
            <w:vAlign w:val="center"/>
          </w:tcPr>
          <w:p w14:paraId="31F9F51F">
            <w:pPr>
              <w:jc w:val="left"/>
              <w:rPr>
                <w:sz w:val="21"/>
                <w:szCs w:val="21"/>
              </w:rPr>
            </w:pPr>
          </w:p>
        </w:tc>
        <w:tc>
          <w:tcPr>
            <w:tcW w:w="1629" w:type="dxa"/>
            <w:vAlign w:val="center"/>
          </w:tcPr>
          <w:p w14:paraId="5BC5031F">
            <w:pPr>
              <w:jc w:val="left"/>
              <w:rPr>
                <w:sz w:val="21"/>
                <w:szCs w:val="21"/>
              </w:rPr>
            </w:pPr>
            <w:r>
              <w:rPr>
                <w:sz w:val="21"/>
                <w:szCs w:val="21"/>
              </w:rPr>
              <w:t>（COD）</w:t>
            </w:r>
          </w:p>
          <w:p w14:paraId="70B5A7BA">
            <w:pPr>
              <w:pStyle w:val="42"/>
              <w:tabs>
                <w:tab w:val="right" w:leader="dot" w:pos="8303"/>
              </w:tabs>
              <w:ind w:left="0"/>
              <w:rPr>
                <w:sz w:val="21"/>
                <w:szCs w:val="21"/>
              </w:rPr>
            </w:pPr>
            <w:r>
              <w:rPr>
                <w:sz w:val="21"/>
                <w:szCs w:val="21"/>
              </w:rPr>
              <w:t>（氨氮）</w:t>
            </w:r>
          </w:p>
        </w:tc>
        <w:tc>
          <w:tcPr>
            <w:tcW w:w="2828" w:type="dxa"/>
            <w:gridSpan w:val="4"/>
            <w:vAlign w:val="center"/>
          </w:tcPr>
          <w:p w14:paraId="5A1C8624">
            <w:pPr>
              <w:jc w:val="left"/>
              <w:rPr>
                <w:sz w:val="21"/>
                <w:szCs w:val="21"/>
              </w:rPr>
            </w:pPr>
            <w:r>
              <w:rPr>
                <w:sz w:val="21"/>
                <w:szCs w:val="21"/>
              </w:rPr>
              <w:t>（</w:t>
            </w:r>
            <w:r>
              <w:rPr>
                <w:rFonts w:hint="eastAsia"/>
                <w:sz w:val="21"/>
                <w:szCs w:val="21"/>
                <w:lang w:val="en-US" w:eastAsia="zh-CN"/>
              </w:rPr>
              <w:t>109.5</w:t>
            </w:r>
            <w:r>
              <w:rPr>
                <w:sz w:val="21"/>
                <w:szCs w:val="21"/>
              </w:rPr>
              <w:t xml:space="preserve"> ）</w:t>
            </w:r>
          </w:p>
          <w:p w14:paraId="3806914F">
            <w:pPr>
              <w:pStyle w:val="42"/>
              <w:tabs>
                <w:tab w:val="right" w:leader="dot" w:pos="8303"/>
              </w:tabs>
              <w:ind w:left="0"/>
              <w:rPr>
                <w:sz w:val="21"/>
                <w:szCs w:val="21"/>
              </w:rPr>
            </w:pPr>
            <w:r>
              <w:rPr>
                <w:sz w:val="21"/>
                <w:szCs w:val="21"/>
              </w:rPr>
              <w:t>（</w:t>
            </w:r>
            <w:r>
              <w:rPr>
                <w:rFonts w:hint="eastAsia"/>
                <w:sz w:val="21"/>
                <w:szCs w:val="21"/>
                <w:lang w:val="en-US" w:eastAsia="zh-CN"/>
              </w:rPr>
              <w:t>10.95</w:t>
            </w:r>
            <w:r>
              <w:rPr>
                <w:sz w:val="21"/>
                <w:szCs w:val="21"/>
              </w:rPr>
              <w:t>）</w:t>
            </w:r>
          </w:p>
        </w:tc>
        <w:tc>
          <w:tcPr>
            <w:tcW w:w="2829" w:type="dxa"/>
            <w:gridSpan w:val="4"/>
            <w:vAlign w:val="center"/>
          </w:tcPr>
          <w:p w14:paraId="57A5070A">
            <w:pPr>
              <w:jc w:val="left"/>
              <w:rPr>
                <w:sz w:val="21"/>
                <w:szCs w:val="21"/>
              </w:rPr>
            </w:pPr>
            <w:r>
              <w:rPr>
                <w:sz w:val="21"/>
                <w:szCs w:val="21"/>
              </w:rPr>
              <w:t>（</w:t>
            </w:r>
            <w:r>
              <w:rPr>
                <w:rFonts w:hint="eastAsia"/>
                <w:sz w:val="21"/>
                <w:szCs w:val="21"/>
                <w:lang w:val="en-US" w:eastAsia="zh-CN"/>
              </w:rPr>
              <w:t>50</w:t>
            </w:r>
            <w:r>
              <w:rPr>
                <w:sz w:val="21"/>
                <w:szCs w:val="21"/>
              </w:rPr>
              <w:t xml:space="preserve">  ）</w:t>
            </w:r>
          </w:p>
          <w:p w14:paraId="65BAED88">
            <w:pPr>
              <w:pStyle w:val="42"/>
              <w:tabs>
                <w:tab w:val="right" w:leader="dot" w:pos="8303"/>
              </w:tabs>
              <w:ind w:left="0"/>
              <w:rPr>
                <w:sz w:val="21"/>
                <w:szCs w:val="21"/>
              </w:rPr>
            </w:pPr>
            <w:r>
              <w:rPr>
                <w:sz w:val="21"/>
                <w:szCs w:val="21"/>
              </w:rPr>
              <w:t>（</w:t>
            </w:r>
            <w:r>
              <w:rPr>
                <w:rFonts w:hint="eastAsia"/>
                <w:sz w:val="21"/>
                <w:szCs w:val="21"/>
                <w:lang w:val="en-US" w:eastAsia="zh-CN"/>
              </w:rPr>
              <w:t>10</w:t>
            </w:r>
            <w:r>
              <w:rPr>
                <w:sz w:val="21"/>
                <w:szCs w:val="21"/>
              </w:rPr>
              <w:t>）</w:t>
            </w:r>
          </w:p>
        </w:tc>
      </w:tr>
      <w:tr w14:paraId="48CAA25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continue"/>
            <w:vAlign w:val="center"/>
          </w:tcPr>
          <w:p w14:paraId="2E9B03EF">
            <w:pPr>
              <w:jc w:val="left"/>
              <w:rPr>
                <w:sz w:val="21"/>
                <w:szCs w:val="21"/>
              </w:rPr>
            </w:pPr>
          </w:p>
        </w:tc>
        <w:tc>
          <w:tcPr>
            <w:tcW w:w="1520" w:type="dxa"/>
            <w:vMerge w:val="restart"/>
            <w:vAlign w:val="center"/>
          </w:tcPr>
          <w:p w14:paraId="6D012895">
            <w:pPr>
              <w:jc w:val="left"/>
              <w:rPr>
                <w:sz w:val="21"/>
                <w:szCs w:val="21"/>
              </w:rPr>
            </w:pPr>
            <w:r>
              <w:rPr>
                <w:sz w:val="21"/>
                <w:szCs w:val="21"/>
              </w:rPr>
              <w:t>替代源排放情况</w:t>
            </w:r>
          </w:p>
        </w:tc>
        <w:tc>
          <w:tcPr>
            <w:tcW w:w="1629" w:type="dxa"/>
            <w:vAlign w:val="center"/>
          </w:tcPr>
          <w:p w14:paraId="0BDDF3E0">
            <w:pPr>
              <w:jc w:val="left"/>
              <w:rPr>
                <w:sz w:val="21"/>
                <w:szCs w:val="21"/>
              </w:rPr>
            </w:pPr>
            <w:r>
              <w:rPr>
                <w:sz w:val="21"/>
                <w:szCs w:val="21"/>
              </w:rPr>
              <w:t>污染物名称</w:t>
            </w:r>
          </w:p>
        </w:tc>
        <w:tc>
          <w:tcPr>
            <w:tcW w:w="1414" w:type="dxa"/>
            <w:gridSpan w:val="2"/>
            <w:vAlign w:val="center"/>
          </w:tcPr>
          <w:p w14:paraId="414CBB3C">
            <w:pPr>
              <w:jc w:val="left"/>
              <w:rPr>
                <w:sz w:val="21"/>
                <w:szCs w:val="21"/>
              </w:rPr>
            </w:pPr>
            <w:r>
              <w:rPr>
                <w:sz w:val="21"/>
                <w:szCs w:val="21"/>
              </w:rPr>
              <w:t>排污许可证编号</w:t>
            </w:r>
          </w:p>
        </w:tc>
        <w:tc>
          <w:tcPr>
            <w:tcW w:w="1414" w:type="dxa"/>
            <w:gridSpan w:val="2"/>
            <w:vAlign w:val="center"/>
          </w:tcPr>
          <w:p w14:paraId="5488F2D6">
            <w:pPr>
              <w:jc w:val="left"/>
              <w:rPr>
                <w:sz w:val="21"/>
                <w:szCs w:val="21"/>
              </w:rPr>
            </w:pPr>
            <w:r>
              <w:rPr>
                <w:sz w:val="21"/>
                <w:szCs w:val="21"/>
              </w:rPr>
              <w:t>污染物名称</w:t>
            </w:r>
          </w:p>
        </w:tc>
        <w:tc>
          <w:tcPr>
            <w:tcW w:w="1414" w:type="dxa"/>
            <w:gridSpan w:val="2"/>
            <w:vAlign w:val="center"/>
          </w:tcPr>
          <w:p w14:paraId="639470D0">
            <w:pPr>
              <w:jc w:val="left"/>
              <w:rPr>
                <w:sz w:val="21"/>
                <w:szCs w:val="21"/>
              </w:rPr>
            </w:pPr>
            <w:r>
              <w:rPr>
                <w:sz w:val="21"/>
                <w:szCs w:val="21"/>
              </w:rPr>
              <w:t>排放量（t/a）</w:t>
            </w:r>
          </w:p>
        </w:tc>
        <w:tc>
          <w:tcPr>
            <w:tcW w:w="1415" w:type="dxa"/>
            <w:gridSpan w:val="2"/>
            <w:vAlign w:val="center"/>
          </w:tcPr>
          <w:p w14:paraId="1C617242">
            <w:pPr>
              <w:jc w:val="left"/>
              <w:rPr>
                <w:sz w:val="21"/>
                <w:szCs w:val="21"/>
              </w:rPr>
            </w:pPr>
            <w:r>
              <w:rPr>
                <w:sz w:val="21"/>
                <w:szCs w:val="21"/>
              </w:rPr>
              <w:t>排放浓度（mg/L）</w:t>
            </w:r>
          </w:p>
        </w:tc>
      </w:tr>
      <w:tr w14:paraId="7188EF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continue"/>
            <w:vAlign w:val="center"/>
          </w:tcPr>
          <w:p w14:paraId="73A713C8">
            <w:pPr>
              <w:jc w:val="left"/>
              <w:rPr>
                <w:sz w:val="21"/>
                <w:szCs w:val="21"/>
              </w:rPr>
            </w:pPr>
          </w:p>
        </w:tc>
        <w:tc>
          <w:tcPr>
            <w:tcW w:w="1520" w:type="dxa"/>
            <w:vMerge w:val="continue"/>
            <w:vAlign w:val="center"/>
          </w:tcPr>
          <w:p w14:paraId="2886557A">
            <w:pPr>
              <w:jc w:val="left"/>
              <w:rPr>
                <w:sz w:val="21"/>
                <w:szCs w:val="21"/>
              </w:rPr>
            </w:pPr>
          </w:p>
        </w:tc>
        <w:tc>
          <w:tcPr>
            <w:tcW w:w="1629" w:type="dxa"/>
            <w:vAlign w:val="center"/>
          </w:tcPr>
          <w:p w14:paraId="2FDF3979">
            <w:pPr>
              <w:jc w:val="left"/>
              <w:rPr>
                <w:sz w:val="21"/>
                <w:szCs w:val="21"/>
              </w:rPr>
            </w:pPr>
            <w:r>
              <w:rPr>
                <w:sz w:val="21"/>
                <w:szCs w:val="21"/>
              </w:rPr>
              <w:t>（）</w:t>
            </w:r>
          </w:p>
        </w:tc>
        <w:tc>
          <w:tcPr>
            <w:tcW w:w="1414" w:type="dxa"/>
            <w:gridSpan w:val="2"/>
            <w:vAlign w:val="center"/>
          </w:tcPr>
          <w:p w14:paraId="7CFD3E8D">
            <w:pPr>
              <w:jc w:val="left"/>
              <w:rPr>
                <w:sz w:val="21"/>
                <w:szCs w:val="21"/>
              </w:rPr>
            </w:pPr>
            <w:r>
              <w:rPr>
                <w:sz w:val="21"/>
                <w:szCs w:val="21"/>
              </w:rPr>
              <w:t>（）</w:t>
            </w:r>
          </w:p>
        </w:tc>
        <w:tc>
          <w:tcPr>
            <w:tcW w:w="1414" w:type="dxa"/>
            <w:gridSpan w:val="2"/>
            <w:vAlign w:val="center"/>
          </w:tcPr>
          <w:p w14:paraId="7A7319B3">
            <w:pPr>
              <w:jc w:val="left"/>
              <w:rPr>
                <w:sz w:val="21"/>
                <w:szCs w:val="21"/>
              </w:rPr>
            </w:pPr>
            <w:r>
              <w:rPr>
                <w:sz w:val="21"/>
                <w:szCs w:val="21"/>
              </w:rPr>
              <w:t>（）</w:t>
            </w:r>
          </w:p>
        </w:tc>
        <w:tc>
          <w:tcPr>
            <w:tcW w:w="1414" w:type="dxa"/>
            <w:gridSpan w:val="2"/>
            <w:vAlign w:val="center"/>
          </w:tcPr>
          <w:p w14:paraId="3218B3AC">
            <w:pPr>
              <w:jc w:val="left"/>
              <w:rPr>
                <w:sz w:val="21"/>
                <w:szCs w:val="21"/>
              </w:rPr>
            </w:pPr>
            <w:r>
              <w:rPr>
                <w:sz w:val="21"/>
                <w:szCs w:val="21"/>
              </w:rPr>
              <w:t>（）</w:t>
            </w:r>
          </w:p>
        </w:tc>
        <w:tc>
          <w:tcPr>
            <w:tcW w:w="1415" w:type="dxa"/>
            <w:gridSpan w:val="2"/>
            <w:vAlign w:val="center"/>
          </w:tcPr>
          <w:p w14:paraId="24A98334">
            <w:pPr>
              <w:jc w:val="left"/>
              <w:rPr>
                <w:sz w:val="21"/>
                <w:szCs w:val="21"/>
              </w:rPr>
            </w:pPr>
            <w:r>
              <w:rPr>
                <w:sz w:val="21"/>
                <w:szCs w:val="21"/>
              </w:rPr>
              <w:t>（）</w:t>
            </w:r>
          </w:p>
        </w:tc>
      </w:tr>
      <w:tr w14:paraId="352A79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424" w:type="dxa"/>
            <w:vMerge w:val="continue"/>
            <w:vAlign w:val="center"/>
          </w:tcPr>
          <w:p w14:paraId="62A77C03">
            <w:pPr>
              <w:jc w:val="left"/>
              <w:rPr>
                <w:sz w:val="21"/>
                <w:szCs w:val="21"/>
              </w:rPr>
            </w:pPr>
          </w:p>
        </w:tc>
        <w:tc>
          <w:tcPr>
            <w:tcW w:w="1520" w:type="dxa"/>
            <w:vAlign w:val="center"/>
          </w:tcPr>
          <w:p w14:paraId="15B4D2A1">
            <w:pPr>
              <w:jc w:val="left"/>
              <w:rPr>
                <w:sz w:val="21"/>
                <w:szCs w:val="21"/>
              </w:rPr>
            </w:pPr>
            <w:r>
              <w:rPr>
                <w:sz w:val="21"/>
                <w:szCs w:val="21"/>
              </w:rPr>
              <w:t>生态流量确定</w:t>
            </w:r>
          </w:p>
        </w:tc>
        <w:tc>
          <w:tcPr>
            <w:tcW w:w="7286" w:type="dxa"/>
            <w:gridSpan w:val="9"/>
            <w:vAlign w:val="center"/>
          </w:tcPr>
          <w:p w14:paraId="21125C27">
            <w:pPr>
              <w:jc w:val="left"/>
              <w:rPr>
                <w:sz w:val="21"/>
                <w:szCs w:val="21"/>
              </w:rPr>
            </w:pPr>
            <w:r>
              <w:rPr>
                <w:sz w:val="21"/>
                <w:szCs w:val="21"/>
              </w:rPr>
              <w:t>生态流量：一般水期（）m</w:t>
            </w:r>
            <w:r>
              <w:rPr>
                <w:sz w:val="21"/>
                <w:szCs w:val="21"/>
                <w:vertAlign w:val="superscript"/>
              </w:rPr>
              <w:t>3</w:t>
            </w:r>
            <w:r>
              <w:rPr>
                <w:sz w:val="21"/>
                <w:szCs w:val="21"/>
              </w:rPr>
              <w:t>/s；鱼类繁殖期（）m</w:t>
            </w:r>
            <w:r>
              <w:rPr>
                <w:sz w:val="21"/>
                <w:szCs w:val="21"/>
                <w:vertAlign w:val="superscript"/>
              </w:rPr>
              <w:t>3</w:t>
            </w:r>
            <w:r>
              <w:rPr>
                <w:sz w:val="21"/>
                <w:szCs w:val="21"/>
              </w:rPr>
              <w:t>/s；其他（）m</w:t>
            </w:r>
            <w:r>
              <w:rPr>
                <w:sz w:val="21"/>
                <w:szCs w:val="21"/>
                <w:vertAlign w:val="superscript"/>
              </w:rPr>
              <w:t>3</w:t>
            </w:r>
            <w:r>
              <w:rPr>
                <w:sz w:val="21"/>
                <w:szCs w:val="21"/>
              </w:rPr>
              <w:t>/s</w:t>
            </w:r>
          </w:p>
          <w:p w14:paraId="417176D7">
            <w:pPr>
              <w:jc w:val="left"/>
              <w:rPr>
                <w:sz w:val="21"/>
                <w:szCs w:val="21"/>
              </w:rPr>
            </w:pPr>
            <w:r>
              <w:rPr>
                <w:sz w:val="21"/>
                <w:szCs w:val="21"/>
              </w:rPr>
              <w:t>生态水位：一般水期（）m；鱼类繁殖期（）m；其他（）m</w:t>
            </w:r>
          </w:p>
        </w:tc>
      </w:tr>
      <w:tr w14:paraId="178496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24" w:type="dxa"/>
            <w:vMerge w:val="restart"/>
            <w:vAlign w:val="center"/>
          </w:tcPr>
          <w:p w14:paraId="6AE17F7E">
            <w:pPr>
              <w:jc w:val="left"/>
              <w:rPr>
                <w:sz w:val="21"/>
                <w:szCs w:val="21"/>
              </w:rPr>
            </w:pPr>
            <w:r>
              <w:rPr>
                <w:sz w:val="21"/>
                <w:szCs w:val="21"/>
              </w:rPr>
              <w:t>防治措施</w:t>
            </w:r>
          </w:p>
        </w:tc>
        <w:tc>
          <w:tcPr>
            <w:tcW w:w="1520" w:type="dxa"/>
            <w:vAlign w:val="center"/>
          </w:tcPr>
          <w:p w14:paraId="1206BDEA">
            <w:pPr>
              <w:jc w:val="center"/>
              <w:rPr>
                <w:sz w:val="21"/>
                <w:szCs w:val="21"/>
              </w:rPr>
            </w:pPr>
            <w:r>
              <w:rPr>
                <w:sz w:val="21"/>
                <w:szCs w:val="21"/>
              </w:rPr>
              <w:t>环保措施</w:t>
            </w:r>
          </w:p>
        </w:tc>
        <w:tc>
          <w:tcPr>
            <w:tcW w:w="7286" w:type="dxa"/>
            <w:gridSpan w:val="9"/>
            <w:vAlign w:val="center"/>
          </w:tcPr>
          <w:p w14:paraId="654A960B">
            <w:pPr>
              <w:rPr>
                <w:sz w:val="21"/>
                <w:szCs w:val="21"/>
              </w:rPr>
            </w:pPr>
            <w:r>
              <w:rPr>
                <w:sz w:val="21"/>
                <w:szCs w:val="21"/>
              </w:rPr>
              <w:t xml:space="preserve">污水处理设施 </w:t>
            </w:r>
            <w:r>
              <w:rPr>
                <w:sz w:val="21"/>
                <w:szCs w:val="21"/>
                <w:lang w:bidi="ar"/>
              </w:rPr>
              <w:t>☑</w:t>
            </w:r>
            <w:r>
              <w:rPr>
                <w:sz w:val="21"/>
                <w:szCs w:val="21"/>
              </w:rPr>
              <w:t xml:space="preserve">；水文减缓设施 </w:t>
            </w:r>
            <w:r>
              <w:rPr>
                <w:sz w:val="21"/>
                <w:szCs w:val="21"/>
                <w:lang w:bidi="ar"/>
              </w:rPr>
              <w:t>□</w:t>
            </w:r>
            <w:r>
              <w:rPr>
                <w:sz w:val="21"/>
                <w:szCs w:val="21"/>
              </w:rPr>
              <w:t xml:space="preserve">；生态流量保障设施 </w:t>
            </w:r>
            <w:r>
              <w:rPr>
                <w:sz w:val="21"/>
                <w:szCs w:val="21"/>
                <w:lang w:bidi="ar"/>
              </w:rPr>
              <w:t>□</w:t>
            </w:r>
            <w:r>
              <w:rPr>
                <w:sz w:val="21"/>
                <w:szCs w:val="21"/>
              </w:rPr>
              <w:t xml:space="preserve">；区域削减 </w:t>
            </w:r>
            <w:r>
              <w:rPr>
                <w:sz w:val="21"/>
                <w:szCs w:val="21"/>
                <w:lang w:bidi="ar"/>
              </w:rPr>
              <w:t>□</w:t>
            </w:r>
            <w:r>
              <w:rPr>
                <w:sz w:val="21"/>
                <w:szCs w:val="21"/>
              </w:rPr>
              <w:t xml:space="preserve">；依托其他工程措施 </w:t>
            </w:r>
            <w:r>
              <w:rPr>
                <w:sz w:val="21"/>
                <w:szCs w:val="21"/>
                <w:lang w:bidi="ar"/>
              </w:rPr>
              <w:t>□</w:t>
            </w:r>
            <w:r>
              <w:rPr>
                <w:sz w:val="21"/>
                <w:szCs w:val="21"/>
              </w:rPr>
              <w:t xml:space="preserve">；其他 </w:t>
            </w:r>
            <w:r>
              <w:rPr>
                <w:sz w:val="21"/>
                <w:szCs w:val="21"/>
                <w:lang w:bidi="ar"/>
              </w:rPr>
              <w:t>□</w:t>
            </w:r>
          </w:p>
        </w:tc>
      </w:tr>
      <w:tr w14:paraId="4F30FA2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424" w:type="dxa"/>
            <w:vMerge w:val="continue"/>
            <w:vAlign w:val="center"/>
          </w:tcPr>
          <w:p w14:paraId="3FBA1D9B">
            <w:pPr>
              <w:jc w:val="left"/>
              <w:rPr>
                <w:sz w:val="21"/>
                <w:szCs w:val="21"/>
              </w:rPr>
            </w:pPr>
          </w:p>
        </w:tc>
        <w:tc>
          <w:tcPr>
            <w:tcW w:w="1520" w:type="dxa"/>
            <w:vMerge w:val="restart"/>
            <w:vAlign w:val="center"/>
          </w:tcPr>
          <w:p w14:paraId="01546556">
            <w:pPr>
              <w:jc w:val="center"/>
              <w:rPr>
                <w:sz w:val="21"/>
                <w:szCs w:val="21"/>
              </w:rPr>
            </w:pPr>
            <w:r>
              <w:rPr>
                <w:sz w:val="21"/>
                <w:szCs w:val="21"/>
              </w:rPr>
              <w:t>监测计划</w:t>
            </w:r>
          </w:p>
        </w:tc>
        <w:tc>
          <w:tcPr>
            <w:tcW w:w="1629" w:type="dxa"/>
            <w:vAlign w:val="center"/>
          </w:tcPr>
          <w:p w14:paraId="349FD7E5">
            <w:pPr>
              <w:jc w:val="center"/>
              <w:rPr>
                <w:sz w:val="21"/>
                <w:szCs w:val="21"/>
              </w:rPr>
            </w:pPr>
          </w:p>
        </w:tc>
        <w:tc>
          <w:tcPr>
            <w:tcW w:w="2828" w:type="dxa"/>
            <w:gridSpan w:val="4"/>
            <w:vAlign w:val="center"/>
          </w:tcPr>
          <w:p w14:paraId="599877CB">
            <w:pPr>
              <w:jc w:val="center"/>
              <w:rPr>
                <w:sz w:val="21"/>
                <w:szCs w:val="21"/>
              </w:rPr>
            </w:pPr>
            <w:r>
              <w:rPr>
                <w:sz w:val="21"/>
                <w:szCs w:val="21"/>
              </w:rPr>
              <w:t>环境质量</w:t>
            </w:r>
          </w:p>
        </w:tc>
        <w:tc>
          <w:tcPr>
            <w:tcW w:w="2829" w:type="dxa"/>
            <w:gridSpan w:val="4"/>
            <w:vAlign w:val="center"/>
          </w:tcPr>
          <w:p w14:paraId="78505B68">
            <w:pPr>
              <w:jc w:val="center"/>
              <w:rPr>
                <w:sz w:val="21"/>
                <w:szCs w:val="21"/>
              </w:rPr>
            </w:pPr>
            <w:r>
              <w:rPr>
                <w:sz w:val="21"/>
                <w:szCs w:val="21"/>
              </w:rPr>
              <w:t>污染源</w:t>
            </w:r>
          </w:p>
        </w:tc>
      </w:tr>
      <w:tr w14:paraId="14E2898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424" w:type="dxa"/>
            <w:vMerge w:val="continue"/>
            <w:vAlign w:val="center"/>
          </w:tcPr>
          <w:p w14:paraId="3DBEDD38">
            <w:pPr>
              <w:jc w:val="left"/>
              <w:rPr>
                <w:sz w:val="21"/>
                <w:szCs w:val="21"/>
              </w:rPr>
            </w:pPr>
          </w:p>
        </w:tc>
        <w:tc>
          <w:tcPr>
            <w:tcW w:w="1520" w:type="dxa"/>
            <w:vMerge w:val="continue"/>
            <w:vAlign w:val="center"/>
          </w:tcPr>
          <w:p w14:paraId="3B68FA80">
            <w:pPr>
              <w:jc w:val="center"/>
              <w:rPr>
                <w:sz w:val="21"/>
                <w:szCs w:val="21"/>
              </w:rPr>
            </w:pPr>
          </w:p>
        </w:tc>
        <w:tc>
          <w:tcPr>
            <w:tcW w:w="1629" w:type="dxa"/>
            <w:vAlign w:val="center"/>
          </w:tcPr>
          <w:p w14:paraId="636FF146">
            <w:pPr>
              <w:jc w:val="center"/>
              <w:rPr>
                <w:sz w:val="21"/>
                <w:szCs w:val="21"/>
              </w:rPr>
            </w:pPr>
            <w:r>
              <w:rPr>
                <w:sz w:val="21"/>
                <w:szCs w:val="21"/>
              </w:rPr>
              <w:t>监测方式</w:t>
            </w:r>
          </w:p>
        </w:tc>
        <w:tc>
          <w:tcPr>
            <w:tcW w:w="2828" w:type="dxa"/>
            <w:gridSpan w:val="4"/>
            <w:vAlign w:val="center"/>
          </w:tcPr>
          <w:p w14:paraId="660EDC3C">
            <w:pPr>
              <w:jc w:val="center"/>
              <w:rPr>
                <w:sz w:val="21"/>
                <w:szCs w:val="21"/>
              </w:rPr>
            </w:pPr>
            <w:r>
              <w:rPr>
                <w:sz w:val="21"/>
                <w:szCs w:val="21"/>
              </w:rPr>
              <w:t xml:space="preserve">手动 </w:t>
            </w:r>
            <w:r>
              <w:rPr>
                <w:rFonts w:hint="eastAsia"/>
                <w:sz w:val="21"/>
                <w:szCs w:val="21"/>
                <w:lang w:eastAsia="zh-CN" w:bidi="ar"/>
              </w:rPr>
              <w:t>☑</w:t>
            </w:r>
            <w:r>
              <w:rPr>
                <w:sz w:val="21"/>
                <w:szCs w:val="21"/>
              </w:rPr>
              <w:t xml:space="preserve">；自动 </w:t>
            </w:r>
            <w:r>
              <w:rPr>
                <w:rFonts w:hint="eastAsia"/>
                <w:sz w:val="21"/>
                <w:szCs w:val="21"/>
                <w:lang w:eastAsia="zh-CN" w:bidi="ar"/>
              </w:rPr>
              <w:t>□</w:t>
            </w:r>
            <w:r>
              <w:rPr>
                <w:sz w:val="21"/>
                <w:szCs w:val="21"/>
              </w:rPr>
              <w:t xml:space="preserve">；无监测 </w:t>
            </w:r>
            <w:r>
              <w:rPr>
                <w:sz w:val="21"/>
                <w:szCs w:val="21"/>
                <w:lang w:bidi="ar"/>
              </w:rPr>
              <w:t>□</w:t>
            </w:r>
          </w:p>
        </w:tc>
        <w:tc>
          <w:tcPr>
            <w:tcW w:w="2829" w:type="dxa"/>
            <w:gridSpan w:val="4"/>
            <w:vAlign w:val="center"/>
          </w:tcPr>
          <w:p w14:paraId="63ED772B">
            <w:pPr>
              <w:jc w:val="center"/>
              <w:rPr>
                <w:sz w:val="21"/>
                <w:szCs w:val="21"/>
              </w:rPr>
            </w:pPr>
            <w:r>
              <w:rPr>
                <w:sz w:val="21"/>
                <w:szCs w:val="21"/>
              </w:rPr>
              <w:t xml:space="preserve">手动 </w:t>
            </w:r>
            <w:r>
              <w:rPr>
                <w:sz w:val="21"/>
                <w:szCs w:val="21"/>
                <w:lang w:bidi="ar"/>
              </w:rPr>
              <w:t>□</w:t>
            </w:r>
            <w:r>
              <w:rPr>
                <w:sz w:val="21"/>
                <w:szCs w:val="21"/>
              </w:rPr>
              <w:t xml:space="preserve">；自动 </w:t>
            </w:r>
            <w:r>
              <w:rPr>
                <w:rFonts w:hint="eastAsia"/>
                <w:sz w:val="21"/>
                <w:szCs w:val="21"/>
                <w:lang w:eastAsia="zh-CN" w:bidi="ar"/>
              </w:rPr>
              <w:t>☑</w:t>
            </w:r>
            <w:r>
              <w:rPr>
                <w:sz w:val="21"/>
                <w:szCs w:val="21"/>
              </w:rPr>
              <w:t xml:space="preserve">；无监测 </w:t>
            </w:r>
            <w:r>
              <w:rPr>
                <w:sz w:val="21"/>
                <w:szCs w:val="21"/>
                <w:lang w:bidi="ar"/>
              </w:rPr>
              <w:t>□</w:t>
            </w:r>
          </w:p>
        </w:tc>
      </w:tr>
      <w:tr w14:paraId="2B88A2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424" w:type="dxa"/>
            <w:vMerge w:val="continue"/>
            <w:vAlign w:val="center"/>
          </w:tcPr>
          <w:p w14:paraId="045693AF">
            <w:pPr>
              <w:jc w:val="left"/>
              <w:rPr>
                <w:sz w:val="21"/>
                <w:szCs w:val="21"/>
              </w:rPr>
            </w:pPr>
          </w:p>
        </w:tc>
        <w:tc>
          <w:tcPr>
            <w:tcW w:w="1520" w:type="dxa"/>
            <w:vMerge w:val="continue"/>
            <w:vAlign w:val="center"/>
          </w:tcPr>
          <w:p w14:paraId="35E3CBF5">
            <w:pPr>
              <w:jc w:val="center"/>
              <w:rPr>
                <w:sz w:val="21"/>
                <w:szCs w:val="21"/>
              </w:rPr>
            </w:pPr>
          </w:p>
        </w:tc>
        <w:tc>
          <w:tcPr>
            <w:tcW w:w="1629" w:type="dxa"/>
            <w:vAlign w:val="center"/>
          </w:tcPr>
          <w:p w14:paraId="0C0B50A8">
            <w:pPr>
              <w:jc w:val="center"/>
              <w:rPr>
                <w:sz w:val="21"/>
                <w:szCs w:val="21"/>
              </w:rPr>
            </w:pPr>
            <w:r>
              <w:rPr>
                <w:sz w:val="21"/>
                <w:szCs w:val="21"/>
              </w:rPr>
              <w:t>监测点位</w:t>
            </w:r>
          </w:p>
        </w:tc>
        <w:tc>
          <w:tcPr>
            <w:tcW w:w="2828" w:type="dxa"/>
            <w:gridSpan w:val="4"/>
            <w:vAlign w:val="center"/>
          </w:tcPr>
          <w:p w14:paraId="76BA3155">
            <w:pPr>
              <w:jc w:val="center"/>
              <w:rPr>
                <w:sz w:val="21"/>
                <w:szCs w:val="21"/>
              </w:rPr>
            </w:pPr>
            <w:r>
              <w:rPr>
                <w:sz w:val="21"/>
                <w:szCs w:val="21"/>
              </w:rPr>
              <w:t>（）</w:t>
            </w:r>
          </w:p>
        </w:tc>
        <w:tc>
          <w:tcPr>
            <w:tcW w:w="2829" w:type="dxa"/>
            <w:gridSpan w:val="4"/>
            <w:vAlign w:val="center"/>
          </w:tcPr>
          <w:p w14:paraId="42D612CE">
            <w:pPr>
              <w:jc w:val="center"/>
              <w:rPr>
                <w:sz w:val="21"/>
                <w:szCs w:val="21"/>
              </w:rPr>
            </w:pPr>
            <w:r>
              <w:rPr>
                <w:sz w:val="21"/>
                <w:szCs w:val="21"/>
              </w:rPr>
              <w:t>（）</w:t>
            </w:r>
          </w:p>
        </w:tc>
      </w:tr>
      <w:tr w14:paraId="7BDEA66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424" w:type="dxa"/>
            <w:vMerge w:val="continue"/>
            <w:vAlign w:val="center"/>
          </w:tcPr>
          <w:p w14:paraId="4E8115F9">
            <w:pPr>
              <w:jc w:val="left"/>
              <w:rPr>
                <w:sz w:val="21"/>
                <w:szCs w:val="21"/>
              </w:rPr>
            </w:pPr>
          </w:p>
        </w:tc>
        <w:tc>
          <w:tcPr>
            <w:tcW w:w="1520" w:type="dxa"/>
            <w:vMerge w:val="continue"/>
            <w:vAlign w:val="center"/>
          </w:tcPr>
          <w:p w14:paraId="645465AC">
            <w:pPr>
              <w:jc w:val="center"/>
              <w:rPr>
                <w:sz w:val="21"/>
                <w:szCs w:val="21"/>
              </w:rPr>
            </w:pPr>
          </w:p>
        </w:tc>
        <w:tc>
          <w:tcPr>
            <w:tcW w:w="1629" w:type="dxa"/>
            <w:vAlign w:val="center"/>
          </w:tcPr>
          <w:p w14:paraId="1E0A3BA2">
            <w:pPr>
              <w:jc w:val="center"/>
              <w:rPr>
                <w:sz w:val="21"/>
                <w:szCs w:val="21"/>
              </w:rPr>
            </w:pPr>
            <w:r>
              <w:rPr>
                <w:sz w:val="21"/>
                <w:szCs w:val="21"/>
              </w:rPr>
              <w:t>监测因子</w:t>
            </w:r>
          </w:p>
        </w:tc>
        <w:tc>
          <w:tcPr>
            <w:tcW w:w="2828" w:type="dxa"/>
            <w:gridSpan w:val="4"/>
            <w:vAlign w:val="center"/>
          </w:tcPr>
          <w:p w14:paraId="241CDAF9">
            <w:pPr>
              <w:jc w:val="center"/>
              <w:rPr>
                <w:sz w:val="21"/>
                <w:szCs w:val="21"/>
              </w:rPr>
            </w:pPr>
            <w:r>
              <w:rPr>
                <w:sz w:val="21"/>
                <w:szCs w:val="21"/>
              </w:rPr>
              <w:t>（）</w:t>
            </w:r>
          </w:p>
        </w:tc>
        <w:tc>
          <w:tcPr>
            <w:tcW w:w="2829" w:type="dxa"/>
            <w:gridSpan w:val="4"/>
            <w:vAlign w:val="center"/>
          </w:tcPr>
          <w:p w14:paraId="66A865CA">
            <w:pPr>
              <w:jc w:val="center"/>
              <w:rPr>
                <w:sz w:val="21"/>
                <w:szCs w:val="21"/>
              </w:rPr>
            </w:pPr>
            <w:r>
              <w:rPr>
                <w:sz w:val="21"/>
                <w:szCs w:val="21"/>
              </w:rPr>
              <w:t>（）</w:t>
            </w:r>
          </w:p>
        </w:tc>
      </w:tr>
      <w:tr w14:paraId="0AD069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24" w:type="dxa"/>
            <w:vMerge w:val="continue"/>
            <w:vAlign w:val="center"/>
          </w:tcPr>
          <w:p w14:paraId="5ACAEC97">
            <w:pPr>
              <w:jc w:val="left"/>
              <w:rPr>
                <w:sz w:val="21"/>
                <w:szCs w:val="21"/>
              </w:rPr>
            </w:pPr>
          </w:p>
        </w:tc>
        <w:tc>
          <w:tcPr>
            <w:tcW w:w="1520" w:type="dxa"/>
            <w:vAlign w:val="center"/>
          </w:tcPr>
          <w:p w14:paraId="15496724">
            <w:pPr>
              <w:jc w:val="center"/>
              <w:rPr>
                <w:sz w:val="21"/>
                <w:szCs w:val="21"/>
              </w:rPr>
            </w:pPr>
            <w:r>
              <w:rPr>
                <w:sz w:val="21"/>
                <w:szCs w:val="21"/>
              </w:rPr>
              <w:t>污染物排放清单</w:t>
            </w:r>
          </w:p>
        </w:tc>
        <w:tc>
          <w:tcPr>
            <w:tcW w:w="7286" w:type="dxa"/>
            <w:gridSpan w:val="9"/>
            <w:vAlign w:val="center"/>
          </w:tcPr>
          <w:p w14:paraId="470819F2">
            <w:pPr>
              <w:rPr>
                <w:sz w:val="21"/>
                <w:szCs w:val="21"/>
              </w:rPr>
            </w:pPr>
            <w:r>
              <w:rPr>
                <w:sz w:val="21"/>
                <w:szCs w:val="21"/>
                <w:lang w:bidi="ar"/>
              </w:rPr>
              <w:t>☑</w:t>
            </w:r>
          </w:p>
        </w:tc>
      </w:tr>
      <w:tr w14:paraId="4F0A57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24" w:type="dxa"/>
            <w:vMerge w:val="continue"/>
            <w:vAlign w:val="center"/>
          </w:tcPr>
          <w:p w14:paraId="6EBF2CB6">
            <w:pPr>
              <w:jc w:val="left"/>
              <w:rPr>
                <w:sz w:val="21"/>
                <w:szCs w:val="21"/>
              </w:rPr>
            </w:pPr>
          </w:p>
        </w:tc>
        <w:tc>
          <w:tcPr>
            <w:tcW w:w="1520" w:type="dxa"/>
            <w:vAlign w:val="center"/>
          </w:tcPr>
          <w:p w14:paraId="44305FD8">
            <w:pPr>
              <w:jc w:val="center"/>
              <w:rPr>
                <w:sz w:val="21"/>
                <w:szCs w:val="21"/>
              </w:rPr>
            </w:pPr>
            <w:r>
              <w:rPr>
                <w:sz w:val="21"/>
                <w:szCs w:val="21"/>
              </w:rPr>
              <w:t>评价结论</w:t>
            </w:r>
          </w:p>
        </w:tc>
        <w:tc>
          <w:tcPr>
            <w:tcW w:w="7286" w:type="dxa"/>
            <w:gridSpan w:val="9"/>
            <w:vAlign w:val="center"/>
          </w:tcPr>
          <w:p w14:paraId="46DEB098">
            <w:pPr>
              <w:rPr>
                <w:sz w:val="21"/>
                <w:szCs w:val="21"/>
              </w:rPr>
            </w:pPr>
            <w:r>
              <w:rPr>
                <w:sz w:val="21"/>
                <w:szCs w:val="21"/>
              </w:rPr>
              <w:t xml:space="preserve">可以接受 </w:t>
            </w:r>
            <w:r>
              <w:rPr>
                <w:sz w:val="21"/>
                <w:szCs w:val="21"/>
                <w:lang w:bidi="ar"/>
              </w:rPr>
              <w:t>☑</w:t>
            </w:r>
            <w:r>
              <w:rPr>
                <w:sz w:val="21"/>
                <w:szCs w:val="21"/>
              </w:rPr>
              <w:t xml:space="preserve">；不可以接受 </w:t>
            </w:r>
            <w:r>
              <w:rPr>
                <w:sz w:val="21"/>
                <w:szCs w:val="21"/>
                <w:lang w:bidi="ar"/>
              </w:rPr>
              <w:t>□</w:t>
            </w:r>
          </w:p>
        </w:tc>
      </w:tr>
    </w:tbl>
    <w:p w14:paraId="26287C8A">
      <w:pPr>
        <w:rPr>
          <w:b/>
          <w:bCs/>
          <w:kern w:val="24"/>
          <w:sz w:val="28"/>
          <w:szCs w:val="28"/>
        </w:rPr>
      </w:pPr>
      <w:r>
        <w:rPr>
          <w:b/>
          <w:bCs/>
          <w:kern w:val="24"/>
          <w:sz w:val="28"/>
          <w:szCs w:val="28"/>
        </w:rPr>
        <w:br w:type="page"/>
      </w:r>
    </w:p>
    <w:p w14:paraId="033E6B4A">
      <w:pPr>
        <w:spacing w:line="360" w:lineRule="auto"/>
        <w:jc w:val="center"/>
        <w:textAlignment w:val="baseline"/>
      </w:pPr>
      <w:r>
        <w:rPr>
          <w:b/>
          <w:bCs/>
          <w:kern w:val="24"/>
          <w:sz w:val="28"/>
          <w:szCs w:val="28"/>
        </w:rPr>
        <w:t>附表3  土壤环境影响评价自查表</w:t>
      </w:r>
    </w:p>
    <w:tbl>
      <w:tblPr>
        <w:tblStyle w:val="53"/>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753"/>
        <w:gridCol w:w="1410"/>
        <w:gridCol w:w="1216"/>
        <w:gridCol w:w="194"/>
        <w:gridCol w:w="1410"/>
        <w:gridCol w:w="280"/>
        <w:gridCol w:w="1130"/>
        <w:gridCol w:w="1118"/>
      </w:tblGrid>
      <w:tr w14:paraId="01BFABA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4" w:type="dxa"/>
            <w:gridSpan w:val="2"/>
            <w:vAlign w:val="center"/>
          </w:tcPr>
          <w:p w14:paraId="10087FBF">
            <w:pPr>
              <w:jc w:val="center"/>
              <w:rPr>
                <w:sz w:val="21"/>
                <w:szCs w:val="21"/>
              </w:rPr>
            </w:pPr>
            <w:r>
              <w:rPr>
                <w:sz w:val="21"/>
                <w:szCs w:val="21"/>
              </w:rPr>
              <w:t>工作内容</w:t>
            </w:r>
          </w:p>
        </w:tc>
        <w:tc>
          <w:tcPr>
            <w:tcW w:w="5640" w:type="dxa"/>
            <w:gridSpan w:val="6"/>
            <w:vAlign w:val="center"/>
          </w:tcPr>
          <w:p w14:paraId="669D1BE1">
            <w:pPr>
              <w:jc w:val="center"/>
              <w:rPr>
                <w:sz w:val="21"/>
                <w:szCs w:val="21"/>
              </w:rPr>
            </w:pPr>
            <w:r>
              <w:rPr>
                <w:sz w:val="21"/>
                <w:szCs w:val="21"/>
              </w:rPr>
              <w:t>完成情况</w:t>
            </w:r>
          </w:p>
        </w:tc>
        <w:tc>
          <w:tcPr>
            <w:tcW w:w="1118" w:type="dxa"/>
            <w:vAlign w:val="center"/>
          </w:tcPr>
          <w:p w14:paraId="1D4636A4">
            <w:pPr>
              <w:jc w:val="center"/>
              <w:rPr>
                <w:sz w:val="21"/>
                <w:szCs w:val="21"/>
              </w:rPr>
            </w:pPr>
            <w:r>
              <w:rPr>
                <w:sz w:val="21"/>
                <w:szCs w:val="21"/>
              </w:rPr>
              <w:t>备注</w:t>
            </w:r>
          </w:p>
        </w:tc>
      </w:tr>
      <w:tr w14:paraId="499545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restart"/>
            <w:vAlign w:val="center"/>
          </w:tcPr>
          <w:p w14:paraId="19B435FE">
            <w:pPr>
              <w:jc w:val="center"/>
              <w:rPr>
                <w:sz w:val="21"/>
                <w:szCs w:val="21"/>
              </w:rPr>
            </w:pPr>
            <w:r>
              <w:rPr>
                <w:sz w:val="21"/>
                <w:szCs w:val="21"/>
              </w:rPr>
              <w:t>影响识别</w:t>
            </w:r>
          </w:p>
        </w:tc>
        <w:tc>
          <w:tcPr>
            <w:tcW w:w="1753" w:type="dxa"/>
            <w:vAlign w:val="center"/>
          </w:tcPr>
          <w:p w14:paraId="360C3E67">
            <w:pPr>
              <w:jc w:val="center"/>
              <w:rPr>
                <w:sz w:val="21"/>
                <w:szCs w:val="21"/>
              </w:rPr>
            </w:pPr>
            <w:r>
              <w:rPr>
                <w:sz w:val="21"/>
                <w:szCs w:val="21"/>
              </w:rPr>
              <w:t>影响类型</w:t>
            </w:r>
          </w:p>
        </w:tc>
        <w:tc>
          <w:tcPr>
            <w:tcW w:w="5640" w:type="dxa"/>
            <w:gridSpan w:val="6"/>
            <w:vAlign w:val="center"/>
          </w:tcPr>
          <w:p w14:paraId="0A472F04">
            <w:pPr>
              <w:jc w:val="center"/>
              <w:rPr>
                <w:sz w:val="21"/>
                <w:szCs w:val="21"/>
              </w:rPr>
            </w:pPr>
            <w:r>
              <w:rPr>
                <w:sz w:val="21"/>
                <w:szCs w:val="21"/>
              </w:rPr>
              <w:t>污染影响型</w:t>
            </w:r>
            <w:r>
              <w:rPr>
                <w:sz w:val="21"/>
                <w:szCs w:val="21"/>
                <w:lang w:bidi="ar"/>
              </w:rPr>
              <w:t>☑；生态影响型□；两种兼有□</w:t>
            </w:r>
          </w:p>
        </w:tc>
        <w:tc>
          <w:tcPr>
            <w:tcW w:w="1118" w:type="dxa"/>
            <w:vAlign w:val="center"/>
          </w:tcPr>
          <w:p w14:paraId="29A33F67">
            <w:pPr>
              <w:jc w:val="center"/>
              <w:rPr>
                <w:sz w:val="21"/>
                <w:szCs w:val="21"/>
              </w:rPr>
            </w:pPr>
          </w:p>
        </w:tc>
      </w:tr>
      <w:tr w14:paraId="18B270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0025EF84">
            <w:pPr>
              <w:jc w:val="center"/>
              <w:rPr>
                <w:sz w:val="21"/>
                <w:szCs w:val="21"/>
              </w:rPr>
            </w:pPr>
          </w:p>
        </w:tc>
        <w:tc>
          <w:tcPr>
            <w:tcW w:w="1753" w:type="dxa"/>
            <w:vAlign w:val="center"/>
          </w:tcPr>
          <w:p w14:paraId="6FF02200">
            <w:pPr>
              <w:jc w:val="center"/>
              <w:rPr>
                <w:sz w:val="21"/>
                <w:szCs w:val="21"/>
              </w:rPr>
            </w:pPr>
            <w:r>
              <w:rPr>
                <w:sz w:val="21"/>
                <w:szCs w:val="21"/>
              </w:rPr>
              <w:t>土地利用类型</w:t>
            </w:r>
          </w:p>
        </w:tc>
        <w:tc>
          <w:tcPr>
            <w:tcW w:w="5640" w:type="dxa"/>
            <w:gridSpan w:val="6"/>
            <w:vAlign w:val="center"/>
          </w:tcPr>
          <w:p w14:paraId="4FD959CB">
            <w:pPr>
              <w:jc w:val="center"/>
              <w:rPr>
                <w:sz w:val="21"/>
                <w:szCs w:val="21"/>
              </w:rPr>
            </w:pPr>
            <w:r>
              <w:rPr>
                <w:sz w:val="21"/>
                <w:szCs w:val="21"/>
              </w:rPr>
              <w:t>建设用地</w:t>
            </w:r>
            <w:r>
              <w:rPr>
                <w:sz w:val="21"/>
                <w:szCs w:val="21"/>
                <w:lang w:bidi="ar"/>
              </w:rPr>
              <w:t>☑；农用地□；未利用地□</w:t>
            </w:r>
          </w:p>
        </w:tc>
        <w:tc>
          <w:tcPr>
            <w:tcW w:w="1118" w:type="dxa"/>
            <w:vAlign w:val="center"/>
          </w:tcPr>
          <w:p w14:paraId="1AB36F66">
            <w:pPr>
              <w:jc w:val="center"/>
              <w:rPr>
                <w:sz w:val="21"/>
                <w:szCs w:val="21"/>
              </w:rPr>
            </w:pPr>
            <w:r>
              <w:rPr>
                <w:sz w:val="21"/>
                <w:szCs w:val="21"/>
              </w:rPr>
              <w:t>土地利用类型图</w:t>
            </w:r>
          </w:p>
        </w:tc>
      </w:tr>
      <w:tr w14:paraId="7051F7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24A26BEA">
            <w:pPr>
              <w:jc w:val="center"/>
              <w:rPr>
                <w:sz w:val="21"/>
                <w:szCs w:val="21"/>
              </w:rPr>
            </w:pPr>
          </w:p>
        </w:tc>
        <w:tc>
          <w:tcPr>
            <w:tcW w:w="1753" w:type="dxa"/>
            <w:vAlign w:val="center"/>
          </w:tcPr>
          <w:p w14:paraId="253AFF8F">
            <w:pPr>
              <w:jc w:val="center"/>
              <w:rPr>
                <w:sz w:val="21"/>
                <w:szCs w:val="21"/>
              </w:rPr>
            </w:pPr>
            <w:r>
              <w:rPr>
                <w:sz w:val="21"/>
                <w:szCs w:val="21"/>
              </w:rPr>
              <w:t>占地规模</w:t>
            </w:r>
          </w:p>
        </w:tc>
        <w:tc>
          <w:tcPr>
            <w:tcW w:w="5640" w:type="dxa"/>
            <w:gridSpan w:val="6"/>
            <w:vAlign w:val="center"/>
          </w:tcPr>
          <w:p w14:paraId="6811B328">
            <w:pPr>
              <w:jc w:val="center"/>
              <w:rPr>
                <w:sz w:val="21"/>
                <w:szCs w:val="21"/>
              </w:rPr>
            </w:pPr>
            <w:r>
              <w:rPr>
                <w:sz w:val="21"/>
                <w:szCs w:val="21"/>
              </w:rPr>
              <w:t>（</w:t>
            </w:r>
            <w:r>
              <w:rPr>
                <w:rFonts w:hint="eastAsia"/>
                <w:sz w:val="21"/>
                <w:szCs w:val="21"/>
                <w:shd w:val="clear" w:color="auto" w:fill="FFFFFF"/>
              </w:rPr>
              <w:t>4.0131</w:t>
            </w:r>
            <w:r>
              <w:rPr>
                <w:sz w:val="21"/>
                <w:szCs w:val="21"/>
                <w:shd w:val="clear" w:color="auto" w:fill="FFFFFF"/>
              </w:rPr>
              <w:t>）</w:t>
            </w:r>
            <w:r>
              <w:rPr>
                <w:sz w:val="21"/>
                <w:szCs w:val="21"/>
              </w:rPr>
              <w:t>hm</w:t>
            </w:r>
            <w:r>
              <w:rPr>
                <w:sz w:val="21"/>
                <w:szCs w:val="21"/>
                <w:vertAlign w:val="superscript"/>
              </w:rPr>
              <w:t>2</w:t>
            </w:r>
          </w:p>
        </w:tc>
        <w:tc>
          <w:tcPr>
            <w:tcW w:w="1118" w:type="dxa"/>
            <w:vAlign w:val="center"/>
          </w:tcPr>
          <w:p w14:paraId="0EB76F74">
            <w:pPr>
              <w:jc w:val="center"/>
              <w:rPr>
                <w:sz w:val="21"/>
                <w:szCs w:val="21"/>
              </w:rPr>
            </w:pPr>
          </w:p>
        </w:tc>
      </w:tr>
      <w:tr w14:paraId="04BBDE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17177757">
            <w:pPr>
              <w:jc w:val="center"/>
              <w:rPr>
                <w:sz w:val="21"/>
                <w:szCs w:val="21"/>
              </w:rPr>
            </w:pPr>
          </w:p>
        </w:tc>
        <w:tc>
          <w:tcPr>
            <w:tcW w:w="1753" w:type="dxa"/>
            <w:vAlign w:val="center"/>
          </w:tcPr>
          <w:p w14:paraId="5CE0AA7A">
            <w:pPr>
              <w:jc w:val="center"/>
              <w:rPr>
                <w:sz w:val="21"/>
                <w:szCs w:val="21"/>
              </w:rPr>
            </w:pPr>
            <w:r>
              <w:rPr>
                <w:sz w:val="21"/>
                <w:szCs w:val="21"/>
              </w:rPr>
              <w:t>敏感目标信息</w:t>
            </w:r>
          </w:p>
        </w:tc>
        <w:tc>
          <w:tcPr>
            <w:tcW w:w="5640" w:type="dxa"/>
            <w:gridSpan w:val="6"/>
            <w:vAlign w:val="center"/>
          </w:tcPr>
          <w:p w14:paraId="72583400">
            <w:pPr>
              <w:jc w:val="center"/>
              <w:rPr>
                <w:sz w:val="21"/>
                <w:szCs w:val="21"/>
              </w:rPr>
            </w:pPr>
            <w:r>
              <w:rPr>
                <w:sz w:val="21"/>
                <w:szCs w:val="21"/>
              </w:rPr>
              <w:t>敏感目标（</w:t>
            </w:r>
            <w:r>
              <w:rPr>
                <w:bCs/>
                <w:kern w:val="21"/>
                <w:sz w:val="21"/>
                <w:szCs w:val="21"/>
              </w:rPr>
              <w:t>厂区占地范围内土壤环境以及厂界四周0.5km范围内</w:t>
            </w:r>
            <w:r>
              <w:rPr>
                <w:sz w:val="21"/>
                <w:szCs w:val="21"/>
              </w:rPr>
              <w:t>）、方位（    ）、距离（    ）</w:t>
            </w:r>
          </w:p>
        </w:tc>
        <w:tc>
          <w:tcPr>
            <w:tcW w:w="1118" w:type="dxa"/>
            <w:vAlign w:val="center"/>
          </w:tcPr>
          <w:p w14:paraId="4681C092">
            <w:pPr>
              <w:jc w:val="center"/>
              <w:rPr>
                <w:sz w:val="21"/>
                <w:szCs w:val="21"/>
              </w:rPr>
            </w:pPr>
          </w:p>
        </w:tc>
      </w:tr>
      <w:tr w14:paraId="3AB79F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1115FAC8">
            <w:pPr>
              <w:jc w:val="center"/>
              <w:rPr>
                <w:sz w:val="21"/>
                <w:szCs w:val="21"/>
              </w:rPr>
            </w:pPr>
          </w:p>
        </w:tc>
        <w:tc>
          <w:tcPr>
            <w:tcW w:w="1753" w:type="dxa"/>
            <w:vAlign w:val="center"/>
          </w:tcPr>
          <w:p w14:paraId="29DB6D5E">
            <w:pPr>
              <w:jc w:val="center"/>
              <w:rPr>
                <w:sz w:val="21"/>
                <w:szCs w:val="21"/>
              </w:rPr>
            </w:pPr>
            <w:r>
              <w:rPr>
                <w:sz w:val="21"/>
                <w:szCs w:val="21"/>
              </w:rPr>
              <w:t>影响途径</w:t>
            </w:r>
          </w:p>
        </w:tc>
        <w:tc>
          <w:tcPr>
            <w:tcW w:w="5640" w:type="dxa"/>
            <w:gridSpan w:val="6"/>
            <w:vAlign w:val="center"/>
          </w:tcPr>
          <w:p w14:paraId="58B0D251">
            <w:pPr>
              <w:jc w:val="center"/>
              <w:rPr>
                <w:sz w:val="21"/>
                <w:szCs w:val="21"/>
              </w:rPr>
            </w:pPr>
            <w:r>
              <w:rPr>
                <w:sz w:val="21"/>
                <w:szCs w:val="21"/>
              </w:rPr>
              <w:t>大气沉降</w:t>
            </w:r>
            <w:r>
              <w:rPr>
                <w:sz w:val="21"/>
                <w:szCs w:val="21"/>
                <w:lang w:bidi="ar"/>
              </w:rPr>
              <w:t>□；地面漫流□；垂直入渗☑；地下水位□；其他（   ）</w:t>
            </w:r>
          </w:p>
        </w:tc>
        <w:tc>
          <w:tcPr>
            <w:tcW w:w="1118" w:type="dxa"/>
            <w:vAlign w:val="center"/>
          </w:tcPr>
          <w:p w14:paraId="5FE1D0D9">
            <w:pPr>
              <w:jc w:val="center"/>
              <w:rPr>
                <w:sz w:val="21"/>
                <w:szCs w:val="21"/>
              </w:rPr>
            </w:pPr>
          </w:p>
        </w:tc>
      </w:tr>
      <w:tr w14:paraId="5CE23D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48B0506A">
            <w:pPr>
              <w:jc w:val="center"/>
              <w:rPr>
                <w:sz w:val="21"/>
                <w:szCs w:val="21"/>
              </w:rPr>
            </w:pPr>
          </w:p>
        </w:tc>
        <w:tc>
          <w:tcPr>
            <w:tcW w:w="1753" w:type="dxa"/>
            <w:vAlign w:val="center"/>
          </w:tcPr>
          <w:p w14:paraId="08FCB033">
            <w:pPr>
              <w:jc w:val="center"/>
              <w:rPr>
                <w:sz w:val="21"/>
                <w:szCs w:val="21"/>
              </w:rPr>
            </w:pPr>
            <w:r>
              <w:rPr>
                <w:sz w:val="21"/>
                <w:szCs w:val="21"/>
              </w:rPr>
              <w:t>全部污染物</w:t>
            </w:r>
          </w:p>
        </w:tc>
        <w:tc>
          <w:tcPr>
            <w:tcW w:w="5640" w:type="dxa"/>
            <w:gridSpan w:val="6"/>
            <w:vAlign w:val="center"/>
          </w:tcPr>
          <w:p w14:paraId="6BADD2D9">
            <w:pPr>
              <w:jc w:val="center"/>
              <w:rPr>
                <w:sz w:val="21"/>
                <w:szCs w:val="21"/>
              </w:rPr>
            </w:pPr>
            <w:r>
              <w:rPr>
                <w:sz w:val="21"/>
                <w:szCs w:val="21"/>
              </w:rPr>
              <w:t>GB15618-2018</w:t>
            </w:r>
            <w:r>
              <w:rPr>
                <w:sz w:val="21"/>
                <w:szCs w:val="21"/>
                <w:lang w:bidi="ar"/>
              </w:rPr>
              <w:t>中45项因子</w:t>
            </w:r>
          </w:p>
        </w:tc>
        <w:tc>
          <w:tcPr>
            <w:tcW w:w="1118" w:type="dxa"/>
            <w:vAlign w:val="center"/>
          </w:tcPr>
          <w:p w14:paraId="4709BF16">
            <w:pPr>
              <w:jc w:val="center"/>
              <w:rPr>
                <w:sz w:val="21"/>
                <w:szCs w:val="21"/>
              </w:rPr>
            </w:pPr>
          </w:p>
        </w:tc>
      </w:tr>
      <w:tr w14:paraId="09672E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492F77AD">
            <w:pPr>
              <w:jc w:val="center"/>
              <w:rPr>
                <w:sz w:val="21"/>
                <w:szCs w:val="21"/>
              </w:rPr>
            </w:pPr>
          </w:p>
        </w:tc>
        <w:tc>
          <w:tcPr>
            <w:tcW w:w="1753" w:type="dxa"/>
            <w:vAlign w:val="center"/>
          </w:tcPr>
          <w:p w14:paraId="7AD582A8">
            <w:pPr>
              <w:jc w:val="center"/>
              <w:rPr>
                <w:sz w:val="21"/>
                <w:szCs w:val="21"/>
              </w:rPr>
            </w:pPr>
            <w:r>
              <w:rPr>
                <w:sz w:val="21"/>
                <w:szCs w:val="21"/>
              </w:rPr>
              <w:t>特征因子</w:t>
            </w:r>
          </w:p>
        </w:tc>
        <w:tc>
          <w:tcPr>
            <w:tcW w:w="5640" w:type="dxa"/>
            <w:gridSpan w:val="6"/>
            <w:vAlign w:val="center"/>
          </w:tcPr>
          <w:p w14:paraId="0ACDA01F">
            <w:pPr>
              <w:jc w:val="center"/>
              <w:rPr>
                <w:sz w:val="21"/>
                <w:szCs w:val="21"/>
              </w:rPr>
            </w:pPr>
            <w:r>
              <w:rPr>
                <w:sz w:val="21"/>
                <w:szCs w:val="21"/>
              </w:rPr>
              <w:t>汞</w:t>
            </w:r>
          </w:p>
        </w:tc>
        <w:tc>
          <w:tcPr>
            <w:tcW w:w="1118" w:type="dxa"/>
            <w:vAlign w:val="center"/>
          </w:tcPr>
          <w:p w14:paraId="0DFBCCFE">
            <w:pPr>
              <w:jc w:val="center"/>
              <w:rPr>
                <w:sz w:val="21"/>
                <w:szCs w:val="21"/>
              </w:rPr>
            </w:pPr>
          </w:p>
        </w:tc>
      </w:tr>
      <w:tr w14:paraId="0248F6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685F4B38">
            <w:pPr>
              <w:jc w:val="center"/>
              <w:rPr>
                <w:sz w:val="21"/>
                <w:szCs w:val="21"/>
              </w:rPr>
            </w:pPr>
          </w:p>
        </w:tc>
        <w:tc>
          <w:tcPr>
            <w:tcW w:w="1753" w:type="dxa"/>
            <w:vAlign w:val="center"/>
          </w:tcPr>
          <w:p w14:paraId="6EDA3210">
            <w:pPr>
              <w:jc w:val="center"/>
              <w:rPr>
                <w:sz w:val="21"/>
                <w:szCs w:val="21"/>
              </w:rPr>
            </w:pPr>
            <w:r>
              <w:rPr>
                <w:sz w:val="21"/>
                <w:szCs w:val="21"/>
              </w:rPr>
              <w:t>所属土壤环境影响评价项目类别</w:t>
            </w:r>
          </w:p>
        </w:tc>
        <w:tc>
          <w:tcPr>
            <w:tcW w:w="5640" w:type="dxa"/>
            <w:gridSpan w:val="6"/>
            <w:vAlign w:val="center"/>
          </w:tcPr>
          <w:p w14:paraId="043F7541">
            <w:pPr>
              <w:jc w:val="center"/>
              <w:rPr>
                <w:sz w:val="21"/>
                <w:szCs w:val="21"/>
              </w:rPr>
            </w:pPr>
            <w:r>
              <w:rPr>
                <w:sz w:val="21"/>
                <w:szCs w:val="21"/>
              </w:rPr>
              <w:fldChar w:fldCharType="begin"/>
            </w:r>
            <w:r>
              <w:rPr>
                <w:sz w:val="21"/>
                <w:szCs w:val="21"/>
              </w:rPr>
              <w:instrText xml:space="preserve"> = 1 \* ROMAN \* MERGEFORMAT </w:instrText>
            </w:r>
            <w:r>
              <w:rPr>
                <w:sz w:val="21"/>
                <w:szCs w:val="21"/>
              </w:rPr>
              <w:fldChar w:fldCharType="separate"/>
            </w:r>
            <w:r>
              <w:rPr>
                <w:sz w:val="21"/>
                <w:szCs w:val="21"/>
              </w:rPr>
              <w:t>I</w:t>
            </w:r>
            <w:r>
              <w:rPr>
                <w:sz w:val="21"/>
                <w:szCs w:val="21"/>
              </w:rPr>
              <w:fldChar w:fldCharType="end"/>
            </w:r>
            <w:r>
              <w:rPr>
                <w:sz w:val="21"/>
                <w:szCs w:val="21"/>
              </w:rPr>
              <w:t xml:space="preserve">类 </w:t>
            </w:r>
            <w:r>
              <w:rPr>
                <w:sz w:val="21"/>
                <w:szCs w:val="21"/>
                <w:lang w:bidi="ar"/>
              </w:rPr>
              <w:t>□</w:t>
            </w:r>
            <w:r>
              <w:rPr>
                <w:sz w:val="21"/>
                <w:szCs w:val="21"/>
              </w:rPr>
              <w:t xml:space="preserve">； </w:t>
            </w:r>
            <w:r>
              <w:rPr>
                <w:sz w:val="21"/>
                <w:szCs w:val="21"/>
              </w:rPr>
              <w:fldChar w:fldCharType="begin"/>
            </w:r>
            <w:r>
              <w:rPr>
                <w:sz w:val="21"/>
                <w:szCs w:val="21"/>
              </w:rPr>
              <w:instrText xml:space="preserve"> = 2 \* ROMAN \* MERGEFORMAT </w:instrText>
            </w:r>
            <w:r>
              <w:rPr>
                <w:sz w:val="21"/>
                <w:szCs w:val="21"/>
              </w:rPr>
              <w:fldChar w:fldCharType="separate"/>
            </w:r>
            <w:r>
              <w:rPr>
                <w:sz w:val="21"/>
                <w:szCs w:val="21"/>
              </w:rPr>
              <w:t>II</w:t>
            </w:r>
            <w:r>
              <w:rPr>
                <w:sz w:val="21"/>
                <w:szCs w:val="21"/>
              </w:rPr>
              <w:fldChar w:fldCharType="end"/>
            </w:r>
            <w:r>
              <w:rPr>
                <w:sz w:val="21"/>
                <w:szCs w:val="21"/>
              </w:rPr>
              <w:t xml:space="preserve">类 </w:t>
            </w:r>
            <w:r>
              <w:rPr>
                <w:sz w:val="21"/>
                <w:szCs w:val="21"/>
                <w:lang w:bidi="ar"/>
              </w:rPr>
              <w:t>□</w:t>
            </w:r>
            <w:r>
              <w:rPr>
                <w:sz w:val="21"/>
                <w:szCs w:val="21"/>
              </w:rPr>
              <w:t>；</w:t>
            </w:r>
            <w:r>
              <w:rPr>
                <w:sz w:val="21"/>
                <w:szCs w:val="21"/>
              </w:rPr>
              <w:fldChar w:fldCharType="begin"/>
            </w:r>
            <w:r>
              <w:rPr>
                <w:sz w:val="21"/>
                <w:szCs w:val="21"/>
              </w:rPr>
              <w:instrText xml:space="preserve"> = 3 \* ROMAN \* MERGEFORMAT </w:instrText>
            </w:r>
            <w:r>
              <w:rPr>
                <w:sz w:val="21"/>
                <w:szCs w:val="21"/>
              </w:rPr>
              <w:fldChar w:fldCharType="separate"/>
            </w:r>
            <w:r>
              <w:rPr>
                <w:sz w:val="21"/>
                <w:szCs w:val="21"/>
              </w:rPr>
              <w:t>III</w:t>
            </w:r>
            <w:r>
              <w:rPr>
                <w:sz w:val="21"/>
                <w:szCs w:val="21"/>
              </w:rPr>
              <w:fldChar w:fldCharType="end"/>
            </w:r>
            <w:r>
              <w:rPr>
                <w:sz w:val="21"/>
                <w:szCs w:val="21"/>
              </w:rPr>
              <w:t xml:space="preserve">类 </w:t>
            </w:r>
            <w:r>
              <w:rPr>
                <w:sz w:val="21"/>
                <w:szCs w:val="21"/>
                <w:lang w:bidi="ar"/>
              </w:rPr>
              <w:t>☑</w:t>
            </w:r>
            <w:r>
              <w:rPr>
                <w:sz w:val="21"/>
                <w:szCs w:val="21"/>
              </w:rPr>
              <w:t>；</w:t>
            </w:r>
            <w:r>
              <w:rPr>
                <w:sz w:val="21"/>
                <w:szCs w:val="21"/>
              </w:rPr>
              <w:fldChar w:fldCharType="begin"/>
            </w:r>
            <w:r>
              <w:rPr>
                <w:sz w:val="21"/>
                <w:szCs w:val="21"/>
              </w:rPr>
              <w:instrText xml:space="preserve"> = 4 \* ROMAN \* MERGEFORMAT </w:instrText>
            </w:r>
            <w:r>
              <w:rPr>
                <w:sz w:val="21"/>
                <w:szCs w:val="21"/>
              </w:rPr>
              <w:fldChar w:fldCharType="separate"/>
            </w:r>
            <w:r>
              <w:rPr>
                <w:sz w:val="21"/>
                <w:szCs w:val="21"/>
              </w:rPr>
              <w:t>IV</w:t>
            </w:r>
            <w:r>
              <w:rPr>
                <w:sz w:val="21"/>
                <w:szCs w:val="21"/>
              </w:rPr>
              <w:fldChar w:fldCharType="end"/>
            </w:r>
            <w:r>
              <w:rPr>
                <w:sz w:val="21"/>
                <w:szCs w:val="21"/>
              </w:rPr>
              <w:t xml:space="preserve">类 </w:t>
            </w:r>
            <w:r>
              <w:rPr>
                <w:sz w:val="21"/>
                <w:szCs w:val="21"/>
                <w:lang w:bidi="ar"/>
              </w:rPr>
              <w:t>□</w:t>
            </w:r>
          </w:p>
        </w:tc>
        <w:tc>
          <w:tcPr>
            <w:tcW w:w="1118" w:type="dxa"/>
            <w:vAlign w:val="center"/>
          </w:tcPr>
          <w:p w14:paraId="23DF574E">
            <w:pPr>
              <w:jc w:val="center"/>
              <w:rPr>
                <w:sz w:val="21"/>
                <w:szCs w:val="21"/>
              </w:rPr>
            </w:pPr>
          </w:p>
        </w:tc>
      </w:tr>
      <w:tr w14:paraId="471CB6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1D8D1EDE">
            <w:pPr>
              <w:jc w:val="center"/>
              <w:rPr>
                <w:sz w:val="21"/>
                <w:szCs w:val="21"/>
              </w:rPr>
            </w:pPr>
          </w:p>
        </w:tc>
        <w:tc>
          <w:tcPr>
            <w:tcW w:w="1753" w:type="dxa"/>
            <w:vAlign w:val="center"/>
          </w:tcPr>
          <w:p w14:paraId="09C0D66F">
            <w:pPr>
              <w:jc w:val="center"/>
              <w:rPr>
                <w:sz w:val="21"/>
                <w:szCs w:val="21"/>
              </w:rPr>
            </w:pPr>
            <w:r>
              <w:rPr>
                <w:sz w:val="21"/>
                <w:szCs w:val="21"/>
              </w:rPr>
              <w:t>敏感程度</w:t>
            </w:r>
          </w:p>
        </w:tc>
        <w:tc>
          <w:tcPr>
            <w:tcW w:w="5640" w:type="dxa"/>
            <w:gridSpan w:val="6"/>
            <w:vAlign w:val="center"/>
          </w:tcPr>
          <w:p w14:paraId="321B4194">
            <w:pPr>
              <w:jc w:val="center"/>
              <w:rPr>
                <w:sz w:val="21"/>
                <w:szCs w:val="21"/>
              </w:rPr>
            </w:pPr>
            <w:r>
              <w:rPr>
                <w:sz w:val="21"/>
                <w:szCs w:val="21"/>
              </w:rPr>
              <w:t>敏感</w:t>
            </w:r>
            <w:r>
              <w:rPr>
                <w:sz w:val="21"/>
                <w:szCs w:val="21"/>
                <w:lang w:bidi="ar"/>
              </w:rPr>
              <w:t>☑；较敏感□；不敏感□</w:t>
            </w:r>
          </w:p>
        </w:tc>
        <w:tc>
          <w:tcPr>
            <w:tcW w:w="1118" w:type="dxa"/>
            <w:vAlign w:val="center"/>
          </w:tcPr>
          <w:p w14:paraId="0D2E5A9D">
            <w:pPr>
              <w:jc w:val="center"/>
              <w:rPr>
                <w:sz w:val="21"/>
                <w:szCs w:val="21"/>
              </w:rPr>
            </w:pPr>
          </w:p>
        </w:tc>
      </w:tr>
      <w:tr w14:paraId="5B2203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24" w:type="dxa"/>
            <w:gridSpan w:val="2"/>
            <w:vAlign w:val="center"/>
          </w:tcPr>
          <w:p w14:paraId="575437DB">
            <w:pPr>
              <w:jc w:val="center"/>
              <w:rPr>
                <w:sz w:val="21"/>
                <w:szCs w:val="21"/>
              </w:rPr>
            </w:pPr>
            <w:r>
              <w:rPr>
                <w:sz w:val="21"/>
                <w:szCs w:val="21"/>
              </w:rPr>
              <w:t>评价工作等级</w:t>
            </w:r>
          </w:p>
        </w:tc>
        <w:tc>
          <w:tcPr>
            <w:tcW w:w="5640" w:type="dxa"/>
            <w:gridSpan w:val="6"/>
            <w:vAlign w:val="center"/>
          </w:tcPr>
          <w:p w14:paraId="6081DB32">
            <w:pPr>
              <w:jc w:val="center"/>
              <w:rPr>
                <w:sz w:val="21"/>
                <w:szCs w:val="21"/>
              </w:rPr>
            </w:pPr>
            <w:r>
              <w:rPr>
                <w:sz w:val="21"/>
                <w:szCs w:val="21"/>
              </w:rPr>
              <w:t>一级</w:t>
            </w:r>
            <w:r>
              <w:rPr>
                <w:sz w:val="21"/>
                <w:szCs w:val="21"/>
                <w:lang w:bidi="ar"/>
              </w:rPr>
              <w:t>□；二级□；三级☑</w:t>
            </w:r>
          </w:p>
        </w:tc>
        <w:tc>
          <w:tcPr>
            <w:tcW w:w="1118" w:type="dxa"/>
            <w:vAlign w:val="center"/>
          </w:tcPr>
          <w:p w14:paraId="272DE8D6">
            <w:pPr>
              <w:jc w:val="center"/>
              <w:rPr>
                <w:sz w:val="21"/>
                <w:szCs w:val="21"/>
              </w:rPr>
            </w:pPr>
          </w:p>
        </w:tc>
      </w:tr>
      <w:tr w14:paraId="4293D9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restart"/>
            <w:vAlign w:val="center"/>
          </w:tcPr>
          <w:p w14:paraId="55427AFE">
            <w:pPr>
              <w:jc w:val="center"/>
              <w:rPr>
                <w:sz w:val="21"/>
                <w:szCs w:val="21"/>
              </w:rPr>
            </w:pPr>
            <w:r>
              <w:rPr>
                <w:sz w:val="21"/>
                <w:szCs w:val="21"/>
              </w:rPr>
              <w:t>现状调查内容</w:t>
            </w:r>
          </w:p>
        </w:tc>
        <w:tc>
          <w:tcPr>
            <w:tcW w:w="1753" w:type="dxa"/>
            <w:vAlign w:val="center"/>
          </w:tcPr>
          <w:p w14:paraId="4D60BD51">
            <w:pPr>
              <w:jc w:val="center"/>
              <w:rPr>
                <w:sz w:val="21"/>
                <w:szCs w:val="21"/>
              </w:rPr>
            </w:pPr>
            <w:r>
              <w:rPr>
                <w:sz w:val="21"/>
                <w:szCs w:val="21"/>
              </w:rPr>
              <w:t>资料收集</w:t>
            </w:r>
          </w:p>
        </w:tc>
        <w:tc>
          <w:tcPr>
            <w:tcW w:w="5640" w:type="dxa"/>
            <w:gridSpan w:val="6"/>
            <w:vAlign w:val="center"/>
          </w:tcPr>
          <w:p w14:paraId="77C360D2">
            <w:pPr>
              <w:jc w:val="center"/>
              <w:rPr>
                <w:sz w:val="21"/>
                <w:szCs w:val="21"/>
              </w:rPr>
            </w:pPr>
            <w:r>
              <w:rPr>
                <w:sz w:val="21"/>
                <w:szCs w:val="21"/>
              </w:rPr>
              <w:t>a）</w:t>
            </w:r>
            <w:r>
              <w:rPr>
                <w:sz w:val="21"/>
                <w:szCs w:val="21"/>
                <w:lang w:bidi="ar"/>
              </w:rPr>
              <w:t>□；</w:t>
            </w:r>
            <w:r>
              <w:rPr>
                <w:sz w:val="21"/>
                <w:szCs w:val="21"/>
              </w:rPr>
              <w:t>b）</w:t>
            </w:r>
            <w:r>
              <w:rPr>
                <w:sz w:val="21"/>
                <w:szCs w:val="21"/>
                <w:lang w:bidi="ar"/>
              </w:rPr>
              <w:t>☑；</w:t>
            </w:r>
            <w:r>
              <w:rPr>
                <w:sz w:val="21"/>
                <w:szCs w:val="21"/>
              </w:rPr>
              <w:t>c）</w:t>
            </w:r>
            <w:r>
              <w:rPr>
                <w:sz w:val="21"/>
                <w:szCs w:val="21"/>
                <w:lang w:bidi="ar"/>
              </w:rPr>
              <w:t>☑；</w:t>
            </w:r>
            <w:r>
              <w:rPr>
                <w:sz w:val="21"/>
                <w:szCs w:val="21"/>
              </w:rPr>
              <w:t>d）</w:t>
            </w:r>
            <w:r>
              <w:rPr>
                <w:sz w:val="21"/>
                <w:szCs w:val="21"/>
                <w:lang w:bidi="ar"/>
              </w:rPr>
              <w:t>☑</w:t>
            </w:r>
          </w:p>
        </w:tc>
        <w:tc>
          <w:tcPr>
            <w:tcW w:w="1118" w:type="dxa"/>
            <w:vAlign w:val="center"/>
          </w:tcPr>
          <w:p w14:paraId="07D5AFF5">
            <w:pPr>
              <w:jc w:val="center"/>
              <w:rPr>
                <w:sz w:val="21"/>
                <w:szCs w:val="21"/>
              </w:rPr>
            </w:pPr>
          </w:p>
        </w:tc>
      </w:tr>
      <w:tr w14:paraId="4DEC3E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16AA8124">
            <w:pPr>
              <w:jc w:val="center"/>
              <w:rPr>
                <w:sz w:val="21"/>
                <w:szCs w:val="21"/>
              </w:rPr>
            </w:pPr>
          </w:p>
        </w:tc>
        <w:tc>
          <w:tcPr>
            <w:tcW w:w="1753" w:type="dxa"/>
            <w:vAlign w:val="center"/>
          </w:tcPr>
          <w:p w14:paraId="16C9CA59">
            <w:pPr>
              <w:jc w:val="center"/>
              <w:rPr>
                <w:sz w:val="21"/>
                <w:szCs w:val="21"/>
              </w:rPr>
            </w:pPr>
            <w:r>
              <w:rPr>
                <w:sz w:val="21"/>
                <w:szCs w:val="21"/>
              </w:rPr>
              <w:t>理化特性</w:t>
            </w:r>
          </w:p>
        </w:tc>
        <w:tc>
          <w:tcPr>
            <w:tcW w:w="5640" w:type="dxa"/>
            <w:gridSpan w:val="6"/>
            <w:vAlign w:val="center"/>
          </w:tcPr>
          <w:p w14:paraId="2B0938AA">
            <w:pPr>
              <w:jc w:val="center"/>
              <w:rPr>
                <w:sz w:val="21"/>
                <w:szCs w:val="21"/>
              </w:rPr>
            </w:pPr>
            <w:r>
              <w:rPr>
                <w:sz w:val="21"/>
                <w:szCs w:val="21"/>
              </w:rPr>
              <w:t>详见附件：监测报告</w:t>
            </w:r>
          </w:p>
        </w:tc>
        <w:tc>
          <w:tcPr>
            <w:tcW w:w="1118" w:type="dxa"/>
            <w:vAlign w:val="center"/>
          </w:tcPr>
          <w:p w14:paraId="5884728D">
            <w:pPr>
              <w:jc w:val="center"/>
              <w:rPr>
                <w:sz w:val="21"/>
                <w:szCs w:val="21"/>
              </w:rPr>
            </w:pPr>
            <w:r>
              <w:rPr>
                <w:sz w:val="21"/>
                <w:szCs w:val="21"/>
              </w:rPr>
              <w:t>同附录C</w:t>
            </w:r>
          </w:p>
        </w:tc>
      </w:tr>
      <w:tr w14:paraId="2359229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482A1FE3">
            <w:pPr>
              <w:jc w:val="center"/>
              <w:rPr>
                <w:sz w:val="21"/>
                <w:szCs w:val="21"/>
              </w:rPr>
            </w:pPr>
          </w:p>
        </w:tc>
        <w:tc>
          <w:tcPr>
            <w:tcW w:w="1753" w:type="dxa"/>
            <w:vMerge w:val="restart"/>
            <w:vAlign w:val="center"/>
          </w:tcPr>
          <w:p w14:paraId="327CC905">
            <w:pPr>
              <w:jc w:val="center"/>
              <w:rPr>
                <w:sz w:val="21"/>
                <w:szCs w:val="21"/>
              </w:rPr>
            </w:pPr>
            <w:r>
              <w:rPr>
                <w:sz w:val="21"/>
                <w:szCs w:val="21"/>
              </w:rPr>
              <w:t>现状监测点位</w:t>
            </w:r>
          </w:p>
        </w:tc>
        <w:tc>
          <w:tcPr>
            <w:tcW w:w="1410" w:type="dxa"/>
            <w:vAlign w:val="center"/>
          </w:tcPr>
          <w:p w14:paraId="644B32A2">
            <w:pPr>
              <w:jc w:val="center"/>
              <w:rPr>
                <w:sz w:val="21"/>
                <w:szCs w:val="21"/>
              </w:rPr>
            </w:pPr>
          </w:p>
        </w:tc>
        <w:tc>
          <w:tcPr>
            <w:tcW w:w="1410" w:type="dxa"/>
            <w:gridSpan w:val="2"/>
            <w:vAlign w:val="center"/>
          </w:tcPr>
          <w:p w14:paraId="0BC117F9">
            <w:pPr>
              <w:jc w:val="center"/>
              <w:rPr>
                <w:sz w:val="21"/>
                <w:szCs w:val="21"/>
              </w:rPr>
            </w:pPr>
            <w:r>
              <w:rPr>
                <w:sz w:val="21"/>
                <w:szCs w:val="21"/>
              </w:rPr>
              <w:t>占地范围内</w:t>
            </w:r>
          </w:p>
        </w:tc>
        <w:tc>
          <w:tcPr>
            <w:tcW w:w="1410" w:type="dxa"/>
            <w:vAlign w:val="center"/>
          </w:tcPr>
          <w:p w14:paraId="7F484AF8">
            <w:pPr>
              <w:jc w:val="center"/>
              <w:rPr>
                <w:sz w:val="21"/>
                <w:szCs w:val="21"/>
              </w:rPr>
            </w:pPr>
            <w:r>
              <w:rPr>
                <w:sz w:val="21"/>
                <w:szCs w:val="21"/>
              </w:rPr>
              <w:t>占地范围外</w:t>
            </w:r>
          </w:p>
        </w:tc>
        <w:tc>
          <w:tcPr>
            <w:tcW w:w="1410" w:type="dxa"/>
            <w:gridSpan w:val="2"/>
            <w:vAlign w:val="center"/>
          </w:tcPr>
          <w:p w14:paraId="7BCE1A4E">
            <w:pPr>
              <w:jc w:val="center"/>
              <w:rPr>
                <w:sz w:val="21"/>
                <w:szCs w:val="21"/>
              </w:rPr>
            </w:pPr>
            <w:r>
              <w:rPr>
                <w:sz w:val="21"/>
                <w:szCs w:val="21"/>
              </w:rPr>
              <w:t>深度</w:t>
            </w:r>
          </w:p>
        </w:tc>
        <w:tc>
          <w:tcPr>
            <w:tcW w:w="1118" w:type="dxa"/>
            <w:vMerge w:val="restart"/>
            <w:vAlign w:val="center"/>
          </w:tcPr>
          <w:p w14:paraId="5DB4D105">
            <w:pPr>
              <w:jc w:val="center"/>
              <w:rPr>
                <w:sz w:val="21"/>
                <w:szCs w:val="21"/>
              </w:rPr>
            </w:pPr>
            <w:r>
              <w:rPr>
                <w:sz w:val="21"/>
                <w:szCs w:val="21"/>
              </w:rPr>
              <w:t>点位布置图见图4.3-3</w:t>
            </w:r>
          </w:p>
        </w:tc>
      </w:tr>
      <w:tr w14:paraId="3DE091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2C33DE55">
            <w:pPr>
              <w:jc w:val="center"/>
              <w:rPr>
                <w:sz w:val="21"/>
                <w:szCs w:val="21"/>
              </w:rPr>
            </w:pPr>
          </w:p>
        </w:tc>
        <w:tc>
          <w:tcPr>
            <w:tcW w:w="1753" w:type="dxa"/>
            <w:vMerge w:val="continue"/>
            <w:vAlign w:val="center"/>
          </w:tcPr>
          <w:p w14:paraId="40BF2F5A">
            <w:pPr>
              <w:jc w:val="center"/>
              <w:rPr>
                <w:sz w:val="21"/>
                <w:szCs w:val="21"/>
              </w:rPr>
            </w:pPr>
          </w:p>
        </w:tc>
        <w:tc>
          <w:tcPr>
            <w:tcW w:w="1410" w:type="dxa"/>
            <w:vAlign w:val="center"/>
          </w:tcPr>
          <w:p w14:paraId="0171FC4D">
            <w:pPr>
              <w:jc w:val="center"/>
              <w:rPr>
                <w:sz w:val="21"/>
                <w:szCs w:val="21"/>
              </w:rPr>
            </w:pPr>
            <w:r>
              <w:rPr>
                <w:sz w:val="21"/>
                <w:szCs w:val="21"/>
              </w:rPr>
              <w:t>表层样点数</w:t>
            </w:r>
          </w:p>
        </w:tc>
        <w:tc>
          <w:tcPr>
            <w:tcW w:w="1410" w:type="dxa"/>
            <w:gridSpan w:val="2"/>
            <w:vAlign w:val="center"/>
          </w:tcPr>
          <w:p w14:paraId="1153A46C">
            <w:pPr>
              <w:jc w:val="center"/>
              <w:rPr>
                <w:sz w:val="21"/>
                <w:szCs w:val="21"/>
              </w:rPr>
            </w:pPr>
            <w:r>
              <w:rPr>
                <w:sz w:val="21"/>
                <w:szCs w:val="21"/>
              </w:rPr>
              <w:t>3</w:t>
            </w:r>
          </w:p>
        </w:tc>
        <w:tc>
          <w:tcPr>
            <w:tcW w:w="1410" w:type="dxa"/>
            <w:vAlign w:val="center"/>
          </w:tcPr>
          <w:p w14:paraId="2AA24C22">
            <w:pPr>
              <w:jc w:val="center"/>
              <w:rPr>
                <w:sz w:val="21"/>
                <w:szCs w:val="21"/>
              </w:rPr>
            </w:pPr>
            <w:r>
              <w:rPr>
                <w:sz w:val="21"/>
                <w:szCs w:val="21"/>
              </w:rPr>
              <w:t>2</w:t>
            </w:r>
          </w:p>
        </w:tc>
        <w:tc>
          <w:tcPr>
            <w:tcW w:w="1410" w:type="dxa"/>
            <w:gridSpan w:val="2"/>
            <w:vAlign w:val="center"/>
          </w:tcPr>
          <w:p w14:paraId="37B3642E">
            <w:pPr>
              <w:jc w:val="center"/>
              <w:rPr>
                <w:sz w:val="21"/>
                <w:szCs w:val="21"/>
              </w:rPr>
            </w:pPr>
            <w:r>
              <w:rPr>
                <w:sz w:val="21"/>
                <w:szCs w:val="21"/>
              </w:rPr>
              <w:t>0-0.2</w:t>
            </w:r>
          </w:p>
        </w:tc>
        <w:tc>
          <w:tcPr>
            <w:tcW w:w="1118" w:type="dxa"/>
            <w:vMerge w:val="continue"/>
            <w:vAlign w:val="center"/>
          </w:tcPr>
          <w:p w14:paraId="39D05F21">
            <w:pPr>
              <w:jc w:val="center"/>
              <w:rPr>
                <w:sz w:val="21"/>
                <w:szCs w:val="21"/>
              </w:rPr>
            </w:pPr>
          </w:p>
        </w:tc>
      </w:tr>
      <w:tr w14:paraId="32CE3C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5FD076F9">
            <w:pPr>
              <w:jc w:val="center"/>
              <w:rPr>
                <w:sz w:val="21"/>
                <w:szCs w:val="21"/>
              </w:rPr>
            </w:pPr>
          </w:p>
        </w:tc>
        <w:tc>
          <w:tcPr>
            <w:tcW w:w="1753" w:type="dxa"/>
            <w:vMerge w:val="continue"/>
            <w:vAlign w:val="center"/>
          </w:tcPr>
          <w:p w14:paraId="1062C29C">
            <w:pPr>
              <w:jc w:val="center"/>
              <w:rPr>
                <w:sz w:val="21"/>
                <w:szCs w:val="21"/>
              </w:rPr>
            </w:pPr>
          </w:p>
        </w:tc>
        <w:tc>
          <w:tcPr>
            <w:tcW w:w="1410" w:type="dxa"/>
            <w:vAlign w:val="center"/>
          </w:tcPr>
          <w:p w14:paraId="72E8AC6C">
            <w:pPr>
              <w:jc w:val="center"/>
              <w:rPr>
                <w:sz w:val="21"/>
                <w:szCs w:val="21"/>
              </w:rPr>
            </w:pPr>
            <w:r>
              <w:rPr>
                <w:sz w:val="21"/>
                <w:szCs w:val="21"/>
              </w:rPr>
              <w:t>柱状样点数</w:t>
            </w:r>
          </w:p>
        </w:tc>
        <w:tc>
          <w:tcPr>
            <w:tcW w:w="1410" w:type="dxa"/>
            <w:gridSpan w:val="2"/>
            <w:vAlign w:val="center"/>
          </w:tcPr>
          <w:p w14:paraId="0F134413">
            <w:pPr>
              <w:jc w:val="center"/>
              <w:rPr>
                <w:sz w:val="21"/>
                <w:szCs w:val="21"/>
              </w:rPr>
            </w:pPr>
            <w:r>
              <w:rPr>
                <w:sz w:val="21"/>
                <w:szCs w:val="21"/>
              </w:rPr>
              <w:t>1</w:t>
            </w:r>
          </w:p>
        </w:tc>
        <w:tc>
          <w:tcPr>
            <w:tcW w:w="1410" w:type="dxa"/>
            <w:vAlign w:val="center"/>
          </w:tcPr>
          <w:p w14:paraId="0CA6B26D">
            <w:pPr>
              <w:jc w:val="center"/>
              <w:rPr>
                <w:sz w:val="21"/>
                <w:szCs w:val="21"/>
              </w:rPr>
            </w:pPr>
            <w:r>
              <w:rPr>
                <w:sz w:val="21"/>
                <w:szCs w:val="21"/>
              </w:rPr>
              <w:t>/</w:t>
            </w:r>
          </w:p>
        </w:tc>
        <w:tc>
          <w:tcPr>
            <w:tcW w:w="1410" w:type="dxa"/>
            <w:gridSpan w:val="2"/>
            <w:vAlign w:val="center"/>
          </w:tcPr>
          <w:p w14:paraId="3478AFB8">
            <w:pPr>
              <w:jc w:val="center"/>
              <w:rPr>
                <w:sz w:val="21"/>
                <w:szCs w:val="21"/>
              </w:rPr>
            </w:pPr>
            <w:r>
              <w:rPr>
                <w:sz w:val="21"/>
                <w:szCs w:val="21"/>
              </w:rPr>
              <w:t>0-0.5m</w:t>
            </w:r>
          </w:p>
          <w:p w14:paraId="20D9F904">
            <w:pPr>
              <w:jc w:val="center"/>
              <w:rPr>
                <w:sz w:val="21"/>
                <w:szCs w:val="21"/>
              </w:rPr>
            </w:pPr>
            <w:r>
              <w:rPr>
                <w:sz w:val="21"/>
                <w:szCs w:val="21"/>
              </w:rPr>
              <w:t>0.5-1.5m</w:t>
            </w:r>
          </w:p>
          <w:p w14:paraId="54EF56AC">
            <w:pPr>
              <w:jc w:val="center"/>
              <w:rPr>
                <w:sz w:val="21"/>
                <w:szCs w:val="21"/>
              </w:rPr>
            </w:pPr>
            <w:r>
              <w:rPr>
                <w:sz w:val="21"/>
                <w:szCs w:val="21"/>
              </w:rPr>
              <w:t>1.5-3m</w:t>
            </w:r>
          </w:p>
        </w:tc>
        <w:tc>
          <w:tcPr>
            <w:tcW w:w="1118" w:type="dxa"/>
            <w:vMerge w:val="continue"/>
            <w:vAlign w:val="center"/>
          </w:tcPr>
          <w:p w14:paraId="2DC5813E">
            <w:pPr>
              <w:jc w:val="center"/>
              <w:rPr>
                <w:sz w:val="21"/>
                <w:szCs w:val="21"/>
              </w:rPr>
            </w:pPr>
          </w:p>
        </w:tc>
      </w:tr>
      <w:tr w14:paraId="08CB28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2FC8D359">
            <w:pPr>
              <w:jc w:val="center"/>
              <w:rPr>
                <w:sz w:val="21"/>
                <w:szCs w:val="21"/>
              </w:rPr>
            </w:pPr>
          </w:p>
        </w:tc>
        <w:tc>
          <w:tcPr>
            <w:tcW w:w="1753" w:type="dxa"/>
            <w:vAlign w:val="center"/>
          </w:tcPr>
          <w:p w14:paraId="08AB041A">
            <w:pPr>
              <w:jc w:val="center"/>
              <w:rPr>
                <w:sz w:val="21"/>
                <w:szCs w:val="21"/>
              </w:rPr>
            </w:pPr>
            <w:r>
              <w:rPr>
                <w:sz w:val="21"/>
                <w:szCs w:val="21"/>
              </w:rPr>
              <w:t>现状监测因子</w:t>
            </w:r>
          </w:p>
        </w:tc>
        <w:tc>
          <w:tcPr>
            <w:tcW w:w="5640" w:type="dxa"/>
            <w:gridSpan w:val="6"/>
            <w:vAlign w:val="center"/>
          </w:tcPr>
          <w:p w14:paraId="226016C9">
            <w:pPr>
              <w:jc w:val="center"/>
              <w:rPr>
                <w:sz w:val="21"/>
                <w:szCs w:val="21"/>
              </w:rPr>
            </w:pPr>
            <w:r>
              <w:rPr>
                <w:sz w:val="21"/>
                <w:szCs w:val="21"/>
              </w:rPr>
              <w:t>GB15618-2018</w:t>
            </w:r>
            <w:r>
              <w:rPr>
                <w:sz w:val="21"/>
                <w:szCs w:val="21"/>
                <w:lang w:bidi="ar"/>
              </w:rPr>
              <w:t>中45项因子</w:t>
            </w:r>
          </w:p>
        </w:tc>
        <w:tc>
          <w:tcPr>
            <w:tcW w:w="1118" w:type="dxa"/>
            <w:vAlign w:val="center"/>
          </w:tcPr>
          <w:p w14:paraId="5CCD6495">
            <w:pPr>
              <w:jc w:val="center"/>
              <w:rPr>
                <w:sz w:val="21"/>
                <w:szCs w:val="21"/>
              </w:rPr>
            </w:pPr>
          </w:p>
        </w:tc>
      </w:tr>
      <w:tr w14:paraId="357F43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restart"/>
            <w:vAlign w:val="center"/>
          </w:tcPr>
          <w:p w14:paraId="720A7696">
            <w:pPr>
              <w:jc w:val="center"/>
              <w:rPr>
                <w:sz w:val="21"/>
                <w:szCs w:val="21"/>
              </w:rPr>
            </w:pPr>
            <w:r>
              <w:rPr>
                <w:sz w:val="21"/>
                <w:szCs w:val="21"/>
              </w:rPr>
              <w:t>现状评价</w:t>
            </w:r>
          </w:p>
        </w:tc>
        <w:tc>
          <w:tcPr>
            <w:tcW w:w="1753" w:type="dxa"/>
            <w:vAlign w:val="center"/>
          </w:tcPr>
          <w:p w14:paraId="37ED500D">
            <w:pPr>
              <w:jc w:val="center"/>
              <w:rPr>
                <w:sz w:val="21"/>
                <w:szCs w:val="21"/>
              </w:rPr>
            </w:pPr>
            <w:r>
              <w:rPr>
                <w:sz w:val="21"/>
                <w:szCs w:val="21"/>
              </w:rPr>
              <w:t>评价因子</w:t>
            </w:r>
          </w:p>
        </w:tc>
        <w:tc>
          <w:tcPr>
            <w:tcW w:w="5640" w:type="dxa"/>
            <w:gridSpan w:val="6"/>
            <w:vAlign w:val="center"/>
          </w:tcPr>
          <w:p w14:paraId="450297D0">
            <w:pPr>
              <w:jc w:val="center"/>
              <w:rPr>
                <w:sz w:val="21"/>
                <w:szCs w:val="21"/>
              </w:rPr>
            </w:pPr>
            <w:r>
              <w:rPr>
                <w:sz w:val="21"/>
                <w:szCs w:val="21"/>
              </w:rPr>
              <w:t>/</w:t>
            </w:r>
          </w:p>
        </w:tc>
        <w:tc>
          <w:tcPr>
            <w:tcW w:w="1118" w:type="dxa"/>
            <w:vAlign w:val="center"/>
          </w:tcPr>
          <w:p w14:paraId="0616528F">
            <w:pPr>
              <w:jc w:val="center"/>
              <w:rPr>
                <w:sz w:val="21"/>
                <w:szCs w:val="21"/>
              </w:rPr>
            </w:pPr>
          </w:p>
        </w:tc>
      </w:tr>
      <w:tr w14:paraId="695E986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2A69CA3B">
            <w:pPr>
              <w:jc w:val="center"/>
              <w:rPr>
                <w:sz w:val="21"/>
                <w:szCs w:val="21"/>
              </w:rPr>
            </w:pPr>
          </w:p>
        </w:tc>
        <w:tc>
          <w:tcPr>
            <w:tcW w:w="1753" w:type="dxa"/>
            <w:vAlign w:val="center"/>
          </w:tcPr>
          <w:p w14:paraId="332D5A7F">
            <w:pPr>
              <w:jc w:val="center"/>
              <w:rPr>
                <w:sz w:val="21"/>
                <w:szCs w:val="21"/>
              </w:rPr>
            </w:pPr>
            <w:r>
              <w:rPr>
                <w:sz w:val="21"/>
                <w:szCs w:val="21"/>
              </w:rPr>
              <w:t>评价标准</w:t>
            </w:r>
          </w:p>
        </w:tc>
        <w:tc>
          <w:tcPr>
            <w:tcW w:w="5640" w:type="dxa"/>
            <w:gridSpan w:val="6"/>
            <w:vAlign w:val="center"/>
          </w:tcPr>
          <w:p w14:paraId="255A7FFD">
            <w:pPr>
              <w:jc w:val="center"/>
              <w:rPr>
                <w:sz w:val="21"/>
                <w:szCs w:val="21"/>
              </w:rPr>
            </w:pPr>
            <w:r>
              <w:rPr>
                <w:sz w:val="21"/>
                <w:szCs w:val="21"/>
              </w:rPr>
              <w:t>GB15618</w:t>
            </w:r>
            <w:r>
              <w:rPr>
                <w:sz w:val="21"/>
                <w:szCs w:val="21"/>
                <w:lang w:bidi="ar"/>
              </w:rPr>
              <w:t>□；GB36600☑；表D.1□；表D.2□；其他（    ）</w:t>
            </w:r>
          </w:p>
        </w:tc>
        <w:tc>
          <w:tcPr>
            <w:tcW w:w="1118" w:type="dxa"/>
            <w:vAlign w:val="center"/>
          </w:tcPr>
          <w:p w14:paraId="4AC2AFC8">
            <w:pPr>
              <w:jc w:val="center"/>
              <w:rPr>
                <w:sz w:val="21"/>
                <w:szCs w:val="21"/>
              </w:rPr>
            </w:pPr>
          </w:p>
        </w:tc>
      </w:tr>
      <w:tr w14:paraId="0552E7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64672723">
            <w:pPr>
              <w:jc w:val="center"/>
              <w:rPr>
                <w:sz w:val="21"/>
                <w:szCs w:val="21"/>
              </w:rPr>
            </w:pPr>
          </w:p>
        </w:tc>
        <w:tc>
          <w:tcPr>
            <w:tcW w:w="1753" w:type="dxa"/>
            <w:vAlign w:val="center"/>
          </w:tcPr>
          <w:p w14:paraId="299146E7">
            <w:pPr>
              <w:jc w:val="center"/>
              <w:rPr>
                <w:sz w:val="21"/>
                <w:szCs w:val="21"/>
              </w:rPr>
            </w:pPr>
            <w:r>
              <w:rPr>
                <w:sz w:val="21"/>
                <w:szCs w:val="21"/>
              </w:rPr>
              <w:t>现状评价结论</w:t>
            </w:r>
          </w:p>
        </w:tc>
        <w:tc>
          <w:tcPr>
            <w:tcW w:w="5640" w:type="dxa"/>
            <w:gridSpan w:val="6"/>
            <w:vAlign w:val="center"/>
          </w:tcPr>
          <w:p w14:paraId="0F44632E">
            <w:pPr>
              <w:jc w:val="center"/>
              <w:rPr>
                <w:sz w:val="21"/>
                <w:szCs w:val="21"/>
              </w:rPr>
            </w:pPr>
            <w:r>
              <w:rPr>
                <w:kern w:val="21"/>
                <w:sz w:val="21"/>
                <w:szCs w:val="21"/>
              </w:rPr>
              <w:t>由监测结果可知，</w:t>
            </w:r>
            <w:r>
              <w:rPr>
                <w:sz w:val="21"/>
                <w:szCs w:val="21"/>
              </w:rPr>
              <w:t>项目占地范围内土壤满足《土壤环境质量—农用地土壤污染风险管控标准》（GB36600-2018）表1基本项目筛选值标准，土壤质量状况良好”</w:t>
            </w:r>
          </w:p>
        </w:tc>
        <w:tc>
          <w:tcPr>
            <w:tcW w:w="1118" w:type="dxa"/>
            <w:vAlign w:val="center"/>
          </w:tcPr>
          <w:p w14:paraId="406313A8">
            <w:pPr>
              <w:jc w:val="center"/>
              <w:rPr>
                <w:sz w:val="21"/>
                <w:szCs w:val="21"/>
              </w:rPr>
            </w:pPr>
          </w:p>
        </w:tc>
      </w:tr>
      <w:tr w14:paraId="09800C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restart"/>
            <w:vAlign w:val="center"/>
          </w:tcPr>
          <w:p w14:paraId="7435F5D4">
            <w:pPr>
              <w:jc w:val="center"/>
              <w:rPr>
                <w:sz w:val="21"/>
                <w:szCs w:val="21"/>
              </w:rPr>
            </w:pPr>
            <w:r>
              <w:rPr>
                <w:sz w:val="21"/>
                <w:szCs w:val="21"/>
              </w:rPr>
              <w:t>影响预测</w:t>
            </w:r>
          </w:p>
        </w:tc>
        <w:tc>
          <w:tcPr>
            <w:tcW w:w="1753" w:type="dxa"/>
            <w:vAlign w:val="center"/>
          </w:tcPr>
          <w:p w14:paraId="54DA1D68">
            <w:pPr>
              <w:jc w:val="center"/>
              <w:rPr>
                <w:sz w:val="21"/>
                <w:szCs w:val="21"/>
              </w:rPr>
            </w:pPr>
            <w:r>
              <w:rPr>
                <w:sz w:val="21"/>
                <w:szCs w:val="21"/>
              </w:rPr>
              <w:t>预测因子</w:t>
            </w:r>
          </w:p>
        </w:tc>
        <w:tc>
          <w:tcPr>
            <w:tcW w:w="5640" w:type="dxa"/>
            <w:gridSpan w:val="6"/>
            <w:vAlign w:val="center"/>
          </w:tcPr>
          <w:p w14:paraId="4BB61296">
            <w:pPr>
              <w:jc w:val="center"/>
              <w:rPr>
                <w:sz w:val="21"/>
                <w:szCs w:val="21"/>
              </w:rPr>
            </w:pPr>
            <w:r>
              <w:rPr>
                <w:sz w:val="21"/>
                <w:szCs w:val="21"/>
              </w:rPr>
              <w:t>/</w:t>
            </w:r>
          </w:p>
        </w:tc>
        <w:tc>
          <w:tcPr>
            <w:tcW w:w="1118" w:type="dxa"/>
            <w:vAlign w:val="center"/>
          </w:tcPr>
          <w:p w14:paraId="53985836">
            <w:pPr>
              <w:jc w:val="center"/>
              <w:rPr>
                <w:sz w:val="21"/>
                <w:szCs w:val="21"/>
              </w:rPr>
            </w:pPr>
          </w:p>
        </w:tc>
      </w:tr>
      <w:tr w14:paraId="15EC85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2B56CD0F">
            <w:pPr>
              <w:jc w:val="center"/>
              <w:rPr>
                <w:sz w:val="21"/>
                <w:szCs w:val="21"/>
              </w:rPr>
            </w:pPr>
          </w:p>
        </w:tc>
        <w:tc>
          <w:tcPr>
            <w:tcW w:w="1753" w:type="dxa"/>
            <w:vAlign w:val="center"/>
          </w:tcPr>
          <w:p w14:paraId="549028E7">
            <w:pPr>
              <w:jc w:val="center"/>
              <w:rPr>
                <w:sz w:val="21"/>
                <w:szCs w:val="21"/>
              </w:rPr>
            </w:pPr>
            <w:r>
              <w:rPr>
                <w:sz w:val="21"/>
                <w:szCs w:val="21"/>
              </w:rPr>
              <w:t>预测方法</w:t>
            </w:r>
          </w:p>
        </w:tc>
        <w:tc>
          <w:tcPr>
            <w:tcW w:w="5640" w:type="dxa"/>
            <w:gridSpan w:val="6"/>
            <w:vAlign w:val="center"/>
          </w:tcPr>
          <w:p w14:paraId="61127ADA">
            <w:pPr>
              <w:jc w:val="center"/>
              <w:rPr>
                <w:sz w:val="21"/>
                <w:szCs w:val="21"/>
              </w:rPr>
            </w:pPr>
            <w:r>
              <w:rPr>
                <w:sz w:val="21"/>
                <w:szCs w:val="21"/>
              </w:rPr>
              <w:t>附录E</w:t>
            </w:r>
            <w:r>
              <w:rPr>
                <w:sz w:val="21"/>
                <w:szCs w:val="21"/>
                <w:lang w:bidi="ar"/>
              </w:rPr>
              <w:t>□；附录F□；其他（  /  ）</w:t>
            </w:r>
          </w:p>
        </w:tc>
        <w:tc>
          <w:tcPr>
            <w:tcW w:w="1118" w:type="dxa"/>
            <w:vAlign w:val="center"/>
          </w:tcPr>
          <w:p w14:paraId="1A674B49">
            <w:pPr>
              <w:jc w:val="center"/>
              <w:rPr>
                <w:sz w:val="21"/>
                <w:szCs w:val="21"/>
              </w:rPr>
            </w:pPr>
          </w:p>
        </w:tc>
      </w:tr>
      <w:tr w14:paraId="1A8D0C7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471" w:type="dxa"/>
            <w:vMerge w:val="continue"/>
            <w:vAlign w:val="center"/>
          </w:tcPr>
          <w:p w14:paraId="46C78796">
            <w:pPr>
              <w:jc w:val="center"/>
              <w:rPr>
                <w:sz w:val="21"/>
                <w:szCs w:val="21"/>
              </w:rPr>
            </w:pPr>
          </w:p>
        </w:tc>
        <w:tc>
          <w:tcPr>
            <w:tcW w:w="1753" w:type="dxa"/>
            <w:vAlign w:val="center"/>
          </w:tcPr>
          <w:p w14:paraId="663EA3F2">
            <w:pPr>
              <w:jc w:val="center"/>
              <w:rPr>
                <w:sz w:val="21"/>
                <w:szCs w:val="21"/>
              </w:rPr>
            </w:pPr>
            <w:r>
              <w:rPr>
                <w:sz w:val="21"/>
                <w:szCs w:val="21"/>
              </w:rPr>
              <w:t>预测分析内容</w:t>
            </w:r>
          </w:p>
        </w:tc>
        <w:tc>
          <w:tcPr>
            <w:tcW w:w="5640" w:type="dxa"/>
            <w:gridSpan w:val="6"/>
            <w:vAlign w:val="center"/>
          </w:tcPr>
          <w:p w14:paraId="0CD8EEF8">
            <w:pPr>
              <w:jc w:val="center"/>
              <w:rPr>
                <w:sz w:val="21"/>
                <w:szCs w:val="21"/>
              </w:rPr>
            </w:pPr>
            <w:r>
              <w:rPr>
                <w:sz w:val="21"/>
                <w:szCs w:val="21"/>
              </w:rPr>
              <w:t>影响范围（     ）</w:t>
            </w:r>
          </w:p>
          <w:p w14:paraId="55E0DB57">
            <w:pPr>
              <w:pStyle w:val="63"/>
              <w:ind w:firstLine="0" w:firstLineChars="0"/>
              <w:jc w:val="center"/>
              <w:rPr>
                <w:rFonts w:hAnsi="Times New Roman" w:cs="Times New Roman"/>
                <w:sz w:val="21"/>
                <w:szCs w:val="21"/>
              </w:rPr>
            </w:pPr>
            <w:r>
              <w:rPr>
                <w:rFonts w:hAnsi="Times New Roman" w:cs="Times New Roman"/>
                <w:sz w:val="21"/>
                <w:szCs w:val="21"/>
              </w:rPr>
              <w:t>影响程度（     ）</w:t>
            </w:r>
          </w:p>
        </w:tc>
        <w:tc>
          <w:tcPr>
            <w:tcW w:w="1118" w:type="dxa"/>
            <w:vAlign w:val="center"/>
          </w:tcPr>
          <w:p w14:paraId="664024B1">
            <w:pPr>
              <w:jc w:val="center"/>
              <w:rPr>
                <w:sz w:val="21"/>
                <w:szCs w:val="21"/>
              </w:rPr>
            </w:pPr>
          </w:p>
        </w:tc>
      </w:tr>
      <w:tr w14:paraId="1D1603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08B1BB43">
            <w:pPr>
              <w:jc w:val="center"/>
              <w:rPr>
                <w:sz w:val="21"/>
                <w:szCs w:val="21"/>
              </w:rPr>
            </w:pPr>
          </w:p>
        </w:tc>
        <w:tc>
          <w:tcPr>
            <w:tcW w:w="1753" w:type="dxa"/>
            <w:vAlign w:val="center"/>
          </w:tcPr>
          <w:p w14:paraId="08E1C667">
            <w:pPr>
              <w:jc w:val="center"/>
              <w:rPr>
                <w:sz w:val="21"/>
                <w:szCs w:val="21"/>
              </w:rPr>
            </w:pPr>
            <w:r>
              <w:rPr>
                <w:sz w:val="21"/>
                <w:szCs w:val="21"/>
              </w:rPr>
              <w:t>预测结论</w:t>
            </w:r>
          </w:p>
        </w:tc>
        <w:tc>
          <w:tcPr>
            <w:tcW w:w="5640" w:type="dxa"/>
            <w:gridSpan w:val="6"/>
            <w:vAlign w:val="center"/>
          </w:tcPr>
          <w:p w14:paraId="28FE8515">
            <w:pPr>
              <w:jc w:val="center"/>
              <w:rPr>
                <w:sz w:val="21"/>
                <w:szCs w:val="21"/>
              </w:rPr>
            </w:pPr>
            <w:r>
              <w:rPr>
                <w:sz w:val="21"/>
                <w:szCs w:val="21"/>
              </w:rPr>
              <w:t>达标结论：a）</w:t>
            </w:r>
            <w:r>
              <w:rPr>
                <w:sz w:val="21"/>
                <w:szCs w:val="21"/>
                <w:lang w:bidi="ar"/>
              </w:rPr>
              <w:t>□；</w:t>
            </w:r>
            <w:r>
              <w:rPr>
                <w:sz w:val="21"/>
                <w:szCs w:val="21"/>
              </w:rPr>
              <w:t>b）</w:t>
            </w:r>
            <w:r>
              <w:rPr>
                <w:sz w:val="21"/>
                <w:szCs w:val="21"/>
                <w:lang w:bidi="ar"/>
              </w:rPr>
              <w:t>□；</w:t>
            </w:r>
            <w:r>
              <w:rPr>
                <w:sz w:val="21"/>
                <w:szCs w:val="21"/>
              </w:rPr>
              <w:t>c）</w:t>
            </w:r>
            <w:r>
              <w:rPr>
                <w:sz w:val="21"/>
                <w:szCs w:val="21"/>
                <w:lang w:bidi="ar"/>
              </w:rPr>
              <w:t>□；</w:t>
            </w:r>
          </w:p>
          <w:p w14:paraId="1D63EC21">
            <w:pPr>
              <w:pStyle w:val="63"/>
              <w:ind w:firstLine="0" w:firstLineChars="0"/>
              <w:jc w:val="center"/>
              <w:rPr>
                <w:rFonts w:hAnsi="Times New Roman" w:cs="Times New Roman"/>
                <w:sz w:val="21"/>
                <w:szCs w:val="21"/>
              </w:rPr>
            </w:pPr>
            <w:r>
              <w:rPr>
                <w:rFonts w:hAnsi="Times New Roman" w:cs="Times New Roman"/>
                <w:sz w:val="21"/>
                <w:szCs w:val="21"/>
              </w:rPr>
              <w:t>不达标结论：a）</w:t>
            </w:r>
            <w:r>
              <w:rPr>
                <w:rFonts w:hAnsi="Times New Roman" w:cs="Times New Roman"/>
                <w:kern w:val="0"/>
                <w:sz w:val="21"/>
                <w:szCs w:val="21"/>
                <w:lang w:bidi="ar"/>
              </w:rPr>
              <w:t>□；</w:t>
            </w:r>
            <w:r>
              <w:rPr>
                <w:rFonts w:hAnsi="Times New Roman" w:cs="Times New Roman"/>
                <w:sz w:val="21"/>
                <w:szCs w:val="21"/>
              </w:rPr>
              <w:t>b）</w:t>
            </w:r>
            <w:r>
              <w:rPr>
                <w:rFonts w:hAnsi="Times New Roman" w:cs="Times New Roman"/>
                <w:kern w:val="0"/>
                <w:sz w:val="21"/>
                <w:szCs w:val="21"/>
                <w:lang w:bidi="ar"/>
              </w:rPr>
              <w:t>□</w:t>
            </w:r>
          </w:p>
        </w:tc>
        <w:tc>
          <w:tcPr>
            <w:tcW w:w="1118" w:type="dxa"/>
            <w:vAlign w:val="center"/>
          </w:tcPr>
          <w:p w14:paraId="53918526">
            <w:pPr>
              <w:jc w:val="center"/>
              <w:rPr>
                <w:sz w:val="21"/>
                <w:szCs w:val="21"/>
              </w:rPr>
            </w:pPr>
          </w:p>
        </w:tc>
      </w:tr>
      <w:tr w14:paraId="3265C5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restart"/>
            <w:vAlign w:val="center"/>
          </w:tcPr>
          <w:p w14:paraId="43DAFD92">
            <w:pPr>
              <w:jc w:val="center"/>
              <w:rPr>
                <w:sz w:val="21"/>
                <w:szCs w:val="21"/>
              </w:rPr>
            </w:pPr>
            <w:r>
              <w:rPr>
                <w:sz w:val="21"/>
                <w:szCs w:val="21"/>
              </w:rPr>
              <w:t>防治措施</w:t>
            </w:r>
          </w:p>
        </w:tc>
        <w:tc>
          <w:tcPr>
            <w:tcW w:w="1753" w:type="dxa"/>
            <w:vAlign w:val="center"/>
          </w:tcPr>
          <w:p w14:paraId="654AF299">
            <w:pPr>
              <w:jc w:val="center"/>
              <w:rPr>
                <w:sz w:val="21"/>
                <w:szCs w:val="21"/>
              </w:rPr>
            </w:pPr>
            <w:r>
              <w:rPr>
                <w:sz w:val="21"/>
                <w:szCs w:val="21"/>
              </w:rPr>
              <w:t>防控措施</w:t>
            </w:r>
          </w:p>
        </w:tc>
        <w:tc>
          <w:tcPr>
            <w:tcW w:w="5640" w:type="dxa"/>
            <w:gridSpan w:val="6"/>
            <w:vAlign w:val="center"/>
          </w:tcPr>
          <w:p w14:paraId="4D5E8B19">
            <w:pPr>
              <w:pStyle w:val="63"/>
              <w:ind w:firstLine="0" w:firstLineChars="0"/>
              <w:jc w:val="center"/>
              <w:rPr>
                <w:rFonts w:hAnsi="Times New Roman" w:cs="Times New Roman"/>
                <w:kern w:val="0"/>
                <w:sz w:val="21"/>
                <w:szCs w:val="21"/>
                <w:lang w:bidi="ar"/>
              </w:rPr>
            </w:pPr>
            <w:r>
              <w:rPr>
                <w:rFonts w:hAnsi="Times New Roman" w:cs="Times New Roman"/>
                <w:sz w:val="21"/>
                <w:szCs w:val="21"/>
              </w:rPr>
              <w:t>土壤环境质量现状保障</w:t>
            </w:r>
            <w:r>
              <w:rPr>
                <w:rFonts w:hAnsi="Times New Roman" w:cs="Times New Roman"/>
                <w:kern w:val="0"/>
                <w:sz w:val="21"/>
                <w:szCs w:val="21"/>
                <w:lang w:bidi="ar"/>
              </w:rPr>
              <w:t>□；源头控制☑；过程防控☑；</w:t>
            </w:r>
          </w:p>
          <w:p w14:paraId="2E291067">
            <w:pPr>
              <w:pStyle w:val="63"/>
              <w:ind w:firstLine="0" w:firstLineChars="0"/>
              <w:jc w:val="center"/>
              <w:rPr>
                <w:rFonts w:hAnsi="Times New Roman" w:cs="Times New Roman"/>
                <w:sz w:val="21"/>
                <w:szCs w:val="21"/>
              </w:rPr>
            </w:pPr>
            <w:r>
              <w:rPr>
                <w:rFonts w:hAnsi="Times New Roman" w:cs="Times New Roman"/>
                <w:kern w:val="0"/>
                <w:sz w:val="21"/>
                <w:szCs w:val="21"/>
                <w:lang w:bidi="ar"/>
              </w:rPr>
              <w:t>其他（    ）</w:t>
            </w:r>
          </w:p>
        </w:tc>
        <w:tc>
          <w:tcPr>
            <w:tcW w:w="1118" w:type="dxa"/>
            <w:vAlign w:val="center"/>
          </w:tcPr>
          <w:p w14:paraId="746AB51E">
            <w:pPr>
              <w:jc w:val="center"/>
              <w:rPr>
                <w:sz w:val="21"/>
                <w:szCs w:val="21"/>
              </w:rPr>
            </w:pPr>
          </w:p>
        </w:tc>
      </w:tr>
      <w:tr w14:paraId="68D089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78488CBF">
            <w:pPr>
              <w:jc w:val="center"/>
              <w:rPr>
                <w:sz w:val="21"/>
                <w:szCs w:val="21"/>
              </w:rPr>
            </w:pPr>
          </w:p>
        </w:tc>
        <w:tc>
          <w:tcPr>
            <w:tcW w:w="1753" w:type="dxa"/>
            <w:vMerge w:val="restart"/>
            <w:vAlign w:val="center"/>
          </w:tcPr>
          <w:p w14:paraId="2B156560">
            <w:pPr>
              <w:jc w:val="center"/>
              <w:rPr>
                <w:sz w:val="21"/>
                <w:szCs w:val="21"/>
              </w:rPr>
            </w:pPr>
            <w:r>
              <w:rPr>
                <w:sz w:val="21"/>
                <w:szCs w:val="21"/>
              </w:rPr>
              <w:t>跟踪监测</w:t>
            </w:r>
          </w:p>
        </w:tc>
        <w:tc>
          <w:tcPr>
            <w:tcW w:w="2626" w:type="dxa"/>
            <w:gridSpan w:val="2"/>
            <w:vAlign w:val="center"/>
          </w:tcPr>
          <w:p w14:paraId="170E18CF">
            <w:pPr>
              <w:pStyle w:val="63"/>
              <w:ind w:firstLine="0" w:firstLineChars="0"/>
              <w:jc w:val="center"/>
              <w:rPr>
                <w:rFonts w:hAnsi="Times New Roman" w:cs="Times New Roman"/>
                <w:sz w:val="21"/>
                <w:szCs w:val="21"/>
              </w:rPr>
            </w:pPr>
            <w:r>
              <w:rPr>
                <w:rFonts w:hAnsi="Times New Roman" w:cs="Times New Roman"/>
                <w:sz w:val="21"/>
                <w:szCs w:val="21"/>
              </w:rPr>
              <w:t>监测点数</w:t>
            </w:r>
          </w:p>
        </w:tc>
        <w:tc>
          <w:tcPr>
            <w:tcW w:w="1884" w:type="dxa"/>
            <w:gridSpan w:val="3"/>
            <w:vAlign w:val="center"/>
          </w:tcPr>
          <w:p w14:paraId="1429FC60">
            <w:pPr>
              <w:pStyle w:val="63"/>
              <w:ind w:firstLine="0" w:firstLineChars="0"/>
              <w:jc w:val="center"/>
              <w:rPr>
                <w:rFonts w:hAnsi="Times New Roman" w:cs="Times New Roman"/>
                <w:sz w:val="21"/>
                <w:szCs w:val="21"/>
              </w:rPr>
            </w:pPr>
            <w:r>
              <w:rPr>
                <w:rFonts w:hAnsi="Times New Roman" w:cs="Times New Roman"/>
                <w:sz w:val="21"/>
                <w:szCs w:val="21"/>
              </w:rPr>
              <w:t>监测指标</w:t>
            </w:r>
          </w:p>
        </w:tc>
        <w:tc>
          <w:tcPr>
            <w:tcW w:w="1130" w:type="dxa"/>
            <w:vAlign w:val="center"/>
          </w:tcPr>
          <w:p w14:paraId="21823047">
            <w:pPr>
              <w:pStyle w:val="63"/>
              <w:ind w:firstLine="0" w:firstLineChars="0"/>
              <w:jc w:val="center"/>
              <w:rPr>
                <w:rFonts w:hAnsi="Times New Roman" w:cs="Times New Roman"/>
                <w:sz w:val="21"/>
                <w:szCs w:val="21"/>
              </w:rPr>
            </w:pPr>
            <w:r>
              <w:rPr>
                <w:rFonts w:hAnsi="Times New Roman" w:cs="Times New Roman"/>
                <w:sz w:val="21"/>
                <w:szCs w:val="21"/>
              </w:rPr>
              <w:t>监测频次</w:t>
            </w:r>
          </w:p>
        </w:tc>
        <w:tc>
          <w:tcPr>
            <w:tcW w:w="1118" w:type="dxa"/>
            <w:vAlign w:val="center"/>
          </w:tcPr>
          <w:p w14:paraId="11B28995">
            <w:pPr>
              <w:jc w:val="center"/>
              <w:rPr>
                <w:sz w:val="21"/>
                <w:szCs w:val="21"/>
              </w:rPr>
            </w:pPr>
          </w:p>
        </w:tc>
      </w:tr>
      <w:tr w14:paraId="200932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1" w:type="dxa"/>
            <w:vMerge w:val="continue"/>
            <w:vAlign w:val="center"/>
          </w:tcPr>
          <w:p w14:paraId="3B48FCB3">
            <w:pPr>
              <w:jc w:val="center"/>
              <w:rPr>
                <w:sz w:val="21"/>
                <w:szCs w:val="21"/>
              </w:rPr>
            </w:pPr>
          </w:p>
        </w:tc>
        <w:tc>
          <w:tcPr>
            <w:tcW w:w="1753" w:type="dxa"/>
            <w:vMerge w:val="continue"/>
            <w:vAlign w:val="center"/>
          </w:tcPr>
          <w:p w14:paraId="54ED105E">
            <w:pPr>
              <w:jc w:val="center"/>
              <w:rPr>
                <w:sz w:val="21"/>
                <w:szCs w:val="21"/>
              </w:rPr>
            </w:pPr>
          </w:p>
        </w:tc>
        <w:tc>
          <w:tcPr>
            <w:tcW w:w="2626" w:type="dxa"/>
            <w:gridSpan w:val="2"/>
            <w:vAlign w:val="center"/>
          </w:tcPr>
          <w:p w14:paraId="7B993BE5">
            <w:pPr>
              <w:pStyle w:val="63"/>
              <w:spacing w:line="240" w:lineRule="auto"/>
              <w:ind w:firstLine="0" w:firstLineChars="0"/>
              <w:rPr>
                <w:rFonts w:hAnsi="Times New Roman" w:cs="Times New Roman"/>
                <w:sz w:val="21"/>
                <w:szCs w:val="21"/>
              </w:rPr>
            </w:pPr>
          </w:p>
        </w:tc>
        <w:tc>
          <w:tcPr>
            <w:tcW w:w="1884" w:type="dxa"/>
            <w:gridSpan w:val="3"/>
            <w:vAlign w:val="center"/>
          </w:tcPr>
          <w:p w14:paraId="14BA046E">
            <w:pPr>
              <w:pStyle w:val="63"/>
              <w:spacing w:line="240" w:lineRule="auto"/>
              <w:ind w:firstLine="0" w:firstLineChars="0"/>
              <w:rPr>
                <w:rFonts w:hAnsi="Times New Roman" w:cs="Times New Roman"/>
                <w:sz w:val="21"/>
                <w:szCs w:val="21"/>
              </w:rPr>
            </w:pPr>
          </w:p>
        </w:tc>
        <w:tc>
          <w:tcPr>
            <w:tcW w:w="1130" w:type="dxa"/>
            <w:vAlign w:val="center"/>
          </w:tcPr>
          <w:p w14:paraId="5675DF5B">
            <w:pPr>
              <w:pStyle w:val="63"/>
              <w:spacing w:line="240" w:lineRule="auto"/>
              <w:ind w:firstLine="0" w:firstLineChars="0"/>
              <w:rPr>
                <w:rFonts w:hAnsi="Times New Roman" w:cs="Times New Roman"/>
                <w:sz w:val="21"/>
                <w:szCs w:val="21"/>
              </w:rPr>
            </w:pPr>
          </w:p>
        </w:tc>
        <w:tc>
          <w:tcPr>
            <w:tcW w:w="1118" w:type="dxa"/>
            <w:vAlign w:val="center"/>
          </w:tcPr>
          <w:p w14:paraId="0F52D565">
            <w:pPr>
              <w:jc w:val="center"/>
              <w:rPr>
                <w:sz w:val="21"/>
                <w:szCs w:val="21"/>
              </w:rPr>
            </w:pPr>
          </w:p>
        </w:tc>
      </w:tr>
    </w:tbl>
    <w:p w14:paraId="54D107F5">
      <w:pPr>
        <w:rPr>
          <w:b/>
          <w:bCs/>
          <w:szCs w:val="32"/>
        </w:rPr>
      </w:pPr>
    </w:p>
    <w:p w14:paraId="45E720CE">
      <w:pPr>
        <w:jc w:val="center"/>
        <w:rPr>
          <w:b/>
          <w:bCs/>
          <w:sz w:val="28"/>
          <w:szCs w:val="28"/>
        </w:rPr>
      </w:pPr>
      <w:r>
        <w:rPr>
          <w:b/>
          <w:bCs/>
          <w:sz w:val="28"/>
          <w:szCs w:val="28"/>
        </w:rPr>
        <w:t>附表</w:t>
      </w:r>
      <w:r>
        <w:rPr>
          <w:rFonts w:hint="eastAsia"/>
          <w:b/>
          <w:bCs/>
          <w:sz w:val="28"/>
          <w:szCs w:val="28"/>
          <w:lang w:val="en-US" w:eastAsia="zh-CN"/>
        </w:rPr>
        <w:t>4</w:t>
      </w:r>
      <w:r>
        <w:rPr>
          <w:b/>
          <w:bCs/>
          <w:sz w:val="28"/>
          <w:szCs w:val="28"/>
        </w:rPr>
        <w:t xml:space="preserve">  建设项目</w:t>
      </w:r>
      <w:r>
        <w:rPr>
          <w:rFonts w:hint="eastAsia"/>
          <w:b/>
          <w:bCs/>
          <w:sz w:val="28"/>
          <w:szCs w:val="28"/>
          <w:lang w:val="en-US" w:eastAsia="zh-CN"/>
        </w:rPr>
        <w:t>声</w:t>
      </w:r>
      <w:r>
        <w:rPr>
          <w:b/>
          <w:bCs/>
          <w:sz w:val="28"/>
          <w:szCs w:val="28"/>
        </w:rPr>
        <w:t>环境影响评价自查表</w:t>
      </w:r>
    </w:p>
    <w:tbl>
      <w:tblPr>
        <w:tblStyle w:val="53"/>
        <w:tblW w:w="943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1264"/>
        <w:gridCol w:w="1018"/>
        <w:gridCol w:w="633"/>
        <w:gridCol w:w="481"/>
        <w:gridCol w:w="1254"/>
        <w:gridCol w:w="66"/>
        <w:gridCol w:w="1070"/>
        <w:gridCol w:w="731"/>
        <w:gridCol w:w="201"/>
        <w:gridCol w:w="321"/>
        <w:gridCol w:w="1280"/>
      </w:tblGrid>
      <w:tr w14:paraId="25ED84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2377" w:type="dxa"/>
            <w:gridSpan w:val="2"/>
            <w:vAlign w:val="center"/>
          </w:tcPr>
          <w:p w14:paraId="68430D16">
            <w:pPr>
              <w:jc w:val="center"/>
              <w:rPr>
                <w:sz w:val="21"/>
                <w:szCs w:val="21"/>
              </w:rPr>
            </w:pPr>
            <w:r>
              <w:rPr>
                <w:sz w:val="21"/>
                <w:szCs w:val="21"/>
              </w:rPr>
              <w:t>工作内容</w:t>
            </w:r>
          </w:p>
        </w:tc>
        <w:tc>
          <w:tcPr>
            <w:tcW w:w="7055" w:type="dxa"/>
            <w:gridSpan w:val="10"/>
            <w:vAlign w:val="center"/>
          </w:tcPr>
          <w:p w14:paraId="375005A7">
            <w:pPr>
              <w:jc w:val="center"/>
              <w:rPr>
                <w:sz w:val="21"/>
                <w:szCs w:val="21"/>
              </w:rPr>
            </w:pPr>
            <w:r>
              <w:rPr>
                <w:sz w:val="21"/>
                <w:szCs w:val="21"/>
              </w:rPr>
              <w:t>自查项目</w:t>
            </w:r>
          </w:p>
        </w:tc>
      </w:tr>
      <w:tr w14:paraId="532BAE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113" w:type="dxa"/>
            <w:vMerge w:val="restart"/>
            <w:vAlign w:val="center"/>
          </w:tcPr>
          <w:p w14:paraId="53676572">
            <w:pPr>
              <w:jc w:val="center"/>
              <w:rPr>
                <w:rFonts w:hint="default" w:eastAsia="宋体"/>
                <w:sz w:val="21"/>
                <w:szCs w:val="21"/>
                <w:lang w:val="en-US" w:eastAsia="zh-CN"/>
              </w:rPr>
            </w:pPr>
            <w:r>
              <w:rPr>
                <w:rFonts w:hint="eastAsia"/>
                <w:sz w:val="21"/>
                <w:szCs w:val="21"/>
                <w:lang w:val="en-US" w:eastAsia="zh-CN"/>
              </w:rPr>
              <w:t>评价等级与范围</w:t>
            </w:r>
          </w:p>
        </w:tc>
        <w:tc>
          <w:tcPr>
            <w:tcW w:w="1264" w:type="dxa"/>
            <w:vAlign w:val="center"/>
          </w:tcPr>
          <w:p w14:paraId="65C62583">
            <w:pPr>
              <w:jc w:val="center"/>
              <w:rPr>
                <w:sz w:val="21"/>
                <w:szCs w:val="21"/>
              </w:rPr>
            </w:pPr>
            <w:r>
              <w:rPr>
                <w:sz w:val="21"/>
                <w:szCs w:val="21"/>
              </w:rPr>
              <w:t>评价等级</w:t>
            </w:r>
          </w:p>
        </w:tc>
        <w:tc>
          <w:tcPr>
            <w:tcW w:w="7055" w:type="dxa"/>
            <w:gridSpan w:val="10"/>
            <w:vAlign w:val="center"/>
          </w:tcPr>
          <w:p w14:paraId="57CDA21F">
            <w:pPr>
              <w:jc w:val="center"/>
              <w:rPr>
                <w:sz w:val="21"/>
                <w:szCs w:val="21"/>
              </w:rPr>
            </w:pPr>
            <w:r>
              <w:rPr>
                <w:sz w:val="21"/>
                <w:szCs w:val="21"/>
              </w:rPr>
              <w:t xml:space="preserve">一级 </w:t>
            </w:r>
            <w:r>
              <w:rPr>
                <w:sz w:val="21"/>
                <w:szCs w:val="21"/>
                <w:lang w:bidi="ar"/>
              </w:rPr>
              <w:t>□</w:t>
            </w:r>
            <w:r>
              <w:rPr>
                <w:sz w:val="21"/>
                <w:szCs w:val="21"/>
              </w:rPr>
              <w:t xml:space="preserve">；二级 </w:t>
            </w:r>
            <w:r>
              <w:rPr>
                <w:rFonts w:hint="eastAsia"/>
                <w:sz w:val="21"/>
                <w:szCs w:val="21"/>
                <w:lang w:eastAsia="zh-CN" w:bidi="ar"/>
              </w:rPr>
              <w:t>☑</w:t>
            </w:r>
            <w:r>
              <w:rPr>
                <w:sz w:val="21"/>
                <w:szCs w:val="21"/>
              </w:rPr>
              <w:t xml:space="preserve">；三级 </w:t>
            </w:r>
            <w:r>
              <w:rPr>
                <w:sz w:val="21"/>
                <w:szCs w:val="21"/>
                <w:lang w:bidi="ar"/>
              </w:rPr>
              <w:t>□</w:t>
            </w:r>
          </w:p>
        </w:tc>
      </w:tr>
      <w:tr w14:paraId="7A94669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13" w:type="dxa"/>
            <w:vMerge w:val="continue"/>
            <w:vAlign w:val="center"/>
          </w:tcPr>
          <w:p w14:paraId="7A3D54CF">
            <w:pPr>
              <w:jc w:val="center"/>
              <w:rPr>
                <w:sz w:val="21"/>
                <w:szCs w:val="21"/>
              </w:rPr>
            </w:pPr>
          </w:p>
        </w:tc>
        <w:tc>
          <w:tcPr>
            <w:tcW w:w="1264" w:type="dxa"/>
            <w:vAlign w:val="center"/>
          </w:tcPr>
          <w:p w14:paraId="2F3A2D75">
            <w:pPr>
              <w:jc w:val="center"/>
              <w:rPr>
                <w:rFonts w:hint="default" w:eastAsia="宋体"/>
                <w:sz w:val="21"/>
                <w:szCs w:val="21"/>
                <w:lang w:val="en-US" w:eastAsia="zh-CN"/>
              </w:rPr>
            </w:pPr>
            <w:r>
              <w:rPr>
                <w:rFonts w:hint="eastAsia"/>
                <w:sz w:val="21"/>
                <w:szCs w:val="21"/>
                <w:lang w:val="en-US" w:eastAsia="zh-CN"/>
              </w:rPr>
              <w:t>评价范围</w:t>
            </w:r>
          </w:p>
        </w:tc>
        <w:tc>
          <w:tcPr>
            <w:tcW w:w="7055" w:type="dxa"/>
            <w:gridSpan w:val="10"/>
            <w:vAlign w:val="center"/>
          </w:tcPr>
          <w:p w14:paraId="50B38A34">
            <w:pPr>
              <w:jc w:val="center"/>
              <w:rPr>
                <w:sz w:val="21"/>
                <w:szCs w:val="21"/>
              </w:rPr>
            </w:pPr>
            <w:r>
              <w:rPr>
                <w:rFonts w:hint="eastAsia"/>
                <w:sz w:val="21"/>
                <w:szCs w:val="21"/>
                <w:lang w:val="en-US" w:eastAsia="zh-CN"/>
              </w:rPr>
              <w:t>200m</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大于200m</w:t>
            </w:r>
            <w:r>
              <w:rPr>
                <w:sz w:val="21"/>
                <w:szCs w:val="21"/>
              </w:rPr>
              <w:t xml:space="preserve"> </w:t>
            </w:r>
            <w:r>
              <w:rPr>
                <w:sz w:val="21"/>
                <w:szCs w:val="21"/>
                <w:lang w:bidi="ar"/>
              </w:rPr>
              <w:t>□</w:t>
            </w:r>
            <w:r>
              <w:rPr>
                <w:sz w:val="21"/>
                <w:szCs w:val="21"/>
              </w:rPr>
              <w:t>；</w:t>
            </w:r>
            <w:r>
              <w:rPr>
                <w:rFonts w:hint="eastAsia"/>
                <w:sz w:val="21"/>
                <w:szCs w:val="21"/>
                <w:lang w:val="en-US" w:eastAsia="zh-CN"/>
              </w:rPr>
              <w:t>小于200m</w:t>
            </w:r>
            <w:r>
              <w:rPr>
                <w:sz w:val="21"/>
                <w:szCs w:val="21"/>
              </w:rPr>
              <w:t xml:space="preserve"> </w:t>
            </w:r>
            <w:r>
              <w:rPr>
                <w:sz w:val="21"/>
                <w:szCs w:val="21"/>
                <w:lang w:bidi="ar"/>
              </w:rPr>
              <w:t>□</w:t>
            </w:r>
          </w:p>
        </w:tc>
      </w:tr>
      <w:tr w14:paraId="5D30F6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13" w:type="dxa"/>
            <w:vAlign w:val="center"/>
          </w:tcPr>
          <w:p w14:paraId="1093E78C">
            <w:pPr>
              <w:jc w:val="center"/>
              <w:rPr>
                <w:sz w:val="21"/>
                <w:szCs w:val="21"/>
              </w:rPr>
            </w:pPr>
            <w:r>
              <w:rPr>
                <w:sz w:val="21"/>
                <w:szCs w:val="21"/>
              </w:rPr>
              <w:t>评价因子</w:t>
            </w:r>
          </w:p>
        </w:tc>
        <w:tc>
          <w:tcPr>
            <w:tcW w:w="1264" w:type="dxa"/>
            <w:vAlign w:val="center"/>
          </w:tcPr>
          <w:p w14:paraId="3B8097E1">
            <w:pPr>
              <w:jc w:val="center"/>
              <w:rPr>
                <w:rFonts w:hint="eastAsia"/>
                <w:sz w:val="21"/>
                <w:szCs w:val="21"/>
                <w:lang w:val="en-US" w:eastAsia="zh-CN"/>
              </w:rPr>
            </w:pPr>
            <w:r>
              <w:rPr>
                <w:sz w:val="21"/>
                <w:szCs w:val="21"/>
              </w:rPr>
              <w:t>评价因子</w:t>
            </w:r>
          </w:p>
        </w:tc>
        <w:tc>
          <w:tcPr>
            <w:tcW w:w="7055" w:type="dxa"/>
            <w:gridSpan w:val="10"/>
            <w:vAlign w:val="center"/>
          </w:tcPr>
          <w:p w14:paraId="2105E729">
            <w:pPr>
              <w:jc w:val="center"/>
              <w:rPr>
                <w:rFonts w:hint="eastAsia"/>
                <w:sz w:val="21"/>
                <w:szCs w:val="21"/>
                <w:lang w:val="en-US" w:eastAsia="zh-CN"/>
              </w:rPr>
            </w:pPr>
            <w:r>
              <w:rPr>
                <w:rFonts w:hint="eastAsia"/>
                <w:sz w:val="21"/>
                <w:szCs w:val="21"/>
                <w:lang w:val="en-US" w:eastAsia="zh-CN"/>
              </w:rPr>
              <w:t>等效连续A声级</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最大A声级</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计权等效连续感觉噪声级</w:t>
            </w:r>
            <w:r>
              <w:rPr>
                <w:sz w:val="21"/>
                <w:szCs w:val="21"/>
              </w:rPr>
              <w:t xml:space="preserve"> </w:t>
            </w:r>
            <w:r>
              <w:rPr>
                <w:sz w:val="21"/>
                <w:szCs w:val="21"/>
                <w:lang w:bidi="ar"/>
              </w:rPr>
              <w:t>□</w:t>
            </w:r>
          </w:p>
        </w:tc>
      </w:tr>
      <w:tr w14:paraId="08C2D5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13" w:type="dxa"/>
            <w:vAlign w:val="center"/>
          </w:tcPr>
          <w:p w14:paraId="2C60A6E1">
            <w:pPr>
              <w:jc w:val="center"/>
              <w:rPr>
                <w:rFonts w:hint="default" w:eastAsia="宋体"/>
                <w:sz w:val="21"/>
                <w:szCs w:val="21"/>
                <w:lang w:val="en-US" w:eastAsia="zh-CN"/>
              </w:rPr>
            </w:pPr>
            <w:r>
              <w:rPr>
                <w:rFonts w:hint="eastAsia"/>
                <w:sz w:val="21"/>
                <w:szCs w:val="21"/>
                <w:lang w:val="en-US" w:eastAsia="zh-CN"/>
              </w:rPr>
              <w:t>评价标准</w:t>
            </w:r>
          </w:p>
        </w:tc>
        <w:tc>
          <w:tcPr>
            <w:tcW w:w="1264" w:type="dxa"/>
            <w:vAlign w:val="center"/>
          </w:tcPr>
          <w:p w14:paraId="278796B7">
            <w:pPr>
              <w:jc w:val="center"/>
              <w:rPr>
                <w:sz w:val="21"/>
                <w:szCs w:val="21"/>
              </w:rPr>
            </w:pPr>
            <w:r>
              <w:rPr>
                <w:rFonts w:hint="eastAsia"/>
                <w:sz w:val="21"/>
                <w:szCs w:val="21"/>
                <w:lang w:val="en-US" w:eastAsia="zh-CN"/>
              </w:rPr>
              <w:t>评价标准</w:t>
            </w:r>
          </w:p>
        </w:tc>
        <w:tc>
          <w:tcPr>
            <w:tcW w:w="7055" w:type="dxa"/>
            <w:gridSpan w:val="10"/>
            <w:vAlign w:val="center"/>
          </w:tcPr>
          <w:p w14:paraId="6C033BA6">
            <w:pPr>
              <w:jc w:val="center"/>
              <w:rPr>
                <w:rFonts w:hint="eastAsia"/>
                <w:sz w:val="21"/>
                <w:szCs w:val="21"/>
                <w:lang w:val="en-US" w:eastAsia="zh-CN"/>
              </w:rPr>
            </w:pPr>
            <w:r>
              <w:rPr>
                <w:rFonts w:hint="eastAsia"/>
                <w:sz w:val="21"/>
                <w:szCs w:val="21"/>
                <w:lang w:val="en-US" w:eastAsia="zh-CN"/>
              </w:rPr>
              <w:t>国家标准</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地方标准</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国外标准</w:t>
            </w:r>
            <w:r>
              <w:rPr>
                <w:sz w:val="21"/>
                <w:szCs w:val="21"/>
              </w:rPr>
              <w:t xml:space="preserve"> </w:t>
            </w:r>
            <w:r>
              <w:rPr>
                <w:sz w:val="21"/>
                <w:szCs w:val="21"/>
                <w:lang w:bidi="ar"/>
              </w:rPr>
              <w:t>□</w:t>
            </w:r>
          </w:p>
        </w:tc>
      </w:tr>
      <w:tr w14:paraId="3CC1EA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113" w:type="dxa"/>
            <w:vMerge w:val="restart"/>
            <w:vAlign w:val="center"/>
          </w:tcPr>
          <w:p w14:paraId="46D5D3E2">
            <w:pPr>
              <w:jc w:val="center"/>
              <w:rPr>
                <w:sz w:val="21"/>
                <w:szCs w:val="21"/>
              </w:rPr>
            </w:pPr>
            <w:r>
              <w:rPr>
                <w:sz w:val="21"/>
                <w:szCs w:val="21"/>
              </w:rPr>
              <w:t>现状评价</w:t>
            </w:r>
          </w:p>
        </w:tc>
        <w:tc>
          <w:tcPr>
            <w:tcW w:w="1264" w:type="dxa"/>
            <w:vAlign w:val="center"/>
          </w:tcPr>
          <w:p w14:paraId="18F3468C">
            <w:pPr>
              <w:jc w:val="center"/>
              <w:rPr>
                <w:rFonts w:hint="default" w:eastAsia="宋体"/>
                <w:sz w:val="21"/>
                <w:szCs w:val="21"/>
                <w:lang w:val="en-US" w:eastAsia="zh-CN"/>
              </w:rPr>
            </w:pPr>
            <w:r>
              <w:rPr>
                <w:rFonts w:hint="eastAsia"/>
                <w:sz w:val="21"/>
                <w:szCs w:val="21"/>
                <w:lang w:val="en-US" w:eastAsia="zh-CN"/>
              </w:rPr>
              <w:t>环境功能区</w:t>
            </w:r>
          </w:p>
        </w:tc>
        <w:tc>
          <w:tcPr>
            <w:tcW w:w="1018" w:type="dxa"/>
            <w:vAlign w:val="center"/>
          </w:tcPr>
          <w:p w14:paraId="0701CAF5">
            <w:pPr>
              <w:jc w:val="center"/>
              <w:rPr>
                <w:sz w:val="21"/>
                <w:szCs w:val="21"/>
              </w:rPr>
            </w:pPr>
            <w:r>
              <w:rPr>
                <w:rFonts w:hint="eastAsia"/>
                <w:sz w:val="21"/>
                <w:szCs w:val="21"/>
                <w:lang w:val="en-US" w:eastAsia="zh-CN"/>
              </w:rPr>
              <w:t>0类区</w:t>
            </w:r>
            <w:r>
              <w:rPr>
                <w:sz w:val="21"/>
                <w:szCs w:val="21"/>
              </w:rPr>
              <w:t xml:space="preserve"> </w:t>
            </w:r>
            <w:r>
              <w:rPr>
                <w:sz w:val="21"/>
                <w:szCs w:val="21"/>
                <w:lang w:bidi="ar"/>
              </w:rPr>
              <w:t>□</w:t>
            </w:r>
          </w:p>
        </w:tc>
        <w:tc>
          <w:tcPr>
            <w:tcW w:w="1114" w:type="dxa"/>
            <w:gridSpan w:val="2"/>
            <w:vAlign w:val="center"/>
          </w:tcPr>
          <w:p w14:paraId="5288B81E">
            <w:pPr>
              <w:jc w:val="center"/>
              <w:rPr>
                <w:sz w:val="21"/>
                <w:szCs w:val="21"/>
              </w:rPr>
            </w:pPr>
            <w:r>
              <w:rPr>
                <w:rFonts w:hint="eastAsia"/>
                <w:sz w:val="21"/>
                <w:szCs w:val="21"/>
                <w:lang w:val="en-US" w:eastAsia="zh-CN"/>
              </w:rPr>
              <w:t>1类区</w:t>
            </w:r>
            <w:r>
              <w:rPr>
                <w:sz w:val="21"/>
                <w:szCs w:val="21"/>
              </w:rPr>
              <w:t xml:space="preserve"> </w:t>
            </w:r>
            <w:r>
              <w:rPr>
                <w:sz w:val="21"/>
                <w:szCs w:val="21"/>
                <w:lang w:bidi="ar"/>
              </w:rPr>
              <w:t>□</w:t>
            </w:r>
          </w:p>
        </w:tc>
        <w:tc>
          <w:tcPr>
            <w:tcW w:w="1254" w:type="dxa"/>
            <w:vAlign w:val="center"/>
          </w:tcPr>
          <w:p w14:paraId="13D911D1">
            <w:pPr>
              <w:jc w:val="center"/>
              <w:rPr>
                <w:rFonts w:hint="eastAsia" w:eastAsia="宋体"/>
                <w:sz w:val="21"/>
                <w:szCs w:val="21"/>
                <w:lang w:eastAsia="zh-CN"/>
              </w:rPr>
            </w:pPr>
            <w:r>
              <w:rPr>
                <w:rFonts w:hint="eastAsia"/>
                <w:sz w:val="21"/>
                <w:szCs w:val="21"/>
                <w:lang w:val="en-US" w:eastAsia="zh-CN"/>
              </w:rPr>
              <w:t>3类区</w:t>
            </w:r>
            <w:r>
              <w:rPr>
                <w:sz w:val="21"/>
                <w:szCs w:val="21"/>
              </w:rPr>
              <w:t xml:space="preserve"> </w:t>
            </w:r>
            <w:r>
              <w:rPr>
                <w:rFonts w:hint="eastAsia"/>
                <w:sz w:val="21"/>
                <w:szCs w:val="21"/>
                <w:lang w:eastAsia="zh-CN" w:bidi="ar"/>
              </w:rPr>
              <w:t>☑</w:t>
            </w:r>
          </w:p>
        </w:tc>
        <w:tc>
          <w:tcPr>
            <w:tcW w:w="1136" w:type="dxa"/>
            <w:gridSpan w:val="2"/>
            <w:vAlign w:val="center"/>
          </w:tcPr>
          <w:p w14:paraId="68AFFF0A">
            <w:pPr>
              <w:jc w:val="center"/>
              <w:rPr>
                <w:sz w:val="21"/>
                <w:szCs w:val="21"/>
              </w:rPr>
            </w:pPr>
            <w:r>
              <w:rPr>
                <w:rFonts w:hint="eastAsia"/>
                <w:sz w:val="21"/>
                <w:szCs w:val="21"/>
                <w:lang w:val="en-US" w:eastAsia="zh-CN"/>
              </w:rPr>
              <w:t>3类区</w:t>
            </w:r>
            <w:r>
              <w:rPr>
                <w:sz w:val="21"/>
                <w:szCs w:val="21"/>
              </w:rPr>
              <w:t xml:space="preserve"> </w:t>
            </w:r>
            <w:r>
              <w:rPr>
                <w:sz w:val="21"/>
                <w:szCs w:val="21"/>
                <w:lang w:bidi="ar"/>
              </w:rPr>
              <w:t>□</w:t>
            </w:r>
          </w:p>
        </w:tc>
        <w:tc>
          <w:tcPr>
            <w:tcW w:w="1253" w:type="dxa"/>
            <w:gridSpan w:val="3"/>
            <w:vAlign w:val="center"/>
          </w:tcPr>
          <w:p w14:paraId="79D81639">
            <w:pPr>
              <w:jc w:val="center"/>
              <w:rPr>
                <w:sz w:val="21"/>
                <w:szCs w:val="21"/>
              </w:rPr>
            </w:pPr>
            <w:r>
              <w:rPr>
                <w:rFonts w:hint="eastAsia"/>
                <w:sz w:val="21"/>
                <w:szCs w:val="21"/>
                <w:lang w:val="en-US" w:eastAsia="zh-CN"/>
              </w:rPr>
              <w:t>4a类区</w:t>
            </w:r>
            <w:r>
              <w:rPr>
                <w:sz w:val="21"/>
                <w:szCs w:val="21"/>
              </w:rPr>
              <w:t xml:space="preserve"> </w:t>
            </w:r>
            <w:r>
              <w:rPr>
                <w:sz w:val="21"/>
                <w:szCs w:val="21"/>
                <w:lang w:bidi="ar"/>
              </w:rPr>
              <w:t>□</w:t>
            </w:r>
          </w:p>
        </w:tc>
        <w:tc>
          <w:tcPr>
            <w:tcW w:w="1280" w:type="dxa"/>
            <w:vAlign w:val="center"/>
          </w:tcPr>
          <w:p w14:paraId="34E7B892">
            <w:pPr>
              <w:jc w:val="center"/>
              <w:rPr>
                <w:sz w:val="21"/>
                <w:szCs w:val="21"/>
              </w:rPr>
            </w:pPr>
            <w:r>
              <w:rPr>
                <w:rFonts w:hint="eastAsia"/>
                <w:sz w:val="21"/>
                <w:szCs w:val="21"/>
                <w:lang w:val="en-US" w:eastAsia="zh-CN"/>
              </w:rPr>
              <w:t>4b类区</w:t>
            </w:r>
            <w:r>
              <w:rPr>
                <w:sz w:val="21"/>
                <w:szCs w:val="21"/>
              </w:rPr>
              <w:t xml:space="preserve"> </w:t>
            </w:r>
            <w:r>
              <w:rPr>
                <w:sz w:val="21"/>
                <w:szCs w:val="21"/>
                <w:lang w:bidi="ar"/>
              </w:rPr>
              <w:t>□</w:t>
            </w:r>
          </w:p>
        </w:tc>
      </w:tr>
      <w:tr w14:paraId="754821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2" w:hRule="atLeast"/>
          <w:jc w:val="center"/>
        </w:trPr>
        <w:tc>
          <w:tcPr>
            <w:tcW w:w="1113" w:type="dxa"/>
            <w:vMerge w:val="continue"/>
            <w:vAlign w:val="center"/>
          </w:tcPr>
          <w:p w14:paraId="434BFFAC">
            <w:pPr>
              <w:jc w:val="center"/>
              <w:rPr>
                <w:sz w:val="21"/>
                <w:szCs w:val="21"/>
              </w:rPr>
            </w:pPr>
          </w:p>
        </w:tc>
        <w:tc>
          <w:tcPr>
            <w:tcW w:w="1264" w:type="dxa"/>
            <w:vAlign w:val="center"/>
          </w:tcPr>
          <w:p w14:paraId="564744FC">
            <w:pPr>
              <w:jc w:val="center"/>
              <w:rPr>
                <w:rFonts w:hint="eastAsia" w:eastAsia="宋体"/>
                <w:sz w:val="21"/>
                <w:szCs w:val="21"/>
                <w:lang w:eastAsia="zh-CN"/>
              </w:rPr>
            </w:pPr>
            <w:r>
              <w:rPr>
                <w:sz w:val="21"/>
                <w:szCs w:val="21"/>
              </w:rPr>
              <w:t>评价</w:t>
            </w:r>
            <w:r>
              <w:rPr>
                <w:rFonts w:hint="eastAsia"/>
                <w:sz w:val="21"/>
                <w:szCs w:val="21"/>
                <w:lang w:val="en-US" w:eastAsia="zh-CN"/>
              </w:rPr>
              <w:t>年度</w:t>
            </w:r>
          </w:p>
        </w:tc>
        <w:tc>
          <w:tcPr>
            <w:tcW w:w="1651" w:type="dxa"/>
            <w:gridSpan w:val="2"/>
            <w:vAlign w:val="center"/>
          </w:tcPr>
          <w:p w14:paraId="3AD004B1">
            <w:pPr>
              <w:jc w:val="center"/>
              <w:rPr>
                <w:rFonts w:hint="eastAsia" w:eastAsia="宋体"/>
                <w:sz w:val="21"/>
                <w:szCs w:val="21"/>
                <w:lang w:eastAsia="zh-CN"/>
              </w:rPr>
            </w:pPr>
            <w:r>
              <w:rPr>
                <w:rFonts w:hint="eastAsia"/>
                <w:sz w:val="21"/>
                <w:szCs w:val="21"/>
                <w:lang w:val="en-US" w:eastAsia="zh-CN"/>
              </w:rPr>
              <w:t>初期</w:t>
            </w:r>
            <w:r>
              <w:rPr>
                <w:sz w:val="21"/>
                <w:szCs w:val="21"/>
              </w:rPr>
              <w:t xml:space="preserve"> </w:t>
            </w:r>
            <w:r>
              <w:rPr>
                <w:rFonts w:hint="eastAsia"/>
                <w:sz w:val="21"/>
                <w:szCs w:val="21"/>
                <w:lang w:eastAsia="zh-CN" w:bidi="ar"/>
              </w:rPr>
              <w:t>☑</w:t>
            </w:r>
          </w:p>
        </w:tc>
        <w:tc>
          <w:tcPr>
            <w:tcW w:w="1801" w:type="dxa"/>
            <w:gridSpan w:val="3"/>
            <w:vAlign w:val="center"/>
          </w:tcPr>
          <w:p w14:paraId="259E690E">
            <w:pPr>
              <w:jc w:val="center"/>
              <w:rPr>
                <w:rFonts w:hint="eastAsia" w:eastAsia="宋体"/>
                <w:sz w:val="21"/>
                <w:szCs w:val="21"/>
                <w:lang w:eastAsia="zh-CN"/>
              </w:rPr>
            </w:pPr>
            <w:r>
              <w:rPr>
                <w:rFonts w:hint="eastAsia"/>
                <w:sz w:val="21"/>
                <w:szCs w:val="21"/>
                <w:lang w:val="en-US" w:eastAsia="zh-CN"/>
              </w:rPr>
              <w:t>近期</w:t>
            </w:r>
            <w:r>
              <w:rPr>
                <w:sz w:val="21"/>
                <w:szCs w:val="21"/>
              </w:rPr>
              <w:t xml:space="preserve"> </w:t>
            </w:r>
            <w:r>
              <w:rPr>
                <w:rFonts w:hint="eastAsia"/>
                <w:sz w:val="21"/>
                <w:szCs w:val="21"/>
                <w:lang w:eastAsia="zh-CN" w:bidi="ar"/>
              </w:rPr>
              <w:t>□</w:t>
            </w:r>
          </w:p>
        </w:tc>
        <w:tc>
          <w:tcPr>
            <w:tcW w:w="1801" w:type="dxa"/>
            <w:gridSpan w:val="2"/>
            <w:vAlign w:val="center"/>
          </w:tcPr>
          <w:p w14:paraId="14C4B173">
            <w:pPr>
              <w:jc w:val="center"/>
              <w:rPr>
                <w:rFonts w:hint="eastAsia" w:eastAsia="宋体"/>
                <w:sz w:val="21"/>
                <w:szCs w:val="21"/>
                <w:lang w:eastAsia="zh-CN"/>
              </w:rPr>
            </w:pPr>
            <w:r>
              <w:rPr>
                <w:rFonts w:hint="eastAsia"/>
                <w:sz w:val="21"/>
                <w:szCs w:val="21"/>
                <w:lang w:val="en-US" w:eastAsia="zh-CN"/>
              </w:rPr>
              <w:t>中期</w:t>
            </w:r>
            <w:r>
              <w:rPr>
                <w:sz w:val="21"/>
                <w:szCs w:val="21"/>
              </w:rPr>
              <w:t xml:space="preserve"> </w:t>
            </w:r>
            <w:r>
              <w:rPr>
                <w:rFonts w:hint="eastAsia"/>
                <w:sz w:val="21"/>
                <w:szCs w:val="21"/>
                <w:lang w:eastAsia="zh-CN" w:bidi="ar"/>
              </w:rPr>
              <w:t>□</w:t>
            </w:r>
          </w:p>
        </w:tc>
        <w:tc>
          <w:tcPr>
            <w:tcW w:w="1802" w:type="dxa"/>
            <w:gridSpan w:val="3"/>
            <w:vAlign w:val="center"/>
          </w:tcPr>
          <w:p w14:paraId="2A4497A2">
            <w:pPr>
              <w:jc w:val="center"/>
              <w:rPr>
                <w:sz w:val="21"/>
                <w:szCs w:val="21"/>
              </w:rPr>
            </w:pPr>
            <w:r>
              <w:rPr>
                <w:rFonts w:hint="eastAsia"/>
                <w:sz w:val="21"/>
                <w:szCs w:val="21"/>
                <w:lang w:val="en-US" w:eastAsia="zh-CN"/>
              </w:rPr>
              <w:t>远期</w:t>
            </w:r>
            <w:r>
              <w:rPr>
                <w:sz w:val="21"/>
                <w:szCs w:val="21"/>
              </w:rPr>
              <w:t xml:space="preserve"> </w:t>
            </w:r>
            <w:r>
              <w:rPr>
                <w:sz w:val="21"/>
                <w:szCs w:val="21"/>
                <w:lang w:bidi="ar"/>
              </w:rPr>
              <w:t>□</w:t>
            </w:r>
          </w:p>
        </w:tc>
      </w:tr>
      <w:tr w14:paraId="025CD0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113" w:type="dxa"/>
            <w:vMerge w:val="continue"/>
            <w:vAlign w:val="center"/>
          </w:tcPr>
          <w:p w14:paraId="3961C0B9">
            <w:pPr>
              <w:jc w:val="center"/>
              <w:rPr>
                <w:sz w:val="21"/>
                <w:szCs w:val="21"/>
              </w:rPr>
            </w:pPr>
          </w:p>
        </w:tc>
        <w:tc>
          <w:tcPr>
            <w:tcW w:w="1264" w:type="dxa"/>
            <w:vAlign w:val="center"/>
          </w:tcPr>
          <w:p w14:paraId="7BDBB4E6">
            <w:pPr>
              <w:jc w:val="center"/>
              <w:rPr>
                <w:rFonts w:hint="default" w:eastAsia="宋体"/>
                <w:sz w:val="21"/>
                <w:szCs w:val="21"/>
                <w:lang w:val="en-US" w:eastAsia="zh-CN"/>
              </w:rPr>
            </w:pPr>
            <w:r>
              <w:rPr>
                <w:rFonts w:hint="eastAsia"/>
                <w:sz w:val="21"/>
                <w:szCs w:val="21"/>
                <w:lang w:val="en-US" w:eastAsia="zh-CN"/>
              </w:rPr>
              <w:t>现状调查方法</w:t>
            </w:r>
          </w:p>
        </w:tc>
        <w:tc>
          <w:tcPr>
            <w:tcW w:w="7055" w:type="dxa"/>
            <w:gridSpan w:val="10"/>
            <w:vAlign w:val="center"/>
          </w:tcPr>
          <w:p w14:paraId="4148206A">
            <w:pPr>
              <w:jc w:val="center"/>
              <w:rPr>
                <w:sz w:val="21"/>
                <w:szCs w:val="21"/>
              </w:rPr>
            </w:pPr>
            <w:r>
              <w:rPr>
                <w:rFonts w:hint="eastAsia"/>
                <w:sz w:val="21"/>
                <w:szCs w:val="21"/>
                <w:lang w:val="en-US" w:eastAsia="zh-CN"/>
              </w:rPr>
              <w:t>现场实测法</w:t>
            </w:r>
            <w:r>
              <w:rPr>
                <w:sz w:val="21"/>
                <w:szCs w:val="21"/>
              </w:rPr>
              <w:t xml:space="preserve"> </w:t>
            </w:r>
            <w:r>
              <w:rPr>
                <w:sz w:val="21"/>
                <w:szCs w:val="21"/>
                <w:lang w:bidi="ar"/>
              </w:rPr>
              <w:t>□</w:t>
            </w:r>
            <w:r>
              <w:rPr>
                <w:sz w:val="21"/>
                <w:szCs w:val="21"/>
              </w:rPr>
              <w:t>；</w:t>
            </w:r>
            <w:r>
              <w:rPr>
                <w:rFonts w:hint="eastAsia"/>
                <w:sz w:val="21"/>
                <w:szCs w:val="21"/>
                <w:lang w:val="en-US" w:eastAsia="zh-CN"/>
              </w:rPr>
              <w:t>现场实测加模型计算法</w:t>
            </w:r>
            <w:r>
              <w:rPr>
                <w:rFonts w:hint="eastAsia"/>
                <w:sz w:val="21"/>
                <w:szCs w:val="21"/>
                <w:lang w:eastAsia="zh-CN" w:bidi="ar"/>
              </w:rPr>
              <w:t>☑</w:t>
            </w:r>
            <w:r>
              <w:rPr>
                <w:sz w:val="21"/>
                <w:szCs w:val="21"/>
              </w:rPr>
              <w:t>；</w:t>
            </w:r>
            <w:r>
              <w:rPr>
                <w:rFonts w:hint="eastAsia"/>
                <w:sz w:val="21"/>
                <w:szCs w:val="21"/>
                <w:lang w:val="en-US" w:eastAsia="zh-CN"/>
              </w:rPr>
              <w:t>收集资料</w:t>
            </w:r>
            <w:r>
              <w:rPr>
                <w:sz w:val="21"/>
                <w:szCs w:val="21"/>
              </w:rPr>
              <w:t xml:space="preserve"> </w:t>
            </w:r>
            <w:r>
              <w:rPr>
                <w:sz w:val="21"/>
                <w:szCs w:val="21"/>
                <w:lang w:bidi="ar"/>
              </w:rPr>
              <w:t>□</w:t>
            </w:r>
          </w:p>
        </w:tc>
      </w:tr>
      <w:tr w14:paraId="269561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113" w:type="dxa"/>
            <w:vMerge w:val="continue"/>
            <w:vAlign w:val="center"/>
          </w:tcPr>
          <w:p w14:paraId="100E8DD2">
            <w:pPr>
              <w:jc w:val="center"/>
              <w:rPr>
                <w:sz w:val="21"/>
                <w:szCs w:val="21"/>
              </w:rPr>
            </w:pPr>
          </w:p>
        </w:tc>
        <w:tc>
          <w:tcPr>
            <w:tcW w:w="1264" w:type="dxa"/>
            <w:vAlign w:val="center"/>
          </w:tcPr>
          <w:p w14:paraId="5AEAAF78">
            <w:pPr>
              <w:jc w:val="center"/>
              <w:rPr>
                <w:rFonts w:hint="default" w:eastAsia="宋体"/>
                <w:sz w:val="21"/>
                <w:szCs w:val="21"/>
                <w:lang w:val="en-US" w:eastAsia="zh-CN"/>
              </w:rPr>
            </w:pPr>
            <w:r>
              <w:rPr>
                <w:rFonts w:hint="eastAsia"/>
                <w:sz w:val="21"/>
                <w:szCs w:val="21"/>
                <w:lang w:val="en-US" w:eastAsia="zh-CN"/>
              </w:rPr>
              <w:t>现状评价</w:t>
            </w:r>
          </w:p>
        </w:tc>
        <w:tc>
          <w:tcPr>
            <w:tcW w:w="1651" w:type="dxa"/>
            <w:gridSpan w:val="2"/>
            <w:vAlign w:val="center"/>
          </w:tcPr>
          <w:p w14:paraId="2074AAAD">
            <w:pPr>
              <w:pStyle w:val="42"/>
              <w:tabs>
                <w:tab w:val="right" w:leader="dot" w:pos="8303"/>
              </w:tabs>
              <w:ind w:left="0"/>
              <w:jc w:val="center"/>
              <w:rPr>
                <w:rFonts w:hint="default" w:eastAsia="宋体"/>
                <w:sz w:val="21"/>
                <w:szCs w:val="21"/>
                <w:lang w:val="en-US" w:eastAsia="zh-CN"/>
              </w:rPr>
            </w:pPr>
            <w:r>
              <w:rPr>
                <w:rFonts w:hint="eastAsia"/>
                <w:sz w:val="21"/>
                <w:szCs w:val="21"/>
                <w:lang w:val="en-US" w:eastAsia="zh-CN"/>
              </w:rPr>
              <w:t>达标百分比</w:t>
            </w:r>
          </w:p>
        </w:tc>
        <w:tc>
          <w:tcPr>
            <w:tcW w:w="5404" w:type="dxa"/>
            <w:gridSpan w:val="8"/>
            <w:vAlign w:val="center"/>
          </w:tcPr>
          <w:p w14:paraId="5979174B">
            <w:pPr>
              <w:pStyle w:val="42"/>
              <w:tabs>
                <w:tab w:val="right" w:leader="dot" w:pos="8303"/>
              </w:tabs>
              <w:ind w:left="0"/>
              <w:jc w:val="center"/>
              <w:rPr>
                <w:rFonts w:hint="default" w:eastAsia="宋体"/>
                <w:sz w:val="21"/>
                <w:szCs w:val="21"/>
                <w:lang w:val="en-US" w:eastAsia="zh-CN"/>
              </w:rPr>
            </w:pPr>
            <w:r>
              <w:rPr>
                <w:rFonts w:hint="eastAsia"/>
                <w:sz w:val="21"/>
                <w:szCs w:val="21"/>
                <w:lang w:val="en-US" w:eastAsia="zh-CN"/>
              </w:rPr>
              <w:t>100%</w:t>
            </w:r>
          </w:p>
        </w:tc>
      </w:tr>
      <w:tr w14:paraId="796FE2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1113" w:type="dxa"/>
            <w:vAlign w:val="center"/>
          </w:tcPr>
          <w:p w14:paraId="381E0AF9">
            <w:pPr>
              <w:jc w:val="center"/>
              <w:rPr>
                <w:rFonts w:hint="eastAsia" w:eastAsia="宋体"/>
                <w:sz w:val="21"/>
                <w:szCs w:val="21"/>
                <w:lang w:val="en-US" w:eastAsia="zh-CN"/>
              </w:rPr>
            </w:pPr>
            <w:r>
              <w:rPr>
                <w:rFonts w:hint="eastAsia"/>
                <w:sz w:val="21"/>
                <w:szCs w:val="21"/>
                <w:lang w:val="en-US" w:eastAsia="zh-CN"/>
              </w:rPr>
              <w:t>噪声源调查</w:t>
            </w:r>
          </w:p>
        </w:tc>
        <w:tc>
          <w:tcPr>
            <w:tcW w:w="1264" w:type="dxa"/>
            <w:vAlign w:val="center"/>
          </w:tcPr>
          <w:p w14:paraId="310FD2A5">
            <w:pPr>
              <w:jc w:val="center"/>
              <w:rPr>
                <w:rFonts w:hint="default"/>
                <w:sz w:val="21"/>
                <w:szCs w:val="21"/>
                <w:lang w:val="en-US" w:eastAsia="zh-CN"/>
              </w:rPr>
            </w:pPr>
            <w:r>
              <w:rPr>
                <w:rFonts w:hint="eastAsia"/>
                <w:sz w:val="21"/>
                <w:szCs w:val="21"/>
                <w:lang w:val="en-US" w:eastAsia="zh-CN"/>
              </w:rPr>
              <w:t>噪声源调查方法</w:t>
            </w:r>
          </w:p>
        </w:tc>
        <w:tc>
          <w:tcPr>
            <w:tcW w:w="7055" w:type="dxa"/>
            <w:gridSpan w:val="10"/>
            <w:vAlign w:val="center"/>
          </w:tcPr>
          <w:p w14:paraId="4E238985">
            <w:pPr>
              <w:pStyle w:val="42"/>
              <w:tabs>
                <w:tab w:val="right" w:leader="dot" w:pos="8303"/>
              </w:tabs>
              <w:ind w:left="0"/>
              <w:jc w:val="center"/>
              <w:rPr>
                <w:rFonts w:hint="eastAsia"/>
                <w:sz w:val="21"/>
                <w:szCs w:val="21"/>
                <w:lang w:val="en-US" w:eastAsia="zh-CN"/>
              </w:rPr>
            </w:pPr>
            <w:r>
              <w:rPr>
                <w:rFonts w:hint="eastAsia"/>
                <w:sz w:val="21"/>
                <w:szCs w:val="21"/>
                <w:lang w:val="en-US" w:eastAsia="zh-CN"/>
              </w:rPr>
              <w:t>现场实测法</w:t>
            </w:r>
            <w:r>
              <w:rPr>
                <w:sz w:val="21"/>
                <w:szCs w:val="21"/>
              </w:rPr>
              <w:t xml:space="preserve"> </w:t>
            </w:r>
            <w:r>
              <w:rPr>
                <w:sz w:val="21"/>
                <w:szCs w:val="21"/>
                <w:lang w:bidi="ar"/>
              </w:rPr>
              <w:t>□</w:t>
            </w:r>
            <w:r>
              <w:rPr>
                <w:sz w:val="21"/>
                <w:szCs w:val="21"/>
              </w:rPr>
              <w:t>；</w:t>
            </w:r>
            <w:r>
              <w:rPr>
                <w:rFonts w:hint="eastAsia"/>
                <w:sz w:val="21"/>
                <w:szCs w:val="21"/>
                <w:lang w:val="en-US" w:eastAsia="zh-CN"/>
              </w:rPr>
              <w:t>已有资料</w:t>
            </w:r>
            <w:r>
              <w:rPr>
                <w:rFonts w:hint="eastAsia"/>
                <w:sz w:val="21"/>
                <w:szCs w:val="21"/>
                <w:lang w:eastAsia="zh-CN" w:bidi="ar"/>
              </w:rPr>
              <w:t>☑</w:t>
            </w:r>
            <w:r>
              <w:rPr>
                <w:sz w:val="21"/>
                <w:szCs w:val="21"/>
              </w:rPr>
              <w:t>；</w:t>
            </w:r>
            <w:r>
              <w:rPr>
                <w:rFonts w:hint="eastAsia"/>
                <w:sz w:val="21"/>
                <w:szCs w:val="21"/>
                <w:lang w:val="en-US" w:eastAsia="zh-CN"/>
              </w:rPr>
              <w:t>研究成果</w:t>
            </w:r>
            <w:r>
              <w:rPr>
                <w:sz w:val="21"/>
                <w:szCs w:val="21"/>
              </w:rPr>
              <w:t xml:space="preserve"> </w:t>
            </w:r>
            <w:r>
              <w:rPr>
                <w:sz w:val="21"/>
                <w:szCs w:val="21"/>
                <w:lang w:bidi="ar"/>
              </w:rPr>
              <w:t>□</w:t>
            </w:r>
          </w:p>
        </w:tc>
      </w:tr>
      <w:tr w14:paraId="23EC86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1113" w:type="dxa"/>
            <w:vMerge w:val="restart"/>
            <w:vAlign w:val="center"/>
          </w:tcPr>
          <w:p w14:paraId="6F54A026">
            <w:pPr>
              <w:jc w:val="center"/>
              <w:rPr>
                <w:rFonts w:hint="default" w:eastAsia="宋体"/>
                <w:sz w:val="21"/>
                <w:szCs w:val="21"/>
                <w:lang w:val="en-US" w:eastAsia="zh-CN"/>
              </w:rPr>
            </w:pPr>
            <w:r>
              <w:rPr>
                <w:rFonts w:hint="eastAsia"/>
                <w:sz w:val="21"/>
                <w:szCs w:val="21"/>
                <w:lang w:val="en-US" w:eastAsia="zh-CN"/>
              </w:rPr>
              <w:t>声环境</w:t>
            </w:r>
            <w:r>
              <w:rPr>
                <w:sz w:val="21"/>
                <w:szCs w:val="21"/>
              </w:rPr>
              <w:t>影响预测</w:t>
            </w:r>
            <w:r>
              <w:rPr>
                <w:rFonts w:hint="eastAsia"/>
                <w:sz w:val="21"/>
                <w:szCs w:val="21"/>
                <w:lang w:val="en-US" w:eastAsia="zh-CN"/>
              </w:rPr>
              <w:t>与评价</w:t>
            </w:r>
          </w:p>
        </w:tc>
        <w:tc>
          <w:tcPr>
            <w:tcW w:w="1264" w:type="dxa"/>
            <w:vAlign w:val="center"/>
          </w:tcPr>
          <w:p w14:paraId="7FB7F62D">
            <w:pPr>
              <w:jc w:val="center"/>
              <w:rPr>
                <w:rFonts w:hint="eastAsia" w:eastAsia="宋体"/>
                <w:sz w:val="21"/>
                <w:szCs w:val="21"/>
                <w:lang w:eastAsia="zh-CN"/>
              </w:rPr>
            </w:pPr>
            <w:r>
              <w:rPr>
                <w:sz w:val="21"/>
                <w:szCs w:val="21"/>
              </w:rPr>
              <w:t>预测</w:t>
            </w:r>
            <w:r>
              <w:rPr>
                <w:rFonts w:hint="eastAsia"/>
                <w:sz w:val="21"/>
                <w:szCs w:val="21"/>
                <w:lang w:val="en-US" w:eastAsia="zh-CN"/>
              </w:rPr>
              <w:t>模型</w:t>
            </w:r>
          </w:p>
        </w:tc>
        <w:tc>
          <w:tcPr>
            <w:tcW w:w="7055" w:type="dxa"/>
            <w:gridSpan w:val="10"/>
            <w:vAlign w:val="center"/>
          </w:tcPr>
          <w:p w14:paraId="5D80E76E">
            <w:pPr>
              <w:jc w:val="center"/>
              <w:rPr>
                <w:rFonts w:hint="default" w:eastAsia="宋体"/>
                <w:sz w:val="21"/>
                <w:szCs w:val="21"/>
                <w:lang w:val="en-US" w:eastAsia="zh-CN"/>
              </w:rPr>
            </w:pPr>
            <w:r>
              <w:rPr>
                <w:rFonts w:hint="eastAsia"/>
                <w:sz w:val="21"/>
                <w:szCs w:val="21"/>
                <w:lang w:val="en-US" w:eastAsia="zh-CN"/>
              </w:rPr>
              <w:t>导则推荐模型</w:t>
            </w:r>
            <w:r>
              <w:rPr>
                <w:sz w:val="21"/>
                <w:szCs w:val="21"/>
              </w:rPr>
              <w:t xml:space="preserve"> </w:t>
            </w:r>
            <w:r>
              <w:rPr>
                <w:rFonts w:hint="eastAsia"/>
                <w:sz w:val="21"/>
                <w:szCs w:val="21"/>
                <w:lang w:eastAsia="zh-CN" w:bidi="ar"/>
              </w:rPr>
              <w:t>☑</w:t>
            </w:r>
            <w:r>
              <w:rPr>
                <w:rFonts w:hint="eastAsia"/>
                <w:sz w:val="21"/>
                <w:szCs w:val="21"/>
                <w:lang w:val="en-US" w:eastAsia="zh-CN" w:bidi="ar"/>
              </w:rPr>
              <w:t xml:space="preserve">             其他</w:t>
            </w:r>
            <w:r>
              <w:rPr>
                <w:sz w:val="21"/>
                <w:szCs w:val="21"/>
              </w:rPr>
              <w:t xml:space="preserve"> </w:t>
            </w:r>
            <w:r>
              <w:rPr>
                <w:rFonts w:hint="eastAsia"/>
                <w:sz w:val="21"/>
                <w:szCs w:val="21"/>
                <w:lang w:eastAsia="zh-CN" w:bidi="ar"/>
              </w:rPr>
              <w:t>□</w:t>
            </w:r>
          </w:p>
        </w:tc>
      </w:tr>
      <w:tr w14:paraId="215893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113" w:type="dxa"/>
            <w:vMerge w:val="continue"/>
            <w:vAlign w:val="center"/>
          </w:tcPr>
          <w:p w14:paraId="5C197CB8">
            <w:pPr>
              <w:jc w:val="center"/>
              <w:rPr>
                <w:sz w:val="21"/>
                <w:szCs w:val="21"/>
              </w:rPr>
            </w:pPr>
          </w:p>
        </w:tc>
        <w:tc>
          <w:tcPr>
            <w:tcW w:w="1264" w:type="dxa"/>
            <w:vAlign w:val="center"/>
          </w:tcPr>
          <w:p w14:paraId="5F23F677">
            <w:pPr>
              <w:jc w:val="center"/>
              <w:rPr>
                <w:sz w:val="21"/>
                <w:szCs w:val="21"/>
              </w:rPr>
            </w:pPr>
            <w:r>
              <w:rPr>
                <w:sz w:val="21"/>
                <w:szCs w:val="21"/>
              </w:rPr>
              <w:t>预测</w:t>
            </w:r>
            <w:r>
              <w:rPr>
                <w:rFonts w:hint="eastAsia"/>
                <w:sz w:val="21"/>
                <w:szCs w:val="21"/>
                <w:lang w:val="en-US" w:eastAsia="zh-CN"/>
              </w:rPr>
              <w:t>范围</w:t>
            </w:r>
          </w:p>
        </w:tc>
        <w:tc>
          <w:tcPr>
            <w:tcW w:w="7055" w:type="dxa"/>
            <w:gridSpan w:val="10"/>
            <w:vAlign w:val="center"/>
          </w:tcPr>
          <w:p w14:paraId="1DDD6174">
            <w:pPr>
              <w:jc w:val="center"/>
              <w:rPr>
                <w:sz w:val="21"/>
                <w:szCs w:val="21"/>
              </w:rPr>
            </w:pPr>
            <w:r>
              <w:rPr>
                <w:rFonts w:hint="eastAsia"/>
                <w:sz w:val="21"/>
                <w:szCs w:val="21"/>
                <w:lang w:val="en-US" w:eastAsia="zh-CN"/>
              </w:rPr>
              <w:t>200m</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大于200m</w:t>
            </w:r>
            <w:r>
              <w:rPr>
                <w:sz w:val="21"/>
                <w:szCs w:val="21"/>
              </w:rPr>
              <w:t xml:space="preserve"> </w:t>
            </w:r>
            <w:r>
              <w:rPr>
                <w:sz w:val="21"/>
                <w:szCs w:val="21"/>
                <w:lang w:bidi="ar"/>
              </w:rPr>
              <w:t>□</w:t>
            </w:r>
            <w:r>
              <w:rPr>
                <w:sz w:val="21"/>
                <w:szCs w:val="21"/>
              </w:rPr>
              <w:t>；</w:t>
            </w:r>
            <w:r>
              <w:rPr>
                <w:rFonts w:hint="eastAsia"/>
                <w:sz w:val="21"/>
                <w:szCs w:val="21"/>
                <w:lang w:val="en-US" w:eastAsia="zh-CN"/>
              </w:rPr>
              <w:t>小于200m</w:t>
            </w:r>
            <w:r>
              <w:rPr>
                <w:sz w:val="21"/>
                <w:szCs w:val="21"/>
              </w:rPr>
              <w:t xml:space="preserve"> </w:t>
            </w:r>
            <w:r>
              <w:rPr>
                <w:sz w:val="21"/>
                <w:szCs w:val="21"/>
                <w:lang w:bidi="ar"/>
              </w:rPr>
              <w:t>□</w:t>
            </w:r>
          </w:p>
        </w:tc>
      </w:tr>
      <w:tr w14:paraId="7BB84E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13" w:type="dxa"/>
            <w:vMerge w:val="continue"/>
            <w:vAlign w:val="center"/>
          </w:tcPr>
          <w:p w14:paraId="58A506CF">
            <w:pPr>
              <w:jc w:val="center"/>
              <w:rPr>
                <w:sz w:val="21"/>
                <w:szCs w:val="21"/>
              </w:rPr>
            </w:pPr>
          </w:p>
        </w:tc>
        <w:tc>
          <w:tcPr>
            <w:tcW w:w="1264" w:type="dxa"/>
            <w:vAlign w:val="center"/>
          </w:tcPr>
          <w:p w14:paraId="686F799E">
            <w:pPr>
              <w:jc w:val="center"/>
              <w:rPr>
                <w:sz w:val="21"/>
                <w:szCs w:val="21"/>
              </w:rPr>
            </w:pPr>
            <w:r>
              <w:rPr>
                <w:rFonts w:hint="eastAsia"/>
                <w:sz w:val="21"/>
                <w:szCs w:val="21"/>
                <w:lang w:val="en-US" w:eastAsia="zh-CN"/>
              </w:rPr>
              <w:t>预测</w:t>
            </w:r>
            <w:r>
              <w:rPr>
                <w:sz w:val="21"/>
                <w:szCs w:val="21"/>
              </w:rPr>
              <w:t>因子</w:t>
            </w:r>
          </w:p>
        </w:tc>
        <w:tc>
          <w:tcPr>
            <w:tcW w:w="7055" w:type="dxa"/>
            <w:gridSpan w:val="10"/>
            <w:vAlign w:val="center"/>
          </w:tcPr>
          <w:p w14:paraId="0617CA3D">
            <w:pPr>
              <w:jc w:val="center"/>
              <w:rPr>
                <w:sz w:val="21"/>
                <w:szCs w:val="21"/>
              </w:rPr>
            </w:pPr>
            <w:r>
              <w:rPr>
                <w:rFonts w:hint="eastAsia"/>
                <w:sz w:val="21"/>
                <w:szCs w:val="21"/>
                <w:lang w:val="en-US" w:eastAsia="zh-CN"/>
              </w:rPr>
              <w:t>等效连续A声级</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最大A声级</w:t>
            </w:r>
            <w:r>
              <w:rPr>
                <w:sz w:val="21"/>
                <w:szCs w:val="21"/>
              </w:rPr>
              <w:t xml:space="preserve"> </w:t>
            </w:r>
            <w:r>
              <w:rPr>
                <w:rFonts w:hint="eastAsia"/>
                <w:sz w:val="21"/>
                <w:szCs w:val="21"/>
                <w:lang w:eastAsia="zh-CN" w:bidi="ar"/>
              </w:rPr>
              <w:t>□</w:t>
            </w:r>
            <w:r>
              <w:rPr>
                <w:sz w:val="21"/>
                <w:szCs w:val="21"/>
              </w:rPr>
              <w:t>；</w:t>
            </w:r>
            <w:r>
              <w:rPr>
                <w:rFonts w:hint="eastAsia"/>
                <w:sz w:val="21"/>
                <w:szCs w:val="21"/>
                <w:lang w:val="en-US" w:eastAsia="zh-CN"/>
              </w:rPr>
              <w:t>计权等效连续感觉噪声级</w:t>
            </w:r>
            <w:r>
              <w:rPr>
                <w:sz w:val="21"/>
                <w:szCs w:val="21"/>
              </w:rPr>
              <w:t xml:space="preserve"> </w:t>
            </w:r>
            <w:r>
              <w:rPr>
                <w:sz w:val="21"/>
                <w:szCs w:val="21"/>
                <w:lang w:bidi="ar"/>
              </w:rPr>
              <w:t>□</w:t>
            </w:r>
          </w:p>
        </w:tc>
      </w:tr>
      <w:tr w14:paraId="067DD7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13" w:type="dxa"/>
            <w:vMerge w:val="continue"/>
            <w:vAlign w:val="center"/>
          </w:tcPr>
          <w:p w14:paraId="3EDB3C46">
            <w:pPr>
              <w:jc w:val="center"/>
              <w:rPr>
                <w:sz w:val="21"/>
                <w:szCs w:val="21"/>
              </w:rPr>
            </w:pPr>
          </w:p>
        </w:tc>
        <w:tc>
          <w:tcPr>
            <w:tcW w:w="1264" w:type="dxa"/>
            <w:vAlign w:val="center"/>
          </w:tcPr>
          <w:p w14:paraId="32B21657">
            <w:pPr>
              <w:jc w:val="center"/>
              <w:rPr>
                <w:rFonts w:hint="default" w:eastAsia="宋体"/>
                <w:sz w:val="21"/>
                <w:szCs w:val="21"/>
                <w:lang w:val="en-US" w:eastAsia="zh-CN"/>
              </w:rPr>
            </w:pPr>
            <w:r>
              <w:rPr>
                <w:rFonts w:hint="eastAsia"/>
                <w:sz w:val="21"/>
                <w:szCs w:val="21"/>
                <w:lang w:val="en-US" w:eastAsia="zh-CN"/>
              </w:rPr>
              <w:t>厂界噪声贡献值</w:t>
            </w:r>
          </w:p>
        </w:tc>
        <w:tc>
          <w:tcPr>
            <w:tcW w:w="7055" w:type="dxa"/>
            <w:gridSpan w:val="10"/>
            <w:vAlign w:val="center"/>
          </w:tcPr>
          <w:p w14:paraId="33BC0F3F">
            <w:pPr>
              <w:pStyle w:val="42"/>
              <w:tabs>
                <w:tab w:val="right" w:leader="dot" w:pos="8303"/>
              </w:tabs>
              <w:ind w:left="0"/>
              <w:jc w:val="center"/>
              <w:rPr>
                <w:sz w:val="21"/>
                <w:szCs w:val="21"/>
              </w:rPr>
            </w:pPr>
            <w:r>
              <w:rPr>
                <w:rFonts w:hint="eastAsia"/>
                <w:sz w:val="21"/>
                <w:szCs w:val="21"/>
                <w:lang w:val="en-US" w:eastAsia="zh-CN"/>
              </w:rPr>
              <w:t>达标</w:t>
            </w:r>
            <w:r>
              <w:rPr>
                <w:rFonts w:hint="eastAsia"/>
                <w:sz w:val="21"/>
                <w:szCs w:val="21"/>
                <w:lang w:eastAsia="zh-CN" w:bidi="ar"/>
              </w:rPr>
              <w:t>☑</w:t>
            </w:r>
            <w:r>
              <w:rPr>
                <w:sz w:val="21"/>
                <w:szCs w:val="21"/>
              </w:rPr>
              <w:t>；</w:t>
            </w:r>
            <w:r>
              <w:rPr>
                <w:rFonts w:hint="eastAsia"/>
                <w:sz w:val="21"/>
                <w:szCs w:val="21"/>
                <w:lang w:val="en-US" w:eastAsia="zh-CN"/>
              </w:rPr>
              <w:t>不达标</w:t>
            </w:r>
            <w:r>
              <w:rPr>
                <w:sz w:val="21"/>
                <w:szCs w:val="21"/>
              </w:rPr>
              <w:t xml:space="preserve"> </w:t>
            </w:r>
            <w:r>
              <w:rPr>
                <w:sz w:val="21"/>
                <w:szCs w:val="21"/>
                <w:lang w:bidi="ar"/>
              </w:rPr>
              <w:t>□</w:t>
            </w:r>
          </w:p>
        </w:tc>
      </w:tr>
      <w:tr w14:paraId="5C117D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1113" w:type="dxa"/>
            <w:vMerge w:val="continue"/>
            <w:vAlign w:val="center"/>
          </w:tcPr>
          <w:p w14:paraId="61148887">
            <w:pPr>
              <w:jc w:val="center"/>
              <w:rPr>
                <w:sz w:val="21"/>
                <w:szCs w:val="21"/>
              </w:rPr>
            </w:pPr>
          </w:p>
        </w:tc>
        <w:tc>
          <w:tcPr>
            <w:tcW w:w="1264" w:type="dxa"/>
            <w:vAlign w:val="center"/>
          </w:tcPr>
          <w:p w14:paraId="46205FBD">
            <w:pPr>
              <w:jc w:val="center"/>
              <w:rPr>
                <w:sz w:val="21"/>
                <w:szCs w:val="21"/>
              </w:rPr>
            </w:pPr>
            <w:r>
              <w:rPr>
                <w:rFonts w:hint="eastAsia"/>
                <w:sz w:val="21"/>
                <w:szCs w:val="21"/>
                <w:lang w:val="en-US" w:eastAsia="zh-CN"/>
              </w:rPr>
              <w:t>声环境保护目标处噪声值</w:t>
            </w:r>
          </w:p>
        </w:tc>
        <w:tc>
          <w:tcPr>
            <w:tcW w:w="7055" w:type="dxa"/>
            <w:gridSpan w:val="10"/>
            <w:vAlign w:val="center"/>
          </w:tcPr>
          <w:p w14:paraId="76CC8F34">
            <w:pPr>
              <w:pStyle w:val="42"/>
              <w:tabs>
                <w:tab w:val="right" w:leader="dot" w:pos="8303"/>
              </w:tabs>
              <w:ind w:left="0"/>
              <w:jc w:val="center"/>
              <w:rPr>
                <w:sz w:val="21"/>
                <w:szCs w:val="21"/>
              </w:rPr>
            </w:pPr>
            <w:r>
              <w:rPr>
                <w:rFonts w:hint="eastAsia"/>
                <w:sz w:val="21"/>
                <w:szCs w:val="21"/>
                <w:lang w:val="en-US" w:eastAsia="zh-CN"/>
              </w:rPr>
              <w:t>达标</w:t>
            </w:r>
            <w:r>
              <w:rPr>
                <w:rFonts w:hint="eastAsia"/>
                <w:sz w:val="21"/>
                <w:szCs w:val="21"/>
                <w:lang w:eastAsia="zh-CN" w:bidi="ar"/>
              </w:rPr>
              <w:t>☑</w:t>
            </w:r>
            <w:r>
              <w:rPr>
                <w:sz w:val="21"/>
                <w:szCs w:val="21"/>
              </w:rPr>
              <w:t>；</w:t>
            </w:r>
            <w:r>
              <w:rPr>
                <w:rFonts w:hint="eastAsia"/>
                <w:sz w:val="21"/>
                <w:szCs w:val="21"/>
                <w:lang w:val="en-US" w:eastAsia="zh-CN"/>
              </w:rPr>
              <w:t>不达标</w:t>
            </w:r>
            <w:r>
              <w:rPr>
                <w:sz w:val="21"/>
                <w:szCs w:val="21"/>
              </w:rPr>
              <w:t xml:space="preserve"> </w:t>
            </w:r>
            <w:r>
              <w:rPr>
                <w:sz w:val="21"/>
                <w:szCs w:val="21"/>
                <w:lang w:bidi="ar"/>
              </w:rPr>
              <w:t>□</w:t>
            </w:r>
          </w:p>
        </w:tc>
      </w:tr>
      <w:tr w14:paraId="7A90ED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113" w:type="dxa"/>
            <w:vMerge w:val="restart"/>
            <w:vAlign w:val="center"/>
          </w:tcPr>
          <w:p w14:paraId="34D6FF16">
            <w:pPr>
              <w:jc w:val="center"/>
              <w:rPr>
                <w:rFonts w:hint="default" w:eastAsia="宋体"/>
                <w:sz w:val="21"/>
                <w:szCs w:val="21"/>
                <w:lang w:val="en-US" w:eastAsia="zh-CN"/>
              </w:rPr>
            </w:pPr>
            <w:r>
              <w:rPr>
                <w:rFonts w:hint="eastAsia"/>
                <w:sz w:val="21"/>
                <w:szCs w:val="21"/>
                <w:lang w:val="en-US" w:eastAsia="zh-CN"/>
              </w:rPr>
              <w:t>环境监测计划</w:t>
            </w:r>
          </w:p>
        </w:tc>
        <w:tc>
          <w:tcPr>
            <w:tcW w:w="1264" w:type="dxa"/>
            <w:vAlign w:val="center"/>
          </w:tcPr>
          <w:p w14:paraId="520F1BA6">
            <w:pPr>
              <w:jc w:val="center"/>
              <w:rPr>
                <w:sz w:val="21"/>
                <w:szCs w:val="21"/>
              </w:rPr>
            </w:pPr>
            <w:r>
              <w:rPr>
                <w:rFonts w:hint="eastAsia"/>
                <w:sz w:val="21"/>
                <w:szCs w:val="21"/>
                <w:lang w:val="en-US" w:eastAsia="zh-CN"/>
              </w:rPr>
              <w:t>排放</w:t>
            </w:r>
            <w:r>
              <w:rPr>
                <w:sz w:val="21"/>
                <w:szCs w:val="21"/>
              </w:rPr>
              <w:t>监测</w:t>
            </w:r>
          </w:p>
        </w:tc>
        <w:tc>
          <w:tcPr>
            <w:tcW w:w="7055" w:type="dxa"/>
            <w:gridSpan w:val="10"/>
            <w:vAlign w:val="center"/>
          </w:tcPr>
          <w:p w14:paraId="5A5FE282">
            <w:pPr>
              <w:jc w:val="center"/>
              <w:rPr>
                <w:sz w:val="21"/>
                <w:szCs w:val="21"/>
              </w:rPr>
            </w:pPr>
            <w:r>
              <w:rPr>
                <w:rFonts w:hint="eastAsia"/>
                <w:sz w:val="21"/>
                <w:szCs w:val="21"/>
                <w:lang w:val="en-US" w:eastAsia="zh-CN" w:bidi="ar"/>
              </w:rPr>
              <w:t>厂界监测</w:t>
            </w:r>
            <w:r>
              <w:rPr>
                <w:rFonts w:hint="eastAsia"/>
                <w:sz w:val="21"/>
                <w:szCs w:val="21"/>
                <w:lang w:eastAsia="zh-CN" w:bidi="ar"/>
              </w:rPr>
              <w:t>☑</w:t>
            </w:r>
            <w:r>
              <w:rPr>
                <w:sz w:val="21"/>
                <w:szCs w:val="21"/>
              </w:rPr>
              <w:t>；</w:t>
            </w:r>
            <w:r>
              <w:rPr>
                <w:rFonts w:hint="eastAsia"/>
                <w:sz w:val="21"/>
                <w:szCs w:val="21"/>
                <w:lang w:val="en-US" w:eastAsia="zh-CN"/>
              </w:rPr>
              <w:t>固定位置监测</w:t>
            </w:r>
            <w:r>
              <w:rPr>
                <w:sz w:val="21"/>
                <w:szCs w:val="21"/>
                <w:lang w:bidi="ar"/>
              </w:rPr>
              <w:t>□</w:t>
            </w:r>
            <w:r>
              <w:rPr>
                <w:rFonts w:hint="eastAsia"/>
                <w:sz w:val="21"/>
                <w:szCs w:val="21"/>
                <w:lang w:eastAsia="zh-CN" w:bidi="ar"/>
              </w:rPr>
              <w:t>；</w:t>
            </w:r>
            <w:r>
              <w:rPr>
                <w:sz w:val="21"/>
                <w:szCs w:val="21"/>
              </w:rPr>
              <w:t>自动</w:t>
            </w:r>
            <w:r>
              <w:rPr>
                <w:rFonts w:hint="eastAsia"/>
                <w:sz w:val="21"/>
                <w:szCs w:val="21"/>
                <w:lang w:val="en-US" w:eastAsia="zh-CN"/>
              </w:rPr>
              <w:t>监测</w:t>
            </w:r>
            <w:r>
              <w:rPr>
                <w:rFonts w:hint="eastAsia"/>
                <w:sz w:val="21"/>
                <w:szCs w:val="21"/>
                <w:lang w:eastAsia="zh-CN" w:bidi="ar"/>
              </w:rPr>
              <w:t>□</w:t>
            </w:r>
            <w:r>
              <w:rPr>
                <w:sz w:val="21"/>
                <w:szCs w:val="21"/>
              </w:rPr>
              <w:t>；手动</w:t>
            </w:r>
            <w:r>
              <w:rPr>
                <w:rFonts w:hint="eastAsia"/>
                <w:sz w:val="21"/>
                <w:szCs w:val="21"/>
                <w:lang w:val="en-US" w:eastAsia="zh-CN"/>
              </w:rPr>
              <w:t>监测</w:t>
            </w:r>
            <w:r>
              <w:rPr>
                <w:sz w:val="21"/>
                <w:szCs w:val="21"/>
                <w:lang w:bidi="ar"/>
              </w:rPr>
              <w:t>□</w:t>
            </w:r>
            <w:r>
              <w:rPr>
                <w:sz w:val="21"/>
                <w:szCs w:val="21"/>
              </w:rPr>
              <w:t>；无监测</w:t>
            </w:r>
            <w:r>
              <w:rPr>
                <w:rFonts w:hint="eastAsia"/>
                <w:sz w:val="21"/>
                <w:szCs w:val="21"/>
                <w:lang w:eastAsia="zh-CN" w:bidi="ar"/>
              </w:rPr>
              <w:t>□</w:t>
            </w:r>
          </w:p>
        </w:tc>
      </w:tr>
      <w:tr w14:paraId="1CA4B6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113" w:type="dxa"/>
            <w:vMerge w:val="continue"/>
            <w:vAlign w:val="center"/>
          </w:tcPr>
          <w:p w14:paraId="7AAC1516">
            <w:pPr>
              <w:jc w:val="center"/>
              <w:rPr>
                <w:sz w:val="21"/>
                <w:szCs w:val="21"/>
              </w:rPr>
            </w:pPr>
          </w:p>
        </w:tc>
        <w:tc>
          <w:tcPr>
            <w:tcW w:w="1264" w:type="dxa"/>
            <w:vAlign w:val="center"/>
          </w:tcPr>
          <w:p w14:paraId="17E5EFF3">
            <w:pPr>
              <w:jc w:val="center"/>
              <w:rPr>
                <w:sz w:val="21"/>
                <w:szCs w:val="21"/>
              </w:rPr>
            </w:pPr>
            <w:r>
              <w:rPr>
                <w:rFonts w:hint="eastAsia"/>
                <w:sz w:val="21"/>
                <w:szCs w:val="21"/>
                <w:lang w:val="en-US" w:eastAsia="zh-CN"/>
              </w:rPr>
              <w:t>声环境保护目标处噪声</w:t>
            </w:r>
            <w:r>
              <w:rPr>
                <w:sz w:val="21"/>
                <w:szCs w:val="21"/>
              </w:rPr>
              <w:t>监测</w:t>
            </w:r>
          </w:p>
        </w:tc>
        <w:tc>
          <w:tcPr>
            <w:tcW w:w="3386" w:type="dxa"/>
            <w:gridSpan w:val="4"/>
            <w:vAlign w:val="center"/>
          </w:tcPr>
          <w:p w14:paraId="7C6B3030">
            <w:pPr>
              <w:jc w:val="center"/>
              <w:rPr>
                <w:rFonts w:hint="eastAsia" w:eastAsia="宋体"/>
                <w:sz w:val="21"/>
                <w:szCs w:val="21"/>
                <w:lang w:val="en-US" w:eastAsia="zh-CN"/>
              </w:rPr>
            </w:pPr>
            <w:r>
              <w:rPr>
                <w:sz w:val="21"/>
                <w:szCs w:val="21"/>
              </w:rPr>
              <w:t>监测因子</w:t>
            </w:r>
            <w:r>
              <w:rPr>
                <w:rFonts w:hint="eastAsia"/>
                <w:sz w:val="21"/>
                <w:szCs w:val="21"/>
                <w:lang w:eastAsia="zh-CN"/>
              </w:rPr>
              <w:t>：（</w:t>
            </w:r>
            <w:r>
              <w:rPr>
                <w:rFonts w:hint="eastAsia"/>
                <w:sz w:val="21"/>
                <w:szCs w:val="21"/>
                <w:lang w:val="en-US" w:eastAsia="zh-CN"/>
              </w:rPr>
              <w:t>等效连续A声级</w:t>
            </w:r>
            <w:r>
              <w:rPr>
                <w:sz w:val="21"/>
                <w:szCs w:val="21"/>
              </w:rPr>
              <w:t xml:space="preserve"> </w:t>
            </w:r>
            <w:r>
              <w:rPr>
                <w:rFonts w:hint="eastAsia"/>
                <w:sz w:val="21"/>
                <w:szCs w:val="21"/>
                <w:lang w:eastAsia="zh-CN"/>
              </w:rPr>
              <w:t>）</w:t>
            </w:r>
          </w:p>
        </w:tc>
        <w:tc>
          <w:tcPr>
            <w:tcW w:w="2068" w:type="dxa"/>
            <w:gridSpan w:val="4"/>
            <w:vAlign w:val="center"/>
          </w:tcPr>
          <w:p w14:paraId="68539FDE">
            <w:pPr>
              <w:jc w:val="center"/>
              <w:rPr>
                <w:sz w:val="21"/>
                <w:szCs w:val="21"/>
              </w:rPr>
            </w:pPr>
            <w:r>
              <w:rPr>
                <w:sz w:val="21"/>
                <w:szCs w:val="21"/>
              </w:rPr>
              <w:t>监测点位</w:t>
            </w:r>
            <w:r>
              <w:rPr>
                <w:rFonts w:hint="eastAsia"/>
                <w:sz w:val="21"/>
                <w:szCs w:val="21"/>
                <w:lang w:val="en-US" w:eastAsia="zh-CN"/>
              </w:rPr>
              <w:t>数（4）</w:t>
            </w:r>
          </w:p>
        </w:tc>
        <w:tc>
          <w:tcPr>
            <w:tcW w:w="1601" w:type="dxa"/>
            <w:gridSpan w:val="2"/>
            <w:vAlign w:val="center"/>
          </w:tcPr>
          <w:p w14:paraId="317B3257">
            <w:pPr>
              <w:jc w:val="center"/>
              <w:rPr>
                <w:sz w:val="21"/>
                <w:szCs w:val="21"/>
              </w:rPr>
            </w:pPr>
            <w:r>
              <w:rPr>
                <w:sz w:val="21"/>
                <w:szCs w:val="21"/>
              </w:rPr>
              <w:t>无监测</w:t>
            </w:r>
            <w:r>
              <w:rPr>
                <w:rFonts w:hint="eastAsia"/>
                <w:sz w:val="21"/>
                <w:szCs w:val="21"/>
                <w:lang w:eastAsia="zh-CN" w:bidi="ar"/>
              </w:rPr>
              <w:t>□</w:t>
            </w:r>
          </w:p>
        </w:tc>
      </w:tr>
      <w:tr w14:paraId="5E59CC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113" w:type="dxa"/>
            <w:vAlign w:val="center"/>
          </w:tcPr>
          <w:p w14:paraId="2EC4AA80">
            <w:pPr>
              <w:jc w:val="center"/>
              <w:rPr>
                <w:sz w:val="21"/>
                <w:szCs w:val="21"/>
              </w:rPr>
            </w:pPr>
            <w:r>
              <w:rPr>
                <w:sz w:val="21"/>
                <w:szCs w:val="21"/>
              </w:rPr>
              <w:t>评价结论</w:t>
            </w:r>
          </w:p>
        </w:tc>
        <w:tc>
          <w:tcPr>
            <w:tcW w:w="1264" w:type="dxa"/>
            <w:vAlign w:val="center"/>
          </w:tcPr>
          <w:p w14:paraId="09ACB74B">
            <w:pPr>
              <w:jc w:val="center"/>
              <w:rPr>
                <w:rFonts w:hint="default" w:eastAsia="宋体"/>
                <w:sz w:val="21"/>
                <w:szCs w:val="21"/>
                <w:lang w:val="en-US" w:eastAsia="zh-CN"/>
              </w:rPr>
            </w:pPr>
            <w:r>
              <w:rPr>
                <w:rFonts w:hint="eastAsia"/>
                <w:sz w:val="21"/>
                <w:szCs w:val="21"/>
                <w:lang w:val="en-US" w:eastAsia="zh-CN"/>
              </w:rPr>
              <w:t>环境影响</w:t>
            </w:r>
          </w:p>
        </w:tc>
        <w:tc>
          <w:tcPr>
            <w:tcW w:w="7055" w:type="dxa"/>
            <w:gridSpan w:val="10"/>
            <w:vAlign w:val="center"/>
          </w:tcPr>
          <w:p w14:paraId="675BEFA4">
            <w:pPr>
              <w:jc w:val="center"/>
              <w:rPr>
                <w:sz w:val="21"/>
                <w:szCs w:val="21"/>
              </w:rPr>
            </w:pPr>
            <w:r>
              <w:rPr>
                <w:sz w:val="21"/>
                <w:szCs w:val="21"/>
              </w:rPr>
              <w:t>可</w:t>
            </w:r>
            <w:r>
              <w:rPr>
                <w:rFonts w:hint="eastAsia"/>
                <w:sz w:val="21"/>
                <w:szCs w:val="21"/>
                <w:lang w:val="en-US" w:eastAsia="zh-CN"/>
              </w:rPr>
              <w:t>行</w:t>
            </w:r>
            <w:r>
              <w:rPr>
                <w:sz w:val="21"/>
                <w:szCs w:val="21"/>
              </w:rPr>
              <w:t xml:space="preserve"> </w:t>
            </w:r>
            <w:r>
              <w:rPr>
                <w:sz w:val="21"/>
                <w:szCs w:val="21"/>
                <w:lang w:bidi="ar"/>
              </w:rPr>
              <w:t>☑</w:t>
            </w:r>
            <w:r>
              <w:rPr>
                <w:sz w:val="21"/>
                <w:szCs w:val="21"/>
              </w:rPr>
              <w:t>；不可</w:t>
            </w:r>
            <w:r>
              <w:rPr>
                <w:rFonts w:hint="eastAsia"/>
                <w:sz w:val="21"/>
                <w:szCs w:val="21"/>
                <w:lang w:val="en-US" w:eastAsia="zh-CN"/>
              </w:rPr>
              <w:t>行</w:t>
            </w:r>
            <w:r>
              <w:rPr>
                <w:sz w:val="21"/>
                <w:szCs w:val="21"/>
                <w:lang w:bidi="ar"/>
              </w:rPr>
              <w:t>□</w:t>
            </w:r>
          </w:p>
        </w:tc>
      </w:tr>
      <w:tr w14:paraId="3391D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9432" w:type="dxa"/>
            <w:gridSpan w:val="12"/>
            <w:vAlign w:val="center"/>
          </w:tcPr>
          <w:p w14:paraId="2AC2C05C">
            <w:pPr>
              <w:jc w:val="both"/>
              <w:rPr>
                <w:rFonts w:hint="eastAsia" w:eastAsia="宋体"/>
                <w:sz w:val="21"/>
                <w:szCs w:val="21"/>
                <w:lang w:eastAsia="zh-CN"/>
              </w:rPr>
            </w:pPr>
            <w:r>
              <w:rPr>
                <w:sz w:val="21"/>
                <w:szCs w:val="21"/>
                <w:lang w:bidi="ar"/>
              </w:rPr>
              <w:t>注：“□”，</w:t>
            </w:r>
            <w:r>
              <w:rPr>
                <w:rFonts w:hint="eastAsia"/>
                <w:sz w:val="21"/>
                <w:szCs w:val="21"/>
                <w:lang w:val="en-US" w:eastAsia="zh-CN" w:bidi="ar"/>
              </w:rPr>
              <w:t>为勾选项，可</w:t>
            </w:r>
            <w:r>
              <w:rPr>
                <w:sz w:val="21"/>
                <w:szCs w:val="21"/>
                <w:lang w:bidi="ar"/>
              </w:rPr>
              <w:t>“√”；“（  ）”为内容填写项</w:t>
            </w:r>
            <w:r>
              <w:rPr>
                <w:rFonts w:hint="eastAsia"/>
                <w:sz w:val="21"/>
                <w:szCs w:val="21"/>
                <w:lang w:eastAsia="zh-CN" w:bidi="ar"/>
              </w:rPr>
              <w:t>。</w:t>
            </w:r>
          </w:p>
        </w:tc>
      </w:tr>
    </w:tbl>
    <w:p w14:paraId="08CFDB36">
      <w:pPr>
        <w:pStyle w:val="42"/>
        <w:sectPr>
          <w:pgSz w:w="11907" w:h="16840"/>
          <w:pgMar w:top="1440" w:right="1440" w:bottom="1440" w:left="1701" w:header="851" w:footer="992" w:gutter="0"/>
          <w:pgBorders>
            <w:top w:val="none" w:sz="0" w:space="0"/>
            <w:left w:val="none" w:sz="0" w:space="0"/>
            <w:bottom w:val="none" w:sz="0" w:space="0"/>
            <w:right w:val="none" w:sz="0" w:space="0"/>
          </w:pgBorders>
          <w:pgNumType w:fmt="decimal"/>
          <w:cols w:space="720" w:num="1"/>
          <w:docGrid w:linePitch="312" w:charSpace="0"/>
        </w:sectPr>
      </w:pPr>
    </w:p>
    <w:p w14:paraId="39DF3F7D">
      <w:pPr>
        <w:jc w:val="left"/>
        <w:outlineLvl w:val="0"/>
        <w:rPr>
          <w:rStyle w:val="212"/>
          <w:rFonts w:hint="default" w:ascii="Times New Roman" w:hAnsi="Times New Roman" w:eastAsia="宋体" w:cs="Times New Roman"/>
          <w:sz w:val="24"/>
          <w:szCs w:val="24"/>
          <w:lang w:val="en-US" w:eastAsia="zh-CN"/>
        </w:rPr>
      </w:pPr>
      <w:bookmarkStart w:id="592" w:name="_Toc25549"/>
      <w:bookmarkStart w:id="593" w:name="_Toc20444"/>
      <w:bookmarkStart w:id="594" w:name="_Toc8677"/>
      <w:r>
        <w:rPr>
          <w:rStyle w:val="212"/>
          <w:rFonts w:hint="eastAsia" w:ascii="Times New Roman" w:hAnsi="Times New Roman" w:eastAsia="宋体" w:cs="Times New Roman"/>
          <w:sz w:val="24"/>
          <w:szCs w:val="24"/>
          <w:lang w:val="en-US" w:eastAsia="zh-CN"/>
        </w:rPr>
        <w:t>附件1</w:t>
      </w:r>
      <w:bookmarkEnd w:id="592"/>
      <w:r>
        <w:rPr>
          <w:rStyle w:val="212"/>
          <w:rFonts w:hint="eastAsia" w:ascii="Times New Roman" w:hAnsi="Times New Roman" w:eastAsia="宋体" w:cs="Times New Roman"/>
          <w:sz w:val="24"/>
          <w:szCs w:val="24"/>
          <w:lang w:val="en-US" w:eastAsia="zh-CN"/>
        </w:rPr>
        <w:t xml:space="preserve"> 省发改委的复函</w:t>
      </w:r>
    </w:p>
    <w:bookmarkEnd w:id="593"/>
    <w:p w14:paraId="7DDBA958">
      <w:pPr>
        <w:rPr>
          <w:rFonts w:hint="eastAsia" w:cs="Times New Roman"/>
          <w:b/>
          <w:sz w:val="24"/>
          <w:szCs w:val="24"/>
          <w:lang w:val="en-US" w:eastAsia="zh-CN" w:bidi="ar-SA"/>
        </w:rPr>
      </w:pPr>
      <w:r>
        <w:rPr>
          <w:rFonts w:hint="eastAsia" w:cs="Times New Roman"/>
          <w:b/>
          <w:sz w:val="24"/>
          <w:szCs w:val="24"/>
          <w:lang w:val="en-US" w:eastAsia="zh-CN" w:bidi="ar-SA"/>
        </w:rPr>
        <w:drawing>
          <wp:inline distT="0" distB="0" distL="114300" distR="114300">
            <wp:extent cx="5566410" cy="7421880"/>
            <wp:effectExtent l="0" t="0" r="15240" b="7620"/>
            <wp:docPr id="116" name="图片 116" descr="70万吨医用酒精发改委复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70万吨医用酒精发改委复函"/>
                    <pic:cNvPicPr>
                      <a:picLocks noChangeAspect="1"/>
                    </pic:cNvPicPr>
                  </pic:nvPicPr>
                  <pic:blipFill>
                    <a:blip r:embed="rId119"/>
                    <a:stretch>
                      <a:fillRect/>
                    </a:stretch>
                  </pic:blipFill>
                  <pic:spPr>
                    <a:xfrm>
                      <a:off x="0" y="0"/>
                      <a:ext cx="5566410" cy="7421880"/>
                    </a:xfrm>
                    <a:prstGeom prst="rect">
                      <a:avLst/>
                    </a:prstGeom>
                  </pic:spPr>
                </pic:pic>
              </a:graphicData>
            </a:graphic>
          </wp:inline>
        </w:drawing>
      </w:r>
      <w:r>
        <w:rPr>
          <w:rFonts w:hint="eastAsia" w:cs="Times New Roman"/>
          <w:b/>
          <w:sz w:val="24"/>
          <w:szCs w:val="24"/>
          <w:lang w:val="en-US" w:eastAsia="zh-CN" w:bidi="ar-SA"/>
        </w:rPr>
        <w:br w:type="page"/>
      </w:r>
    </w:p>
    <w:p w14:paraId="72AD8807">
      <w:pPr>
        <w:jc w:val="left"/>
        <w:outlineLvl w:val="0"/>
      </w:pPr>
      <w:bookmarkStart w:id="595" w:name="_Toc30191"/>
      <w:r>
        <w:rPr>
          <w:rStyle w:val="212"/>
          <w:rFonts w:hint="eastAsia" w:ascii="Times New Roman" w:hAnsi="Times New Roman" w:eastAsia="宋体" w:cs="Times New Roman"/>
          <w:sz w:val="24"/>
          <w:szCs w:val="24"/>
          <w:lang w:val="en-US" w:eastAsia="zh-CN"/>
        </w:rPr>
        <w:t>附件2原有项目环评批复及环保验收的函</w:t>
      </w:r>
      <w:bookmarkEnd w:id="594"/>
      <w:bookmarkEnd w:id="595"/>
      <w:bookmarkStart w:id="596" w:name="_Toc28647"/>
      <w:r>
        <w:rPr>
          <w:rFonts w:hint="eastAsia"/>
        </w:rPr>
        <w:drawing>
          <wp:inline distT="0" distB="0" distL="114300" distR="114300">
            <wp:extent cx="5534025" cy="7620000"/>
            <wp:effectExtent l="0" t="0" r="9525" b="0"/>
            <wp:docPr id="114" name="图片 1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
                    <pic:cNvPicPr>
                      <a:picLocks noChangeAspect="1"/>
                    </pic:cNvPicPr>
                  </pic:nvPicPr>
                  <pic:blipFill>
                    <a:blip r:embed="rId120"/>
                    <a:stretch>
                      <a:fillRect/>
                    </a:stretch>
                  </pic:blipFill>
                  <pic:spPr>
                    <a:xfrm>
                      <a:off x="0" y="0"/>
                      <a:ext cx="5534025" cy="7620000"/>
                    </a:xfrm>
                    <a:prstGeom prst="rect">
                      <a:avLst/>
                    </a:prstGeom>
                  </pic:spPr>
                </pic:pic>
              </a:graphicData>
            </a:graphic>
          </wp:inline>
        </w:drawing>
      </w:r>
      <w:r>
        <w:rPr>
          <w:rFonts w:hint="eastAsia"/>
        </w:rPr>
        <w:drawing>
          <wp:inline distT="0" distB="0" distL="114300" distR="114300">
            <wp:extent cx="5534025" cy="7620000"/>
            <wp:effectExtent l="0" t="0" r="9525" b="0"/>
            <wp:docPr id="113" name="图片 1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
                    <pic:cNvPicPr>
                      <a:picLocks noChangeAspect="1"/>
                    </pic:cNvPicPr>
                  </pic:nvPicPr>
                  <pic:blipFill>
                    <a:blip r:embed="rId121"/>
                    <a:stretch>
                      <a:fillRect/>
                    </a:stretch>
                  </pic:blipFill>
                  <pic:spPr>
                    <a:xfrm>
                      <a:off x="0" y="0"/>
                      <a:ext cx="5534025" cy="7620000"/>
                    </a:xfrm>
                    <a:prstGeom prst="rect">
                      <a:avLst/>
                    </a:prstGeom>
                  </pic:spPr>
                </pic:pic>
              </a:graphicData>
            </a:graphic>
          </wp:inline>
        </w:drawing>
      </w:r>
      <w:r>
        <w:rPr>
          <w:rFonts w:hint="eastAsia"/>
        </w:rPr>
        <w:drawing>
          <wp:inline distT="0" distB="0" distL="114300" distR="114300">
            <wp:extent cx="5534025" cy="7620000"/>
            <wp:effectExtent l="0" t="0" r="9525" b="0"/>
            <wp:docPr id="112" name="图片 1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3"/>
                    <pic:cNvPicPr>
                      <a:picLocks noChangeAspect="1"/>
                    </pic:cNvPicPr>
                  </pic:nvPicPr>
                  <pic:blipFill>
                    <a:blip r:embed="rId122"/>
                    <a:stretch>
                      <a:fillRect/>
                    </a:stretch>
                  </pic:blipFill>
                  <pic:spPr>
                    <a:xfrm>
                      <a:off x="0" y="0"/>
                      <a:ext cx="5534025" cy="7620000"/>
                    </a:xfrm>
                    <a:prstGeom prst="rect">
                      <a:avLst/>
                    </a:prstGeom>
                  </pic:spPr>
                </pic:pic>
              </a:graphicData>
            </a:graphic>
          </wp:inline>
        </w:drawing>
      </w:r>
      <w:r>
        <w:rPr>
          <w:rFonts w:hint="eastAsia"/>
        </w:rPr>
        <w:drawing>
          <wp:inline distT="0" distB="0" distL="114300" distR="114300">
            <wp:extent cx="5534025" cy="7620000"/>
            <wp:effectExtent l="0" t="0" r="9525" b="0"/>
            <wp:docPr id="111" name="图片 1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4"/>
                    <pic:cNvPicPr>
                      <a:picLocks noChangeAspect="1"/>
                    </pic:cNvPicPr>
                  </pic:nvPicPr>
                  <pic:blipFill>
                    <a:blip r:embed="rId123"/>
                    <a:stretch>
                      <a:fillRect/>
                    </a:stretch>
                  </pic:blipFill>
                  <pic:spPr>
                    <a:xfrm>
                      <a:off x="0" y="0"/>
                      <a:ext cx="5534025" cy="7620000"/>
                    </a:xfrm>
                    <a:prstGeom prst="rect">
                      <a:avLst/>
                    </a:prstGeom>
                  </pic:spPr>
                </pic:pic>
              </a:graphicData>
            </a:graphic>
          </wp:inline>
        </w:drawing>
      </w:r>
      <w:r>
        <w:rPr>
          <w:rFonts w:hint="eastAsia"/>
        </w:rPr>
        <w:drawing>
          <wp:inline distT="0" distB="0" distL="114300" distR="114300">
            <wp:extent cx="5534025" cy="7620000"/>
            <wp:effectExtent l="0" t="0" r="9525" b="0"/>
            <wp:docPr id="110" name="图片 11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5"/>
                    <pic:cNvPicPr>
                      <a:picLocks noChangeAspect="1"/>
                    </pic:cNvPicPr>
                  </pic:nvPicPr>
                  <pic:blipFill>
                    <a:blip r:embed="rId124"/>
                    <a:stretch>
                      <a:fillRect/>
                    </a:stretch>
                  </pic:blipFill>
                  <pic:spPr>
                    <a:xfrm>
                      <a:off x="0" y="0"/>
                      <a:ext cx="5534025" cy="7620000"/>
                    </a:xfrm>
                    <a:prstGeom prst="rect">
                      <a:avLst/>
                    </a:prstGeom>
                  </pic:spPr>
                </pic:pic>
              </a:graphicData>
            </a:graphic>
          </wp:inline>
        </w:drawing>
      </w:r>
      <w:r>
        <w:rPr>
          <w:rFonts w:hint="eastAsia"/>
        </w:rPr>
        <w:drawing>
          <wp:inline distT="0" distB="0" distL="114300" distR="114300">
            <wp:extent cx="5566410" cy="7865745"/>
            <wp:effectExtent l="0" t="0" r="15240" b="1905"/>
            <wp:docPr id="122" name="图片 122" descr="批复文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批复文件_00"/>
                    <pic:cNvPicPr>
                      <a:picLocks noChangeAspect="1"/>
                    </pic:cNvPicPr>
                  </pic:nvPicPr>
                  <pic:blipFill>
                    <a:blip r:embed="rId125"/>
                    <a:stretch>
                      <a:fillRect/>
                    </a:stretch>
                  </pic:blipFill>
                  <pic:spPr>
                    <a:xfrm>
                      <a:off x="0" y="0"/>
                      <a:ext cx="5566410" cy="7865745"/>
                    </a:xfrm>
                    <a:prstGeom prst="rect">
                      <a:avLst/>
                    </a:prstGeom>
                  </pic:spPr>
                </pic:pic>
              </a:graphicData>
            </a:graphic>
          </wp:inline>
        </w:drawing>
      </w:r>
      <w:r>
        <w:rPr>
          <w:rFonts w:hint="eastAsia"/>
        </w:rPr>
        <w:drawing>
          <wp:inline distT="0" distB="0" distL="114300" distR="114300">
            <wp:extent cx="5566410" cy="7865745"/>
            <wp:effectExtent l="0" t="0" r="15240" b="1905"/>
            <wp:docPr id="119" name="图片 119" descr="批复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批复文件_01"/>
                    <pic:cNvPicPr>
                      <a:picLocks noChangeAspect="1"/>
                    </pic:cNvPicPr>
                  </pic:nvPicPr>
                  <pic:blipFill>
                    <a:blip r:embed="rId126"/>
                    <a:stretch>
                      <a:fillRect/>
                    </a:stretch>
                  </pic:blipFill>
                  <pic:spPr>
                    <a:xfrm>
                      <a:off x="0" y="0"/>
                      <a:ext cx="5566410" cy="7865745"/>
                    </a:xfrm>
                    <a:prstGeom prst="rect">
                      <a:avLst/>
                    </a:prstGeom>
                  </pic:spPr>
                </pic:pic>
              </a:graphicData>
            </a:graphic>
          </wp:inline>
        </w:drawing>
      </w:r>
      <w:r>
        <w:rPr>
          <w:rFonts w:hint="eastAsia"/>
        </w:rPr>
        <w:drawing>
          <wp:inline distT="0" distB="0" distL="114300" distR="114300">
            <wp:extent cx="5566410" cy="7865745"/>
            <wp:effectExtent l="0" t="0" r="15240" b="1905"/>
            <wp:docPr id="118" name="图片 118" descr="批复文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批复文件_02"/>
                    <pic:cNvPicPr>
                      <a:picLocks noChangeAspect="1"/>
                    </pic:cNvPicPr>
                  </pic:nvPicPr>
                  <pic:blipFill>
                    <a:blip r:embed="rId127"/>
                    <a:stretch>
                      <a:fillRect/>
                    </a:stretch>
                  </pic:blipFill>
                  <pic:spPr>
                    <a:xfrm>
                      <a:off x="0" y="0"/>
                      <a:ext cx="5566410" cy="7865745"/>
                    </a:xfrm>
                    <a:prstGeom prst="rect">
                      <a:avLst/>
                    </a:prstGeom>
                  </pic:spPr>
                </pic:pic>
              </a:graphicData>
            </a:graphic>
          </wp:inline>
        </w:drawing>
      </w:r>
      <w:r>
        <w:rPr>
          <w:rFonts w:hint="eastAsia"/>
        </w:rPr>
        <w:drawing>
          <wp:inline distT="0" distB="0" distL="114300" distR="114300">
            <wp:extent cx="5566410" cy="7865745"/>
            <wp:effectExtent l="0" t="0" r="15240" b="1905"/>
            <wp:docPr id="117" name="图片 117" descr="批复文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批复文件_03"/>
                    <pic:cNvPicPr>
                      <a:picLocks noChangeAspect="1"/>
                    </pic:cNvPicPr>
                  </pic:nvPicPr>
                  <pic:blipFill>
                    <a:blip r:embed="rId128"/>
                    <a:stretch>
                      <a:fillRect/>
                    </a:stretch>
                  </pic:blipFill>
                  <pic:spPr>
                    <a:xfrm>
                      <a:off x="0" y="0"/>
                      <a:ext cx="5566410" cy="7865745"/>
                    </a:xfrm>
                    <a:prstGeom prst="rect">
                      <a:avLst/>
                    </a:prstGeom>
                  </pic:spPr>
                </pic:pic>
              </a:graphicData>
            </a:graphic>
          </wp:inline>
        </w:drawing>
      </w:r>
      <w:r>
        <w:rPr>
          <w:rFonts w:hint="eastAsia"/>
        </w:rPr>
        <w:drawing>
          <wp:inline distT="0" distB="0" distL="114300" distR="114300">
            <wp:extent cx="5566410" cy="7865745"/>
            <wp:effectExtent l="0" t="0" r="15240" b="1905"/>
            <wp:docPr id="128" name="图片 128" descr="固体废物验收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固体废物验收批复_00"/>
                    <pic:cNvPicPr>
                      <a:picLocks noChangeAspect="1"/>
                    </pic:cNvPicPr>
                  </pic:nvPicPr>
                  <pic:blipFill>
                    <a:blip r:embed="rId129"/>
                    <a:stretch>
                      <a:fillRect/>
                    </a:stretch>
                  </pic:blipFill>
                  <pic:spPr>
                    <a:xfrm>
                      <a:off x="0" y="0"/>
                      <a:ext cx="5566410" cy="7865745"/>
                    </a:xfrm>
                    <a:prstGeom prst="rect">
                      <a:avLst/>
                    </a:prstGeom>
                  </pic:spPr>
                </pic:pic>
              </a:graphicData>
            </a:graphic>
          </wp:inline>
        </w:drawing>
      </w:r>
      <w:r>
        <w:rPr>
          <w:rFonts w:hint="eastAsia"/>
        </w:rPr>
        <w:drawing>
          <wp:inline distT="0" distB="0" distL="114300" distR="114300">
            <wp:extent cx="5566410" cy="7865745"/>
            <wp:effectExtent l="0" t="0" r="15240" b="1905"/>
            <wp:docPr id="127" name="图片 127" descr="固体废物验收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固体废物验收批复_01"/>
                    <pic:cNvPicPr>
                      <a:picLocks noChangeAspect="1"/>
                    </pic:cNvPicPr>
                  </pic:nvPicPr>
                  <pic:blipFill>
                    <a:blip r:embed="rId130"/>
                    <a:stretch>
                      <a:fillRect/>
                    </a:stretch>
                  </pic:blipFill>
                  <pic:spPr>
                    <a:xfrm>
                      <a:off x="0" y="0"/>
                      <a:ext cx="5566410" cy="7865745"/>
                    </a:xfrm>
                    <a:prstGeom prst="rect">
                      <a:avLst/>
                    </a:prstGeom>
                  </pic:spPr>
                </pic:pic>
              </a:graphicData>
            </a:graphic>
          </wp:inline>
        </w:drawing>
      </w:r>
      <w:r>
        <w:rPr>
          <w:rFonts w:hint="eastAsia"/>
        </w:rPr>
        <w:drawing>
          <wp:inline distT="0" distB="0" distL="114300" distR="114300">
            <wp:extent cx="5566410" cy="7865745"/>
            <wp:effectExtent l="0" t="0" r="15240" b="1905"/>
            <wp:docPr id="125" name="图片 125" descr="固体废物验收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固体废物验收批复_02"/>
                    <pic:cNvPicPr>
                      <a:picLocks noChangeAspect="1"/>
                    </pic:cNvPicPr>
                  </pic:nvPicPr>
                  <pic:blipFill>
                    <a:blip r:embed="rId131"/>
                    <a:stretch>
                      <a:fillRect/>
                    </a:stretch>
                  </pic:blipFill>
                  <pic:spPr>
                    <a:xfrm>
                      <a:off x="0" y="0"/>
                      <a:ext cx="5566410" cy="7865745"/>
                    </a:xfrm>
                    <a:prstGeom prst="rect">
                      <a:avLst/>
                    </a:prstGeom>
                  </pic:spPr>
                </pic:pic>
              </a:graphicData>
            </a:graphic>
          </wp:inline>
        </w:drawing>
      </w:r>
      <w:r>
        <w:rPr>
          <w:rFonts w:hint="eastAsia"/>
        </w:rPr>
        <w:drawing>
          <wp:inline distT="0" distB="0" distL="114300" distR="114300">
            <wp:extent cx="5566410" cy="7865745"/>
            <wp:effectExtent l="0" t="0" r="15240" b="1905"/>
            <wp:docPr id="123" name="图片 123" descr="固体废物验收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固体废物验收批复_03"/>
                    <pic:cNvPicPr>
                      <a:picLocks noChangeAspect="1"/>
                    </pic:cNvPicPr>
                  </pic:nvPicPr>
                  <pic:blipFill>
                    <a:blip r:embed="rId132"/>
                    <a:stretch>
                      <a:fillRect/>
                    </a:stretch>
                  </pic:blipFill>
                  <pic:spPr>
                    <a:xfrm>
                      <a:off x="0" y="0"/>
                      <a:ext cx="5566410" cy="7865745"/>
                    </a:xfrm>
                    <a:prstGeom prst="rect">
                      <a:avLst/>
                    </a:prstGeom>
                  </pic:spPr>
                </pic:pic>
              </a:graphicData>
            </a:graphic>
          </wp:inline>
        </w:drawing>
      </w:r>
    </w:p>
    <w:bookmarkEnd w:id="596"/>
    <w:p w14:paraId="213AC78B">
      <w:pPr>
        <w:rPr>
          <w:rStyle w:val="212"/>
          <w:sz w:val="24"/>
          <w:szCs w:val="24"/>
        </w:rPr>
      </w:pPr>
      <w:bookmarkStart w:id="597" w:name="_Toc11651"/>
      <w:r>
        <w:rPr>
          <w:rStyle w:val="212"/>
          <w:sz w:val="24"/>
          <w:szCs w:val="24"/>
        </w:rPr>
        <w:br w:type="page"/>
      </w:r>
    </w:p>
    <w:p w14:paraId="75967457">
      <w:pPr>
        <w:ind w:left="241" w:hanging="241" w:hangingChars="100"/>
        <w:jc w:val="left"/>
        <w:outlineLvl w:val="0"/>
        <w:rPr>
          <w:rStyle w:val="212"/>
          <w:sz w:val="24"/>
          <w:szCs w:val="24"/>
        </w:rPr>
      </w:pPr>
      <w:bookmarkStart w:id="598" w:name="_Toc7245"/>
      <w:r>
        <w:rPr>
          <w:rStyle w:val="212"/>
          <w:sz w:val="24"/>
          <w:szCs w:val="24"/>
        </w:rPr>
        <w:t>附件</w:t>
      </w:r>
      <w:r>
        <w:rPr>
          <w:rStyle w:val="212"/>
          <w:rFonts w:hint="eastAsia"/>
          <w:sz w:val="24"/>
          <w:szCs w:val="24"/>
          <w:lang w:val="en-US" w:eastAsia="zh-CN"/>
        </w:rPr>
        <w:t>3</w:t>
      </w:r>
      <w:r>
        <w:rPr>
          <w:rStyle w:val="212"/>
          <w:sz w:val="24"/>
          <w:szCs w:val="24"/>
        </w:rPr>
        <w:t>排污许可证</w:t>
      </w:r>
      <w:bookmarkEnd w:id="597"/>
    </w:p>
    <w:bookmarkEnd w:id="598"/>
    <w:p w14:paraId="4D55F757">
      <w:pPr>
        <w:pStyle w:val="42"/>
        <w:ind w:left="0"/>
        <w:rPr>
          <w:rFonts w:hint="eastAsia" w:eastAsia="宋体"/>
          <w:lang w:eastAsia="zh-CN"/>
        </w:rPr>
      </w:pPr>
      <w:r>
        <w:rPr>
          <w:rFonts w:hint="eastAsia" w:eastAsia="宋体"/>
          <w:lang w:eastAsia="zh-CN"/>
        </w:rPr>
        <w:drawing>
          <wp:inline distT="0" distB="0" distL="114300" distR="114300">
            <wp:extent cx="5561965" cy="3927475"/>
            <wp:effectExtent l="0" t="0" r="635" b="15875"/>
            <wp:docPr id="129" name="图片 129" descr="排污许可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排污许可证_00"/>
                    <pic:cNvPicPr>
                      <a:picLocks noChangeAspect="1"/>
                    </pic:cNvPicPr>
                  </pic:nvPicPr>
                  <pic:blipFill>
                    <a:blip r:embed="rId133"/>
                    <a:stretch>
                      <a:fillRect/>
                    </a:stretch>
                  </pic:blipFill>
                  <pic:spPr>
                    <a:xfrm>
                      <a:off x="0" y="0"/>
                      <a:ext cx="5561965" cy="3927475"/>
                    </a:xfrm>
                    <a:prstGeom prst="rect">
                      <a:avLst/>
                    </a:prstGeom>
                  </pic:spPr>
                </pic:pic>
              </a:graphicData>
            </a:graphic>
          </wp:inline>
        </w:drawing>
      </w:r>
    </w:p>
    <w:p w14:paraId="2D8DCCC7">
      <w:pPr>
        <w:rPr>
          <w:b/>
          <w:bCs/>
        </w:rPr>
      </w:pPr>
      <w:r>
        <w:rPr>
          <w:b/>
          <w:bCs/>
        </w:rPr>
        <w:br w:type="page"/>
      </w:r>
    </w:p>
    <w:p w14:paraId="04413058">
      <w:pPr>
        <w:bidi w:val="0"/>
        <w:jc w:val="left"/>
        <w:rPr>
          <w:rStyle w:val="212"/>
          <w:rFonts w:hint="eastAsia" w:cs="Times New Roman"/>
          <w:sz w:val="24"/>
          <w:szCs w:val="24"/>
          <w:lang w:val="en-US" w:eastAsia="zh-CN" w:bidi="ar-SA"/>
        </w:rPr>
      </w:pPr>
      <w:bookmarkStart w:id="599" w:name="_Toc2845"/>
      <w:bookmarkStart w:id="600" w:name="_Toc26917"/>
      <w:r>
        <w:rPr>
          <w:rStyle w:val="212"/>
          <w:rFonts w:hint="eastAsia"/>
          <w:sz w:val="24"/>
          <w:szCs w:val="24"/>
          <w:lang w:val="en-US" w:eastAsia="zh-CN"/>
        </w:rPr>
        <w:t>附件4监测报告</w:t>
      </w:r>
      <w:bookmarkEnd w:id="599"/>
      <w:bookmarkEnd w:id="600"/>
      <w:r>
        <w:rPr>
          <w:rStyle w:val="212"/>
          <w:rFonts w:hint="eastAsia" w:cs="Times New Roman"/>
          <w:sz w:val="24"/>
          <w:szCs w:val="24"/>
          <w:lang w:val="en-US" w:eastAsia="zh-CN" w:bidi="ar-SA"/>
        </w:rPr>
        <w:drawing>
          <wp:inline distT="0" distB="0" distL="114300" distR="114300">
            <wp:extent cx="5711825" cy="8084820"/>
            <wp:effectExtent l="0" t="0" r="3175" b="11430"/>
            <wp:docPr id="85" name="图片 85" descr="HP260512-1黑龙江鸿展生物科技股份有限公司(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HP260512-1黑龙江鸿展生物科技股份有限公司(2)_01"/>
                    <pic:cNvPicPr>
                      <a:picLocks noChangeAspect="1"/>
                    </pic:cNvPicPr>
                  </pic:nvPicPr>
                  <pic:blipFill>
                    <a:blip r:embed="rId134"/>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84" name="图片 84" descr="HP260512-1黑龙江鸿展生物科技股份有限公司(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HP260512-1黑龙江鸿展生物科技股份有限公司(2)_02"/>
                    <pic:cNvPicPr>
                      <a:picLocks noChangeAspect="1"/>
                    </pic:cNvPicPr>
                  </pic:nvPicPr>
                  <pic:blipFill>
                    <a:blip r:embed="rId135"/>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83" name="图片 83" descr="HP260512-1黑龙江鸿展生物科技股份有限公司(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HP260512-1黑龙江鸿展生物科技股份有限公司(2)_03"/>
                    <pic:cNvPicPr>
                      <a:picLocks noChangeAspect="1"/>
                    </pic:cNvPicPr>
                  </pic:nvPicPr>
                  <pic:blipFill>
                    <a:blip r:embed="rId136"/>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82" name="图片 82" descr="HP260512-1黑龙江鸿展生物科技股份有限公司(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HP260512-1黑龙江鸿展生物科技股份有限公司(2)_04"/>
                    <pic:cNvPicPr>
                      <a:picLocks noChangeAspect="1"/>
                    </pic:cNvPicPr>
                  </pic:nvPicPr>
                  <pic:blipFill>
                    <a:blip r:embed="rId137"/>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81" name="图片 81" descr="HP260512-1黑龙江鸿展生物科技股份有限公司(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HP260512-1黑龙江鸿展生物科技股份有限公司(2)_05"/>
                    <pic:cNvPicPr>
                      <a:picLocks noChangeAspect="1"/>
                    </pic:cNvPicPr>
                  </pic:nvPicPr>
                  <pic:blipFill>
                    <a:blip r:embed="rId138"/>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80" name="图片 80" descr="HP260512-1黑龙江鸿展生物科技股份有限公司(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HP260512-1黑龙江鸿展生物科技股份有限公司(2)_06"/>
                    <pic:cNvPicPr>
                      <a:picLocks noChangeAspect="1"/>
                    </pic:cNvPicPr>
                  </pic:nvPicPr>
                  <pic:blipFill>
                    <a:blip r:embed="rId139"/>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79" name="图片 79" descr="HP260512-1黑龙江鸿展生物科技股份有限公司(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HP260512-1黑龙江鸿展生物科技股份有限公司(2)_07"/>
                    <pic:cNvPicPr>
                      <a:picLocks noChangeAspect="1"/>
                    </pic:cNvPicPr>
                  </pic:nvPicPr>
                  <pic:blipFill>
                    <a:blip r:embed="rId140"/>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78" name="图片 78" descr="HP260512-1黑龙江鸿展生物科技股份有限公司(2)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HP260512-1黑龙江鸿展生物科技股份有限公司(2)_08"/>
                    <pic:cNvPicPr>
                      <a:picLocks noChangeAspect="1"/>
                    </pic:cNvPicPr>
                  </pic:nvPicPr>
                  <pic:blipFill>
                    <a:blip r:embed="rId141"/>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77" name="图片 77" descr="HP260512-1黑龙江鸿展生物科技股份有限公司(2)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HP260512-1黑龙江鸿展生物科技股份有限公司(2)_09"/>
                    <pic:cNvPicPr>
                      <a:picLocks noChangeAspect="1"/>
                    </pic:cNvPicPr>
                  </pic:nvPicPr>
                  <pic:blipFill>
                    <a:blip r:embed="rId142"/>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76" name="图片 76" descr="HP260512-1黑龙江鸿展生物科技股份有限公司(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HP260512-1黑龙江鸿展生物科技股份有限公司(2)_10"/>
                    <pic:cNvPicPr>
                      <a:picLocks noChangeAspect="1"/>
                    </pic:cNvPicPr>
                  </pic:nvPicPr>
                  <pic:blipFill>
                    <a:blip r:embed="rId143"/>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74" name="图片 74" descr="HP260512-1黑龙江鸿展生物科技股份有限公司(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HP260512-1黑龙江鸿展生物科技股份有限公司(2)_11"/>
                    <pic:cNvPicPr>
                      <a:picLocks noChangeAspect="1"/>
                    </pic:cNvPicPr>
                  </pic:nvPicPr>
                  <pic:blipFill>
                    <a:blip r:embed="rId144"/>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73" name="图片 73" descr="HP260512-1黑龙江鸿展生物科技股份有限公司(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HP260512-1黑龙江鸿展生物科技股份有限公司(2)_12"/>
                    <pic:cNvPicPr>
                      <a:picLocks noChangeAspect="1"/>
                    </pic:cNvPicPr>
                  </pic:nvPicPr>
                  <pic:blipFill>
                    <a:blip r:embed="rId145"/>
                    <a:stretch>
                      <a:fillRect/>
                    </a:stretch>
                  </pic:blipFill>
                  <pic:spPr>
                    <a:xfrm>
                      <a:off x="0" y="0"/>
                      <a:ext cx="5711825" cy="8084820"/>
                    </a:xfrm>
                    <a:prstGeom prst="rect">
                      <a:avLst/>
                    </a:prstGeom>
                  </pic:spPr>
                </pic:pic>
              </a:graphicData>
            </a:graphic>
          </wp:inline>
        </w:drawing>
      </w:r>
    </w:p>
    <w:p w14:paraId="6290EF04">
      <w:pPr>
        <w:rPr>
          <w:rStyle w:val="212"/>
          <w:rFonts w:hint="eastAsia" w:cs="Times New Roman"/>
          <w:sz w:val="24"/>
          <w:szCs w:val="24"/>
          <w:lang w:val="en-US" w:eastAsia="zh-CN" w:bidi="ar-SA"/>
        </w:rPr>
      </w:pPr>
      <w:r>
        <w:rPr>
          <w:rStyle w:val="212"/>
          <w:rFonts w:hint="eastAsia" w:cs="Times New Roman"/>
          <w:sz w:val="24"/>
          <w:szCs w:val="24"/>
          <w:lang w:val="en-US" w:eastAsia="zh-CN" w:bidi="ar-SA"/>
        </w:rPr>
        <w:drawing>
          <wp:inline distT="0" distB="0" distL="114300" distR="114300">
            <wp:extent cx="5711825" cy="8084820"/>
            <wp:effectExtent l="0" t="0" r="3175" b="11430"/>
            <wp:docPr id="158" name="图片 158" descr="HP260512-1黑龙江鸿展生物科技股份有限公司(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HP260512-1黑龙江鸿展生物科技股份有限公司(2)_01"/>
                    <pic:cNvPicPr>
                      <a:picLocks noChangeAspect="1"/>
                    </pic:cNvPicPr>
                  </pic:nvPicPr>
                  <pic:blipFill>
                    <a:blip r:embed="rId134"/>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57" name="图片 157" descr="HP260512-1黑龙江鸿展生物科技股份有限公司(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HP260512-1黑龙江鸿展生物科技股份有限公司(2)_02"/>
                    <pic:cNvPicPr>
                      <a:picLocks noChangeAspect="1"/>
                    </pic:cNvPicPr>
                  </pic:nvPicPr>
                  <pic:blipFill>
                    <a:blip r:embed="rId135"/>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56" name="图片 156" descr="HP260512-1黑龙江鸿展生物科技股份有限公司(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HP260512-1黑龙江鸿展生物科技股份有限公司(2)_03"/>
                    <pic:cNvPicPr>
                      <a:picLocks noChangeAspect="1"/>
                    </pic:cNvPicPr>
                  </pic:nvPicPr>
                  <pic:blipFill>
                    <a:blip r:embed="rId136"/>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55" name="图片 155" descr="HP260512-1黑龙江鸿展生物科技股份有限公司(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HP260512-1黑龙江鸿展生物科技股份有限公司(2)_04"/>
                    <pic:cNvPicPr>
                      <a:picLocks noChangeAspect="1"/>
                    </pic:cNvPicPr>
                  </pic:nvPicPr>
                  <pic:blipFill>
                    <a:blip r:embed="rId137"/>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54" name="图片 154" descr="HP260512-1黑龙江鸿展生物科技股份有限公司(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HP260512-1黑龙江鸿展生物科技股份有限公司(2)_05"/>
                    <pic:cNvPicPr>
                      <a:picLocks noChangeAspect="1"/>
                    </pic:cNvPicPr>
                  </pic:nvPicPr>
                  <pic:blipFill>
                    <a:blip r:embed="rId138"/>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50" name="图片 150" descr="HP260512-1黑龙江鸿展生物科技股份有限公司(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HP260512-1黑龙江鸿展生物科技股份有限公司(2)_06"/>
                    <pic:cNvPicPr>
                      <a:picLocks noChangeAspect="1"/>
                    </pic:cNvPicPr>
                  </pic:nvPicPr>
                  <pic:blipFill>
                    <a:blip r:embed="rId139"/>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49" name="图片 149" descr="HP260512-1黑龙江鸿展生物科技股份有限公司(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HP260512-1黑龙江鸿展生物科技股份有限公司(2)_07"/>
                    <pic:cNvPicPr>
                      <a:picLocks noChangeAspect="1"/>
                    </pic:cNvPicPr>
                  </pic:nvPicPr>
                  <pic:blipFill>
                    <a:blip r:embed="rId140"/>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48" name="图片 148" descr="HP260512-1黑龙江鸿展生物科技股份有限公司(2)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HP260512-1黑龙江鸿展生物科技股份有限公司(2)_08"/>
                    <pic:cNvPicPr>
                      <a:picLocks noChangeAspect="1"/>
                    </pic:cNvPicPr>
                  </pic:nvPicPr>
                  <pic:blipFill>
                    <a:blip r:embed="rId141"/>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47" name="图片 147" descr="HP260512-1黑龙江鸿展生物科技股份有限公司(2)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HP260512-1黑龙江鸿展生物科技股份有限公司(2)_09"/>
                    <pic:cNvPicPr>
                      <a:picLocks noChangeAspect="1"/>
                    </pic:cNvPicPr>
                  </pic:nvPicPr>
                  <pic:blipFill>
                    <a:blip r:embed="rId142"/>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46" name="图片 146" descr="HP260512-1黑龙江鸿展生物科技股份有限公司(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HP260512-1黑龙江鸿展生物科技股份有限公司(2)_10"/>
                    <pic:cNvPicPr>
                      <a:picLocks noChangeAspect="1"/>
                    </pic:cNvPicPr>
                  </pic:nvPicPr>
                  <pic:blipFill>
                    <a:blip r:embed="rId143"/>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21" name="图片 121" descr="HP260512-1黑龙江鸿展生物科技股份有限公司(2)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HP260512-1黑龙江鸿展生物科技股份有限公司(2)_11"/>
                    <pic:cNvPicPr>
                      <a:picLocks noChangeAspect="1"/>
                    </pic:cNvPicPr>
                  </pic:nvPicPr>
                  <pic:blipFill>
                    <a:blip r:embed="rId144"/>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120" name="图片 120" descr="HP260512-1黑龙江鸿展生物科技股份有限公司(2)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HP260512-1黑龙江鸿展生物科技股份有限公司(2)_12"/>
                    <pic:cNvPicPr>
                      <a:picLocks noChangeAspect="1"/>
                    </pic:cNvPicPr>
                  </pic:nvPicPr>
                  <pic:blipFill>
                    <a:blip r:embed="rId145"/>
                    <a:stretch>
                      <a:fillRect/>
                    </a:stretch>
                  </pic:blipFill>
                  <pic:spPr>
                    <a:xfrm>
                      <a:off x="0" y="0"/>
                      <a:ext cx="5711825" cy="8084820"/>
                    </a:xfrm>
                    <a:prstGeom prst="rect">
                      <a:avLst/>
                    </a:prstGeom>
                  </pic:spPr>
                </pic:pic>
              </a:graphicData>
            </a:graphic>
          </wp:inline>
        </w:drawing>
      </w:r>
    </w:p>
    <w:p w14:paraId="4707337D">
      <w:pPr>
        <w:rPr>
          <w:rStyle w:val="212"/>
          <w:rFonts w:hint="eastAsia" w:cs="Times New Roman"/>
          <w:sz w:val="24"/>
          <w:szCs w:val="24"/>
          <w:lang w:val="en-US" w:eastAsia="zh-CN" w:bidi="ar-SA"/>
        </w:rPr>
      </w:pPr>
      <w:r>
        <w:rPr>
          <w:rStyle w:val="212"/>
          <w:rFonts w:hint="eastAsia" w:cs="Times New Roman"/>
          <w:sz w:val="24"/>
          <w:szCs w:val="24"/>
          <w:lang w:val="en-US" w:eastAsia="zh-CN" w:bidi="ar-SA"/>
        </w:rPr>
        <w:br w:type="page"/>
      </w:r>
    </w:p>
    <w:p w14:paraId="6F7F9034">
      <w:pPr>
        <w:rPr>
          <w:rStyle w:val="212"/>
          <w:rFonts w:hint="eastAsia" w:cs="Times New Roman"/>
          <w:sz w:val="24"/>
          <w:szCs w:val="24"/>
          <w:lang w:val="en-US" w:eastAsia="zh-CN" w:bidi="ar-SA"/>
        </w:rPr>
      </w:pPr>
      <w:r>
        <w:rPr>
          <w:rStyle w:val="212"/>
          <w:rFonts w:hint="eastAsia" w:cs="Times New Roman"/>
          <w:sz w:val="24"/>
          <w:szCs w:val="24"/>
          <w:lang w:val="en-US" w:eastAsia="zh-CN" w:bidi="ar-SA"/>
        </w:rPr>
        <w:br w:type="page"/>
      </w:r>
    </w:p>
    <w:p w14:paraId="51967694">
      <w:pPr>
        <w:rPr>
          <w:rStyle w:val="212"/>
          <w:rFonts w:hint="eastAsia" w:cs="Times New Roman"/>
          <w:sz w:val="24"/>
          <w:szCs w:val="24"/>
          <w:lang w:val="en-US" w:eastAsia="zh-CN" w:bidi="ar-SA"/>
        </w:rPr>
        <w:sectPr>
          <w:footerReference r:id="rId18" w:type="default"/>
          <w:pgSz w:w="11907" w:h="16840"/>
          <w:pgMar w:top="1440"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pPr>
      <w:r>
        <w:rPr>
          <w:rStyle w:val="212"/>
          <w:rFonts w:hint="eastAsia" w:cs="Times New Roman"/>
          <w:sz w:val="24"/>
          <w:szCs w:val="24"/>
          <w:lang w:val="en-US" w:eastAsia="zh-CN" w:bidi="ar-SA"/>
        </w:rPr>
        <w:drawing>
          <wp:inline distT="0" distB="0" distL="114300" distR="114300">
            <wp:extent cx="5711825" cy="8084820"/>
            <wp:effectExtent l="0" t="0" r="3175" b="11430"/>
            <wp:docPr id="98" name="图片 98" descr="HP260519-9 黑龙江鸿展生物科技股份有限公司(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HP260519-9 黑龙江鸿展生物科技股份有限公司(1)_01"/>
                    <pic:cNvPicPr>
                      <a:picLocks noChangeAspect="1"/>
                    </pic:cNvPicPr>
                  </pic:nvPicPr>
                  <pic:blipFill>
                    <a:blip r:embed="rId146"/>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97" name="图片 97" descr="HP260519-9 黑龙江鸿展生物科技股份有限公司(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HP260519-9 黑龙江鸿展生物科技股份有限公司(1)_02"/>
                    <pic:cNvPicPr>
                      <a:picLocks noChangeAspect="1"/>
                    </pic:cNvPicPr>
                  </pic:nvPicPr>
                  <pic:blipFill>
                    <a:blip r:embed="rId147"/>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96" name="图片 96" descr="HP260519-9 黑龙江鸿展生物科技股份有限公司(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HP260519-9 黑龙江鸿展生物科技股份有限公司(1)_03"/>
                    <pic:cNvPicPr>
                      <a:picLocks noChangeAspect="1"/>
                    </pic:cNvPicPr>
                  </pic:nvPicPr>
                  <pic:blipFill>
                    <a:blip r:embed="rId148"/>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95" name="图片 95" descr="HP260519-9 黑龙江鸿展生物科技股份有限公司(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HP260519-9 黑龙江鸿展生物科技股份有限公司(1)_04"/>
                    <pic:cNvPicPr>
                      <a:picLocks noChangeAspect="1"/>
                    </pic:cNvPicPr>
                  </pic:nvPicPr>
                  <pic:blipFill>
                    <a:blip r:embed="rId149"/>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94" name="图片 94" descr="HP260519-9 黑龙江鸿展生物科技股份有限公司(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HP260519-9 黑龙江鸿展生物科技股份有限公司(1)_05"/>
                    <pic:cNvPicPr>
                      <a:picLocks noChangeAspect="1"/>
                    </pic:cNvPicPr>
                  </pic:nvPicPr>
                  <pic:blipFill>
                    <a:blip r:embed="rId150"/>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93" name="图片 93" descr="HP260519-9 黑龙江鸿展生物科技股份有限公司(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HP260519-9 黑龙江鸿展生物科技股份有限公司(1)_06"/>
                    <pic:cNvPicPr>
                      <a:picLocks noChangeAspect="1"/>
                    </pic:cNvPicPr>
                  </pic:nvPicPr>
                  <pic:blipFill>
                    <a:blip r:embed="rId151"/>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92" name="图片 92" descr="HP260519-9 黑龙江鸿展生物科技股份有限公司(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HP260519-9 黑龙江鸿展生物科技股份有限公司(1)_07"/>
                    <pic:cNvPicPr>
                      <a:picLocks noChangeAspect="1"/>
                    </pic:cNvPicPr>
                  </pic:nvPicPr>
                  <pic:blipFill>
                    <a:blip r:embed="rId152"/>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91" name="图片 91" descr="HP260519-9 黑龙江鸿展生物科技股份有限公司(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HP260519-9 黑龙江鸿展生物科技股份有限公司(1)_08"/>
                    <pic:cNvPicPr>
                      <a:picLocks noChangeAspect="1"/>
                    </pic:cNvPicPr>
                  </pic:nvPicPr>
                  <pic:blipFill>
                    <a:blip r:embed="rId153"/>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87" name="图片 87" descr="HP260519-9 黑龙江鸿展生物科技股份有限公司(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HP260519-9 黑龙江鸿展生物科技股份有限公司(1)_09"/>
                    <pic:cNvPicPr>
                      <a:picLocks noChangeAspect="1"/>
                    </pic:cNvPicPr>
                  </pic:nvPicPr>
                  <pic:blipFill>
                    <a:blip r:embed="rId154"/>
                    <a:stretch>
                      <a:fillRect/>
                    </a:stretch>
                  </pic:blipFill>
                  <pic:spPr>
                    <a:xfrm>
                      <a:off x="0" y="0"/>
                      <a:ext cx="5711825" cy="8084820"/>
                    </a:xfrm>
                    <a:prstGeom prst="rect">
                      <a:avLst/>
                    </a:prstGeom>
                  </pic:spPr>
                </pic:pic>
              </a:graphicData>
            </a:graphic>
          </wp:inline>
        </w:drawing>
      </w:r>
      <w:r>
        <w:rPr>
          <w:rStyle w:val="212"/>
          <w:rFonts w:hint="eastAsia" w:cs="Times New Roman"/>
          <w:sz w:val="24"/>
          <w:szCs w:val="24"/>
          <w:lang w:val="en-US" w:eastAsia="zh-CN" w:bidi="ar-SA"/>
        </w:rPr>
        <w:drawing>
          <wp:inline distT="0" distB="0" distL="114300" distR="114300">
            <wp:extent cx="5711825" cy="8084820"/>
            <wp:effectExtent l="0" t="0" r="3175" b="11430"/>
            <wp:docPr id="86" name="图片 86" descr="HP260519-9 黑龙江鸿展生物科技股份有限公司(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HP260519-9 黑龙江鸿展生物科技股份有限公司(1)_10"/>
                    <pic:cNvPicPr>
                      <a:picLocks noChangeAspect="1"/>
                    </pic:cNvPicPr>
                  </pic:nvPicPr>
                  <pic:blipFill>
                    <a:blip r:embed="rId155"/>
                    <a:stretch>
                      <a:fillRect/>
                    </a:stretch>
                  </pic:blipFill>
                  <pic:spPr>
                    <a:xfrm>
                      <a:off x="0" y="0"/>
                      <a:ext cx="5711825" cy="8084820"/>
                    </a:xfrm>
                    <a:prstGeom prst="rect">
                      <a:avLst/>
                    </a:prstGeom>
                  </pic:spPr>
                </pic:pic>
              </a:graphicData>
            </a:graphic>
          </wp:inline>
        </w:drawing>
      </w:r>
    </w:p>
    <w:bookmarkEnd w:id="372"/>
    <w:bookmarkEnd w:id="491"/>
    <w:p w14:paraId="33DD1E46">
      <w:pPr>
        <w:spacing w:line="360" w:lineRule="auto"/>
        <w:jc w:val="center"/>
        <w:rPr>
          <w:rFonts w:hint="eastAsia" w:eastAsia="宋体"/>
          <w:lang w:eastAsia="zh-CN"/>
        </w:rPr>
      </w:pPr>
      <w:r>
        <w:rPr>
          <w:rFonts w:hint="eastAsia" w:eastAsia="宋体"/>
          <w:lang w:eastAsia="zh-CN"/>
        </w:rPr>
        <w:drawing>
          <wp:inline distT="0" distB="0" distL="114300" distR="114300">
            <wp:extent cx="13025755" cy="8648065"/>
            <wp:effectExtent l="0" t="0" r="4445" b="635"/>
            <wp:docPr id="38" name="图片 38" descr="总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总平面布置图"/>
                    <pic:cNvPicPr>
                      <a:picLocks noChangeAspect="1"/>
                    </pic:cNvPicPr>
                  </pic:nvPicPr>
                  <pic:blipFill>
                    <a:blip r:embed="rId156"/>
                    <a:stretch>
                      <a:fillRect/>
                    </a:stretch>
                  </pic:blipFill>
                  <pic:spPr>
                    <a:xfrm>
                      <a:off x="0" y="0"/>
                      <a:ext cx="13025755" cy="8648065"/>
                    </a:xfrm>
                    <a:prstGeom prst="rect">
                      <a:avLst/>
                    </a:prstGeom>
                  </pic:spPr>
                </pic:pic>
              </a:graphicData>
            </a:graphic>
          </wp:inline>
        </w:drawing>
      </w:r>
    </w:p>
    <w:p w14:paraId="302D494D">
      <w:pPr>
        <w:pStyle w:val="42"/>
        <w:rPr>
          <w:rFonts w:hint="eastAsia" w:eastAsia="宋体"/>
          <w:lang w:eastAsia="zh-CN"/>
        </w:rPr>
      </w:pPr>
      <w:r>
        <w:rPr>
          <w:sz w:val="24"/>
        </w:rPr>
        <mc:AlternateContent>
          <mc:Choice Requires="wps">
            <w:drawing>
              <wp:anchor distT="0" distB="0" distL="114300" distR="114300" simplePos="0" relativeHeight="251704320" behindDoc="0" locked="0" layoutInCell="1" allowOverlap="1">
                <wp:simplePos x="0" y="0"/>
                <wp:positionH relativeFrom="column">
                  <wp:posOffset>11388090</wp:posOffset>
                </wp:positionH>
                <wp:positionV relativeFrom="paragraph">
                  <wp:posOffset>4940935</wp:posOffset>
                </wp:positionV>
                <wp:extent cx="527685" cy="189865"/>
                <wp:effectExtent l="0" t="0" r="5715" b="635"/>
                <wp:wrapNone/>
                <wp:docPr id="50" name="文本框 50"/>
                <wp:cNvGraphicFramePr/>
                <a:graphic xmlns:a="http://schemas.openxmlformats.org/drawingml/2006/main">
                  <a:graphicData uri="http://schemas.microsoft.com/office/word/2010/wordprocessingShape">
                    <wps:wsp>
                      <wps:cNvSpPr txBox="1"/>
                      <wps:spPr>
                        <a:xfrm>
                          <a:off x="0" y="0"/>
                          <a:ext cx="527685" cy="1898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8C8D422">
                            <w:pPr>
                              <w:rPr>
                                <w:rFonts w:hint="default" w:eastAsia="宋体"/>
                                <w:lang w:val="en-US" w:eastAsia="zh-CN"/>
                              </w:rPr>
                            </w:pPr>
                            <w:r>
                              <w:rPr>
                                <w:rFonts w:hint="eastAsia"/>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6.7pt;margin-top:389.05pt;height:14.95pt;width:41.55pt;z-index:251704320;mso-width-relative:page;mso-height-relative:page;" fillcolor="#FFFFFF [3201]" filled="t" stroked="f" coordsize="21600,21600" o:gfxdata="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VL8iq1wAAAA0BAAAPAAAA&#10;AAAAAAEAIAAAACIAAABkcnMvZG93bnJldi54bWxQSwECFAAUAAAACACHTuJAWMDi2k8CAACQBAAA&#10;DgAAAAAAAAABACAAAAAmAQAAZHJzL2Uyb0RvYy54bWxQSwUGAAAAAAYABgBZAQAA5wUAAAAA&#10;">
                <v:fill on="t" focussize="0,0"/>
                <v:stroke on="f" weight="0.5pt"/>
                <v:imagedata o:title=""/>
                <o:lock v:ext="edit" aspectratio="f"/>
                <v:textbox>
                  <w:txbxContent>
                    <w:p w14:paraId="08C8D422">
                      <w:pPr>
                        <w:rPr>
                          <w:rFonts w:hint="default" w:eastAsia="宋体"/>
                          <w:lang w:val="en-US" w:eastAsia="zh-CN"/>
                        </w:rPr>
                      </w:pPr>
                      <w:r>
                        <w:rPr>
                          <w:rFonts w:hint="eastAsia"/>
                          <w:lang w:val="en-US" w:eastAsia="zh-CN"/>
                        </w:rPr>
                        <w:t>****</w:t>
                      </w:r>
                    </w:p>
                  </w:txbxContent>
                </v:textbox>
              </v:shape>
            </w:pict>
          </mc:Fallback>
        </mc:AlternateContent>
      </w:r>
      <w:r>
        <w:rPr>
          <w:sz w:val="24"/>
        </w:rPr>
        <mc:AlternateContent>
          <mc:Choice Requires="wps">
            <w:drawing>
              <wp:anchor distT="0" distB="0" distL="114300" distR="114300" simplePos="0" relativeHeight="251703296" behindDoc="0" locked="0" layoutInCell="1" allowOverlap="1">
                <wp:simplePos x="0" y="0"/>
                <wp:positionH relativeFrom="column">
                  <wp:posOffset>5410835</wp:posOffset>
                </wp:positionH>
                <wp:positionV relativeFrom="paragraph">
                  <wp:posOffset>5117465</wp:posOffset>
                </wp:positionV>
                <wp:extent cx="424815" cy="189865"/>
                <wp:effectExtent l="0" t="0" r="13335" b="635"/>
                <wp:wrapNone/>
                <wp:docPr id="49" name="文本框 49"/>
                <wp:cNvGraphicFramePr/>
                <a:graphic xmlns:a="http://schemas.openxmlformats.org/drawingml/2006/main">
                  <a:graphicData uri="http://schemas.microsoft.com/office/word/2010/wordprocessingShape">
                    <wps:wsp>
                      <wps:cNvSpPr txBox="1"/>
                      <wps:spPr>
                        <a:xfrm>
                          <a:off x="6434455" y="6106795"/>
                          <a:ext cx="424815" cy="1898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27B3713">
                            <w:pPr>
                              <w:rPr>
                                <w:rFonts w:hint="default" w:eastAsia="宋体"/>
                                <w:lang w:val="en-US" w:eastAsia="zh-CN"/>
                              </w:rPr>
                            </w:pPr>
                            <w:r>
                              <w:rPr>
                                <w:rFonts w:hint="eastAsia"/>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6.05pt;margin-top:402.95pt;height:14.95pt;width:33.45pt;z-index:251703296;mso-width-relative:page;mso-height-relative:page;" fillcolor="#FFFFFF [3201]" filled="t" stroked="f" coordsize="21600,21600" o:gfxdata="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ot&#10;dCHWAAAACwEAAA8AAAAAAAAAAQAgAAAAIgAAAGRycy9kb3ducmV2LnhtbFBLAQIUABQAAAAIAIdO&#10;4kDi5Ur2XgIAAJwEAAAOAAAAAAAAAAEAIAAAACUBAABkcnMvZTJvRG9jLnhtbFBLBQYAAAAABgAG&#10;AFkBAAD1BQAAAAA=&#10;">
                <v:fill on="t" focussize="0,0"/>
                <v:stroke on="f" weight="0.5pt"/>
                <v:imagedata o:title=""/>
                <o:lock v:ext="edit" aspectratio="f"/>
                <v:textbox>
                  <w:txbxContent>
                    <w:p w14:paraId="227B3713">
                      <w:pPr>
                        <w:rPr>
                          <w:rFonts w:hint="default" w:eastAsia="宋体"/>
                          <w:lang w:val="en-US" w:eastAsia="zh-CN"/>
                        </w:rPr>
                      </w:pPr>
                      <w:r>
                        <w:rPr>
                          <w:rFonts w:hint="eastAsia"/>
                          <w:lang w:val="en-US" w:eastAsia="zh-CN"/>
                        </w:rPr>
                        <w:t>****</w:t>
                      </w:r>
                    </w:p>
                  </w:txbxContent>
                </v:textbox>
              </v:shape>
            </w:pict>
          </mc:Fallback>
        </mc:AlternateContent>
      </w:r>
      <w:r>
        <w:rPr>
          <w:rFonts w:hint="eastAsia" w:eastAsia="宋体"/>
          <w:lang w:eastAsia="zh-CN"/>
        </w:rPr>
        <w:drawing>
          <wp:inline distT="0" distB="0" distL="114300" distR="114300">
            <wp:extent cx="12649835" cy="8814435"/>
            <wp:effectExtent l="0" t="0" r="18415" b="5715"/>
            <wp:docPr id="48" name="图片 48" descr="登记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登记表"/>
                    <pic:cNvPicPr>
                      <a:picLocks noChangeAspect="1"/>
                    </pic:cNvPicPr>
                  </pic:nvPicPr>
                  <pic:blipFill>
                    <a:blip r:embed="rId157"/>
                    <a:stretch>
                      <a:fillRect/>
                    </a:stretch>
                  </pic:blipFill>
                  <pic:spPr>
                    <a:xfrm>
                      <a:off x="0" y="0"/>
                      <a:ext cx="12649835" cy="8814435"/>
                    </a:xfrm>
                    <a:prstGeom prst="rect">
                      <a:avLst/>
                    </a:prstGeom>
                  </pic:spPr>
                </pic:pic>
              </a:graphicData>
            </a:graphic>
          </wp:inline>
        </w:drawing>
      </w:r>
    </w:p>
    <w:tbl>
      <w:tblPr>
        <w:tblStyle w:val="53"/>
        <w:tblW w:w="21621" w:type="dxa"/>
        <w:jc w:val="center"/>
        <w:tblLayout w:type="fixed"/>
        <w:tblCellMar>
          <w:top w:w="0" w:type="dxa"/>
          <w:left w:w="108" w:type="dxa"/>
          <w:bottom w:w="0" w:type="dxa"/>
          <w:right w:w="108" w:type="dxa"/>
        </w:tblCellMar>
      </w:tblPr>
      <w:tblGrid>
        <w:gridCol w:w="888"/>
        <w:gridCol w:w="656"/>
        <w:gridCol w:w="602"/>
        <w:gridCol w:w="1144"/>
        <w:gridCol w:w="1661"/>
        <w:gridCol w:w="1193"/>
        <w:gridCol w:w="1659"/>
        <w:gridCol w:w="1413"/>
        <w:gridCol w:w="1746"/>
        <w:gridCol w:w="1836"/>
        <w:gridCol w:w="1519"/>
        <w:gridCol w:w="1547"/>
        <w:gridCol w:w="1021"/>
        <w:gridCol w:w="546"/>
        <w:gridCol w:w="1462"/>
        <w:gridCol w:w="814"/>
        <w:gridCol w:w="888"/>
        <w:gridCol w:w="111"/>
        <w:gridCol w:w="915"/>
      </w:tblGrid>
      <w:tr w14:paraId="5CDE3421">
        <w:tblPrEx>
          <w:tblCellMar>
            <w:top w:w="0" w:type="dxa"/>
            <w:left w:w="108" w:type="dxa"/>
            <w:bottom w:w="0" w:type="dxa"/>
            <w:right w:w="108" w:type="dxa"/>
          </w:tblCellMar>
        </w:tblPrEx>
        <w:trPr>
          <w:trHeight w:val="690" w:hRule="atLeast"/>
          <w:jc w:val="center"/>
        </w:trPr>
        <w:tc>
          <w:tcPr>
            <w:tcW w:w="21621" w:type="dxa"/>
            <w:gridSpan w:val="19"/>
            <w:vMerge w:val="restart"/>
            <w:tcBorders>
              <w:top w:val="nil"/>
              <w:left w:val="nil"/>
              <w:bottom w:val="nil"/>
              <w:right w:val="nil"/>
            </w:tcBorders>
            <w:noWrap/>
            <w:vAlign w:val="center"/>
          </w:tcPr>
          <w:p w14:paraId="06C25563">
            <w:pPr>
              <w:jc w:val="center"/>
              <w:textAlignment w:val="center"/>
              <w:rPr>
                <w:rFonts w:eastAsia="方正小标宋简体"/>
                <w:sz w:val="60"/>
                <w:szCs w:val="60"/>
              </w:rPr>
            </w:pPr>
            <w:r>
              <w:rPr>
                <w:rFonts w:eastAsia="方正小标宋简体"/>
                <w:sz w:val="60"/>
                <w:szCs w:val="60"/>
                <w:lang w:bidi="ar"/>
              </w:rPr>
              <w:t>建设项目环境影响报告书审批基础信息表</w:t>
            </w:r>
          </w:p>
        </w:tc>
      </w:tr>
      <w:tr w14:paraId="28A7D571">
        <w:tblPrEx>
          <w:tblCellMar>
            <w:top w:w="0" w:type="dxa"/>
            <w:left w:w="108" w:type="dxa"/>
            <w:bottom w:w="0" w:type="dxa"/>
            <w:right w:w="108" w:type="dxa"/>
          </w:tblCellMar>
        </w:tblPrEx>
        <w:trPr>
          <w:trHeight w:val="388" w:hRule="atLeast"/>
          <w:jc w:val="center"/>
        </w:trPr>
        <w:tc>
          <w:tcPr>
            <w:tcW w:w="21621" w:type="dxa"/>
            <w:gridSpan w:val="19"/>
            <w:vMerge w:val="continue"/>
            <w:tcBorders>
              <w:left w:val="nil"/>
              <w:right w:val="nil"/>
            </w:tcBorders>
            <w:noWrap/>
            <w:vAlign w:val="center"/>
          </w:tcPr>
          <w:p w14:paraId="0AA7D13B">
            <w:pPr>
              <w:jc w:val="center"/>
              <w:textAlignment w:val="center"/>
            </w:pPr>
          </w:p>
          <w:p w14:paraId="7D3131FD">
            <w:pPr>
              <w:pStyle w:val="42"/>
            </w:pPr>
          </w:p>
        </w:tc>
      </w:tr>
      <w:tr w14:paraId="763FA8F8">
        <w:tblPrEx>
          <w:tblCellMar>
            <w:top w:w="0" w:type="dxa"/>
            <w:left w:w="108" w:type="dxa"/>
            <w:bottom w:w="0" w:type="dxa"/>
            <w:right w:w="108" w:type="dxa"/>
          </w:tblCellMar>
        </w:tblPrEx>
        <w:trPr>
          <w:trHeight w:val="690" w:hRule="atLeast"/>
          <w:jc w:val="center"/>
        </w:trPr>
        <w:tc>
          <w:tcPr>
            <w:tcW w:w="21621" w:type="dxa"/>
            <w:gridSpan w:val="19"/>
            <w:vMerge w:val="continue"/>
            <w:tcBorders>
              <w:top w:val="nil"/>
              <w:left w:val="nil"/>
              <w:bottom w:val="nil"/>
              <w:right w:val="nil"/>
            </w:tcBorders>
            <w:noWrap/>
            <w:vAlign w:val="center"/>
          </w:tcPr>
          <w:p w14:paraId="2D686B24">
            <w:pPr>
              <w:jc w:val="center"/>
              <w:rPr>
                <w:rFonts w:eastAsia="方正小标宋简体"/>
                <w:sz w:val="60"/>
                <w:szCs w:val="60"/>
              </w:rPr>
            </w:pPr>
          </w:p>
        </w:tc>
      </w:tr>
      <w:tr w14:paraId="41EF9A04">
        <w:tblPrEx>
          <w:tblCellMar>
            <w:top w:w="0" w:type="dxa"/>
            <w:left w:w="108" w:type="dxa"/>
            <w:bottom w:w="0" w:type="dxa"/>
            <w:right w:w="108" w:type="dxa"/>
          </w:tblCellMar>
        </w:tblPrEx>
        <w:trPr>
          <w:trHeight w:val="680" w:hRule="atLeast"/>
          <w:jc w:val="center"/>
        </w:trPr>
        <w:tc>
          <w:tcPr>
            <w:tcW w:w="3290" w:type="dxa"/>
            <w:gridSpan w:val="4"/>
            <w:tcBorders>
              <w:top w:val="nil"/>
              <w:left w:val="nil"/>
              <w:bottom w:val="nil"/>
              <w:right w:val="nil"/>
            </w:tcBorders>
            <w:noWrap/>
            <w:vAlign w:val="center"/>
          </w:tcPr>
          <w:p w14:paraId="50296AC2">
            <w:pPr>
              <w:jc w:val="center"/>
              <w:textAlignment w:val="center"/>
              <w:rPr>
                <w:rFonts w:eastAsia="黑体"/>
                <w:sz w:val="18"/>
                <w:szCs w:val="18"/>
              </w:rPr>
            </w:pPr>
            <w:r>
              <w:rPr>
                <w:rFonts w:eastAsia="黑体"/>
                <w:sz w:val="18"/>
                <w:szCs w:val="18"/>
                <w:lang w:bidi="ar"/>
              </w:rPr>
              <w:t>填表单位（盖章）：</w:t>
            </w:r>
          </w:p>
        </w:tc>
        <w:tc>
          <w:tcPr>
            <w:tcW w:w="5926" w:type="dxa"/>
            <w:gridSpan w:val="4"/>
            <w:tcBorders>
              <w:top w:val="nil"/>
              <w:left w:val="nil"/>
              <w:bottom w:val="nil"/>
              <w:right w:val="nil"/>
            </w:tcBorders>
            <w:noWrap/>
            <w:vAlign w:val="center"/>
          </w:tcPr>
          <w:p w14:paraId="65BCECC3">
            <w:pPr>
              <w:jc w:val="center"/>
              <w:rPr>
                <w:rFonts w:hint="eastAsia" w:eastAsia="黑体"/>
                <w:sz w:val="18"/>
                <w:szCs w:val="18"/>
                <w:lang w:eastAsia="zh-CN"/>
              </w:rPr>
            </w:pPr>
            <w:r>
              <w:rPr>
                <w:rFonts w:hint="eastAsia" w:eastAsia="黑体"/>
                <w:sz w:val="18"/>
                <w:szCs w:val="18"/>
                <w:lang w:eastAsia="zh-CN"/>
              </w:rPr>
              <w:t>黑龙江鸿展生物科技股份有限公司</w:t>
            </w:r>
          </w:p>
        </w:tc>
        <w:tc>
          <w:tcPr>
            <w:tcW w:w="1746" w:type="dxa"/>
            <w:tcBorders>
              <w:top w:val="nil"/>
              <w:left w:val="nil"/>
              <w:bottom w:val="nil"/>
              <w:right w:val="nil"/>
            </w:tcBorders>
            <w:noWrap/>
            <w:vAlign w:val="center"/>
          </w:tcPr>
          <w:p w14:paraId="7579BC3D">
            <w:pPr>
              <w:jc w:val="left"/>
              <w:textAlignment w:val="center"/>
              <w:rPr>
                <w:rFonts w:eastAsia="黑体"/>
                <w:sz w:val="18"/>
                <w:szCs w:val="18"/>
              </w:rPr>
            </w:pPr>
            <w:r>
              <w:rPr>
                <w:rFonts w:eastAsia="黑体"/>
                <w:sz w:val="18"/>
                <w:szCs w:val="18"/>
                <w:lang w:bidi="ar"/>
              </w:rPr>
              <w:t xml:space="preserve"> 填表人（签字）：</w:t>
            </w:r>
          </w:p>
        </w:tc>
        <w:tc>
          <w:tcPr>
            <w:tcW w:w="3355" w:type="dxa"/>
            <w:gridSpan w:val="2"/>
            <w:tcBorders>
              <w:top w:val="nil"/>
              <w:left w:val="nil"/>
              <w:bottom w:val="nil"/>
              <w:right w:val="nil"/>
            </w:tcBorders>
            <w:noWrap/>
            <w:vAlign w:val="center"/>
          </w:tcPr>
          <w:p w14:paraId="6B495C1B">
            <w:pPr>
              <w:jc w:val="center"/>
              <w:rPr>
                <w:rFonts w:eastAsia="黑体"/>
                <w:sz w:val="18"/>
                <w:szCs w:val="18"/>
              </w:rPr>
            </w:pPr>
          </w:p>
        </w:tc>
        <w:tc>
          <w:tcPr>
            <w:tcW w:w="3114" w:type="dxa"/>
            <w:gridSpan w:val="3"/>
            <w:tcBorders>
              <w:top w:val="nil"/>
              <w:left w:val="nil"/>
              <w:bottom w:val="nil"/>
              <w:right w:val="nil"/>
            </w:tcBorders>
            <w:noWrap/>
            <w:vAlign w:val="center"/>
          </w:tcPr>
          <w:p w14:paraId="211A646F">
            <w:pPr>
              <w:jc w:val="center"/>
              <w:textAlignment w:val="center"/>
              <w:rPr>
                <w:rFonts w:eastAsia="黑体"/>
                <w:sz w:val="18"/>
                <w:szCs w:val="18"/>
              </w:rPr>
            </w:pPr>
            <w:r>
              <w:rPr>
                <w:rFonts w:eastAsia="黑体"/>
                <w:sz w:val="18"/>
                <w:szCs w:val="18"/>
                <w:lang w:bidi="ar"/>
              </w:rPr>
              <w:t xml:space="preserve"> 项目经办人（签字）：</w:t>
            </w:r>
          </w:p>
        </w:tc>
        <w:tc>
          <w:tcPr>
            <w:tcW w:w="4190" w:type="dxa"/>
            <w:gridSpan w:val="5"/>
            <w:tcBorders>
              <w:top w:val="nil"/>
              <w:left w:val="nil"/>
              <w:bottom w:val="nil"/>
              <w:right w:val="nil"/>
            </w:tcBorders>
            <w:noWrap/>
            <w:vAlign w:val="center"/>
          </w:tcPr>
          <w:p w14:paraId="3563EB99">
            <w:pPr>
              <w:jc w:val="center"/>
              <w:rPr>
                <w:rFonts w:eastAsia="黑体"/>
                <w:sz w:val="18"/>
                <w:szCs w:val="18"/>
              </w:rPr>
            </w:pPr>
          </w:p>
        </w:tc>
      </w:tr>
      <w:tr w14:paraId="55119190">
        <w:tblPrEx>
          <w:tblCellMar>
            <w:top w:w="0" w:type="dxa"/>
            <w:left w:w="108" w:type="dxa"/>
            <w:bottom w:w="0" w:type="dxa"/>
            <w:right w:w="108" w:type="dxa"/>
          </w:tblCellMar>
        </w:tblPrEx>
        <w:trPr>
          <w:trHeight w:val="315" w:hRule="atLeast"/>
          <w:jc w:val="center"/>
        </w:trPr>
        <w:tc>
          <w:tcPr>
            <w:tcW w:w="888"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13398C50">
            <w:pPr>
              <w:jc w:val="center"/>
              <w:textAlignment w:val="center"/>
              <w:rPr>
                <w:rFonts w:eastAsia="黑体"/>
                <w:sz w:val="22"/>
                <w:szCs w:val="22"/>
                <w:lang w:bidi="ar"/>
              </w:rPr>
            </w:pPr>
            <w:r>
              <w:rPr>
                <w:rFonts w:eastAsia="黑体"/>
                <w:sz w:val="22"/>
                <w:szCs w:val="22"/>
                <w:lang w:bidi="ar"/>
              </w:rPr>
              <w:t>建 设</w:t>
            </w:r>
          </w:p>
          <w:p w14:paraId="1CEC48B4">
            <w:pPr>
              <w:jc w:val="center"/>
              <w:textAlignment w:val="center"/>
              <w:rPr>
                <w:rFonts w:eastAsia="黑体"/>
                <w:sz w:val="22"/>
                <w:szCs w:val="22"/>
              </w:rPr>
            </w:pPr>
            <w:r>
              <w:rPr>
                <w:rFonts w:eastAsia="黑体"/>
                <w:sz w:val="22"/>
                <w:szCs w:val="22"/>
                <w:lang w:bidi="ar"/>
              </w:rPr>
              <w:t>项 目</w:t>
            </w: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3AAA3220">
            <w:pPr>
              <w:jc w:val="center"/>
              <w:textAlignment w:val="center"/>
              <w:rPr>
                <w:rFonts w:eastAsia="黑体"/>
                <w:sz w:val="18"/>
                <w:szCs w:val="18"/>
              </w:rPr>
            </w:pPr>
            <w:r>
              <w:rPr>
                <w:rFonts w:eastAsia="黑体"/>
                <w:sz w:val="18"/>
                <w:szCs w:val="18"/>
                <w:lang w:bidi="ar"/>
              </w:rPr>
              <w:t>项目名称</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3122E1">
            <w:pPr>
              <w:jc w:val="center"/>
              <w:rPr>
                <w:rFonts w:hint="eastAsia" w:eastAsia="黑体"/>
                <w:sz w:val="18"/>
                <w:szCs w:val="18"/>
                <w:lang w:eastAsia="zh-CN"/>
              </w:rPr>
            </w:pPr>
            <w:r>
              <w:rPr>
                <w:rFonts w:hint="eastAsia" w:eastAsia="黑体"/>
                <w:sz w:val="18"/>
                <w:szCs w:val="18"/>
                <w:lang w:eastAsia="zh-CN"/>
              </w:rPr>
              <w:t>黑龙江鸿展生物科技股份有限公司年产70万吨医用酒精技术改造项目</w:t>
            </w:r>
          </w:p>
        </w:tc>
        <w:tc>
          <w:tcPr>
            <w:tcW w:w="3582" w:type="dxa"/>
            <w:gridSpan w:val="2"/>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3854BCC8">
            <w:pPr>
              <w:jc w:val="center"/>
              <w:textAlignment w:val="center"/>
              <w:rPr>
                <w:rFonts w:eastAsia="黑体"/>
                <w:sz w:val="18"/>
                <w:szCs w:val="18"/>
              </w:rPr>
            </w:pPr>
            <w:r>
              <w:rPr>
                <w:rFonts w:eastAsia="黑体"/>
                <w:sz w:val="18"/>
                <w:szCs w:val="18"/>
                <w:lang w:bidi="ar"/>
              </w:rPr>
              <w:t>建设内容</w:t>
            </w:r>
          </w:p>
        </w:tc>
        <w:tc>
          <w:tcPr>
            <w:tcW w:w="8823" w:type="dxa"/>
            <w:gridSpan w:val="9"/>
            <w:vMerge w:val="restart"/>
            <w:tcBorders>
              <w:top w:val="single" w:color="000000" w:sz="4" w:space="0"/>
              <w:left w:val="single" w:color="000000" w:sz="4" w:space="0"/>
              <w:bottom w:val="single" w:color="000000" w:sz="4" w:space="0"/>
              <w:right w:val="single" w:color="000000" w:sz="4" w:space="0"/>
            </w:tcBorders>
            <w:vAlign w:val="center"/>
          </w:tcPr>
          <w:p w14:paraId="55E0A5BC">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lang w:eastAsia="zh-CN"/>
              </w:rPr>
              <w:t>对原有的30万吨酒精（</w:t>
            </w:r>
            <w:r>
              <w:rPr>
                <w:rFonts w:hint="eastAsia" w:ascii="Times New Roman" w:hAnsi="Times New Roman" w:eastAsia="宋体" w:cs="Times New Roman"/>
                <w:sz w:val="18"/>
                <w:szCs w:val="18"/>
              </w:rPr>
              <w:t>食用酒精3万吨</w:t>
            </w:r>
            <w:r>
              <w:rPr>
                <w:rFonts w:hint="eastAsia" w:ascii="Times New Roman" w:hAnsi="Times New Roman" w:eastAsia="宋体" w:cs="Times New Roman"/>
                <w:sz w:val="18"/>
                <w:szCs w:val="18"/>
                <w:lang w:eastAsia="zh-CN"/>
              </w:rPr>
              <w:t>，</w:t>
            </w:r>
            <w:r>
              <w:rPr>
                <w:rFonts w:hint="eastAsia" w:ascii="Times New Roman" w:hAnsi="Times New Roman" w:eastAsia="宋体" w:cs="Times New Roman"/>
                <w:sz w:val="18"/>
                <w:szCs w:val="18"/>
              </w:rPr>
              <w:t>化妆品用酒精10万吨</w:t>
            </w:r>
            <w:r>
              <w:rPr>
                <w:rFonts w:hint="eastAsia" w:ascii="Times New Roman" w:hAnsi="Times New Roman" w:eastAsia="宋体" w:cs="Times New Roman"/>
                <w:sz w:val="18"/>
                <w:szCs w:val="18"/>
                <w:lang w:eastAsia="zh-CN"/>
              </w:rPr>
              <w:t>，</w:t>
            </w:r>
            <w:r>
              <w:rPr>
                <w:rFonts w:hint="eastAsia" w:ascii="Times New Roman" w:hAnsi="Times New Roman" w:eastAsia="宋体" w:cs="Times New Roman"/>
                <w:sz w:val="18"/>
                <w:szCs w:val="18"/>
              </w:rPr>
              <w:t>电子级无水酒精17万吨</w:t>
            </w:r>
            <w:r>
              <w:rPr>
                <w:rFonts w:hint="eastAsia" w:ascii="Times New Roman" w:hAnsi="Times New Roman" w:eastAsia="宋体" w:cs="Times New Roman"/>
                <w:sz w:val="18"/>
                <w:szCs w:val="18"/>
                <w:lang w:eastAsia="zh-CN"/>
              </w:rPr>
              <w:t>）生产线进行技术改造，新增</w:t>
            </w:r>
            <w:r>
              <w:rPr>
                <w:rFonts w:hint="eastAsia" w:ascii="Times New Roman" w:hAnsi="Times New Roman" w:eastAsia="宋体" w:cs="Times New Roman"/>
                <w:sz w:val="18"/>
                <w:szCs w:val="18"/>
                <w:lang w:val="en-US" w:eastAsia="zh-CN"/>
              </w:rPr>
              <w:t>玉米原材料30万吨，</w:t>
            </w:r>
            <w:r>
              <w:rPr>
                <w:rFonts w:ascii="Times New Roman" w:hAnsi="Times New Roman" w:eastAsia="宋体" w:cs="Times New Roman"/>
                <w:sz w:val="18"/>
                <w:szCs w:val="18"/>
              </w:rPr>
              <w:t>蒸馏工艺技改</w:t>
            </w:r>
            <w:r>
              <w:rPr>
                <w:rFonts w:hint="eastAsia" w:ascii="Times New Roman" w:hAnsi="Times New Roman" w:eastAsia="宋体" w:cs="Times New Roman"/>
                <w:sz w:val="18"/>
                <w:szCs w:val="18"/>
                <w:lang w:eastAsia="zh-CN"/>
              </w:rPr>
              <w:t>，并配套扩建处理能力为6000m³/d污水处理站一座，其他生产、辅助</w:t>
            </w:r>
            <w:r>
              <w:rPr>
                <w:rFonts w:hint="eastAsia" w:ascii="Times New Roman" w:hAnsi="Times New Roman" w:eastAsia="宋体" w:cs="Times New Roman"/>
                <w:sz w:val="18"/>
                <w:szCs w:val="18"/>
                <w:lang w:val="en-US" w:eastAsia="zh-CN"/>
              </w:rPr>
              <w:t>工程</w:t>
            </w:r>
            <w:r>
              <w:rPr>
                <w:rFonts w:hint="eastAsia" w:ascii="Times New Roman" w:hAnsi="Times New Roman" w:eastAsia="宋体" w:cs="Times New Roman"/>
                <w:sz w:val="18"/>
                <w:szCs w:val="18"/>
                <w:lang w:eastAsia="zh-CN"/>
              </w:rPr>
              <w:t>维持不变，</w:t>
            </w:r>
            <w:r>
              <w:rPr>
                <w:rFonts w:hint="eastAsia" w:ascii="Times New Roman" w:hAnsi="Times New Roman" w:eastAsia="宋体" w:cs="Times New Roman"/>
                <w:sz w:val="18"/>
                <w:szCs w:val="18"/>
                <w:lang w:val="en-US" w:eastAsia="zh-CN"/>
              </w:rPr>
              <w:t>最终实现</w:t>
            </w:r>
            <w:r>
              <w:rPr>
                <w:rFonts w:hint="eastAsia" w:ascii="Times New Roman" w:hAnsi="Times New Roman" w:eastAsia="宋体" w:cs="Times New Roman"/>
                <w:sz w:val="18"/>
                <w:szCs w:val="18"/>
              </w:rPr>
              <w:t>“</w:t>
            </w:r>
            <w:r>
              <w:rPr>
                <w:rFonts w:hint="eastAsia" w:ascii="Times New Roman" w:hAnsi="Times New Roman" w:eastAsia="宋体" w:cs="Times New Roman"/>
                <w:sz w:val="18"/>
                <w:szCs w:val="18"/>
                <w:lang w:val="en-US" w:eastAsia="zh-CN"/>
              </w:rPr>
              <w:t>其他酒精60万吨或医用酒精70万吨</w:t>
            </w:r>
            <w:r>
              <w:rPr>
                <w:rFonts w:hint="eastAsia" w:ascii="Times New Roman" w:hAnsi="Times New Roman" w:eastAsia="宋体" w:cs="Times New Roman"/>
                <w:sz w:val="18"/>
                <w:szCs w:val="18"/>
              </w:rPr>
              <w:t>”两条腿走路的生产计划。</w:t>
            </w:r>
          </w:p>
        </w:tc>
      </w:tr>
      <w:tr w14:paraId="5637D842">
        <w:tblPrEx>
          <w:tblCellMar>
            <w:top w:w="0" w:type="dxa"/>
            <w:left w:w="108" w:type="dxa"/>
            <w:bottom w:w="0" w:type="dxa"/>
            <w:right w:w="108" w:type="dxa"/>
          </w:tblCellMar>
        </w:tblPrEx>
        <w:trPr>
          <w:trHeight w:val="300"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3139184">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30B6CC5A">
            <w:pPr>
              <w:jc w:val="center"/>
              <w:textAlignment w:val="center"/>
              <w:rPr>
                <w:rFonts w:eastAsia="黑体"/>
                <w:sz w:val="18"/>
                <w:szCs w:val="18"/>
              </w:rPr>
            </w:pPr>
            <w:r>
              <w:rPr>
                <w:rFonts w:eastAsia="黑体"/>
                <w:sz w:val="18"/>
                <w:szCs w:val="18"/>
                <w:lang w:bidi="ar"/>
              </w:rPr>
              <w:t>项目代码</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15F86">
            <w:pPr>
              <w:jc w:val="center"/>
              <w:rPr>
                <w:rFonts w:hint="eastAsia" w:eastAsia="黑体"/>
                <w:sz w:val="18"/>
                <w:szCs w:val="18"/>
              </w:rPr>
            </w:pPr>
          </w:p>
        </w:tc>
        <w:tc>
          <w:tcPr>
            <w:tcW w:w="3582"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7C05E99">
            <w:pPr>
              <w:jc w:val="center"/>
              <w:rPr>
                <w:rFonts w:eastAsia="黑体"/>
                <w:sz w:val="18"/>
                <w:szCs w:val="18"/>
              </w:rPr>
            </w:pPr>
          </w:p>
        </w:tc>
        <w:tc>
          <w:tcPr>
            <w:tcW w:w="8823" w:type="dxa"/>
            <w:gridSpan w:val="9"/>
            <w:vMerge w:val="continue"/>
            <w:tcBorders>
              <w:top w:val="single" w:color="000000" w:sz="4" w:space="0"/>
              <w:left w:val="single" w:color="000000" w:sz="4" w:space="0"/>
              <w:bottom w:val="single" w:color="000000" w:sz="4" w:space="0"/>
              <w:right w:val="single" w:color="000000" w:sz="4" w:space="0"/>
            </w:tcBorders>
            <w:vAlign w:val="center"/>
          </w:tcPr>
          <w:p w14:paraId="30C5917F">
            <w:pPr>
              <w:jc w:val="center"/>
              <w:rPr>
                <w:rFonts w:ascii="Times New Roman" w:hAnsi="Times New Roman" w:eastAsia="宋体" w:cs="Times New Roman"/>
                <w:sz w:val="18"/>
                <w:szCs w:val="18"/>
              </w:rPr>
            </w:pPr>
          </w:p>
        </w:tc>
      </w:tr>
      <w:tr w14:paraId="5BCB00BC">
        <w:tblPrEx>
          <w:tblCellMar>
            <w:top w:w="0" w:type="dxa"/>
            <w:left w:w="108" w:type="dxa"/>
            <w:bottom w:w="0" w:type="dxa"/>
            <w:right w:w="108" w:type="dxa"/>
          </w:tblCellMar>
        </w:tblPrEx>
        <w:trPr>
          <w:trHeight w:val="300"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9E97EEF">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5798DF67">
            <w:pPr>
              <w:jc w:val="center"/>
              <w:textAlignment w:val="center"/>
              <w:rPr>
                <w:rFonts w:eastAsia="黑体"/>
                <w:sz w:val="18"/>
                <w:szCs w:val="18"/>
              </w:rPr>
            </w:pPr>
            <w:r>
              <w:rPr>
                <w:rFonts w:eastAsia="黑体"/>
                <w:sz w:val="18"/>
                <w:szCs w:val="18"/>
                <w:lang w:bidi="ar"/>
              </w:rPr>
              <w:t>环评信用平台项目编号</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11B28A">
            <w:pPr>
              <w:keepNext w:val="0"/>
              <w:keepLines w:val="0"/>
              <w:widowControl/>
              <w:suppressLineNumbers w:val="0"/>
              <w:jc w:val="center"/>
              <w:rPr>
                <w:rFonts w:hint="eastAsia" w:eastAsia="黑体"/>
                <w:sz w:val="18"/>
                <w:szCs w:val="18"/>
              </w:rPr>
            </w:pPr>
          </w:p>
        </w:tc>
        <w:tc>
          <w:tcPr>
            <w:tcW w:w="3582"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BF1660B">
            <w:pPr>
              <w:jc w:val="center"/>
              <w:rPr>
                <w:rFonts w:eastAsia="黑体"/>
                <w:sz w:val="18"/>
                <w:szCs w:val="18"/>
              </w:rPr>
            </w:pPr>
          </w:p>
        </w:tc>
        <w:tc>
          <w:tcPr>
            <w:tcW w:w="8823" w:type="dxa"/>
            <w:gridSpan w:val="9"/>
            <w:vMerge w:val="continue"/>
            <w:tcBorders>
              <w:top w:val="single" w:color="000000" w:sz="4" w:space="0"/>
              <w:left w:val="single" w:color="000000" w:sz="4" w:space="0"/>
              <w:bottom w:val="single" w:color="000000" w:sz="4" w:space="0"/>
              <w:right w:val="single" w:color="000000" w:sz="4" w:space="0"/>
            </w:tcBorders>
            <w:vAlign w:val="center"/>
          </w:tcPr>
          <w:p w14:paraId="3E9C653B">
            <w:pPr>
              <w:jc w:val="center"/>
              <w:rPr>
                <w:rFonts w:ascii="Times New Roman" w:hAnsi="Times New Roman" w:eastAsia="宋体" w:cs="Times New Roman"/>
                <w:sz w:val="18"/>
                <w:szCs w:val="18"/>
              </w:rPr>
            </w:pPr>
          </w:p>
        </w:tc>
      </w:tr>
      <w:tr w14:paraId="55EA4870">
        <w:tblPrEx>
          <w:tblCellMar>
            <w:top w:w="0" w:type="dxa"/>
            <w:left w:w="108" w:type="dxa"/>
            <w:bottom w:w="0" w:type="dxa"/>
            <w:right w:w="108" w:type="dxa"/>
          </w:tblCellMar>
        </w:tblPrEx>
        <w:trPr>
          <w:trHeight w:val="31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31B87A61">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5C8641B4">
            <w:pPr>
              <w:jc w:val="center"/>
              <w:textAlignment w:val="center"/>
              <w:rPr>
                <w:rFonts w:eastAsia="黑体"/>
                <w:sz w:val="18"/>
                <w:szCs w:val="18"/>
              </w:rPr>
            </w:pPr>
            <w:r>
              <w:rPr>
                <w:rFonts w:eastAsia="黑体"/>
                <w:sz w:val="18"/>
                <w:szCs w:val="18"/>
                <w:lang w:bidi="ar"/>
              </w:rPr>
              <w:t>建设地点</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4071E6">
            <w:pPr>
              <w:jc w:val="center"/>
              <w:rPr>
                <w:rFonts w:hint="eastAsia" w:eastAsia="黑体"/>
                <w:sz w:val="18"/>
                <w:szCs w:val="18"/>
                <w:lang w:eastAsia="zh-CN"/>
              </w:rPr>
            </w:pPr>
            <w:r>
              <w:rPr>
                <w:rFonts w:hint="eastAsia" w:eastAsia="黑体"/>
                <w:sz w:val="18"/>
                <w:szCs w:val="18"/>
                <w:lang w:eastAsia="zh-CN"/>
              </w:rPr>
              <w:t>拉哈生物技术与化学制药产业园黑龙江鸿展生物科技股份有限公司院内</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034C21BE">
            <w:pPr>
              <w:jc w:val="center"/>
              <w:textAlignment w:val="center"/>
              <w:rPr>
                <w:rFonts w:eastAsia="黑体"/>
                <w:sz w:val="18"/>
                <w:szCs w:val="18"/>
              </w:rPr>
            </w:pPr>
            <w:r>
              <w:rPr>
                <w:rFonts w:eastAsia="黑体"/>
                <w:sz w:val="18"/>
                <w:szCs w:val="18"/>
                <w:lang w:bidi="ar"/>
              </w:rPr>
              <w:t>建设规模</w:t>
            </w:r>
          </w:p>
        </w:tc>
        <w:tc>
          <w:tcPr>
            <w:tcW w:w="8823" w:type="dxa"/>
            <w:gridSpan w:val="9"/>
            <w:tcBorders>
              <w:top w:val="single" w:color="000000" w:sz="4" w:space="0"/>
              <w:left w:val="single" w:color="000000" w:sz="4" w:space="0"/>
              <w:bottom w:val="single" w:color="000000" w:sz="4" w:space="0"/>
              <w:right w:val="single" w:color="000000" w:sz="4" w:space="0"/>
            </w:tcBorders>
            <w:vAlign w:val="center"/>
          </w:tcPr>
          <w:p w14:paraId="3355E36B">
            <w:pPr>
              <w:jc w:val="center"/>
              <w:rPr>
                <w:rFonts w:ascii="Times New Roman" w:hAnsi="Times New Roman" w:eastAsia="宋体" w:cs="Times New Roman"/>
                <w:sz w:val="18"/>
                <w:szCs w:val="18"/>
              </w:rPr>
            </w:pPr>
            <w:r>
              <w:rPr>
                <w:rFonts w:hint="eastAsia" w:ascii="Times New Roman" w:hAnsi="Times New Roman" w:eastAsia="宋体" w:cs="Times New Roman"/>
                <w:sz w:val="18"/>
                <w:szCs w:val="18"/>
                <w:lang w:eastAsia="zh-CN"/>
              </w:rPr>
              <w:t>对原有的30万吨酒精（</w:t>
            </w:r>
            <w:r>
              <w:rPr>
                <w:rFonts w:hint="eastAsia" w:ascii="Times New Roman" w:hAnsi="Times New Roman" w:eastAsia="宋体" w:cs="Times New Roman"/>
                <w:sz w:val="18"/>
                <w:szCs w:val="18"/>
              </w:rPr>
              <w:t>食用酒精3万吨</w:t>
            </w:r>
            <w:r>
              <w:rPr>
                <w:rFonts w:hint="eastAsia" w:ascii="Times New Roman" w:hAnsi="Times New Roman" w:eastAsia="宋体" w:cs="Times New Roman"/>
                <w:sz w:val="18"/>
                <w:szCs w:val="18"/>
                <w:lang w:eastAsia="zh-CN"/>
              </w:rPr>
              <w:t>，</w:t>
            </w:r>
            <w:r>
              <w:rPr>
                <w:rFonts w:hint="eastAsia" w:ascii="Times New Roman" w:hAnsi="Times New Roman" w:eastAsia="宋体" w:cs="Times New Roman"/>
                <w:sz w:val="18"/>
                <w:szCs w:val="18"/>
              </w:rPr>
              <w:t>化妆品用酒精10万吨</w:t>
            </w:r>
            <w:r>
              <w:rPr>
                <w:rFonts w:hint="eastAsia" w:ascii="Times New Roman" w:hAnsi="Times New Roman" w:eastAsia="宋体" w:cs="Times New Roman"/>
                <w:sz w:val="18"/>
                <w:szCs w:val="18"/>
                <w:lang w:eastAsia="zh-CN"/>
              </w:rPr>
              <w:t>，</w:t>
            </w:r>
            <w:r>
              <w:rPr>
                <w:rFonts w:hint="eastAsia" w:ascii="Times New Roman" w:hAnsi="Times New Roman" w:eastAsia="宋体" w:cs="Times New Roman"/>
                <w:sz w:val="18"/>
                <w:szCs w:val="18"/>
              </w:rPr>
              <w:t>电子级无水酒精17万吨</w:t>
            </w:r>
            <w:r>
              <w:rPr>
                <w:rFonts w:hint="eastAsia" w:ascii="Times New Roman" w:hAnsi="Times New Roman" w:eastAsia="宋体" w:cs="Times New Roman"/>
                <w:sz w:val="18"/>
                <w:szCs w:val="18"/>
                <w:lang w:eastAsia="zh-CN"/>
              </w:rPr>
              <w:t>）生产线进行技术改造，新增</w:t>
            </w:r>
            <w:r>
              <w:rPr>
                <w:rFonts w:hint="eastAsia" w:ascii="Times New Roman" w:hAnsi="Times New Roman" w:eastAsia="宋体" w:cs="Times New Roman"/>
                <w:sz w:val="18"/>
                <w:szCs w:val="18"/>
                <w:lang w:val="en-US" w:eastAsia="zh-CN"/>
              </w:rPr>
              <w:t>玉米原材料30万吨，</w:t>
            </w:r>
            <w:r>
              <w:rPr>
                <w:rFonts w:ascii="Times New Roman" w:hAnsi="Times New Roman" w:eastAsia="宋体" w:cs="Times New Roman"/>
                <w:sz w:val="18"/>
                <w:szCs w:val="18"/>
              </w:rPr>
              <w:t>蒸馏工艺技改</w:t>
            </w:r>
            <w:r>
              <w:rPr>
                <w:rFonts w:hint="eastAsia" w:ascii="Times New Roman" w:hAnsi="Times New Roman" w:eastAsia="宋体" w:cs="Times New Roman"/>
                <w:sz w:val="18"/>
                <w:szCs w:val="18"/>
                <w:lang w:eastAsia="zh-CN"/>
              </w:rPr>
              <w:t>，并配套扩建处理能力为6000m³/d污水处理站一座，其他生产、辅助</w:t>
            </w:r>
            <w:r>
              <w:rPr>
                <w:rFonts w:hint="eastAsia" w:ascii="Times New Roman" w:hAnsi="Times New Roman" w:eastAsia="宋体" w:cs="Times New Roman"/>
                <w:sz w:val="18"/>
                <w:szCs w:val="18"/>
                <w:lang w:val="en-US" w:eastAsia="zh-CN"/>
              </w:rPr>
              <w:t>工程</w:t>
            </w:r>
            <w:r>
              <w:rPr>
                <w:rFonts w:hint="eastAsia" w:ascii="Times New Roman" w:hAnsi="Times New Roman" w:eastAsia="宋体" w:cs="Times New Roman"/>
                <w:sz w:val="18"/>
                <w:szCs w:val="18"/>
                <w:lang w:eastAsia="zh-CN"/>
              </w:rPr>
              <w:t>维持不变，</w:t>
            </w:r>
            <w:r>
              <w:rPr>
                <w:rFonts w:hint="eastAsia" w:ascii="Times New Roman" w:hAnsi="Times New Roman" w:eastAsia="宋体" w:cs="Times New Roman"/>
                <w:sz w:val="18"/>
                <w:szCs w:val="18"/>
                <w:lang w:val="en-US" w:eastAsia="zh-CN"/>
              </w:rPr>
              <w:t>最终实现</w:t>
            </w:r>
            <w:r>
              <w:rPr>
                <w:rFonts w:hint="eastAsia" w:ascii="Times New Roman" w:hAnsi="Times New Roman" w:eastAsia="宋体" w:cs="Times New Roman"/>
                <w:sz w:val="18"/>
                <w:szCs w:val="18"/>
              </w:rPr>
              <w:t>“</w:t>
            </w:r>
            <w:r>
              <w:rPr>
                <w:rFonts w:hint="eastAsia" w:ascii="Times New Roman" w:hAnsi="Times New Roman" w:eastAsia="宋体" w:cs="Times New Roman"/>
                <w:sz w:val="18"/>
                <w:szCs w:val="18"/>
                <w:lang w:val="en-US" w:eastAsia="zh-CN"/>
              </w:rPr>
              <w:t>其他酒精60万吨或医用酒精70万吨</w:t>
            </w:r>
            <w:r>
              <w:rPr>
                <w:rFonts w:hint="eastAsia" w:ascii="Times New Roman" w:hAnsi="Times New Roman" w:eastAsia="宋体" w:cs="Times New Roman"/>
                <w:sz w:val="18"/>
                <w:szCs w:val="18"/>
              </w:rPr>
              <w:t>”两条腿走路的生产计划。</w:t>
            </w:r>
          </w:p>
        </w:tc>
      </w:tr>
      <w:tr w14:paraId="256202D4">
        <w:tblPrEx>
          <w:tblCellMar>
            <w:top w:w="0" w:type="dxa"/>
            <w:left w:w="108" w:type="dxa"/>
            <w:bottom w:w="0" w:type="dxa"/>
            <w:right w:w="108" w:type="dxa"/>
          </w:tblCellMar>
        </w:tblPrEx>
        <w:trPr>
          <w:trHeight w:val="31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0F1AD96">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0B546D59">
            <w:pPr>
              <w:jc w:val="center"/>
              <w:textAlignment w:val="center"/>
              <w:rPr>
                <w:rFonts w:eastAsia="黑体"/>
                <w:sz w:val="18"/>
                <w:szCs w:val="18"/>
              </w:rPr>
            </w:pPr>
            <w:r>
              <w:rPr>
                <w:rFonts w:eastAsia="黑体"/>
                <w:sz w:val="18"/>
                <w:szCs w:val="18"/>
                <w:lang w:bidi="ar"/>
              </w:rPr>
              <w:t>项目建设周期（月）</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6E2F35">
            <w:pPr>
              <w:jc w:val="center"/>
              <w:rPr>
                <w:rFonts w:hint="eastAsia" w:eastAsia="黑体"/>
                <w:sz w:val="18"/>
                <w:szCs w:val="18"/>
              </w:rPr>
            </w:pP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436F0FEA">
            <w:pPr>
              <w:jc w:val="center"/>
              <w:textAlignment w:val="center"/>
              <w:rPr>
                <w:rFonts w:eastAsia="黑体"/>
                <w:sz w:val="18"/>
                <w:szCs w:val="18"/>
              </w:rPr>
            </w:pPr>
            <w:r>
              <w:rPr>
                <w:rFonts w:eastAsia="黑体"/>
                <w:sz w:val="18"/>
                <w:szCs w:val="18"/>
                <w:lang w:bidi="ar"/>
              </w:rPr>
              <w:t>计划开工时间</w:t>
            </w:r>
          </w:p>
        </w:tc>
        <w:tc>
          <w:tcPr>
            <w:tcW w:w="8823" w:type="dxa"/>
            <w:gridSpan w:val="9"/>
            <w:tcBorders>
              <w:top w:val="single" w:color="000000" w:sz="4" w:space="0"/>
              <w:left w:val="single" w:color="000000" w:sz="4" w:space="0"/>
              <w:bottom w:val="single" w:color="000000" w:sz="4" w:space="0"/>
              <w:right w:val="single" w:color="000000" w:sz="4" w:space="0"/>
            </w:tcBorders>
            <w:vAlign w:val="center"/>
          </w:tcPr>
          <w:p w14:paraId="3F5CBF28">
            <w:pPr>
              <w:jc w:val="center"/>
              <w:rPr>
                <w:rFonts w:eastAsia="黑体"/>
                <w:sz w:val="18"/>
                <w:szCs w:val="18"/>
              </w:rPr>
            </w:pPr>
          </w:p>
        </w:tc>
      </w:tr>
      <w:tr w14:paraId="578A2488">
        <w:tblPrEx>
          <w:tblCellMar>
            <w:top w:w="0" w:type="dxa"/>
            <w:left w:w="108" w:type="dxa"/>
            <w:bottom w:w="0" w:type="dxa"/>
            <w:right w:w="108" w:type="dxa"/>
          </w:tblCellMar>
        </w:tblPrEx>
        <w:trPr>
          <w:trHeight w:val="31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306B8C49">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4EE6BD98">
            <w:pPr>
              <w:jc w:val="center"/>
              <w:textAlignment w:val="center"/>
              <w:rPr>
                <w:rFonts w:eastAsia="黑体"/>
                <w:sz w:val="18"/>
                <w:szCs w:val="18"/>
              </w:rPr>
            </w:pPr>
            <w:r>
              <w:rPr>
                <w:rFonts w:eastAsia="黑体"/>
                <w:sz w:val="18"/>
                <w:szCs w:val="18"/>
                <w:lang w:bidi="ar"/>
              </w:rPr>
              <w:t>建设性质</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A33201">
            <w:pPr>
              <w:jc w:val="center"/>
              <w:rPr>
                <w:rFonts w:hint="eastAsia" w:eastAsia="黑体"/>
                <w:sz w:val="18"/>
                <w:szCs w:val="18"/>
              </w:rPr>
            </w:pPr>
            <w:r>
              <w:rPr>
                <w:rFonts w:hint="eastAsia" w:eastAsia="黑体"/>
                <w:sz w:val="18"/>
                <w:szCs w:val="18"/>
              </w:rPr>
              <w:t>改扩建</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637C76C4">
            <w:pPr>
              <w:jc w:val="center"/>
              <w:textAlignment w:val="center"/>
              <w:rPr>
                <w:rFonts w:eastAsia="黑体"/>
                <w:sz w:val="18"/>
                <w:szCs w:val="18"/>
              </w:rPr>
            </w:pPr>
            <w:r>
              <w:rPr>
                <w:rFonts w:eastAsia="黑体"/>
                <w:sz w:val="18"/>
                <w:szCs w:val="18"/>
                <w:lang w:bidi="ar"/>
              </w:rPr>
              <w:t>预计投产时间</w:t>
            </w:r>
          </w:p>
        </w:tc>
        <w:tc>
          <w:tcPr>
            <w:tcW w:w="8823" w:type="dxa"/>
            <w:gridSpan w:val="9"/>
            <w:tcBorders>
              <w:top w:val="single" w:color="000000" w:sz="4" w:space="0"/>
              <w:left w:val="single" w:color="000000" w:sz="4" w:space="0"/>
              <w:bottom w:val="single" w:color="000000" w:sz="4" w:space="0"/>
              <w:right w:val="single" w:color="000000" w:sz="4" w:space="0"/>
            </w:tcBorders>
            <w:vAlign w:val="center"/>
          </w:tcPr>
          <w:p w14:paraId="4B011163">
            <w:pPr>
              <w:jc w:val="center"/>
              <w:rPr>
                <w:rFonts w:eastAsia="黑体"/>
                <w:sz w:val="18"/>
                <w:szCs w:val="18"/>
              </w:rPr>
            </w:pPr>
          </w:p>
        </w:tc>
      </w:tr>
      <w:tr w14:paraId="7BDE52E2">
        <w:tblPrEx>
          <w:tblCellMar>
            <w:top w:w="0" w:type="dxa"/>
            <w:left w:w="108" w:type="dxa"/>
            <w:bottom w:w="0" w:type="dxa"/>
            <w:right w:w="108" w:type="dxa"/>
          </w:tblCellMar>
        </w:tblPrEx>
        <w:trPr>
          <w:trHeight w:val="31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EACA7DA">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404E1810">
            <w:pPr>
              <w:jc w:val="center"/>
              <w:rPr>
                <w:sz w:val="18"/>
                <w:szCs w:val="18"/>
              </w:rPr>
            </w:pPr>
            <w:r>
              <w:rPr>
                <w:rFonts w:eastAsia="黑体"/>
                <w:sz w:val="18"/>
                <w:szCs w:val="18"/>
                <w:lang w:bidi="ar"/>
              </w:rPr>
              <w:t>环境影响评价行业类别</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FBE7F">
            <w:pPr>
              <w:jc w:val="center"/>
              <w:rPr>
                <w:rFonts w:hint="default" w:eastAsia="黑体"/>
                <w:sz w:val="18"/>
                <w:szCs w:val="18"/>
                <w:lang w:val="en-US" w:eastAsia="zh-CN"/>
              </w:rPr>
            </w:pPr>
            <w:r>
              <w:rPr>
                <w:rFonts w:hint="eastAsia" w:eastAsia="黑体"/>
                <w:sz w:val="18"/>
                <w:szCs w:val="18"/>
                <w:lang w:val="en-US" w:eastAsia="zh-CN"/>
              </w:rPr>
              <w:t>酒的制造151*</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CD285B8">
            <w:pPr>
              <w:jc w:val="center"/>
              <w:textAlignment w:val="center"/>
              <w:rPr>
                <w:rFonts w:eastAsia="黑体"/>
                <w:sz w:val="18"/>
                <w:szCs w:val="18"/>
              </w:rPr>
            </w:pPr>
            <w:r>
              <w:rPr>
                <w:rFonts w:eastAsia="黑体"/>
                <w:sz w:val="18"/>
                <w:szCs w:val="18"/>
                <w:lang w:bidi="ar"/>
              </w:rPr>
              <w:t>国民经济行业类型及代码</w:t>
            </w:r>
          </w:p>
        </w:tc>
        <w:tc>
          <w:tcPr>
            <w:tcW w:w="8823" w:type="dxa"/>
            <w:gridSpan w:val="9"/>
            <w:tcBorders>
              <w:top w:val="single" w:color="000000" w:sz="4" w:space="0"/>
              <w:left w:val="single" w:color="000000" w:sz="4" w:space="0"/>
              <w:bottom w:val="single" w:color="000000" w:sz="4" w:space="0"/>
              <w:right w:val="single" w:color="000000" w:sz="4" w:space="0"/>
            </w:tcBorders>
            <w:vAlign w:val="center"/>
          </w:tcPr>
          <w:p w14:paraId="75383769">
            <w:pPr>
              <w:jc w:val="center"/>
              <w:rPr>
                <w:rFonts w:eastAsia="黑体"/>
                <w:sz w:val="18"/>
                <w:szCs w:val="18"/>
              </w:rPr>
            </w:pPr>
            <w:r>
              <w:rPr>
                <w:rFonts w:hint="eastAsia"/>
                <w:sz w:val="18"/>
                <w:szCs w:val="18"/>
                <w:lang w:val="en-US" w:eastAsia="zh-CN"/>
              </w:rPr>
              <w:t>酒精制造</w:t>
            </w:r>
            <w:r>
              <w:rPr>
                <w:sz w:val="18"/>
                <w:szCs w:val="18"/>
              </w:rPr>
              <w:t>（</w:t>
            </w:r>
            <w:r>
              <w:rPr>
                <w:rFonts w:hint="eastAsia"/>
                <w:sz w:val="18"/>
                <w:szCs w:val="18"/>
                <w:lang w:val="en-US" w:eastAsia="zh-CN"/>
              </w:rPr>
              <w:t>C1511</w:t>
            </w:r>
            <w:r>
              <w:rPr>
                <w:sz w:val="18"/>
                <w:szCs w:val="18"/>
              </w:rPr>
              <w:t>）</w:t>
            </w:r>
          </w:p>
        </w:tc>
      </w:tr>
      <w:tr w14:paraId="7AA245A8">
        <w:tblPrEx>
          <w:tblCellMar>
            <w:top w:w="0" w:type="dxa"/>
            <w:left w:w="108" w:type="dxa"/>
            <w:bottom w:w="0" w:type="dxa"/>
            <w:right w:w="108" w:type="dxa"/>
          </w:tblCellMar>
        </w:tblPrEx>
        <w:trPr>
          <w:trHeight w:val="60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9ED5CEA">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38512833">
            <w:pPr>
              <w:jc w:val="center"/>
              <w:textAlignment w:val="center"/>
              <w:rPr>
                <w:rFonts w:eastAsia="黑体"/>
                <w:sz w:val="18"/>
                <w:szCs w:val="18"/>
              </w:rPr>
            </w:pPr>
            <w:r>
              <w:rPr>
                <w:rFonts w:eastAsia="黑体"/>
                <w:sz w:val="18"/>
                <w:szCs w:val="18"/>
                <w:lang w:bidi="ar"/>
              </w:rPr>
              <w:t>现有工程排污许可证或排污登记表编号（改、</w:t>
            </w:r>
            <w:r>
              <w:rPr>
                <w:rFonts w:hint="eastAsia" w:eastAsia="黑体"/>
                <w:sz w:val="18"/>
                <w:szCs w:val="18"/>
                <w:lang w:eastAsia="zh-CN" w:bidi="ar"/>
              </w:rPr>
              <w:t>本项目</w:t>
            </w:r>
            <w:r>
              <w:rPr>
                <w:rFonts w:eastAsia="黑体"/>
                <w:sz w:val="18"/>
                <w:szCs w:val="18"/>
                <w:lang w:bidi="ar"/>
              </w:rPr>
              <w:t>）</w:t>
            </w:r>
          </w:p>
        </w:tc>
        <w:tc>
          <w:tcPr>
            <w:tcW w:w="2854"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2CFAC3">
            <w:pPr>
              <w:jc w:val="center"/>
              <w:rPr>
                <w:rFonts w:hint="eastAsia" w:eastAsia="黑体"/>
                <w:sz w:val="18"/>
                <w:szCs w:val="18"/>
              </w:rPr>
            </w:pPr>
            <w:r>
              <w:rPr>
                <w:rFonts w:hint="eastAsia" w:eastAsia="黑体"/>
                <w:sz w:val="18"/>
                <w:szCs w:val="18"/>
              </w:rPr>
              <w:t>91230200MA1977NW21001U</w:t>
            </w:r>
          </w:p>
        </w:tc>
        <w:tc>
          <w:tcPr>
            <w:tcW w:w="165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549AC148">
            <w:pPr>
              <w:jc w:val="center"/>
              <w:rPr>
                <w:rFonts w:hint="eastAsia" w:eastAsia="黑体"/>
                <w:sz w:val="18"/>
                <w:szCs w:val="18"/>
              </w:rPr>
            </w:pPr>
            <w:r>
              <w:rPr>
                <w:rFonts w:hint="eastAsia" w:eastAsia="黑体"/>
                <w:sz w:val="18"/>
                <w:szCs w:val="18"/>
              </w:rPr>
              <w:t>现有工程排污许可管理类别（改、</w:t>
            </w:r>
            <w:r>
              <w:rPr>
                <w:rFonts w:hint="eastAsia" w:eastAsia="黑体"/>
                <w:sz w:val="18"/>
                <w:szCs w:val="18"/>
                <w:lang w:eastAsia="zh-CN"/>
              </w:rPr>
              <w:t>本项目</w:t>
            </w:r>
            <w:r>
              <w:rPr>
                <w:rFonts w:hint="eastAsia" w:eastAsia="黑体"/>
                <w:sz w:val="18"/>
                <w:szCs w:val="18"/>
              </w:rPr>
              <w:t>）</w:t>
            </w:r>
          </w:p>
        </w:tc>
        <w:tc>
          <w:tcPr>
            <w:tcW w:w="14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378B4E">
            <w:pPr>
              <w:jc w:val="center"/>
              <w:rPr>
                <w:rFonts w:hint="default" w:eastAsia="黑体"/>
                <w:sz w:val="18"/>
                <w:szCs w:val="18"/>
                <w:lang w:val="en-US" w:eastAsia="zh-CN"/>
              </w:rPr>
            </w:pPr>
            <w:r>
              <w:rPr>
                <w:rFonts w:hint="eastAsia" w:eastAsia="黑体"/>
                <w:sz w:val="18"/>
                <w:szCs w:val="18"/>
                <w:lang w:val="en-US" w:eastAsia="zh-CN"/>
              </w:rPr>
              <w:t>重点管理</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ADB83D3">
            <w:pPr>
              <w:jc w:val="center"/>
              <w:textAlignment w:val="center"/>
              <w:rPr>
                <w:rFonts w:eastAsia="黑体"/>
                <w:sz w:val="18"/>
                <w:szCs w:val="18"/>
              </w:rPr>
            </w:pPr>
            <w:r>
              <w:rPr>
                <w:rFonts w:eastAsia="黑体"/>
                <w:sz w:val="18"/>
                <w:szCs w:val="18"/>
                <w:lang w:bidi="ar"/>
              </w:rPr>
              <w:t>项目申请类别</w:t>
            </w:r>
          </w:p>
        </w:tc>
        <w:tc>
          <w:tcPr>
            <w:tcW w:w="8823" w:type="dxa"/>
            <w:gridSpan w:val="9"/>
            <w:tcBorders>
              <w:top w:val="single" w:color="000000" w:sz="4" w:space="0"/>
              <w:left w:val="single" w:color="000000" w:sz="4" w:space="0"/>
              <w:bottom w:val="single" w:color="000000" w:sz="4" w:space="0"/>
              <w:right w:val="single" w:color="000000" w:sz="4" w:space="0"/>
            </w:tcBorders>
            <w:vAlign w:val="center"/>
          </w:tcPr>
          <w:p w14:paraId="752C1463">
            <w:pPr>
              <w:jc w:val="center"/>
              <w:rPr>
                <w:rFonts w:eastAsia="黑体"/>
                <w:sz w:val="18"/>
                <w:szCs w:val="18"/>
              </w:rPr>
            </w:pPr>
            <w:r>
              <w:rPr>
                <w:sz w:val="18"/>
                <w:szCs w:val="18"/>
              </w:rPr>
              <w:t>新申报项目</w:t>
            </w:r>
          </w:p>
        </w:tc>
      </w:tr>
      <w:tr w14:paraId="175D1C23">
        <w:tblPrEx>
          <w:tblCellMar>
            <w:top w:w="0" w:type="dxa"/>
            <w:left w:w="108" w:type="dxa"/>
            <w:bottom w:w="0" w:type="dxa"/>
            <w:right w:w="108" w:type="dxa"/>
          </w:tblCellMar>
        </w:tblPrEx>
        <w:trPr>
          <w:trHeight w:val="327"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BD330E3">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3A5504CA">
            <w:pPr>
              <w:jc w:val="center"/>
              <w:textAlignment w:val="center"/>
              <w:rPr>
                <w:rFonts w:eastAsia="黑体"/>
                <w:sz w:val="18"/>
                <w:szCs w:val="18"/>
              </w:rPr>
            </w:pPr>
            <w:r>
              <w:rPr>
                <w:rFonts w:eastAsia="黑体"/>
                <w:sz w:val="18"/>
                <w:szCs w:val="18"/>
                <w:lang w:bidi="ar"/>
              </w:rPr>
              <w:t>规划环评开展情况</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9B34B">
            <w:pPr>
              <w:jc w:val="center"/>
              <w:rPr>
                <w:rFonts w:hint="eastAsia" w:eastAsia="黑体"/>
                <w:sz w:val="18"/>
                <w:szCs w:val="18"/>
                <w:lang w:val="en-US" w:eastAsia="zh-CN"/>
              </w:rPr>
            </w:pPr>
            <w:r>
              <w:rPr>
                <w:rFonts w:hint="eastAsia" w:eastAsia="黑体"/>
                <w:sz w:val="18"/>
                <w:szCs w:val="18"/>
                <w:lang w:val="en-US" w:eastAsia="zh-CN"/>
              </w:rPr>
              <w:t>已开展</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375E6DD">
            <w:pPr>
              <w:jc w:val="center"/>
              <w:textAlignment w:val="center"/>
              <w:rPr>
                <w:rFonts w:eastAsia="黑体"/>
                <w:sz w:val="18"/>
                <w:szCs w:val="18"/>
              </w:rPr>
            </w:pPr>
            <w:r>
              <w:rPr>
                <w:rFonts w:eastAsia="黑体"/>
                <w:sz w:val="18"/>
                <w:szCs w:val="18"/>
                <w:lang w:bidi="ar"/>
              </w:rPr>
              <w:t>规划环评文件名</w:t>
            </w:r>
          </w:p>
        </w:tc>
        <w:tc>
          <w:tcPr>
            <w:tcW w:w="8823" w:type="dxa"/>
            <w:gridSpan w:val="9"/>
            <w:tcBorders>
              <w:top w:val="single" w:color="000000" w:sz="4" w:space="0"/>
              <w:left w:val="single" w:color="000000" w:sz="4" w:space="0"/>
              <w:bottom w:val="single" w:color="000000" w:sz="4" w:space="0"/>
              <w:right w:val="single" w:color="000000" w:sz="4" w:space="0"/>
            </w:tcBorders>
            <w:vAlign w:val="center"/>
          </w:tcPr>
          <w:p w14:paraId="36DF7020">
            <w:pPr>
              <w:jc w:val="center"/>
              <w:rPr>
                <w:rFonts w:eastAsia="黑体"/>
                <w:sz w:val="18"/>
                <w:szCs w:val="18"/>
              </w:rPr>
            </w:pPr>
            <w:r>
              <w:rPr>
                <w:rFonts w:hint="default"/>
                <w:sz w:val="18"/>
                <w:szCs w:val="18"/>
                <w:lang w:eastAsia="zh-CN"/>
              </w:rPr>
              <w:t>《</w:t>
            </w:r>
            <w:r>
              <w:rPr>
                <w:rFonts w:hint="eastAsia"/>
                <w:sz w:val="18"/>
                <w:szCs w:val="18"/>
                <w:lang w:eastAsia="zh-CN"/>
              </w:rPr>
              <w:t>黑龙江讷河经济开发区拉哈生物技术与化学制药产业园总体规划（2021-2035）</w:t>
            </w:r>
            <w:r>
              <w:rPr>
                <w:rFonts w:hint="default"/>
                <w:sz w:val="18"/>
                <w:szCs w:val="18"/>
                <w:lang w:eastAsia="zh-CN"/>
              </w:rPr>
              <w:t>》环境影响报告书</w:t>
            </w:r>
          </w:p>
        </w:tc>
      </w:tr>
      <w:tr w14:paraId="443622F8">
        <w:tblPrEx>
          <w:tblCellMar>
            <w:top w:w="0" w:type="dxa"/>
            <w:left w:w="108" w:type="dxa"/>
            <w:bottom w:w="0" w:type="dxa"/>
            <w:right w:w="108" w:type="dxa"/>
          </w:tblCellMar>
        </w:tblPrEx>
        <w:trPr>
          <w:trHeight w:val="31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DEC1077">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5B55084E">
            <w:pPr>
              <w:jc w:val="center"/>
              <w:textAlignment w:val="center"/>
              <w:rPr>
                <w:rFonts w:eastAsia="黑体"/>
                <w:sz w:val="18"/>
                <w:szCs w:val="18"/>
              </w:rPr>
            </w:pPr>
            <w:r>
              <w:rPr>
                <w:rFonts w:eastAsia="黑体"/>
                <w:sz w:val="18"/>
                <w:szCs w:val="18"/>
                <w:lang w:bidi="ar"/>
              </w:rPr>
              <w:t>规划环评审查机关</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5332B3">
            <w:pPr>
              <w:jc w:val="center"/>
              <w:rPr>
                <w:rFonts w:hint="eastAsia" w:eastAsia="黑体"/>
                <w:sz w:val="18"/>
                <w:szCs w:val="18"/>
              </w:rPr>
            </w:pPr>
            <w:r>
              <w:rPr>
                <w:rFonts w:hint="eastAsia" w:eastAsia="黑体"/>
                <w:sz w:val="18"/>
                <w:szCs w:val="18"/>
              </w:rPr>
              <w:t>齐齐哈尔市生态环境局</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5729DE1">
            <w:pPr>
              <w:jc w:val="center"/>
              <w:textAlignment w:val="center"/>
              <w:rPr>
                <w:rFonts w:eastAsia="黑体"/>
                <w:sz w:val="18"/>
                <w:szCs w:val="18"/>
              </w:rPr>
            </w:pPr>
            <w:r>
              <w:rPr>
                <w:rFonts w:eastAsia="黑体"/>
                <w:sz w:val="18"/>
                <w:szCs w:val="18"/>
                <w:lang w:bidi="ar"/>
              </w:rPr>
              <w:t>规划环评审查意见文号</w:t>
            </w:r>
          </w:p>
        </w:tc>
        <w:tc>
          <w:tcPr>
            <w:tcW w:w="8823" w:type="dxa"/>
            <w:gridSpan w:val="9"/>
            <w:tcBorders>
              <w:top w:val="single" w:color="000000" w:sz="4" w:space="0"/>
              <w:left w:val="single" w:color="000000" w:sz="4" w:space="0"/>
              <w:bottom w:val="single" w:color="000000" w:sz="4" w:space="0"/>
              <w:right w:val="single" w:color="000000" w:sz="4" w:space="0"/>
            </w:tcBorders>
            <w:vAlign w:val="center"/>
          </w:tcPr>
          <w:p w14:paraId="7E2AC6C9">
            <w:pPr>
              <w:jc w:val="center"/>
              <w:rPr>
                <w:rFonts w:eastAsia="黑体"/>
                <w:sz w:val="18"/>
                <w:szCs w:val="18"/>
              </w:rPr>
            </w:pPr>
            <w:r>
              <w:rPr>
                <w:rFonts w:hint="eastAsia"/>
                <w:sz w:val="18"/>
                <w:szCs w:val="18"/>
                <w:lang w:eastAsia="zh-CN"/>
              </w:rPr>
              <w:t>齐环函〔2020 〕 47号</w:t>
            </w:r>
          </w:p>
        </w:tc>
      </w:tr>
      <w:tr w14:paraId="5AE488F2">
        <w:tblPrEx>
          <w:tblCellMar>
            <w:top w:w="0" w:type="dxa"/>
            <w:left w:w="108" w:type="dxa"/>
            <w:bottom w:w="0" w:type="dxa"/>
            <w:right w:w="108" w:type="dxa"/>
          </w:tblCellMar>
        </w:tblPrEx>
        <w:trPr>
          <w:trHeight w:val="463"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B647754">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1C8E6B48">
            <w:pPr>
              <w:jc w:val="center"/>
              <w:textAlignment w:val="center"/>
              <w:rPr>
                <w:rStyle w:val="501"/>
                <w:rFonts w:hint="default" w:ascii="Times New Roman" w:hAnsi="Times New Roman" w:cs="Times New Roman"/>
                <w:color w:val="auto"/>
                <w:lang w:bidi="ar"/>
              </w:rPr>
            </w:pPr>
            <w:r>
              <w:rPr>
                <w:rStyle w:val="501"/>
                <w:rFonts w:hint="default" w:ascii="Times New Roman" w:hAnsi="Times New Roman" w:cs="Times New Roman"/>
                <w:color w:val="auto"/>
                <w:lang w:bidi="ar"/>
              </w:rPr>
              <w:t>建设地点中心坐标</w:t>
            </w:r>
          </w:p>
          <w:p w14:paraId="21D1E600">
            <w:pPr>
              <w:jc w:val="center"/>
              <w:textAlignment w:val="center"/>
              <w:rPr>
                <w:rFonts w:eastAsia="黑体"/>
                <w:sz w:val="18"/>
                <w:szCs w:val="18"/>
              </w:rPr>
            </w:pPr>
            <w:r>
              <w:rPr>
                <w:rStyle w:val="501"/>
                <w:rFonts w:hint="default" w:ascii="Times New Roman" w:hAnsi="Times New Roman" w:cs="Times New Roman"/>
                <w:color w:val="auto"/>
                <w:lang w:bidi="ar"/>
              </w:rPr>
              <w:t>（非线性工程）</w:t>
            </w:r>
          </w:p>
        </w:tc>
        <w:tc>
          <w:tcPr>
            <w:tcW w:w="1661"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5040035E">
            <w:pPr>
              <w:jc w:val="center"/>
              <w:rPr>
                <w:rFonts w:hint="eastAsia" w:eastAsia="黑体"/>
                <w:sz w:val="18"/>
                <w:szCs w:val="18"/>
              </w:rPr>
            </w:pPr>
            <w:r>
              <w:rPr>
                <w:rFonts w:hint="eastAsia" w:eastAsia="黑体"/>
                <w:sz w:val="18"/>
                <w:szCs w:val="18"/>
              </w:rPr>
              <w:t>经度</w:t>
            </w:r>
          </w:p>
        </w:tc>
        <w:tc>
          <w:tcPr>
            <w:tcW w:w="11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717083">
            <w:pPr>
              <w:jc w:val="center"/>
              <w:rPr>
                <w:rFonts w:hint="default" w:eastAsia="黑体"/>
                <w:sz w:val="18"/>
                <w:szCs w:val="18"/>
                <w:lang w:val="en-US" w:eastAsia="zh-CN"/>
              </w:rPr>
            </w:pPr>
            <w:r>
              <w:rPr>
                <w:rFonts w:hint="eastAsia" w:eastAsia="黑体"/>
                <w:sz w:val="18"/>
                <w:szCs w:val="18"/>
              </w:rPr>
              <w:t>124.</w:t>
            </w:r>
            <w:r>
              <w:rPr>
                <w:rFonts w:hint="eastAsia" w:eastAsia="黑体"/>
                <w:sz w:val="18"/>
                <w:szCs w:val="18"/>
                <w:lang w:val="en-US" w:eastAsia="zh-CN"/>
              </w:rPr>
              <w:t>61415</w:t>
            </w:r>
          </w:p>
        </w:tc>
        <w:tc>
          <w:tcPr>
            <w:tcW w:w="165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10059D28">
            <w:pPr>
              <w:jc w:val="center"/>
              <w:rPr>
                <w:rFonts w:hint="eastAsia" w:eastAsia="黑体"/>
                <w:sz w:val="18"/>
                <w:szCs w:val="18"/>
              </w:rPr>
            </w:pPr>
            <w:r>
              <w:rPr>
                <w:rFonts w:hint="eastAsia" w:eastAsia="黑体"/>
                <w:sz w:val="18"/>
                <w:szCs w:val="18"/>
              </w:rPr>
              <w:t>纬度</w:t>
            </w: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7D20B4">
            <w:pPr>
              <w:jc w:val="center"/>
              <w:rPr>
                <w:rFonts w:hint="default" w:eastAsia="黑体"/>
                <w:sz w:val="18"/>
                <w:szCs w:val="18"/>
                <w:lang w:val="en-US" w:eastAsia="zh-CN"/>
              </w:rPr>
            </w:pPr>
            <w:r>
              <w:rPr>
                <w:rFonts w:hint="eastAsia" w:eastAsia="黑体"/>
                <w:sz w:val="18"/>
                <w:szCs w:val="18"/>
              </w:rPr>
              <w:t>48.</w:t>
            </w:r>
            <w:r>
              <w:rPr>
                <w:rFonts w:hint="eastAsia" w:eastAsia="黑体"/>
                <w:sz w:val="18"/>
                <w:szCs w:val="18"/>
                <w:lang w:val="en-US" w:eastAsia="zh-CN"/>
              </w:rPr>
              <w:t>21637</w:t>
            </w:r>
          </w:p>
        </w:tc>
        <w:tc>
          <w:tcPr>
            <w:tcW w:w="174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1C9641EC">
            <w:pPr>
              <w:jc w:val="center"/>
              <w:textAlignment w:val="center"/>
              <w:rPr>
                <w:rFonts w:eastAsia="黑体"/>
                <w:sz w:val="18"/>
                <w:szCs w:val="18"/>
              </w:rPr>
            </w:pPr>
            <w:r>
              <w:rPr>
                <w:rFonts w:eastAsia="黑体"/>
                <w:sz w:val="18"/>
                <w:szCs w:val="18"/>
                <w:lang w:bidi="ar"/>
              </w:rPr>
              <w:t>占地面积（平方米）</w:t>
            </w:r>
          </w:p>
        </w:tc>
        <w:tc>
          <w:tcPr>
            <w:tcW w:w="1836" w:type="dxa"/>
            <w:tcBorders>
              <w:top w:val="nil"/>
              <w:left w:val="nil"/>
              <w:bottom w:val="nil"/>
              <w:right w:val="nil"/>
            </w:tcBorders>
            <w:shd w:val="clear" w:color="auto" w:fill="auto"/>
            <w:noWrap/>
            <w:vAlign w:val="center"/>
          </w:tcPr>
          <w:p w14:paraId="031731D9">
            <w:pPr>
              <w:jc w:val="center"/>
            </w:pPr>
            <w:r>
              <w:rPr>
                <w:rFonts w:hint="eastAsia"/>
                <w:sz w:val="18"/>
                <w:szCs w:val="18"/>
              </w:rPr>
              <w:t>40313</w:t>
            </w: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E3AFCB1">
            <w:pPr>
              <w:jc w:val="center"/>
              <w:textAlignment w:val="center"/>
              <w:rPr>
                <w:rFonts w:eastAsia="黑体"/>
                <w:sz w:val="18"/>
                <w:szCs w:val="18"/>
              </w:rPr>
            </w:pPr>
            <w:r>
              <w:rPr>
                <w:rFonts w:eastAsia="黑体"/>
                <w:sz w:val="18"/>
                <w:szCs w:val="18"/>
                <w:lang w:bidi="ar"/>
              </w:rPr>
              <w:t>环评文件类别</w:t>
            </w:r>
          </w:p>
        </w:tc>
        <w:tc>
          <w:tcPr>
            <w:tcW w:w="7304" w:type="dxa"/>
            <w:gridSpan w:val="8"/>
            <w:tcBorders>
              <w:top w:val="single" w:color="000000" w:sz="4" w:space="0"/>
              <w:left w:val="single" w:color="000000" w:sz="4" w:space="0"/>
              <w:bottom w:val="single" w:color="000000" w:sz="4" w:space="0"/>
              <w:right w:val="single" w:color="000000" w:sz="4" w:space="0"/>
            </w:tcBorders>
            <w:vAlign w:val="center"/>
          </w:tcPr>
          <w:p w14:paraId="4BE4D804">
            <w:pPr>
              <w:jc w:val="center"/>
              <w:textAlignment w:val="center"/>
              <w:rPr>
                <w:rFonts w:eastAsia="黑体"/>
                <w:sz w:val="18"/>
                <w:szCs w:val="18"/>
              </w:rPr>
            </w:pPr>
            <w:r>
              <w:rPr>
                <w:sz w:val="18"/>
                <w:szCs w:val="18"/>
              </w:rPr>
              <w:t>环境影响报告书</w:t>
            </w:r>
          </w:p>
        </w:tc>
      </w:tr>
      <w:tr w14:paraId="753AC0B9">
        <w:tblPrEx>
          <w:tblCellMar>
            <w:top w:w="0" w:type="dxa"/>
            <w:left w:w="108" w:type="dxa"/>
            <w:bottom w:w="0" w:type="dxa"/>
            <w:right w:w="108" w:type="dxa"/>
          </w:tblCellMar>
        </w:tblPrEx>
        <w:trPr>
          <w:trHeight w:val="433"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3ADC870D">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5545E657">
            <w:pPr>
              <w:jc w:val="center"/>
              <w:textAlignment w:val="center"/>
              <w:rPr>
                <w:rFonts w:eastAsia="黑体"/>
                <w:sz w:val="18"/>
                <w:szCs w:val="18"/>
              </w:rPr>
            </w:pPr>
            <w:r>
              <w:rPr>
                <w:rFonts w:eastAsia="黑体"/>
                <w:sz w:val="18"/>
                <w:szCs w:val="18"/>
                <w:lang w:bidi="ar"/>
              </w:rPr>
              <w:t>建设地点坐标（线性工程）</w:t>
            </w:r>
          </w:p>
        </w:tc>
        <w:tc>
          <w:tcPr>
            <w:tcW w:w="1661"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2B5C83AC">
            <w:pPr>
              <w:jc w:val="center"/>
              <w:rPr>
                <w:rFonts w:hint="eastAsia" w:eastAsia="黑体"/>
                <w:sz w:val="18"/>
                <w:szCs w:val="18"/>
              </w:rPr>
            </w:pPr>
            <w:r>
              <w:rPr>
                <w:rFonts w:hint="eastAsia" w:eastAsia="黑体"/>
                <w:sz w:val="18"/>
                <w:szCs w:val="18"/>
              </w:rPr>
              <w:t>起点经度</w:t>
            </w:r>
          </w:p>
        </w:tc>
        <w:tc>
          <w:tcPr>
            <w:tcW w:w="11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7B634C">
            <w:pPr>
              <w:jc w:val="center"/>
              <w:rPr>
                <w:rFonts w:hint="eastAsia" w:eastAsia="黑体"/>
                <w:sz w:val="18"/>
                <w:szCs w:val="18"/>
              </w:rPr>
            </w:pPr>
          </w:p>
        </w:tc>
        <w:tc>
          <w:tcPr>
            <w:tcW w:w="165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10C2C3C3">
            <w:pPr>
              <w:jc w:val="center"/>
              <w:rPr>
                <w:rFonts w:hint="eastAsia" w:eastAsia="黑体"/>
                <w:sz w:val="18"/>
                <w:szCs w:val="18"/>
              </w:rPr>
            </w:pPr>
            <w:r>
              <w:rPr>
                <w:rFonts w:hint="eastAsia" w:eastAsia="黑体"/>
                <w:sz w:val="18"/>
                <w:szCs w:val="18"/>
              </w:rPr>
              <w:t>起点纬度</w:t>
            </w:r>
          </w:p>
        </w:tc>
        <w:tc>
          <w:tcPr>
            <w:tcW w:w="14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D32E4">
            <w:pPr>
              <w:jc w:val="center"/>
              <w:rPr>
                <w:rFonts w:hint="eastAsia"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751328A">
            <w:pPr>
              <w:jc w:val="center"/>
              <w:textAlignment w:val="center"/>
              <w:rPr>
                <w:rFonts w:eastAsia="黑体"/>
                <w:sz w:val="18"/>
                <w:szCs w:val="18"/>
              </w:rPr>
            </w:pPr>
            <w:r>
              <w:rPr>
                <w:rFonts w:eastAsia="黑体"/>
                <w:sz w:val="18"/>
                <w:szCs w:val="18"/>
                <w:lang w:bidi="ar"/>
              </w:rPr>
              <w:t>终点经度</w:t>
            </w:r>
          </w:p>
        </w:tc>
        <w:tc>
          <w:tcPr>
            <w:tcW w:w="1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ED6FFA">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A0F08C1">
            <w:pPr>
              <w:jc w:val="center"/>
              <w:textAlignment w:val="center"/>
              <w:rPr>
                <w:rFonts w:eastAsia="黑体"/>
                <w:sz w:val="18"/>
                <w:szCs w:val="18"/>
              </w:rPr>
            </w:pPr>
            <w:r>
              <w:rPr>
                <w:rFonts w:eastAsia="黑体"/>
                <w:sz w:val="18"/>
                <w:szCs w:val="18"/>
                <w:lang w:bidi="ar"/>
              </w:rPr>
              <w:t>终点纬度</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4FEEC">
            <w:pP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05C9062A">
            <w:pPr>
              <w:jc w:val="center"/>
              <w:textAlignment w:val="center"/>
              <w:rPr>
                <w:rFonts w:eastAsia="黑体"/>
                <w:sz w:val="18"/>
                <w:szCs w:val="18"/>
                <w:lang w:bidi="ar"/>
              </w:rPr>
            </w:pPr>
            <w:r>
              <w:rPr>
                <w:rFonts w:eastAsia="黑体"/>
                <w:sz w:val="18"/>
                <w:szCs w:val="18"/>
                <w:lang w:bidi="ar"/>
              </w:rPr>
              <w:t>工程长度</w:t>
            </w:r>
          </w:p>
          <w:p w14:paraId="64CD1084">
            <w:pPr>
              <w:jc w:val="center"/>
              <w:textAlignment w:val="center"/>
              <w:rPr>
                <w:rFonts w:eastAsia="黑体"/>
                <w:sz w:val="18"/>
                <w:szCs w:val="18"/>
              </w:rPr>
            </w:pPr>
            <w:r>
              <w:rPr>
                <w:rFonts w:eastAsia="黑体"/>
                <w:sz w:val="18"/>
                <w:szCs w:val="18"/>
                <w:lang w:bidi="ar"/>
              </w:rPr>
              <w:t>（千米）</w:t>
            </w:r>
          </w:p>
        </w:tc>
        <w:tc>
          <w:tcPr>
            <w:tcW w:w="4190" w:type="dxa"/>
            <w:gridSpan w:val="5"/>
            <w:tcBorders>
              <w:top w:val="single" w:color="000000" w:sz="4" w:space="0"/>
              <w:left w:val="single" w:color="000000" w:sz="4" w:space="0"/>
              <w:bottom w:val="single" w:color="000000" w:sz="4" w:space="0"/>
              <w:right w:val="single" w:color="000000" w:sz="4" w:space="0"/>
            </w:tcBorders>
            <w:noWrap/>
            <w:vAlign w:val="center"/>
          </w:tcPr>
          <w:p w14:paraId="5093064A">
            <w:pPr>
              <w:jc w:val="center"/>
              <w:rPr>
                <w:rFonts w:eastAsia="黑体"/>
                <w:sz w:val="18"/>
                <w:szCs w:val="18"/>
              </w:rPr>
            </w:pPr>
          </w:p>
        </w:tc>
      </w:tr>
      <w:tr w14:paraId="23D0A032">
        <w:tblPrEx>
          <w:tblCellMar>
            <w:top w:w="0" w:type="dxa"/>
            <w:left w:w="108" w:type="dxa"/>
            <w:bottom w:w="0" w:type="dxa"/>
            <w:right w:w="108" w:type="dxa"/>
          </w:tblCellMar>
        </w:tblPrEx>
        <w:trPr>
          <w:trHeight w:val="31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7B61AD5">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1DE8A157">
            <w:pPr>
              <w:jc w:val="center"/>
              <w:textAlignment w:val="center"/>
              <w:rPr>
                <w:rFonts w:eastAsia="黑体"/>
                <w:sz w:val="18"/>
                <w:szCs w:val="18"/>
              </w:rPr>
            </w:pPr>
            <w:r>
              <w:rPr>
                <w:rFonts w:eastAsia="黑体"/>
                <w:sz w:val="18"/>
                <w:szCs w:val="18"/>
                <w:lang w:bidi="ar"/>
              </w:rPr>
              <w:t>总投资（万元）</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213918">
            <w:pPr>
              <w:jc w:val="center"/>
              <w:rPr>
                <w:rFonts w:hint="eastAsia" w:eastAsia="黑体"/>
                <w:sz w:val="18"/>
                <w:szCs w:val="18"/>
                <w:lang w:eastAsia="zh-CN"/>
              </w:rPr>
            </w:pPr>
            <w:r>
              <w:rPr>
                <w:rFonts w:hint="eastAsia" w:eastAsia="黑体"/>
                <w:sz w:val="18"/>
                <w:szCs w:val="18"/>
                <w:lang w:eastAsia="zh-CN"/>
              </w:rPr>
              <w:t>4505</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22C4755F">
            <w:pPr>
              <w:jc w:val="center"/>
              <w:textAlignment w:val="center"/>
              <w:rPr>
                <w:rFonts w:eastAsia="黑体"/>
                <w:sz w:val="18"/>
                <w:szCs w:val="18"/>
              </w:rPr>
            </w:pPr>
            <w:r>
              <w:rPr>
                <w:rFonts w:eastAsia="黑体"/>
                <w:sz w:val="18"/>
                <w:szCs w:val="18"/>
                <w:lang w:bidi="ar"/>
              </w:rPr>
              <w:t>环保投资（万元）</w:t>
            </w:r>
          </w:p>
        </w:tc>
        <w:tc>
          <w:tcPr>
            <w:tcW w:w="306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B8242">
            <w:pPr>
              <w:jc w:val="center"/>
              <w:rPr>
                <w:rFonts w:hint="eastAsia" w:eastAsia="黑体"/>
                <w:sz w:val="18"/>
                <w:szCs w:val="18"/>
                <w:lang w:eastAsia="zh-CN"/>
              </w:rPr>
            </w:pPr>
            <w:r>
              <w:rPr>
                <w:rFonts w:hint="eastAsia" w:eastAsia="黑体"/>
                <w:sz w:val="18"/>
                <w:szCs w:val="18"/>
                <w:lang w:eastAsia="zh-CN"/>
              </w:rPr>
              <w:t>890</w:t>
            </w:r>
          </w:p>
        </w:tc>
        <w:tc>
          <w:tcPr>
            <w:tcW w:w="1567"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12179C9">
            <w:pPr>
              <w:jc w:val="center"/>
              <w:textAlignment w:val="center"/>
              <w:rPr>
                <w:rFonts w:eastAsia="黑体"/>
                <w:sz w:val="18"/>
                <w:szCs w:val="18"/>
              </w:rPr>
            </w:pPr>
            <w:r>
              <w:rPr>
                <w:rFonts w:eastAsia="黑体"/>
                <w:sz w:val="18"/>
                <w:szCs w:val="18"/>
                <w:lang w:bidi="ar"/>
              </w:rPr>
              <w:t>所占比例（%）</w:t>
            </w:r>
          </w:p>
        </w:tc>
        <w:tc>
          <w:tcPr>
            <w:tcW w:w="4190" w:type="dxa"/>
            <w:gridSpan w:val="5"/>
            <w:tcBorders>
              <w:top w:val="single" w:color="000000" w:sz="4" w:space="0"/>
              <w:left w:val="single" w:color="000000" w:sz="4" w:space="0"/>
              <w:bottom w:val="single" w:color="000000" w:sz="4" w:space="0"/>
              <w:right w:val="single" w:color="000000" w:sz="4" w:space="0"/>
            </w:tcBorders>
            <w:noWrap/>
            <w:vAlign w:val="center"/>
          </w:tcPr>
          <w:p w14:paraId="366310BB">
            <w:pPr>
              <w:jc w:val="center"/>
              <w:rPr>
                <w:rFonts w:hint="eastAsia" w:eastAsia="黑体"/>
                <w:sz w:val="18"/>
                <w:szCs w:val="18"/>
                <w:lang w:eastAsia="zh-CN"/>
              </w:rPr>
            </w:pPr>
            <w:r>
              <w:rPr>
                <w:rFonts w:hint="eastAsia" w:eastAsia="黑体"/>
                <w:sz w:val="18"/>
                <w:szCs w:val="18"/>
                <w:lang w:eastAsia="zh-CN"/>
              </w:rPr>
              <w:t>19.76</w:t>
            </w:r>
          </w:p>
        </w:tc>
      </w:tr>
      <w:tr w14:paraId="6D289D64">
        <w:tblPrEx>
          <w:tblCellMar>
            <w:top w:w="0" w:type="dxa"/>
            <w:left w:w="108" w:type="dxa"/>
            <w:bottom w:w="0" w:type="dxa"/>
            <w:right w:w="108" w:type="dxa"/>
          </w:tblCellMar>
        </w:tblPrEx>
        <w:trPr>
          <w:trHeight w:val="315" w:hRule="atLeast"/>
          <w:jc w:val="center"/>
        </w:trPr>
        <w:tc>
          <w:tcPr>
            <w:tcW w:w="888"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A7FAB61">
            <w:pPr>
              <w:jc w:val="center"/>
              <w:textAlignment w:val="center"/>
              <w:rPr>
                <w:rFonts w:eastAsia="黑体"/>
                <w:sz w:val="22"/>
                <w:szCs w:val="22"/>
                <w:lang w:bidi="ar"/>
              </w:rPr>
            </w:pPr>
            <w:r>
              <w:rPr>
                <w:rFonts w:eastAsia="黑体"/>
                <w:sz w:val="22"/>
                <w:szCs w:val="22"/>
                <w:lang w:bidi="ar"/>
              </w:rPr>
              <w:t>建 设</w:t>
            </w:r>
          </w:p>
          <w:p w14:paraId="784E665F">
            <w:pPr>
              <w:jc w:val="center"/>
              <w:textAlignment w:val="center"/>
              <w:rPr>
                <w:rFonts w:eastAsia="黑体"/>
                <w:sz w:val="22"/>
                <w:szCs w:val="22"/>
              </w:rPr>
            </w:pPr>
            <w:r>
              <w:rPr>
                <w:rFonts w:eastAsia="黑体"/>
                <w:sz w:val="22"/>
                <w:szCs w:val="22"/>
                <w:lang w:bidi="ar"/>
              </w:rPr>
              <w:t>单 位</w:t>
            </w:r>
          </w:p>
        </w:tc>
        <w:tc>
          <w:tcPr>
            <w:tcW w:w="2402" w:type="dxa"/>
            <w:gridSpan w:val="3"/>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62EEFDCB">
            <w:pPr>
              <w:jc w:val="center"/>
              <w:textAlignment w:val="center"/>
              <w:rPr>
                <w:rFonts w:eastAsia="黑体"/>
                <w:sz w:val="18"/>
                <w:szCs w:val="18"/>
              </w:rPr>
            </w:pPr>
            <w:r>
              <w:rPr>
                <w:rFonts w:eastAsia="黑体"/>
                <w:sz w:val="18"/>
                <w:szCs w:val="18"/>
                <w:lang w:bidi="ar"/>
              </w:rPr>
              <w:t>单位名称</w:t>
            </w:r>
          </w:p>
        </w:tc>
        <w:tc>
          <w:tcPr>
            <w:tcW w:w="2854" w:type="dxa"/>
            <w:gridSpan w:val="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40FF7F">
            <w:pPr>
              <w:jc w:val="center"/>
              <w:rPr>
                <w:rFonts w:hint="eastAsia" w:eastAsia="黑体"/>
                <w:sz w:val="18"/>
                <w:szCs w:val="18"/>
                <w:lang w:eastAsia="zh-CN"/>
              </w:rPr>
            </w:pPr>
            <w:r>
              <w:rPr>
                <w:rFonts w:hint="eastAsia" w:eastAsia="黑体"/>
                <w:sz w:val="18"/>
                <w:szCs w:val="18"/>
                <w:lang w:eastAsia="zh-CN"/>
              </w:rPr>
              <w:t>黑龙江鸿展生物科技股份有限公司</w:t>
            </w:r>
          </w:p>
        </w:tc>
        <w:tc>
          <w:tcPr>
            <w:tcW w:w="165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6CC6A92">
            <w:pPr>
              <w:jc w:val="center"/>
              <w:rPr>
                <w:rFonts w:hint="eastAsia" w:eastAsia="黑体"/>
                <w:sz w:val="18"/>
                <w:szCs w:val="18"/>
              </w:rPr>
            </w:pPr>
            <w:r>
              <w:rPr>
                <w:rFonts w:hint="eastAsia" w:eastAsia="黑体"/>
                <w:sz w:val="18"/>
                <w:szCs w:val="18"/>
              </w:rPr>
              <w:t>法定代表人</w:t>
            </w:r>
          </w:p>
        </w:tc>
        <w:tc>
          <w:tcPr>
            <w:tcW w:w="14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CF6BD">
            <w:pPr>
              <w:jc w:val="center"/>
              <w:rPr>
                <w:rFonts w:hint="eastAsia" w:eastAsia="黑体"/>
                <w:sz w:val="18"/>
                <w:szCs w:val="18"/>
                <w:lang w:eastAsia="zh-CN"/>
              </w:rPr>
            </w:pPr>
            <w:r>
              <w:rPr>
                <w:rFonts w:hint="eastAsia" w:eastAsia="黑体"/>
                <w:sz w:val="18"/>
                <w:szCs w:val="18"/>
                <w:lang w:eastAsia="zh-CN"/>
              </w:rPr>
              <w:t>杨闯</w:t>
            </w:r>
          </w:p>
        </w:tc>
        <w:tc>
          <w:tcPr>
            <w:tcW w:w="1746"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674F9BCF">
            <w:pPr>
              <w:jc w:val="center"/>
              <w:textAlignment w:val="center"/>
              <w:rPr>
                <w:rFonts w:eastAsia="黑体"/>
                <w:sz w:val="22"/>
                <w:szCs w:val="22"/>
                <w:lang w:bidi="ar"/>
              </w:rPr>
            </w:pPr>
            <w:r>
              <w:rPr>
                <w:rFonts w:eastAsia="黑体"/>
                <w:sz w:val="22"/>
                <w:szCs w:val="22"/>
                <w:lang w:bidi="ar"/>
              </w:rPr>
              <w:t>环评</w:t>
            </w:r>
          </w:p>
          <w:p w14:paraId="11016CC8">
            <w:pPr>
              <w:jc w:val="center"/>
              <w:textAlignment w:val="center"/>
              <w:rPr>
                <w:rFonts w:eastAsia="黑体"/>
                <w:sz w:val="22"/>
                <w:szCs w:val="22"/>
                <w:lang w:bidi="ar"/>
              </w:rPr>
            </w:pPr>
            <w:r>
              <w:rPr>
                <w:rFonts w:eastAsia="黑体"/>
                <w:sz w:val="22"/>
                <w:szCs w:val="22"/>
                <w:lang w:bidi="ar"/>
              </w:rPr>
              <w:t>编制</w:t>
            </w:r>
          </w:p>
          <w:p w14:paraId="3E8704A3">
            <w:pPr>
              <w:jc w:val="center"/>
              <w:textAlignment w:val="center"/>
              <w:rPr>
                <w:rFonts w:eastAsia="黑体"/>
                <w:sz w:val="22"/>
                <w:szCs w:val="22"/>
              </w:rPr>
            </w:pPr>
            <w:r>
              <w:rPr>
                <w:rFonts w:eastAsia="黑体"/>
                <w:sz w:val="22"/>
                <w:szCs w:val="22"/>
                <w:lang w:bidi="ar"/>
              </w:rPr>
              <w:t>单位</w:t>
            </w:r>
          </w:p>
        </w:tc>
        <w:tc>
          <w:tcPr>
            <w:tcW w:w="183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2481FC7">
            <w:pPr>
              <w:jc w:val="center"/>
              <w:textAlignment w:val="center"/>
              <w:rPr>
                <w:rFonts w:eastAsia="黑体"/>
                <w:sz w:val="18"/>
                <w:szCs w:val="18"/>
              </w:rPr>
            </w:pPr>
            <w:r>
              <w:rPr>
                <w:rFonts w:eastAsia="黑体"/>
                <w:sz w:val="18"/>
                <w:szCs w:val="18"/>
                <w:lang w:bidi="ar"/>
              </w:rPr>
              <w:t>单位名称</w:t>
            </w:r>
          </w:p>
        </w:tc>
        <w:tc>
          <w:tcPr>
            <w:tcW w:w="306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7A46A">
            <w:pPr>
              <w:jc w:val="center"/>
              <w:rPr>
                <w:rFonts w:hint="eastAsia" w:eastAsia="黑体"/>
                <w:sz w:val="18"/>
                <w:szCs w:val="18"/>
                <w:lang w:eastAsia="zh-CN"/>
              </w:rPr>
            </w:pPr>
            <w:r>
              <w:rPr>
                <w:rFonts w:hint="eastAsia" w:eastAsia="黑体"/>
                <w:sz w:val="18"/>
                <w:szCs w:val="18"/>
                <w:lang w:eastAsia="zh-CN"/>
              </w:rPr>
              <w:t>齐齐哈尔鑫齐大环保科技有限公司</w:t>
            </w:r>
          </w:p>
        </w:tc>
        <w:tc>
          <w:tcPr>
            <w:tcW w:w="1567"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3559700E">
            <w:pPr>
              <w:jc w:val="center"/>
              <w:textAlignment w:val="center"/>
              <w:rPr>
                <w:rFonts w:eastAsia="黑体"/>
                <w:sz w:val="18"/>
                <w:szCs w:val="18"/>
              </w:rPr>
            </w:pPr>
            <w:r>
              <w:rPr>
                <w:rFonts w:eastAsia="黑体"/>
                <w:sz w:val="18"/>
                <w:szCs w:val="18"/>
                <w:lang w:bidi="ar"/>
              </w:rPr>
              <w:t>统一社会信用代码</w:t>
            </w:r>
          </w:p>
        </w:tc>
        <w:tc>
          <w:tcPr>
            <w:tcW w:w="4190" w:type="dxa"/>
            <w:gridSpan w:val="5"/>
            <w:tcBorders>
              <w:top w:val="single" w:color="000000" w:sz="4" w:space="0"/>
              <w:left w:val="single" w:color="000000" w:sz="4" w:space="0"/>
              <w:bottom w:val="single" w:color="000000" w:sz="4" w:space="0"/>
              <w:right w:val="single" w:color="000000" w:sz="4" w:space="0"/>
            </w:tcBorders>
            <w:noWrap/>
            <w:vAlign w:val="center"/>
          </w:tcPr>
          <w:p w14:paraId="738EDB36">
            <w:pPr>
              <w:jc w:val="center"/>
              <w:rPr>
                <w:rFonts w:eastAsia="黑体"/>
                <w:sz w:val="18"/>
                <w:szCs w:val="18"/>
              </w:rPr>
            </w:pPr>
            <w:r>
              <w:rPr>
                <w:sz w:val="18"/>
                <w:szCs w:val="18"/>
              </w:rPr>
              <w:t>91230202MA1C5HKP5H</w:t>
            </w:r>
          </w:p>
        </w:tc>
      </w:tr>
      <w:tr w14:paraId="4131D1FC">
        <w:tblPrEx>
          <w:tblCellMar>
            <w:top w:w="0" w:type="dxa"/>
            <w:left w:w="108" w:type="dxa"/>
            <w:bottom w:w="0" w:type="dxa"/>
            <w:right w:w="108" w:type="dxa"/>
          </w:tblCellMar>
        </w:tblPrEx>
        <w:trPr>
          <w:trHeight w:val="31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4DDE48C">
            <w:pPr>
              <w:jc w:val="center"/>
              <w:rPr>
                <w:rFonts w:eastAsia="黑体"/>
                <w:sz w:val="22"/>
                <w:szCs w:val="22"/>
              </w:rPr>
            </w:pPr>
          </w:p>
        </w:tc>
        <w:tc>
          <w:tcPr>
            <w:tcW w:w="2402" w:type="dxa"/>
            <w:gridSpan w:val="3"/>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DA38A4B">
            <w:pPr>
              <w:jc w:val="center"/>
              <w:rPr>
                <w:rFonts w:eastAsia="黑体"/>
                <w:sz w:val="18"/>
                <w:szCs w:val="18"/>
              </w:rPr>
            </w:pPr>
          </w:p>
        </w:tc>
        <w:tc>
          <w:tcPr>
            <w:tcW w:w="285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AA612">
            <w:pPr>
              <w:jc w:val="center"/>
              <w:rPr>
                <w:rFonts w:hint="eastAsia" w:eastAsia="黑体"/>
                <w:sz w:val="18"/>
                <w:szCs w:val="18"/>
              </w:rPr>
            </w:pPr>
          </w:p>
        </w:tc>
        <w:tc>
          <w:tcPr>
            <w:tcW w:w="1659"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782DE9C3">
            <w:pPr>
              <w:jc w:val="center"/>
              <w:rPr>
                <w:rFonts w:hint="eastAsia" w:eastAsia="黑体"/>
                <w:sz w:val="18"/>
                <w:szCs w:val="18"/>
              </w:rPr>
            </w:pPr>
            <w:r>
              <w:rPr>
                <w:rFonts w:hint="eastAsia" w:eastAsia="黑体"/>
                <w:sz w:val="18"/>
                <w:szCs w:val="18"/>
              </w:rPr>
              <w:t>主要负责人</w:t>
            </w:r>
          </w:p>
        </w:tc>
        <w:tc>
          <w:tcPr>
            <w:tcW w:w="141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8DF82">
            <w:pPr>
              <w:jc w:val="center"/>
              <w:rPr>
                <w:rFonts w:hint="eastAsia" w:eastAsia="黑体"/>
                <w:sz w:val="18"/>
                <w:szCs w:val="18"/>
                <w:lang w:eastAsia="zh-CN"/>
              </w:rPr>
            </w:pPr>
            <w:r>
              <w:rPr>
                <w:rFonts w:hint="eastAsia" w:eastAsia="黑体"/>
                <w:sz w:val="18"/>
                <w:szCs w:val="18"/>
                <w:lang w:val="en-US" w:eastAsia="zh-CN"/>
              </w:rPr>
              <w:t>潘业雷</w:t>
            </w:r>
          </w:p>
        </w:tc>
        <w:tc>
          <w:tcPr>
            <w:tcW w:w="174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2DBD0AD">
            <w:pPr>
              <w:jc w:val="center"/>
              <w:rPr>
                <w:rFonts w:eastAsia="黑体"/>
                <w:sz w:val="22"/>
                <w:szCs w:val="22"/>
              </w:rPr>
            </w:pPr>
          </w:p>
        </w:tc>
        <w:tc>
          <w:tcPr>
            <w:tcW w:w="1836"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2D88B23C">
            <w:pPr>
              <w:jc w:val="center"/>
              <w:textAlignment w:val="center"/>
              <w:rPr>
                <w:rFonts w:eastAsia="黑体"/>
                <w:sz w:val="18"/>
                <w:szCs w:val="18"/>
              </w:rPr>
            </w:pPr>
            <w:r>
              <w:rPr>
                <w:rFonts w:eastAsia="黑体"/>
                <w:sz w:val="18"/>
                <w:szCs w:val="18"/>
                <w:lang w:bidi="ar"/>
              </w:rPr>
              <w:t>编制主持人</w:t>
            </w: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68C29DC">
            <w:pPr>
              <w:jc w:val="center"/>
              <w:textAlignment w:val="center"/>
              <w:rPr>
                <w:rFonts w:eastAsia="黑体"/>
                <w:sz w:val="18"/>
                <w:szCs w:val="18"/>
              </w:rPr>
            </w:pPr>
            <w:r>
              <w:rPr>
                <w:rFonts w:eastAsia="黑体"/>
                <w:sz w:val="18"/>
                <w:szCs w:val="18"/>
                <w:lang w:bidi="ar"/>
              </w:rPr>
              <w:t>姓名</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2C76A">
            <w:pPr>
              <w:jc w:val="center"/>
              <w:rPr>
                <w:rFonts w:hint="eastAsia" w:eastAsia="黑体"/>
                <w:sz w:val="18"/>
                <w:szCs w:val="18"/>
                <w:lang w:eastAsia="zh-CN"/>
              </w:rPr>
            </w:pPr>
            <w:r>
              <w:rPr>
                <w:rFonts w:hint="eastAsia" w:eastAsia="黑体"/>
                <w:sz w:val="18"/>
                <w:szCs w:val="18"/>
                <w:lang w:val="en-US" w:eastAsia="zh-CN"/>
              </w:rPr>
              <w:t>李丹</w:t>
            </w:r>
          </w:p>
        </w:tc>
        <w:tc>
          <w:tcPr>
            <w:tcW w:w="1567" w:type="dxa"/>
            <w:gridSpan w:val="2"/>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1B1723CE">
            <w:pPr>
              <w:jc w:val="center"/>
              <w:textAlignment w:val="center"/>
              <w:rPr>
                <w:rFonts w:eastAsia="黑体"/>
                <w:sz w:val="18"/>
                <w:szCs w:val="18"/>
              </w:rPr>
            </w:pPr>
            <w:r>
              <w:rPr>
                <w:rFonts w:eastAsia="黑体"/>
                <w:sz w:val="18"/>
                <w:szCs w:val="18"/>
                <w:lang w:bidi="ar"/>
              </w:rPr>
              <w:t>联系电话</w:t>
            </w:r>
          </w:p>
        </w:tc>
        <w:tc>
          <w:tcPr>
            <w:tcW w:w="4190" w:type="dxa"/>
            <w:gridSpan w:val="5"/>
            <w:vMerge w:val="restart"/>
            <w:tcBorders>
              <w:top w:val="single" w:color="000000" w:sz="4" w:space="0"/>
              <w:left w:val="single" w:color="000000" w:sz="4" w:space="0"/>
              <w:bottom w:val="single" w:color="000000" w:sz="4" w:space="0"/>
              <w:right w:val="single" w:color="000000" w:sz="4" w:space="0"/>
            </w:tcBorders>
            <w:noWrap/>
            <w:vAlign w:val="center"/>
          </w:tcPr>
          <w:p w14:paraId="2FE10196">
            <w:pPr>
              <w:jc w:val="center"/>
              <w:rPr>
                <w:rFonts w:eastAsia="黑体"/>
                <w:sz w:val="18"/>
                <w:szCs w:val="18"/>
              </w:rPr>
            </w:pPr>
            <w:r>
              <w:rPr>
                <w:sz w:val="18"/>
                <w:szCs w:val="18"/>
              </w:rPr>
              <w:t>138</w:t>
            </w:r>
            <w:r>
              <w:rPr>
                <w:rFonts w:hint="eastAsia"/>
                <w:sz w:val="18"/>
                <w:szCs w:val="18"/>
                <w:lang w:val="en-US" w:eastAsia="zh-CN"/>
              </w:rPr>
              <w:t>****</w:t>
            </w:r>
            <w:r>
              <w:rPr>
                <w:sz w:val="18"/>
                <w:szCs w:val="18"/>
              </w:rPr>
              <w:t>1558</w:t>
            </w:r>
          </w:p>
        </w:tc>
      </w:tr>
      <w:tr w14:paraId="707561C9">
        <w:tblPrEx>
          <w:tblCellMar>
            <w:top w:w="0" w:type="dxa"/>
            <w:left w:w="108" w:type="dxa"/>
            <w:bottom w:w="0" w:type="dxa"/>
            <w:right w:w="108" w:type="dxa"/>
          </w:tblCellMar>
        </w:tblPrEx>
        <w:trPr>
          <w:trHeight w:val="538"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350D11C">
            <w:pPr>
              <w:jc w:val="center"/>
              <w:rPr>
                <w:rFonts w:eastAsia="黑体"/>
                <w:sz w:val="22"/>
                <w:szCs w:val="22"/>
              </w:rPr>
            </w:pPr>
          </w:p>
        </w:tc>
        <w:tc>
          <w:tcPr>
            <w:tcW w:w="2402" w:type="dxa"/>
            <w:gridSpan w:val="3"/>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E665874">
            <w:pPr>
              <w:jc w:val="center"/>
              <w:rPr>
                <w:rFonts w:eastAsia="黑体"/>
                <w:sz w:val="18"/>
                <w:szCs w:val="18"/>
              </w:rPr>
            </w:pPr>
          </w:p>
        </w:tc>
        <w:tc>
          <w:tcPr>
            <w:tcW w:w="2854"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DDD50">
            <w:pPr>
              <w:jc w:val="center"/>
              <w:rPr>
                <w:rFonts w:hint="eastAsia" w:eastAsia="黑体"/>
                <w:sz w:val="18"/>
                <w:szCs w:val="18"/>
              </w:rPr>
            </w:pPr>
          </w:p>
        </w:tc>
        <w:tc>
          <w:tcPr>
            <w:tcW w:w="1659"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7B1623D">
            <w:pPr>
              <w:jc w:val="center"/>
              <w:rPr>
                <w:rFonts w:hint="eastAsia" w:eastAsia="黑体"/>
                <w:sz w:val="18"/>
                <w:szCs w:val="18"/>
              </w:rPr>
            </w:pPr>
          </w:p>
        </w:tc>
        <w:tc>
          <w:tcPr>
            <w:tcW w:w="141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C2EE0C">
            <w:pPr>
              <w:jc w:val="center"/>
              <w:rPr>
                <w:rFonts w:hint="eastAsia" w:eastAsia="黑体"/>
                <w:sz w:val="18"/>
                <w:szCs w:val="18"/>
              </w:rPr>
            </w:pPr>
          </w:p>
        </w:tc>
        <w:tc>
          <w:tcPr>
            <w:tcW w:w="174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6B77A9C">
            <w:pPr>
              <w:jc w:val="center"/>
              <w:rPr>
                <w:rFonts w:eastAsia="黑体"/>
                <w:sz w:val="22"/>
                <w:szCs w:val="22"/>
              </w:rPr>
            </w:pPr>
          </w:p>
        </w:tc>
        <w:tc>
          <w:tcPr>
            <w:tcW w:w="183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98DEE00">
            <w:pPr>
              <w:jc w:val="cente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36E07EC">
            <w:pPr>
              <w:jc w:val="center"/>
              <w:textAlignment w:val="center"/>
              <w:rPr>
                <w:rFonts w:eastAsia="黑体"/>
                <w:sz w:val="18"/>
                <w:szCs w:val="18"/>
              </w:rPr>
            </w:pPr>
            <w:r>
              <w:rPr>
                <w:rFonts w:eastAsia="黑体"/>
                <w:sz w:val="18"/>
                <w:szCs w:val="18"/>
                <w:lang w:bidi="ar"/>
              </w:rPr>
              <w:t>信用编号</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A157E">
            <w:pPr>
              <w:jc w:val="center"/>
              <w:rPr>
                <w:rFonts w:hint="eastAsia" w:ascii="Times New Roman" w:hAnsi="Times New Roman" w:eastAsia="黑体" w:cs="Times New Roman"/>
                <w:sz w:val="18"/>
                <w:szCs w:val="18"/>
                <w:lang w:val="en-US" w:eastAsia="zh-CN" w:bidi="ar-SA"/>
              </w:rPr>
            </w:pPr>
            <w:r>
              <w:rPr>
                <w:rFonts w:hint="eastAsia" w:ascii="Times New Roman" w:hAnsi="Times New Roman" w:eastAsia="黑体" w:cs="Times New Roman"/>
                <w:sz w:val="18"/>
                <w:szCs w:val="18"/>
                <w:lang w:val="en-US" w:eastAsia="zh-CN" w:bidi="ar-SA"/>
              </w:rPr>
              <w:t>BH078040</w:t>
            </w:r>
          </w:p>
        </w:tc>
        <w:tc>
          <w:tcPr>
            <w:tcW w:w="1567"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7C9BFC5">
            <w:pPr>
              <w:jc w:val="center"/>
              <w:rPr>
                <w:rFonts w:eastAsia="黑体"/>
                <w:sz w:val="18"/>
                <w:szCs w:val="18"/>
              </w:rPr>
            </w:pPr>
          </w:p>
        </w:tc>
        <w:tc>
          <w:tcPr>
            <w:tcW w:w="4190" w:type="dxa"/>
            <w:gridSpan w:val="5"/>
            <w:vMerge w:val="continue"/>
            <w:tcBorders>
              <w:top w:val="single" w:color="000000" w:sz="4" w:space="0"/>
              <w:left w:val="single" w:color="000000" w:sz="4" w:space="0"/>
              <w:bottom w:val="single" w:color="000000" w:sz="4" w:space="0"/>
              <w:right w:val="single" w:color="000000" w:sz="4" w:space="0"/>
            </w:tcBorders>
            <w:noWrap/>
            <w:vAlign w:val="center"/>
          </w:tcPr>
          <w:p w14:paraId="310F5D41">
            <w:pPr>
              <w:jc w:val="center"/>
              <w:rPr>
                <w:rFonts w:eastAsia="黑体"/>
                <w:sz w:val="18"/>
                <w:szCs w:val="18"/>
              </w:rPr>
            </w:pPr>
          </w:p>
        </w:tc>
      </w:tr>
      <w:tr w14:paraId="2AEFB7B6">
        <w:tblPrEx>
          <w:tblCellMar>
            <w:top w:w="0" w:type="dxa"/>
            <w:left w:w="108" w:type="dxa"/>
            <w:bottom w:w="0" w:type="dxa"/>
            <w:right w:w="108" w:type="dxa"/>
          </w:tblCellMar>
        </w:tblPrEx>
        <w:trPr>
          <w:trHeight w:val="473"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50BF0BB">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6A3318B8">
            <w:pPr>
              <w:jc w:val="center"/>
              <w:textAlignment w:val="center"/>
              <w:rPr>
                <w:rFonts w:eastAsia="黑体"/>
                <w:sz w:val="18"/>
                <w:szCs w:val="18"/>
                <w:lang w:bidi="ar"/>
              </w:rPr>
            </w:pPr>
            <w:r>
              <w:rPr>
                <w:rFonts w:eastAsia="黑体"/>
                <w:sz w:val="18"/>
                <w:szCs w:val="18"/>
                <w:lang w:bidi="ar"/>
              </w:rPr>
              <w:t>统一社会信用代码</w:t>
            </w:r>
          </w:p>
          <w:p w14:paraId="65DDAFE8">
            <w:pPr>
              <w:jc w:val="center"/>
              <w:textAlignment w:val="center"/>
              <w:rPr>
                <w:rFonts w:eastAsia="黑体"/>
                <w:sz w:val="18"/>
                <w:szCs w:val="18"/>
              </w:rPr>
            </w:pPr>
            <w:r>
              <w:rPr>
                <w:rFonts w:eastAsia="黑体"/>
                <w:sz w:val="18"/>
                <w:szCs w:val="18"/>
                <w:lang w:bidi="ar"/>
              </w:rPr>
              <w:t>（组织机构代码）</w:t>
            </w:r>
          </w:p>
        </w:tc>
        <w:tc>
          <w:tcPr>
            <w:tcW w:w="2854"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04DCAA">
            <w:pPr>
              <w:pStyle w:val="42"/>
              <w:ind w:left="0" w:leftChars="0" w:firstLine="0" w:firstLineChars="0"/>
              <w:rPr>
                <w:rFonts w:hint="default" w:ascii="Times New Roman" w:hAnsi="Times New Roman" w:eastAsia="黑体" w:cs="Times New Roman"/>
                <w:sz w:val="18"/>
                <w:szCs w:val="18"/>
                <w:lang w:val="en-US" w:eastAsia="zh-CN" w:bidi="ar-SA"/>
              </w:rPr>
            </w:pPr>
            <w:r>
              <w:rPr>
                <w:rFonts w:hint="eastAsia" w:ascii="Times New Roman" w:hAnsi="Times New Roman" w:eastAsia="黑体" w:cs="Times New Roman"/>
                <w:sz w:val="18"/>
                <w:szCs w:val="18"/>
                <w:lang w:val="en-US" w:eastAsia="zh-CN" w:bidi="ar-SA"/>
              </w:rPr>
              <w:t>91230200MA1977NW21</w:t>
            </w:r>
          </w:p>
        </w:tc>
        <w:tc>
          <w:tcPr>
            <w:tcW w:w="165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43F31A0">
            <w:pPr>
              <w:jc w:val="center"/>
              <w:textAlignment w:val="center"/>
              <w:rPr>
                <w:rFonts w:hint="eastAsia" w:ascii="Times New Roman" w:hAnsi="Times New Roman" w:eastAsia="黑体" w:cs="Times New Roman"/>
                <w:sz w:val="18"/>
                <w:szCs w:val="18"/>
                <w:lang w:val="en-US" w:eastAsia="zh-CN" w:bidi="ar-SA"/>
              </w:rPr>
            </w:pPr>
            <w:r>
              <w:rPr>
                <w:rFonts w:hint="eastAsia" w:ascii="Times New Roman" w:hAnsi="Times New Roman" w:eastAsia="黑体" w:cs="Times New Roman"/>
                <w:sz w:val="18"/>
                <w:szCs w:val="18"/>
                <w:lang w:val="en-US" w:eastAsia="zh-CN" w:bidi="ar-SA"/>
              </w:rPr>
              <w:t>联系电话</w:t>
            </w:r>
          </w:p>
        </w:tc>
        <w:tc>
          <w:tcPr>
            <w:tcW w:w="14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68C11">
            <w:pPr>
              <w:jc w:val="center"/>
              <w:rPr>
                <w:rFonts w:hint="default" w:ascii="Times New Roman" w:hAnsi="Times New Roman" w:eastAsia="黑体" w:cs="Times New Roman"/>
                <w:sz w:val="18"/>
                <w:szCs w:val="18"/>
                <w:lang w:val="en-US" w:eastAsia="zh-CN" w:bidi="ar-SA"/>
              </w:rPr>
            </w:pPr>
            <w:r>
              <w:rPr>
                <w:rFonts w:hint="eastAsia" w:ascii="Times New Roman" w:hAnsi="Times New Roman" w:eastAsia="黑体" w:cs="Times New Roman"/>
                <w:sz w:val="18"/>
                <w:szCs w:val="18"/>
                <w:lang w:val="en-US" w:eastAsia="zh-CN" w:bidi="ar-SA"/>
              </w:rPr>
              <w:t>185</w:t>
            </w:r>
            <w:r>
              <w:rPr>
                <w:rFonts w:hint="eastAsia" w:eastAsia="黑体" w:cs="Times New Roman"/>
                <w:sz w:val="18"/>
                <w:szCs w:val="18"/>
                <w:lang w:val="en-US" w:eastAsia="zh-CN" w:bidi="ar-SA"/>
              </w:rPr>
              <w:t>****</w:t>
            </w:r>
            <w:r>
              <w:rPr>
                <w:rFonts w:hint="eastAsia" w:ascii="Times New Roman" w:hAnsi="Times New Roman" w:eastAsia="黑体" w:cs="Times New Roman"/>
                <w:sz w:val="18"/>
                <w:szCs w:val="18"/>
                <w:lang w:val="en-US" w:eastAsia="zh-CN" w:bidi="ar-SA"/>
              </w:rPr>
              <w:t>22</w:t>
            </w:r>
            <w:r>
              <w:rPr>
                <w:rFonts w:hint="eastAsia" w:eastAsia="黑体" w:cs="Times New Roman"/>
                <w:sz w:val="18"/>
                <w:szCs w:val="18"/>
                <w:lang w:val="en-US" w:eastAsia="zh-CN" w:bidi="ar-SA"/>
              </w:rPr>
              <w:t>2</w:t>
            </w:r>
            <w:r>
              <w:rPr>
                <w:rFonts w:hint="eastAsia" w:ascii="Times New Roman" w:hAnsi="Times New Roman" w:eastAsia="黑体" w:cs="Times New Roman"/>
                <w:sz w:val="18"/>
                <w:szCs w:val="18"/>
                <w:lang w:val="en-US" w:eastAsia="zh-CN" w:bidi="ar-SA"/>
              </w:rPr>
              <w:t>1</w:t>
            </w:r>
          </w:p>
        </w:tc>
        <w:tc>
          <w:tcPr>
            <w:tcW w:w="174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37E70CD">
            <w:pPr>
              <w:jc w:val="center"/>
              <w:rPr>
                <w:rFonts w:eastAsia="黑体"/>
                <w:sz w:val="22"/>
                <w:szCs w:val="22"/>
              </w:rPr>
            </w:pPr>
          </w:p>
        </w:tc>
        <w:tc>
          <w:tcPr>
            <w:tcW w:w="183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374A401">
            <w:pPr>
              <w:jc w:val="cente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56836E1D">
            <w:pPr>
              <w:jc w:val="center"/>
              <w:textAlignment w:val="center"/>
              <w:rPr>
                <w:rFonts w:eastAsia="黑体"/>
                <w:sz w:val="18"/>
                <w:szCs w:val="18"/>
              </w:rPr>
            </w:pPr>
            <w:r>
              <w:rPr>
                <w:rFonts w:eastAsia="黑体"/>
                <w:sz w:val="18"/>
                <w:szCs w:val="18"/>
                <w:lang w:bidi="ar"/>
              </w:rPr>
              <w:t>职业资格证书管理号</w:t>
            </w:r>
          </w:p>
        </w:tc>
        <w:tc>
          <w:tcPr>
            <w:tcW w:w="15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D6C7B">
            <w:pPr>
              <w:jc w:val="center"/>
              <w:rPr>
                <w:rFonts w:hint="eastAsia" w:ascii="Times New Roman" w:hAnsi="Times New Roman" w:eastAsia="黑体" w:cs="Times New Roman"/>
                <w:sz w:val="18"/>
                <w:szCs w:val="18"/>
                <w:lang w:val="en-US" w:eastAsia="zh-CN" w:bidi="ar-SA"/>
              </w:rPr>
            </w:pPr>
            <w:r>
              <w:rPr>
                <w:rFonts w:hint="eastAsia" w:ascii="Times New Roman" w:hAnsi="Times New Roman" w:eastAsia="黑体" w:cs="Times New Roman"/>
                <w:sz w:val="18"/>
                <w:szCs w:val="18"/>
                <w:lang w:val="en-US" w:eastAsia="zh-CN" w:bidi="ar-SA"/>
              </w:rPr>
              <w:t>03520250623000000025</w:t>
            </w:r>
          </w:p>
        </w:tc>
        <w:tc>
          <w:tcPr>
            <w:tcW w:w="1567"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89C3096">
            <w:pPr>
              <w:jc w:val="center"/>
              <w:rPr>
                <w:rFonts w:eastAsia="黑体"/>
                <w:sz w:val="18"/>
                <w:szCs w:val="18"/>
              </w:rPr>
            </w:pPr>
          </w:p>
        </w:tc>
        <w:tc>
          <w:tcPr>
            <w:tcW w:w="4190" w:type="dxa"/>
            <w:gridSpan w:val="5"/>
            <w:vMerge w:val="continue"/>
            <w:tcBorders>
              <w:top w:val="single" w:color="000000" w:sz="4" w:space="0"/>
              <w:left w:val="single" w:color="000000" w:sz="4" w:space="0"/>
              <w:bottom w:val="single" w:color="000000" w:sz="4" w:space="0"/>
              <w:right w:val="single" w:color="000000" w:sz="4" w:space="0"/>
            </w:tcBorders>
            <w:noWrap/>
            <w:vAlign w:val="center"/>
          </w:tcPr>
          <w:p w14:paraId="03DE371C">
            <w:pPr>
              <w:jc w:val="center"/>
              <w:rPr>
                <w:rFonts w:eastAsia="黑体"/>
                <w:sz w:val="18"/>
                <w:szCs w:val="18"/>
              </w:rPr>
            </w:pPr>
          </w:p>
        </w:tc>
      </w:tr>
      <w:tr w14:paraId="47C61AF7">
        <w:tblPrEx>
          <w:tblCellMar>
            <w:top w:w="0" w:type="dxa"/>
            <w:left w:w="108" w:type="dxa"/>
            <w:bottom w:w="0" w:type="dxa"/>
            <w:right w:w="108" w:type="dxa"/>
          </w:tblCellMar>
        </w:tblPrEx>
        <w:trPr>
          <w:trHeight w:val="37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701C13F">
            <w:pPr>
              <w:jc w:val="center"/>
              <w:rPr>
                <w:rFonts w:eastAsia="黑体"/>
                <w:sz w:val="22"/>
                <w:szCs w:val="22"/>
              </w:rPr>
            </w:pPr>
          </w:p>
        </w:tc>
        <w:tc>
          <w:tcPr>
            <w:tcW w:w="2402"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147BF9E4">
            <w:pPr>
              <w:jc w:val="center"/>
              <w:textAlignment w:val="center"/>
              <w:rPr>
                <w:rFonts w:eastAsia="黑体"/>
                <w:sz w:val="18"/>
                <w:szCs w:val="18"/>
              </w:rPr>
            </w:pPr>
            <w:r>
              <w:rPr>
                <w:rFonts w:eastAsia="黑体"/>
                <w:sz w:val="18"/>
                <w:szCs w:val="18"/>
                <w:lang w:bidi="ar"/>
              </w:rPr>
              <w:t>通讯地址</w:t>
            </w:r>
          </w:p>
        </w:tc>
        <w:tc>
          <w:tcPr>
            <w:tcW w:w="5926"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AC5C4">
            <w:pPr>
              <w:jc w:val="center"/>
              <w:rPr>
                <w:rFonts w:hint="eastAsia" w:eastAsia="黑体"/>
                <w:sz w:val="18"/>
                <w:szCs w:val="18"/>
                <w:lang w:eastAsia="zh-CN"/>
              </w:rPr>
            </w:pPr>
            <w:r>
              <w:rPr>
                <w:rFonts w:hint="eastAsia" w:eastAsia="黑体"/>
                <w:sz w:val="18"/>
                <w:szCs w:val="18"/>
                <w:lang w:eastAsia="zh-CN"/>
              </w:rPr>
              <w:t>拉哈生物技术与化学制药产业园黑龙江鸿展生物科技股份有限公司院内</w:t>
            </w:r>
          </w:p>
        </w:tc>
        <w:tc>
          <w:tcPr>
            <w:tcW w:w="174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8943190">
            <w:pPr>
              <w:jc w:val="center"/>
              <w:rPr>
                <w:rFonts w:eastAsia="黑体"/>
                <w:sz w:val="22"/>
                <w:szCs w:val="22"/>
              </w:rPr>
            </w:pPr>
          </w:p>
        </w:tc>
        <w:tc>
          <w:tcPr>
            <w:tcW w:w="183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54343E6A">
            <w:pPr>
              <w:jc w:val="center"/>
              <w:textAlignment w:val="center"/>
              <w:rPr>
                <w:rFonts w:eastAsia="黑体"/>
                <w:sz w:val="18"/>
                <w:szCs w:val="18"/>
              </w:rPr>
            </w:pPr>
            <w:r>
              <w:rPr>
                <w:rFonts w:eastAsia="黑体"/>
                <w:sz w:val="18"/>
                <w:szCs w:val="18"/>
                <w:lang w:bidi="ar"/>
              </w:rPr>
              <w:t>通讯地址</w:t>
            </w:r>
          </w:p>
        </w:tc>
        <w:tc>
          <w:tcPr>
            <w:tcW w:w="8823" w:type="dxa"/>
            <w:gridSpan w:val="9"/>
            <w:tcBorders>
              <w:top w:val="single" w:color="000000" w:sz="4" w:space="0"/>
              <w:left w:val="single" w:color="000000" w:sz="4" w:space="0"/>
              <w:bottom w:val="single" w:color="000000" w:sz="4" w:space="0"/>
              <w:right w:val="single" w:color="000000" w:sz="4" w:space="0"/>
            </w:tcBorders>
            <w:noWrap/>
            <w:vAlign w:val="center"/>
          </w:tcPr>
          <w:p w14:paraId="296B10C5">
            <w:pPr>
              <w:jc w:val="center"/>
              <w:rPr>
                <w:rFonts w:eastAsia="黑体"/>
                <w:sz w:val="18"/>
                <w:szCs w:val="18"/>
              </w:rPr>
            </w:pPr>
            <w:r>
              <w:rPr>
                <w:rFonts w:hint="eastAsia" w:ascii="黑体" w:hAnsi="黑体" w:eastAsia="黑体" w:cs="黑体"/>
                <w:color w:val="auto"/>
                <w:sz w:val="18"/>
                <w:szCs w:val="18"/>
              </w:rPr>
              <w:t>黑龙江省齐齐哈尔市建华区东市场小区52号楼1-2层5号</w:t>
            </w:r>
          </w:p>
        </w:tc>
      </w:tr>
      <w:tr w14:paraId="153561D1">
        <w:tblPrEx>
          <w:tblCellMar>
            <w:top w:w="0" w:type="dxa"/>
            <w:left w:w="108" w:type="dxa"/>
            <w:bottom w:w="0" w:type="dxa"/>
            <w:right w:w="108" w:type="dxa"/>
          </w:tblCellMar>
        </w:tblPrEx>
        <w:trPr>
          <w:trHeight w:val="455" w:hRule="atLeast"/>
          <w:jc w:val="center"/>
        </w:trPr>
        <w:tc>
          <w:tcPr>
            <w:tcW w:w="888" w:type="dxa"/>
            <w:vMerge w:val="restart"/>
            <w:tcBorders>
              <w:top w:val="single" w:color="000000" w:sz="4" w:space="0"/>
              <w:left w:val="single" w:color="000000" w:sz="4" w:space="0"/>
              <w:right w:val="single" w:color="000000" w:sz="4" w:space="0"/>
            </w:tcBorders>
            <w:shd w:val="clear" w:color="auto" w:fill="BFBFBF"/>
            <w:vAlign w:val="center"/>
          </w:tcPr>
          <w:p w14:paraId="27E4AF63">
            <w:pPr>
              <w:jc w:val="center"/>
              <w:textAlignment w:val="center"/>
              <w:rPr>
                <w:rFonts w:eastAsia="黑体"/>
                <w:sz w:val="22"/>
                <w:szCs w:val="22"/>
                <w:lang w:bidi="ar"/>
              </w:rPr>
            </w:pPr>
            <w:r>
              <w:rPr>
                <w:rFonts w:eastAsia="黑体"/>
                <w:sz w:val="22"/>
                <w:szCs w:val="22"/>
                <w:lang w:bidi="ar"/>
              </w:rPr>
              <w:t>污</w:t>
            </w:r>
          </w:p>
          <w:p w14:paraId="335D7174">
            <w:pPr>
              <w:jc w:val="center"/>
              <w:textAlignment w:val="center"/>
              <w:rPr>
                <w:rFonts w:eastAsia="黑体"/>
                <w:sz w:val="22"/>
                <w:szCs w:val="22"/>
                <w:lang w:bidi="ar"/>
              </w:rPr>
            </w:pPr>
            <w:r>
              <w:rPr>
                <w:rFonts w:eastAsia="黑体"/>
                <w:sz w:val="22"/>
                <w:szCs w:val="22"/>
                <w:lang w:bidi="ar"/>
              </w:rPr>
              <w:t>染</w:t>
            </w:r>
          </w:p>
          <w:p w14:paraId="6504649B">
            <w:pPr>
              <w:jc w:val="center"/>
              <w:textAlignment w:val="center"/>
              <w:rPr>
                <w:rFonts w:eastAsia="黑体"/>
                <w:sz w:val="22"/>
                <w:szCs w:val="22"/>
                <w:lang w:bidi="ar"/>
              </w:rPr>
            </w:pPr>
            <w:r>
              <w:rPr>
                <w:rFonts w:eastAsia="黑体"/>
                <w:sz w:val="22"/>
                <w:szCs w:val="22"/>
                <w:lang w:bidi="ar"/>
              </w:rPr>
              <w:t>物</w:t>
            </w:r>
          </w:p>
          <w:p w14:paraId="7D2D6E36">
            <w:pPr>
              <w:jc w:val="center"/>
              <w:textAlignment w:val="center"/>
              <w:rPr>
                <w:rFonts w:eastAsia="黑体"/>
                <w:sz w:val="22"/>
                <w:szCs w:val="22"/>
                <w:lang w:bidi="ar"/>
              </w:rPr>
            </w:pPr>
            <w:r>
              <w:rPr>
                <w:rFonts w:eastAsia="黑体"/>
                <w:sz w:val="22"/>
                <w:szCs w:val="22"/>
                <w:lang w:bidi="ar"/>
              </w:rPr>
              <w:t>排</w:t>
            </w:r>
          </w:p>
          <w:p w14:paraId="4E5B61E3">
            <w:pPr>
              <w:jc w:val="center"/>
              <w:textAlignment w:val="center"/>
              <w:rPr>
                <w:rFonts w:eastAsia="黑体"/>
                <w:sz w:val="22"/>
                <w:szCs w:val="22"/>
                <w:lang w:bidi="ar"/>
              </w:rPr>
            </w:pPr>
            <w:r>
              <w:rPr>
                <w:rFonts w:eastAsia="黑体"/>
                <w:sz w:val="22"/>
                <w:szCs w:val="22"/>
                <w:lang w:bidi="ar"/>
              </w:rPr>
              <w:t>放</w:t>
            </w:r>
          </w:p>
          <w:p w14:paraId="39CFAA2D">
            <w:pPr>
              <w:jc w:val="center"/>
              <w:textAlignment w:val="center"/>
              <w:rPr>
                <w:rFonts w:eastAsia="黑体"/>
                <w:sz w:val="22"/>
                <w:szCs w:val="22"/>
              </w:rPr>
            </w:pPr>
            <w:r>
              <w:rPr>
                <w:rFonts w:eastAsia="黑体"/>
                <w:sz w:val="22"/>
                <w:szCs w:val="22"/>
                <w:lang w:bidi="ar"/>
              </w:rPr>
              <w:t>量</w:t>
            </w:r>
          </w:p>
        </w:tc>
        <w:tc>
          <w:tcPr>
            <w:tcW w:w="2402" w:type="dxa"/>
            <w:gridSpan w:val="3"/>
            <w:vMerge w:val="restar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EAB3EE9">
            <w:pPr>
              <w:jc w:val="center"/>
              <w:textAlignment w:val="center"/>
              <w:rPr>
                <w:rFonts w:eastAsia="黑体"/>
                <w:sz w:val="22"/>
                <w:szCs w:val="22"/>
              </w:rPr>
            </w:pPr>
            <w:r>
              <w:rPr>
                <w:rFonts w:eastAsia="黑体"/>
                <w:sz w:val="22"/>
                <w:szCs w:val="22"/>
                <w:lang w:bidi="ar"/>
              </w:rPr>
              <w:t>污染物</w:t>
            </w:r>
          </w:p>
        </w:tc>
        <w:tc>
          <w:tcPr>
            <w:tcW w:w="2854"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3708C6EB">
            <w:pPr>
              <w:jc w:val="center"/>
              <w:textAlignment w:val="center"/>
              <w:rPr>
                <w:rFonts w:eastAsia="黑体"/>
                <w:sz w:val="18"/>
                <w:szCs w:val="18"/>
                <w:lang w:bidi="ar"/>
              </w:rPr>
            </w:pPr>
            <w:r>
              <w:rPr>
                <w:rFonts w:eastAsia="黑体"/>
                <w:sz w:val="18"/>
                <w:szCs w:val="18"/>
                <w:lang w:bidi="ar"/>
              </w:rPr>
              <w:t>现有工程</w:t>
            </w:r>
          </w:p>
          <w:p w14:paraId="371C2AF5">
            <w:pPr>
              <w:jc w:val="center"/>
              <w:textAlignment w:val="center"/>
              <w:rPr>
                <w:rFonts w:eastAsia="黑体"/>
                <w:sz w:val="18"/>
                <w:szCs w:val="18"/>
              </w:rPr>
            </w:pPr>
            <w:r>
              <w:rPr>
                <w:rFonts w:eastAsia="黑体"/>
                <w:sz w:val="18"/>
                <w:szCs w:val="18"/>
                <w:lang w:bidi="ar"/>
              </w:rPr>
              <w:t>（已建+在建）</w:t>
            </w:r>
          </w:p>
        </w:tc>
        <w:tc>
          <w:tcPr>
            <w:tcW w:w="165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595C0031">
            <w:pPr>
              <w:jc w:val="center"/>
              <w:textAlignment w:val="center"/>
              <w:rPr>
                <w:rFonts w:hint="eastAsia" w:eastAsia="黑体"/>
                <w:sz w:val="18"/>
                <w:szCs w:val="18"/>
                <w:lang w:eastAsia="zh-CN" w:bidi="ar"/>
              </w:rPr>
            </w:pPr>
            <w:r>
              <w:rPr>
                <w:rFonts w:hint="eastAsia" w:eastAsia="黑体"/>
                <w:sz w:val="18"/>
                <w:szCs w:val="18"/>
                <w:lang w:eastAsia="zh-CN" w:bidi="ar"/>
              </w:rPr>
              <w:t>本项目</w:t>
            </w:r>
          </w:p>
          <w:p w14:paraId="68B156CE">
            <w:pPr>
              <w:jc w:val="center"/>
              <w:textAlignment w:val="center"/>
              <w:rPr>
                <w:rFonts w:eastAsia="黑体"/>
                <w:sz w:val="18"/>
                <w:szCs w:val="18"/>
              </w:rPr>
            </w:pPr>
            <w:r>
              <w:rPr>
                <w:rFonts w:eastAsia="黑体"/>
                <w:sz w:val="18"/>
                <w:szCs w:val="18"/>
                <w:lang w:bidi="ar"/>
              </w:rPr>
              <w:t>（拟建或调整变更）</w:t>
            </w:r>
          </w:p>
        </w:tc>
        <w:tc>
          <w:tcPr>
            <w:tcW w:w="11904" w:type="dxa"/>
            <w:gridSpan w:val="9"/>
            <w:tcBorders>
              <w:top w:val="single" w:color="000000" w:sz="4" w:space="0"/>
              <w:left w:val="single" w:color="000000" w:sz="4" w:space="0"/>
              <w:bottom w:val="single" w:color="000000" w:sz="4" w:space="0"/>
              <w:right w:val="single" w:color="000000" w:sz="4" w:space="0"/>
            </w:tcBorders>
            <w:shd w:val="clear" w:color="auto" w:fill="BFBFBF"/>
            <w:vAlign w:val="center"/>
          </w:tcPr>
          <w:p w14:paraId="3C7D607F">
            <w:pPr>
              <w:jc w:val="center"/>
              <w:textAlignment w:val="center"/>
              <w:rPr>
                <w:rFonts w:eastAsia="黑体"/>
                <w:sz w:val="18"/>
                <w:szCs w:val="18"/>
                <w:lang w:bidi="ar"/>
              </w:rPr>
            </w:pPr>
            <w:r>
              <w:rPr>
                <w:rFonts w:eastAsia="黑体"/>
                <w:sz w:val="18"/>
                <w:szCs w:val="18"/>
                <w:lang w:bidi="ar"/>
              </w:rPr>
              <w:t>总体工程</w:t>
            </w:r>
          </w:p>
          <w:p w14:paraId="0C19AC1F">
            <w:pPr>
              <w:jc w:val="center"/>
              <w:textAlignment w:val="center"/>
              <w:rPr>
                <w:rFonts w:eastAsia="黑体"/>
                <w:sz w:val="18"/>
                <w:szCs w:val="18"/>
              </w:rPr>
            </w:pPr>
            <w:r>
              <w:rPr>
                <w:rFonts w:eastAsia="黑体"/>
                <w:sz w:val="18"/>
                <w:szCs w:val="18"/>
                <w:lang w:bidi="ar"/>
              </w:rPr>
              <w:t>（已建+在建+拟建或调整变更）</w:t>
            </w:r>
          </w:p>
        </w:tc>
        <w:tc>
          <w:tcPr>
            <w:tcW w:w="1914" w:type="dxa"/>
            <w:gridSpan w:val="3"/>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6B5A7A0B">
            <w:pPr>
              <w:jc w:val="center"/>
              <w:textAlignment w:val="center"/>
              <w:rPr>
                <w:rFonts w:eastAsia="黑体"/>
                <w:sz w:val="18"/>
                <w:szCs w:val="18"/>
              </w:rPr>
            </w:pPr>
            <w:r>
              <w:rPr>
                <w:rFonts w:eastAsia="黑体"/>
                <w:sz w:val="18"/>
                <w:szCs w:val="18"/>
                <w:lang w:bidi="ar"/>
              </w:rPr>
              <w:t>区域削减量来源（国家、省级审批项目）</w:t>
            </w:r>
          </w:p>
        </w:tc>
      </w:tr>
      <w:tr w14:paraId="4FB050DA">
        <w:tblPrEx>
          <w:tblCellMar>
            <w:top w:w="0" w:type="dxa"/>
            <w:left w:w="108" w:type="dxa"/>
            <w:bottom w:w="0" w:type="dxa"/>
            <w:right w:w="108" w:type="dxa"/>
          </w:tblCellMar>
        </w:tblPrEx>
        <w:trPr>
          <w:trHeight w:val="473" w:hRule="atLeast"/>
          <w:jc w:val="center"/>
        </w:trPr>
        <w:tc>
          <w:tcPr>
            <w:tcW w:w="888" w:type="dxa"/>
            <w:vMerge w:val="continue"/>
            <w:tcBorders>
              <w:left w:val="single" w:color="000000" w:sz="4" w:space="0"/>
              <w:right w:val="single" w:color="000000" w:sz="4" w:space="0"/>
            </w:tcBorders>
            <w:shd w:val="clear" w:color="auto" w:fill="BFBFBF"/>
            <w:vAlign w:val="center"/>
          </w:tcPr>
          <w:p w14:paraId="6D7FF481">
            <w:pPr>
              <w:jc w:val="center"/>
              <w:rPr>
                <w:rFonts w:eastAsia="黑体"/>
                <w:sz w:val="22"/>
                <w:szCs w:val="22"/>
              </w:rPr>
            </w:pPr>
          </w:p>
        </w:tc>
        <w:tc>
          <w:tcPr>
            <w:tcW w:w="2402" w:type="dxa"/>
            <w:gridSpan w:val="3"/>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054FFC5C">
            <w:pPr>
              <w:jc w:val="center"/>
              <w:rPr>
                <w:rFonts w:eastAsia="黑体"/>
                <w:sz w:val="22"/>
                <w:szCs w:val="22"/>
              </w:rPr>
            </w:pPr>
          </w:p>
        </w:tc>
        <w:tc>
          <w:tcPr>
            <w:tcW w:w="1661"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FB8F535">
            <w:pPr>
              <w:jc w:val="center"/>
              <w:textAlignment w:val="center"/>
              <w:rPr>
                <w:rFonts w:eastAsia="黑体"/>
                <w:sz w:val="18"/>
                <w:szCs w:val="18"/>
                <w:lang w:bidi="ar"/>
              </w:rPr>
            </w:pPr>
            <w:r>
              <w:rPr>
                <w:rFonts w:eastAsia="黑体"/>
                <w:sz w:val="18"/>
                <w:szCs w:val="18"/>
                <w:lang w:bidi="ar"/>
              </w:rPr>
              <w:t>①排放量</w:t>
            </w:r>
          </w:p>
          <w:p w14:paraId="0F69E107">
            <w:pPr>
              <w:jc w:val="center"/>
              <w:textAlignment w:val="center"/>
              <w:rPr>
                <w:rFonts w:eastAsia="黑体"/>
                <w:sz w:val="18"/>
                <w:szCs w:val="18"/>
              </w:rPr>
            </w:pPr>
            <w:r>
              <w:rPr>
                <w:rFonts w:eastAsia="黑体"/>
                <w:sz w:val="18"/>
                <w:szCs w:val="18"/>
                <w:lang w:bidi="ar"/>
              </w:rPr>
              <w:t>（吨/年）</w:t>
            </w:r>
          </w:p>
        </w:tc>
        <w:tc>
          <w:tcPr>
            <w:tcW w:w="1193"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E2AED62">
            <w:pPr>
              <w:jc w:val="center"/>
              <w:textAlignment w:val="center"/>
              <w:rPr>
                <w:rFonts w:eastAsia="黑体"/>
                <w:sz w:val="18"/>
                <w:szCs w:val="18"/>
                <w:lang w:bidi="ar"/>
              </w:rPr>
            </w:pPr>
            <w:r>
              <w:rPr>
                <w:rFonts w:eastAsia="黑体"/>
                <w:sz w:val="18"/>
                <w:szCs w:val="18"/>
                <w:lang w:bidi="ar"/>
              </w:rPr>
              <w:t>②许可排放量</w:t>
            </w:r>
          </w:p>
          <w:p w14:paraId="36699782">
            <w:pPr>
              <w:jc w:val="center"/>
              <w:textAlignment w:val="center"/>
              <w:rPr>
                <w:rFonts w:eastAsia="黑体"/>
                <w:sz w:val="18"/>
                <w:szCs w:val="18"/>
              </w:rPr>
            </w:pPr>
            <w:r>
              <w:rPr>
                <w:rFonts w:eastAsia="黑体"/>
                <w:sz w:val="18"/>
                <w:szCs w:val="18"/>
                <w:lang w:bidi="ar"/>
              </w:rPr>
              <w:t>（吨/年）</w:t>
            </w:r>
          </w:p>
        </w:tc>
        <w:tc>
          <w:tcPr>
            <w:tcW w:w="165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25664F9">
            <w:pPr>
              <w:jc w:val="center"/>
              <w:textAlignment w:val="center"/>
              <w:rPr>
                <w:rFonts w:eastAsia="黑体"/>
                <w:sz w:val="18"/>
                <w:szCs w:val="18"/>
                <w:lang w:bidi="ar"/>
              </w:rPr>
            </w:pPr>
            <w:r>
              <w:rPr>
                <w:rFonts w:eastAsia="黑体"/>
                <w:sz w:val="18"/>
                <w:szCs w:val="18"/>
                <w:lang w:bidi="ar"/>
              </w:rPr>
              <w:t>③预测排放量</w:t>
            </w:r>
          </w:p>
          <w:p w14:paraId="66036CAB">
            <w:pPr>
              <w:jc w:val="center"/>
              <w:textAlignment w:val="center"/>
              <w:rPr>
                <w:rFonts w:eastAsia="黑体"/>
                <w:sz w:val="18"/>
                <w:szCs w:val="18"/>
              </w:rPr>
            </w:pPr>
            <w:r>
              <w:rPr>
                <w:rFonts w:eastAsia="黑体"/>
                <w:sz w:val="18"/>
                <w:szCs w:val="18"/>
                <w:lang w:bidi="ar"/>
              </w:rPr>
              <w:t>（吨/年）</w:t>
            </w:r>
          </w:p>
        </w:tc>
        <w:tc>
          <w:tcPr>
            <w:tcW w:w="3159"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615B9285">
            <w:pPr>
              <w:jc w:val="center"/>
              <w:textAlignment w:val="center"/>
              <w:rPr>
                <w:rFonts w:eastAsia="黑体"/>
                <w:sz w:val="18"/>
                <w:szCs w:val="18"/>
              </w:rPr>
            </w:pPr>
            <w:r>
              <w:rPr>
                <w:rFonts w:eastAsia="黑体"/>
                <w:sz w:val="18"/>
                <w:szCs w:val="18"/>
                <w:lang w:bidi="ar"/>
              </w:rPr>
              <w:t>④“以新带老”削减量（吨/年）</w:t>
            </w:r>
          </w:p>
        </w:tc>
        <w:tc>
          <w:tcPr>
            <w:tcW w:w="3355"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842F021">
            <w:pPr>
              <w:jc w:val="center"/>
              <w:textAlignment w:val="center"/>
              <w:rPr>
                <w:rFonts w:eastAsia="黑体"/>
                <w:sz w:val="18"/>
                <w:szCs w:val="18"/>
              </w:rPr>
            </w:pPr>
            <w:r>
              <w:rPr>
                <w:rStyle w:val="501"/>
                <w:rFonts w:hint="default" w:ascii="Times New Roman" w:hAnsi="Times New Roman" w:cs="Times New Roman"/>
                <w:color w:val="auto"/>
                <w:lang w:bidi="ar"/>
              </w:rPr>
              <w:t>⑤区域平衡替代</w:t>
            </w:r>
            <w:r>
              <w:rPr>
                <w:rStyle w:val="501"/>
                <w:rFonts w:hint="eastAsia" w:eastAsia="黑体" w:cs="Times New Roman"/>
                <w:color w:val="auto"/>
                <w:lang w:eastAsia="zh-CN" w:bidi="ar"/>
              </w:rPr>
              <w:t>本项目</w:t>
            </w:r>
            <w:r>
              <w:rPr>
                <w:rStyle w:val="501"/>
                <w:rFonts w:hint="default" w:ascii="Times New Roman" w:hAnsi="Times New Roman" w:cs="Times New Roman"/>
                <w:color w:val="auto"/>
                <w:lang w:bidi="ar"/>
              </w:rPr>
              <w:t>削减量（吨/年）</w:t>
            </w:r>
          </w:p>
        </w:tc>
        <w:tc>
          <w:tcPr>
            <w:tcW w:w="3114" w:type="dxa"/>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14:paraId="3B1D6CDC">
            <w:pPr>
              <w:jc w:val="center"/>
              <w:textAlignment w:val="center"/>
              <w:rPr>
                <w:rFonts w:eastAsia="黑体"/>
                <w:sz w:val="18"/>
                <w:szCs w:val="18"/>
                <w:lang w:bidi="ar"/>
              </w:rPr>
            </w:pPr>
            <w:r>
              <w:rPr>
                <w:rFonts w:eastAsia="黑体"/>
                <w:sz w:val="18"/>
                <w:szCs w:val="18"/>
                <w:lang w:bidi="ar"/>
              </w:rPr>
              <w:t>⑥预测排放总量</w:t>
            </w:r>
          </w:p>
          <w:p w14:paraId="50F0A2BB">
            <w:pPr>
              <w:jc w:val="center"/>
              <w:textAlignment w:val="center"/>
              <w:rPr>
                <w:rFonts w:eastAsia="黑体"/>
                <w:sz w:val="18"/>
                <w:szCs w:val="18"/>
              </w:rPr>
            </w:pPr>
            <w:r>
              <w:rPr>
                <w:rFonts w:eastAsia="黑体"/>
                <w:sz w:val="18"/>
                <w:szCs w:val="18"/>
                <w:lang w:bidi="ar"/>
              </w:rPr>
              <w:t>（吨/年）</w:t>
            </w:r>
          </w:p>
        </w:tc>
        <w:tc>
          <w:tcPr>
            <w:tcW w:w="227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577382F">
            <w:pPr>
              <w:jc w:val="center"/>
              <w:textAlignment w:val="center"/>
              <w:rPr>
                <w:rFonts w:eastAsia="黑体"/>
                <w:sz w:val="18"/>
                <w:szCs w:val="18"/>
                <w:lang w:bidi="ar"/>
              </w:rPr>
            </w:pPr>
            <w:r>
              <w:rPr>
                <w:rFonts w:eastAsia="黑体"/>
                <w:sz w:val="18"/>
                <w:szCs w:val="18"/>
                <w:lang w:bidi="ar"/>
              </w:rPr>
              <w:t>⑦排放增减量</w:t>
            </w:r>
          </w:p>
          <w:p w14:paraId="7E8ED498">
            <w:pPr>
              <w:jc w:val="center"/>
              <w:textAlignment w:val="center"/>
              <w:rPr>
                <w:rFonts w:eastAsia="黑体"/>
                <w:sz w:val="18"/>
                <w:szCs w:val="18"/>
              </w:rPr>
            </w:pPr>
            <w:r>
              <w:rPr>
                <w:rFonts w:eastAsia="黑体"/>
                <w:sz w:val="18"/>
                <w:szCs w:val="18"/>
                <w:lang w:bidi="ar"/>
              </w:rPr>
              <w:t>（吨/年）</w:t>
            </w:r>
          </w:p>
        </w:tc>
        <w:tc>
          <w:tcPr>
            <w:tcW w:w="1914" w:type="dxa"/>
            <w:gridSpan w:val="3"/>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2F47247">
            <w:pPr>
              <w:jc w:val="center"/>
              <w:rPr>
                <w:rFonts w:eastAsia="黑体"/>
                <w:sz w:val="18"/>
                <w:szCs w:val="18"/>
              </w:rPr>
            </w:pPr>
          </w:p>
        </w:tc>
      </w:tr>
      <w:tr w14:paraId="205F7E8D">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3DC92107">
            <w:pPr>
              <w:jc w:val="center"/>
              <w:rPr>
                <w:rFonts w:eastAsia="黑体"/>
                <w:sz w:val="22"/>
                <w:szCs w:val="22"/>
              </w:rPr>
            </w:pPr>
          </w:p>
        </w:tc>
        <w:tc>
          <w:tcPr>
            <w:tcW w:w="656" w:type="dxa"/>
            <w:vMerge w:val="restart"/>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1811650B">
            <w:pPr>
              <w:jc w:val="center"/>
              <w:textAlignment w:val="center"/>
              <w:rPr>
                <w:rFonts w:eastAsia="黑体"/>
                <w:sz w:val="22"/>
                <w:szCs w:val="22"/>
              </w:rPr>
            </w:pPr>
            <w:r>
              <w:rPr>
                <w:rFonts w:eastAsia="黑体"/>
                <w:sz w:val="22"/>
                <w:szCs w:val="22"/>
                <w:lang w:bidi="ar"/>
              </w:rPr>
              <w:t>废水</w:t>
            </w: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0DBB25EC">
            <w:pPr>
              <w:jc w:val="center"/>
              <w:textAlignment w:val="center"/>
              <w:rPr>
                <w:rFonts w:eastAsia="黑体"/>
                <w:sz w:val="18"/>
                <w:szCs w:val="18"/>
              </w:rPr>
            </w:pPr>
            <w:r>
              <w:rPr>
                <w:rFonts w:eastAsia="黑体"/>
                <w:sz w:val="18"/>
                <w:szCs w:val="18"/>
                <w:lang w:bidi="ar"/>
              </w:rPr>
              <w:t>废水量(万吨/年)</w:t>
            </w:r>
          </w:p>
        </w:tc>
        <w:tc>
          <w:tcPr>
            <w:tcW w:w="1661" w:type="dxa"/>
            <w:tcBorders>
              <w:top w:val="single" w:color="000000" w:sz="4" w:space="0"/>
              <w:left w:val="single" w:color="000000" w:sz="4" w:space="0"/>
              <w:bottom w:val="single" w:color="000000" w:sz="4" w:space="0"/>
              <w:right w:val="single" w:color="000000" w:sz="4" w:space="0"/>
            </w:tcBorders>
            <w:vAlign w:val="center"/>
          </w:tcPr>
          <w:p w14:paraId="06F423C4">
            <w:pPr>
              <w:jc w:val="center"/>
              <w:rPr>
                <w:rFonts w:hint="default"/>
                <w:sz w:val="18"/>
                <w:szCs w:val="18"/>
                <w:lang w:val="en-US" w:eastAsia="zh-CN"/>
              </w:rPr>
            </w:pPr>
            <w:r>
              <w:rPr>
                <w:rFonts w:hint="eastAsia"/>
                <w:sz w:val="18"/>
                <w:szCs w:val="18"/>
                <w:lang w:val="en-US" w:eastAsia="zh-CN"/>
              </w:rPr>
              <w:t>438</w:t>
            </w:r>
          </w:p>
        </w:tc>
        <w:tc>
          <w:tcPr>
            <w:tcW w:w="1193" w:type="dxa"/>
            <w:tcBorders>
              <w:top w:val="single" w:color="000000" w:sz="4" w:space="0"/>
              <w:left w:val="single" w:color="000000" w:sz="4" w:space="0"/>
              <w:bottom w:val="single" w:color="000000" w:sz="4" w:space="0"/>
              <w:right w:val="single" w:color="000000" w:sz="4" w:space="0"/>
            </w:tcBorders>
            <w:vAlign w:val="center"/>
          </w:tcPr>
          <w:p w14:paraId="434CE0C8">
            <w:pPr>
              <w:jc w:val="center"/>
              <w:rPr>
                <w:rFonts w:hint="default"/>
                <w:sz w:val="18"/>
                <w:szCs w:val="18"/>
                <w:lang w:val="en-US" w:eastAsia="zh-CN"/>
              </w:rPr>
            </w:pPr>
            <w:r>
              <w:rPr>
                <w:rFonts w:hint="eastAsia"/>
                <w:sz w:val="18"/>
                <w:szCs w:val="18"/>
                <w:lang w:val="en-US" w:eastAsia="zh-CN"/>
              </w:rPr>
              <w:t xml:space="preserve">   438</w:t>
            </w:r>
          </w:p>
        </w:tc>
        <w:tc>
          <w:tcPr>
            <w:tcW w:w="1659" w:type="dxa"/>
            <w:tcBorders>
              <w:top w:val="single" w:color="000000" w:sz="4" w:space="0"/>
              <w:left w:val="single" w:color="000000" w:sz="4" w:space="0"/>
              <w:bottom w:val="single" w:color="000000" w:sz="4" w:space="0"/>
              <w:right w:val="single" w:color="000000" w:sz="4" w:space="0"/>
            </w:tcBorders>
            <w:vAlign w:val="center"/>
          </w:tcPr>
          <w:p w14:paraId="272786C6">
            <w:pPr>
              <w:jc w:val="center"/>
              <w:rPr>
                <w:rFonts w:hint="default"/>
                <w:sz w:val="18"/>
                <w:szCs w:val="18"/>
                <w:lang w:val="en-US" w:eastAsia="zh-CN"/>
              </w:rPr>
            </w:pPr>
            <w:r>
              <w:rPr>
                <w:rFonts w:hint="eastAsia"/>
                <w:sz w:val="18"/>
                <w:szCs w:val="18"/>
                <w:lang w:val="en-US" w:eastAsia="zh-CN"/>
              </w:rPr>
              <w:t>657</w:t>
            </w: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19EE5808">
            <w:pPr>
              <w:jc w:val="center"/>
              <w:rPr>
                <w:sz w:val="18"/>
                <w:szCs w:val="18"/>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6B1F8662">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184437AA">
            <w:pPr>
              <w:jc w:val="center"/>
              <w:rPr>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0BC36A00">
            <w:pPr>
              <w:jc w:val="center"/>
              <w:rPr>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2B5A8D62">
            <w:pPr>
              <w:jc w:val="center"/>
              <w:rPr>
                <w:rFonts w:eastAsia="黑体"/>
              </w:rPr>
            </w:pPr>
          </w:p>
        </w:tc>
      </w:tr>
      <w:tr w14:paraId="2E1C129F">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2AB75894">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1F7AA843">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68928C47">
            <w:pPr>
              <w:jc w:val="center"/>
              <w:textAlignment w:val="center"/>
              <w:rPr>
                <w:rFonts w:eastAsia="黑体"/>
                <w:sz w:val="18"/>
                <w:szCs w:val="18"/>
              </w:rPr>
            </w:pPr>
            <w:r>
              <w:rPr>
                <w:rFonts w:eastAsia="黑体"/>
                <w:sz w:val="18"/>
                <w:szCs w:val="18"/>
                <w:lang w:bidi="ar"/>
              </w:rPr>
              <w:t>COD</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68DE141A">
            <w:pPr>
              <w:jc w:val="center"/>
              <w:rPr>
                <w:rFonts w:hint="default"/>
                <w:sz w:val="18"/>
                <w:szCs w:val="18"/>
                <w:lang w:val="en-US" w:eastAsia="zh-CN"/>
              </w:rPr>
            </w:pPr>
            <w:r>
              <w:rPr>
                <w:rFonts w:hint="eastAsia"/>
                <w:sz w:val="18"/>
                <w:szCs w:val="18"/>
                <w:lang w:val="en-US" w:eastAsia="zh-CN"/>
              </w:rPr>
              <w:t>900</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0DB2A5CB">
            <w:pPr>
              <w:jc w:val="center"/>
              <w:rPr>
                <w:rFonts w:hint="eastAsia"/>
                <w:sz w:val="18"/>
                <w:szCs w:val="18"/>
                <w:lang w:val="en-US" w:eastAsia="zh-CN"/>
              </w:rPr>
            </w:pPr>
            <w:r>
              <w:rPr>
                <w:rFonts w:hint="eastAsia"/>
                <w:sz w:val="18"/>
                <w:szCs w:val="18"/>
                <w:lang w:val="en-US" w:eastAsia="zh-CN"/>
              </w:rPr>
              <w:t>900</w:t>
            </w: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05902CF8">
            <w:pPr>
              <w:jc w:val="center"/>
              <w:rPr>
                <w:rFonts w:hint="default"/>
                <w:sz w:val="18"/>
                <w:szCs w:val="18"/>
                <w:lang w:val="en-US" w:eastAsia="zh-CN"/>
              </w:rPr>
            </w:pPr>
            <w:r>
              <w:rPr>
                <w:rFonts w:hint="eastAsia"/>
                <w:sz w:val="18"/>
                <w:szCs w:val="18"/>
                <w:lang w:val="en-US" w:eastAsia="zh-CN"/>
              </w:rPr>
              <w:t>109.5</w:t>
            </w: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6FC478F8">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49BAB88F">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732C8168">
            <w:pP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35D34868">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04871836">
            <w:pPr>
              <w:jc w:val="center"/>
              <w:rPr>
                <w:rFonts w:eastAsia="黑体"/>
              </w:rPr>
            </w:pPr>
          </w:p>
        </w:tc>
      </w:tr>
      <w:tr w14:paraId="386DAAC2">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2E7BA42B">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9E487D7">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000F81F5">
            <w:pPr>
              <w:jc w:val="center"/>
              <w:textAlignment w:val="center"/>
              <w:rPr>
                <w:rFonts w:eastAsia="黑体"/>
                <w:sz w:val="18"/>
                <w:szCs w:val="18"/>
              </w:rPr>
            </w:pPr>
            <w:r>
              <w:rPr>
                <w:rFonts w:eastAsia="黑体"/>
                <w:sz w:val="18"/>
                <w:szCs w:val="18"/>
                <w:lang w:bidi="ar"/>
              </w:rPr>
              <w:t>氨氮</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1DC6A96B">
            <w:pPr>
              <w:jc w:val="center"/>
              <w:rPr>
                <w:rFonts w:hint="default"/>
                <w:sz w:val="18"/>
                <w:szCs w:val="18"/>
                <w:lang w:val="en-US" w:eastAsia="zh-CN"/>
              </w:rPr>
            </w:pPr>
            <w:r>
              <w:rPr>
                <w:rFonts w:hint="eastAsia"/>
                <w:sz w:val="18"/>
                <w:szCs w:val="18"/>
                <w:lang w:val="en-US" w:eastAsia="zh-CN"/>
              </w:rPr>
              <w:t>144</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487A1856">
            <w:pPr>
              <w:jc w:val="center"/>
              <w:rPr>
                <w:rFonts w:hint="eastAsia"/>
                <w:sz w:val="18"/>
                <w:szCs w:val="18"/>
                <w:lang w:val="en-US" w:eastAsia="zh-CN"/>
              </w:rPr>
            </w:pPr>
            <w:r>
              <w:rPr>
                <w:rFonts w:hint="eastAsia"/>
                <w:sz w:val="18"/>
                <w:szCs w:val="18"/>
                <w:lang w:val="en-US" w:eastAsia="zh-CN"/>
              </w:rPr>
              <w:t>144</w:t>
            </w: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09263F30">
            <w:pPr>
              <w:jc w:val="center"/>
              <w:rPr>
                <w:rFonts w:hint="default"/>
                <w:sz w:val="18"/>
                <w:szCs w:val="18"/>
                <w:lang w:val="en-US" w:eastAsia="zh-CN"/>
              </w:rPr>
            </w:pPr>
            <w:r>
              <w:rPr>
                <w:rFonts w:hint="eastAsia"/>
                <w:sz w:val="18"/>
                <w:szCs w:val="18"/>
                <w:lang w:val="en-US" w:eastAsia="zh-CN"/>
              </w:rPr>
              <w:t>10.95</w:t>
            </w: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05A25F4B">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4CA28499">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700E0888">
            <w:pPr>
              <w:jc w:val="center"/>
              <w:rPr>
                <w:rFonts w:hint="default"/>
                <w:sz w:val="18"/>
                <w:szCs w:val="18"/>
                <w:lang w:val="en-US" w:eastAsia="zh-CN"/>
              </w:rPr>
            </w:pPr>
            <w:r>
              <w:rPr>
                <w:rFonts w:hint="eastAsia"/>
                <w:sz w:val="18"/>
                <w:szCs w:val="18"/>
                <w:lang w:val="en-US" w:eastAsia="zh-CN"/>
              </w:rPr>
              <w:t>1009.5</w:t>
            </w: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3365D41C">
            <w:pPr>
              <w:jc w:val="center"/>
              <w:rPr>
                <w:sz w:val="18"/>
                <w:szCs w:val="18"/>
              </w:rPr>
            </w:pPr>
            <w:r>
              <w:rPr>
                <w:rFonts w:hint="eastAsia"/>
                <w:sz w:val="18"/>
                <w:szCs w:val="18"/>
                <w:lang w:val="en-US" w:eastAsia="zh-CN"/>
              </w:rPr>
              <w:t>109.5</w:t>
            </w: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00CE4EC6">
            <w:pPr>
              <w:jc w:val="center"/>
              <w:rPr>
                <w:sz w:val="18"/>
                <w:szCs w:val="18"/>
              </w:rPr>
            </w:pPr>
            <w:r>
              <w:rPr>
                <w:rFonts w:hint="eastAsia"/>
                <w:sz w:val="18"/>
                <w:szCs w:val="18"/>
                <w:lang w:val="en-US" w:eastAsia="zh-CN"/>
              </w:rPr>
              <w:t>+109.5</w:t>
            </w:r>
          </w:p>
        </w:tc>
      </w:tr>
      <w:tr w14:paraId="28A6637A">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48D274AB">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5D08C1D7">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33E7CCE">
            <w:pPr>
              <w:jc w:val="center"/>
              <w:textAlignment w:val="center"/>
              <w:rPr>
                <w:rFonts w:eastAsia="黑体"/>
                <w:sz w:val="18"/>
                <w:szCs w:val="18"/>
              </w:rPr>
            </w:pPr>
            <w:r>
              <w:rPr>
                <w:rFonts w:eastAsia="黑体"/>
                <w:sz w:val="18"/>
                <w:szCs w:val="18"/>
                <w:lang w:bidi="ar"/>
              </w:rPr>
              <w:t>总磷</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16231E21">
            <w:pPr>
              <w:jc w:val="center"/>
              <w:rPr>
                <w:rFonts w:hint="default"/>
                <w:sz w:val="18"/>
                <w:szCs w:val="18"/>
                <w:lang w:val="en-US" w:eastAsia="zh-CN"/>
              </w:rPr>
            </w:pPr>
            <w:r>
              <w:rPr>
                <w:rFonts w:hint="eastAsia"/>
                <w:sz w:val="18"/>
                <w:szCs w:val="18"/>
                <w:lang w:val="en-US" w:eastAsia="zh-CN"/>
              </w:rPr>
              <w:t>270</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79A635D9">
            <w:pPr>
              <w:jc w:val="center"/>
              <w:rPr>
                <w:rFonts w:hint="eastAsia"/>
                <w:sz w:val="18"/>
                <w:szCs w:val="18"/>
                <w:lang w:val="en-US" w:eastAsia="zh-CN"/>
              </w:rPr>
            </w:pPr>
            <w:r>
              <w:rPr>
                <w:rFonts w:hint="eastAsia"/>
                <w:sz w:val="18"/>
                <w:szCs w:val="18"/>
                <w:lang w:val="en-US" w:eastAsia="zh-CN"/>
              </w:rPr>
              <w:t>270</w:t>
            </w: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10B7818C">
            <w:pPr>
              <w:jc w:val="center"/>
              <w:rPr>
                <w:rFonts w:hint="default"/>
                <w:sz w:val="18"/>
                <w:szCs w:val="18"/>
                <w:lang w:val="en-US" w:eastAsia="zh-CN"/>
              </w:rPr>
            </w:pPr>
            <w:r>
              <w:rPr>
                <w:rFonts w:hint="eastAsia"/>
                <w:sz w:val="18"/>
                <w:szCs w:val="18"/>
                <w:lang w:val="en-US" w:eastAsia="zh-CN"/>
              </w:rPr>
              <w:t>32.85</w:t>
            </w: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1CC38CE3">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77150A85">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79DCC6CD">
            <w:pPr>
              <w:jc w:val="center"/>
              <w:rPr>
                <w:rFonts w:hint="default"/>
                <w:sz w:val="18"/>
                <w:szCs w:val="18"/>
                <w:lang w:val="en-US" w:eastAsia="zh-CN"/>
              </w:rPr>
            </w:pPr>
            <w:r>
              <w:rPr>
                <w:rFonts w:hint="eastAsia"/>
                <w:sz w:val="18"/>
                <w:szCs w:val="18"/>
                <w:lang w:val="en-US" w:eastAsia="zh-CN"/>
              </w:rPr>
              <w:t>154.95</w:t>
            </w: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554CE6BA">
            <w:pPr>
              <w:jc w:val="center"/>
              <w:rPr>
                <w:sz w:val="18"/>
                <w:szCs w:val="18"/>
              </w:rPr>
            </w:pPr>
            <w:r>
              <w:rPr>
                <w:rFonts w:hint="eastAsia"/>
                <w:sz w:val="18"/>
                <w:szCs w:val="18"/>
                <w:lang w:val="en-US" w:eastAsia="zh-CN"/>
              </w:rPr>
              <w:t>10.95</w:t>
            </w: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73AF5CA0">
            <w:pPr>
              <w:jc w:val="center"/>
              <w:rPr>
                <w:sz w:val="18"/>
                <w:szCs w:val="18"/>
              </w:rPr>
            </w:pPr>
            <w:r>
              <w:rPr>
                <w:rFonts w:hint="eastAsia"/>
                <w:sz w:val="18"/>
                <w:szCs w:val="18"/>
                <w:lang w:val="en-US" w:eastAsia="zh-CN"/>
              </w:rPr>
              <w:t>+10.95</w:t>
            </w:r>
          </w:p>
        </w:tc>
      </w:tr>
      <w:tr w14:paraId="2ED19D2C">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7D5F2777">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68B2A1D">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0F3663C">
            <w:pPr>
              <w:jc w:val="center"/>
              <w:textAlignment w:val="center"/>
              <w:rPr>
                <w:rFonts w:eastAsia="黑体"/>
                <w:sz w:val="18"/>
                <w:szCs w:val="18"/>
              </w:rPr>
            </w:pPr>
            <w:r>
              <w:rPr>
                <w:rFonts w:eastAsia="黑体"/>
                <w:sz w:val="18"/>
                <w:szCs w:val="18"/>
                <w:lang w:bidi="ar"/>
              </w:rPr>
              <w:t>总氮</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496A1A8B">
            <w:pPr>
              <w:jc w:val="center"/>
              <w:rPr>
                <w:rFonts w:hint="eastAsia"/>
                <w:sz w:val="18"/>
                <w:szCs w:val="18"/>
                <w:lang w:val="en-US" w:eastAsia="zh-CN"/>
              </w:rPr>
            </w:pPr>
            <w:r>
              <w:rPr>
                <w:rFonts w:hint="eastAsia"/>
                <w:sz w:val="18"/>
                <w:szCs w:val="18"/>
                <w:lang w:val="en-US" w:eastAsia="zh-CN"/>
              </w:rPr>
              <w:t>9</w:t>
            </w: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370D847F">
            <w:pPr>
              <w:jc w:val="center"/>
              <w:rPr>
                <w:rFonts w:hint="eastAsia"/>
                <w:sz w:val="18"/>
                <w:szCs w:val="18"/>
                <w:lang w:val="en-US" w:eastAsia="zh-CN"/>
              </w:rPr>
            </w:pPr>
            <w:r>
              <w:rPr>
                <w:rFonts w:hint="eastAsia"/>
                <w:sz w:val="18"/>
                <w:szCs w:val="18"/>
                <w:lang w:val="en-US" w:eastAsia="zh-CN"/>
              </w:rPr>
              <w:t>9</w:t>
            </w: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74FB0450">
            <w:pPr>
              <w:jc w:val="center"/>
              <w:rPr>
                <w:rFonts w:hint="default"/>
                <w:sz w:val="18"/>
                <w:szCs w:val="18"/>
                <w:lang w:val="en-US" w:eastAsia="zh-CN"/>
              </w:rPr>
            </w:pPr>
            <w:r>
              <w:rPr>
                <w:rFonts w:hint="eastAsia"/>
                <w:sz w:val="18"/>
                <w:szCs w:val="18"/>
                <w:lang w:val="en-US" w:eastAsia="zh-CN"/>
              </w:rPr>
              <w:t>1.095</w:t>
            </w: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38CEAAEC">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703C30A4">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712190D7">
            <w:pPr>
              <w:jc w:val="center"/>
              <w:rPr>
                <w:rFonts w:hint="default"/>
                <w:sz w:val="18"/>
                <w:szCs w:val="18"/>
                <w:lang w:val="en-US" w:eastAsia="zh-CN"/>
              </w:rPr>
            </w:pPr>
            <w:r>
              <w:rPr>
                <w:rFonts w:hint="eastAsia"/>
                <w:sz w:val="18"/>
                <w:szCs w:val="18"/>
                <w:lang w:val="en-US" w:eastAsia="zh-CN"/>
              </w:rPr>
              <w:t>302.85</w:t>
            </w: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6EC5BB29">
            <w:pPr>
              <w:jc w:val="center"/>
              <w:rPr>
                <w:sz w:val="18"/>
                <w:szCs w:val="18"/>
              </w:rPr>
            </w:pPr>
            <w:r>
              <w:rPr>
                <w:rFonts w:hint="eastAsia"/>
                <w:sz w:val="18"/>
                <w:szCs w:val="18"/>
                <w:lang w:val="en-US" w:eastAsia="zh-CN"/>
              </w:rPr>
              <w:t>32.85</w:t>
            </w: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3DD379F0">
            <w:pPr>
              <w:jc w:val="center"/>
              <w:rPr>
                <w:sz w:val="18"/>
                <w:szCs w:val="18"/>
              </w:rPr>
            </w:pPr>
            <w:r>
              <w:rPr>
                <w:rFonts w:hint="eastAsia"/>
                <w:sz w:val="18"/>
                <w:szCs w:val="18"/>
                <w:lang w:val="en-US" w:eastAsia="zh-CN"/>
              </w:rPr>
              <w:t>+32.85</w:t>
            </w:r>
          </w:p>
        </w:tc>
      </w:tr>
      <w:tr w14:paraId="728A2ADE">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56532CAD">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5E8C681E">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073A0F83">
            <w:pPr>
              <w:jc w:val="center"/>
              <w:textAlignment w:val="center"/>
              <w:rPr>
                <w:rFonts w:eastAsia="黑体"/>
                <w:sz w:val="18"/>
                <w:szCs w:val="18"/>
              </w:rPr>
            </w:pPr>
            <w:r>
              <w:rPr>
                <w:rFonts w:eastAsia="黑体"/>
                <w:sz w:val="18"/>
                <w:szCs w:val="18"/>
                <w:lang w:bidi="ar"/>
              </w:rPr>
              <w:t>铅</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24ED8B7D">
            <w:pPr>
              <w:adjustRightInd w:val="0"/>
              <w:snapToGrid w:val="0"/>
              <w:jc w:val="center"/>
              <w:rPr>
                <w:color w:val="000000" w:themeColor="text1"/>
                <w:sz w:val="21"/>
                <w:szCs w:val="21"/>
                <w14:textFill>
                  <w14:solidFill>
                    <w14:schemeClr w14:val="tx1"/>
                  </w14:solidFill>
                </w14:textFill>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56C84D66">
            <w:pPr>
              <w:pStyle w:val="20"/>
              <w:jc w:val="center"/>
              <w:rPr>
                <w:color w:val="000000" w:themeColor="text1"/>
                <w14:textFill>
                  <w14:solidFill>
                    <w14:schemeClr w14:val="tx1"/>
                  </w14:solidFill>
                </w14:textFill>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2B58CEF0">
            <w:pPr>
              <w:pStyle w:val="20"/>
              <w:jc w:val="center"/>
              <w:rPr>
                <w:color w:val="000000" w:themeColor="text1"/>
                <w14:textFill>
                  <w14:solidFill>
                    <w14:schemeClr w14:val="tx1"/>
                  </w14:solidFill>
                </w14:textFill>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551190E0">
            <w:pPr>
              <w:pStyle w:val="20"/>
              <w:jc w:val="center"/>
              <w:rPr>
                <w:color w:val="000000" w:themeColor="text1"/>
                <w14:textFill>
                  <w14:solidFill>
                    <w14:schemeClr w14:val="tx1"/>
                  </w14:solidFill>
                </w14:textFill>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7EFDCE14">
            <w:pPr>
              <w:pStyle w:val="20"/>
              <w:jc w:val="center"/>
              <w:rPr>
                <w:color w:val="000000" w:themeColor="text1"/>
                <w14:textFill>
                  <w14:solidFill>
                    <w14:schemeClr w14:val="tx1"/>
                  </w14:solidFill>
                </w14:textFill>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4F6F408C">
            <w:pPr>
              <w:jc w:val="center"/>
              <w:rPr>
                <w:rFonts w:hint="default"/>
                <w:sz w:val="18"/>
                <w:szCs w:val="18"/>
                <w:lang w:val="en-US" w:eastAsia="zh-CN"/>
              </w:rPr>
            </w:pPr>
            <w:r>
              <w:rPr>
                <w:rFonts w:hint="eastAsia"/>
                <w:sz w:val="18"/>
                <w:szCs w:val="18"/>
                <w:lang w:val="en-US" w:eastAsia="zh-CN"/>
              </w:rPr>
              <w:t>10.095</w:t>
            </w: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2D976D64">
            <w:pPr>
              <w:jc w:val="center"/>
              <w:rPr>
                <w:sz w:val="18"/>
                <w:szCs w:val="18"/>
              </w:rPr>
            </w:pPr>
            <w:r>
              <w:rPr>
                <w:rFonts w:hint="eastAsia"/>
                <w:sz w:val="18"/>
                <w:szCs w:val="18"/>
                <w:lang w:val="en-US" w:eastAsia="zh-CN"/>
              </w:rPr>
              <w:t>1.095</w:t>
            </w: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17931CA6">
            <w:pPr>
              <w:jc w:val="center"/>
              <w:rPr>
                <w:sz w:val="18"/>
                <w:szCs w:val="18"/>
              </w:rPr>
            </w:pPr>
            <w:r>
              <w:rPr>
                <w:rFonts w:hint="eastAsia"/>
                <w:sz w:val="18"/>
                <w:szCs w:val="18"/>
                <w:lang w:val="en-US" w:eastAsia="zh-CN"/>
              </w:rPr>
              <w:t>+1.095</w:t>
            </w:r>
          </w:p>
        </w:tc>
      </w:tr>
      <w:tr w14:paraId="74750A8E">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3815B626">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D2CEABA">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3338C79">
            <w:pPr>
              <w:jc w:val="center"/>
              <w:textAlignment w:val="center"/>
              <w:rPr>
                <w:rFonts w:eastAsia="黑体"/>
                <w:sz w:val="18"/>
                <w:szCs w:val="18"/>
              </w:rPr>
            </w:pPr>
            <w:r>
              <w:rPr>
                <w:rFonts w:eastAsia="黑体"/>
                <w:sz w:val="18"/>
                <w:szCs w:val="18"/>
                <w:lang w:bidi="ar"/>
              </w:rPr>
              <w:t>汞</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71DCA24D">
            <w:pPr>
              <w:adjustRightInd w:val="0"/>
              <w:snapToGrid w:val="0"/>
              <w:jc w:val="center"/>
              <w:rPr>
                <w:color w:val="000000" w:themeColor="text1"/>
                <w:sz w:val="21"/>
                <w:szCs w:val="21"/>
                <w14:textFill>
                  <w14:solidFill>
                    <w14:schemeClr w14:val="tx1"/>
                  </w14:solidFill>
                </w14:textFill>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16320B35">
            <w:pPr>
              <w:pStyle w:val="20"/>
              <w:jc w:val="center"/>
              <w:rPr>
                <w:color w:val="000000" w:themeColor="text1"/>
                <w14:textFill>
                  <w14:solidFill>
                    <w14:schemeClr w14:val="tx1"/>
                  </w14:solidFill>
                </w14:textFill>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11A215B4">
            <w:pPr>
              <w:pStyle w:val="20"/>
              <w:jc w:val="center"/>
              <w:rPr>
                <w:color w:val="000000" w:themeColor="text1"/>
                <w14:textFill>
                  <w14:solidFill>
                    <w14:schemeClr w14:val="tx1"/>
                  </w14:solidFill>
                </w14:textFill>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332AF057">
            <w:pPr>
              <w:pStyle w:val="20"/>
              <w:jc w:val="center"/>
              <w:rPr>
                <w:color w:val="000000" w:themeColor="text1"/>
                <w14:textFill>
                  <w14:solidFill>
                    <w14:schemeClr w14:val="tx1"/>
                  </w14:solidFill>
                </w14:textFill>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0061B4F8">
            <w:pPr>
              <w:pStyle w:val="20"/>
              <w:jc w:val="center"/>
              <w:rPr>
                <w:color w:val="000000" w:themeColor="text1"/>
                <w14:textFill>
                  <w14:solidFill>
                    <w14:schemeClr w14:val="tx1"/>
                  </w14:solidFill>
                </w14:textFill>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3D5E0939">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7B424448">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5D11AFD8">
            <w:pPr>
              <w:jc w:val="center"/>
              <w:rPr>
                <w:rFonts w:eastAsia="黑体"/>
              </w:rPr>
            </w:pPr>
          </w:p>
        </w:tc>
      </w:tr>
      <w:tr w14:paraId="3FBCD2AD">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0432BA03">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92FC3F0">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682E458E">
            <w:pPr>
              <w:jc w:val="center"/>
              <w:textAlignment w:val="center"/>
              <w:rPr>
                <w:rFonts w:eastAsia="黑体"/>
                <w:sz w:val="18"/>
                <w:szCs w:val="18"/>
              </w:rPr>
            </w:pPr>
            <w:r>
              <w:rPr>
                <w:rFonts w:eastAsia="黑体"/>
                <w:sz w:val="18"/>
                <w:szCs w:val="18"/>
                <w:lang w:bidi="ar"/>
              </w:rPr>
              <w:t>镉</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0AD60821">
            <w:pPr>
              <w:adjustRightInd w:val="0"/>
              <w:snapToGrid w:val="0"/>
              <w:jc w:val="center"/>
              <w:rPr>
                <w:color w:val="000000" w:themeColor="text1"/>
                <w:sz w:val="21"/>
                <w:szCs w:val="21"/>
                <w14:textFill>
                  <w14:solidFill>
                    <w14:schemeClr w14:val="tx1"/>
                  </w14:solidFill>
                </w14:textFill>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5A5170F9">
            <w:pPr>
              <w:pStyle w:val="20"/>
              <w:jc w:val="center"/>
              <w:rPr>
                <w:color w:val="000000" w:themeColor="text1"/>
                <w14:textFill>
                  <w14:solidFill>
                    <w14:schemeClr w14:val="tx1"/>
                  </w14:solidFill>
                </w14:textFill>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1A251D82">
            <w:pPr>
              <w:pStyle w:val="20"/>
              <w:jc w:val="center"/>
              <w:rPr>
                <w:color w:val="000000" w:themeColor="text1"/>
                <w14:textFill>
                  <w14:solidFill>
                    <w14:schemeClr w14:val="tx1"/>
                  </w14:solidFill>
                </w14:textFill>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5CE7E19D">
            <w:pPr>
              <w:pStyle w:val="20"/>
              <w:jc w:val="center"/>
              <w:rPr>
                <w:color w:val="000000" w:themeColor="text1"/>
                <w14:textFill>
                  <w14:solidFill>
                    <w14:schemeClr w14:val="tx1"/>
                  </w14:solidFill>
                </w14:textFill>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75473EAC">
            <w:pPr>
              <w:pStyle w:val="20"/>
              <w:jc w:val="center"/>
              <w:rPr>
                <w:color w:val="000000" w:themeColor="text1"/>
                <w14:textFill>
                  <w14:solidFill>
                    <w14:schemeClr w14:val="tx1"/>
                  </w14:solidFill>
                </w14:textFill>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5850D648">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48D90525">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3A9C51FC">
            <w:pPr>
              <w:jc w:val="center"/>
              <w:rPr>
                <w:rFonts w:eastAsia="黑体"/>
              </w:rPr>
            </w:pPr>
          </w:p>
        </w:tc>
      </w:tr>
      <w:tr w14:paraId="2923376D">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39DA655F">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472BAC1A">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44A56DF">
            <w:pPr>
              <w:jc w:val="center"/>
              <w:textAlignment w:val="center"/>
              <w:rPr>
                <w:rFonts w:eastAsia="黑体"/>
                <w:sz w:val="18"/>
                <w:szCs w:val="18"/>
              </w:rPr>
            </w:pPr>
            <w:r>
              <w:rPr>
                <w:rFonts w:eastAsia="黑体"/>
                <w:sz w:val="18"/>
                <w:szCs w:val="18"/>
                <w:lang w:bidi="ar"/>
              </w:rPr>
              <w:t>铬</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3D128E7D">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407B1E40">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0D06AD93">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6D8AA177">
            <w:pPr>
              <w:jc w:val="cente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noWrap/>
            <w:vAlign w:val="center"/>
          </w:tcPr>
          <w:p w14:paraId="6821CA82">
            <w:pPr>
              <w:jc w:val="cente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39F45547">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2BC09DC6">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20F16B19">
            <w:pPr>
              <w:jc w:val="center"/>
              <w:rPr>
                <w:rFonts w:eastAsia="黑体"/>
              </w:rPr>
            </w:pPr>
          </w:p>
        </w:tc>
      </w:tr>
      <w:tr w14:paraId="502E0F39">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7C4F318A">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9E53EE7">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38755B3">
            <w:pPr>
              <w:jc w:val="center"/>
              <w:textAlignment w:val="center"/>
              <w:rPr>
                <w:rFonts w:eastAsia="黑体"/>
                <w:sz w:val="18"/>
                <w:szCs w:val="18"/>
              </w:rPr>
            </w:pPr>
            <w:r>
              <w:rPr>
                <w:rFonts w:eastAsia="黑体"/>
                <w:sz w:val="18"/>
                <w:szCs w:val="18"/>
                <w:lang w:bidi="ar"/>
              </w:rPr>
              <w:t>类金属砷</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53893C5E">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340CCDC5">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20A8715E">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34632016">
            <w:pPr>
              <w:jc w:val="cente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6F92A394">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5BE807C4">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2A9FE518">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663026B4">
            <w:pPr>
              <w:jc w:val="center"/>
              <w:rPr>
                <w:rFonts w:eastAsia="黑体"/>
              </w:rPr>
            </w:pPr>
          </w:p>
        </w:tc>
      </w:tr>
      <w:tr w14:paraId="3923335D">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6B7150BD">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05BB1D3">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27AC9891">
            <w:pPr>
              <w:jc w:val="center"/>
              <w:textAlignment w:val="center"/>
              <w:rPr>
                <w:rFonts w:eastAsia="黑体"/>
                <w:sz w:val="18"/>
                <w:szCs w:val="18"/>
              </w:rPr>
            </w:pPr>
            <w:r>
              <w:rPr>
                <w:rFonts w:eastAsia="黑体"/>
                <w:sz w:val="18"/>
                <w:szCs w:val="18"/>
                <w:lang w:bidi="ar"/>
              </w:rPr>
              <w:t>其他特征污染物</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7934FDE2">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5FB27775">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28878F15">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3A5826AB">
            <w:pPr>
              <w:jc w:val="cente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5E2787BC">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4F2B18D7">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53B5B414">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6C872A75">
            <w:pPr>
              <w:jc w:val="center"/>
              <w:rPr>
                <w:rFonts w:eastAsia="黑体"/>
              </w:rPr>
            </w:pPr>
          </w:p>
        </w:tc>
      </w:tr>
      <w:tr w14:paraId="4CBD3834">
        <w:tblPrEx>
          <w:tblCellMar>
            <w:top w:w="0" w:type="dxa"/>
            <w:left w:w="108" w:type="dxa"/>
            <w:bottom w:w="0" w:type="dxa"/>
            <w:right w:w="108" w:type="dxa"/>
          </w:tblCellMar>
        </w:tblPrEx>
        <w:trPr>
          <w:trHeight w:val="90" w:hRule="atLeast"/>
          <w:jc w:val="center"/>
        </w:trPr>
        <w:tc>
          <w:tcPr>
            <w:tcW w:w="888" w:type="dxa"/>
            <w:vMerge w:val="continue"/>
            <w:tcBorders>
              <w:left w:val="single" w:color="000000" w:sz="4" w:space="0"/>
              <w:right w:val="single" w:color="000000" w:sz="4" w:space="0"/>
            </w:tcBorders>
            <w:shd w:val="clear" w:color="auto" w:fill="BFBFBF"/>
            <w:vAlign w:val="center"/>
          </w:tcPr>
          <w:p w14:paraId="79D57E9F">
            <w:pPr>
              <w:jc w:val="center"/>
              <w:rPr>
                <w:rFonts w:eastAsia="黑体"/>
                <w:sz w:val="22"/>
                <w:szCs w:val="22"/>
              </w:rPr>
            </w:pPr>
          </w:p>
        </w:tc>
        <w:tc>
          <w:tcPr>
            <w:tcW w:w="656" w:type="dxa"/>
            <w:vMerge w:val="restart"/>
            <w:tcBorders>
              <w:top w:val="single" w:color="000000" w:sz="4" w:space="0"/>
              <w:left w:val="single" w:color="000000" w:sz="4" w:space="0"/>
              <w:right w:val="single" w:color="000000" w:sz="4" w:space="0"/>
            </w:tcBorders>
            <w:shd w:val="clear" w:color="auto" w:fill="BFBFBF"/>
            <w:noWrap/>
            <w:vAlign w:val="center"/>
          </w:tcPr>
          <w:p w14:paraId="5FBFE19A">
            <w:pPr>
              <w:jc w:val="center"/>
              <w:textAlignment w:val="center"/>
              <w:rPr>
                <w:rFonts w:eastAsia="黑体"/>
                <w:sz w:val="22"/>
                <w:szCs w:val="22"/>
              </w:rPr>
            </w:pPr>
            <w:r>
              <w:rPr>
                <w:rFonts w:eastAsia="黑体"/>
                <w:sz w:val="22"/>
                <w:szCs w:val="22"/>
                <w:lang w:bidi="ar"/>
              </w:rPr>
              <w:t>废气</w:t>
            </w: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71ADFFCD">
            <w:pPr>
              <w:jc w:val="center"/>
              <w:textAlignment w:val="center"/>
              <w:rPr>
                <w:rFonts w:eastAsia="黑体"/>
                <w:sz w:val="18"/>
                <w:szCs w:val="18"/>
                <w:lang w:bidi="ar"/>
              </w:rPr>
            </w:pPr>
            <w:r>
              <w:rPr>
                <w:rFonts w:eastAsia="黑体"/>
                <w:sz w:val="18"/>
                <w:szCs w:val="18"/>
                <w:lang w:bidi="ar"/>
              </w:rPr>
              <w:t>废气量</w:t>
            </w:r>
          </w:p>
          <w:p w14:paraId="1BE0582C">
            <w:pPr>
              <w:jc w:val="center"/>
              <w:textAlignment w:val="center"/>
              <w:rPr>
                <w:rFonts w:eastAsia="黑体"/>
                <w:sz w:val="18"/>
                <w:szCs w:val="18"/>
              </w:rPr>
            </w:pPr>
            <w:r>
              <w:rPr>
                <w:rFonts w:eastAsia="黑体"/>
                <w:sz w:val="18"/>
                <w:szCs w:val="18"/>
                <w:lang w:bidi="ar"/>
              </w:rPr>
              <w:t>（万标立方米/年）</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363EA8A1">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2E15A154">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737FDC7D">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636330AE">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3F269351">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5E80163F">
            <w:pP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3D42E5B8">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5B465957">
            <w:pPr>
              <w:jc w:val="center"/>
              <w:rPr>
                <w:rFonts w:eastAsia="黑体"/>
              </w:rPr>
            </w:pPr>
          </w:p>
        </w:tc>
      </w:tr>
      <w:tr w14:paraId="1496235B">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1B6D0044">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01EBC857">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C8301B2">
            <w:pPr>
              <w:jc w:val="center"/>
              <w:textAlignment w:val="center"/>
              <w:rPr>
                <w:rFonts w:eastAsia="黑体"/>
                <w:sz w:val="18"/>
                <w:szCs w:val="18"/>
              </w:rPr>
            </w:pPr>
            <w:r>
              <w:rPr>
                <w:rFonts w:eastAsia="黑体"/>
                <w:sz w:val="18"/>
                <w:szCs w:val="18"/>
                <w:lang w:bidi="ar"/>
              </w:rPr>
              <w:t>二氧化硫</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4211AD2E">
            <w:pPr>
              <w:rPr>
                <w:color w:val="000000" w:themeColor="text1"/>
                <w:sz w:val="21"/>
                <w:szCs w:val="21"/>
                <w14:textFill>
                  <w14:solidFill>
                    <w14:schemeClr w14:val="tx1"/>
                  </w14:solidFill>
                </w14:textFill>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188F4C5F">
            <w:pPr>
              <w:jc w:val="cente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7BC553CA">
            <w:pPr>
              <w:rPr>
                <w:rFonts w:hint="eastAsia" w:eastAsia="黑体"/>
                <w:sz w:val="18"/>
                <w:szCs w:val="18"/>
                <w:lang w:eastAsia="zh-CN"/>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731B8FB9">
            <w:pPr>
              <w:jc w:val="center"/>
              <w:rPr>
                <w:rFonts w:eastAsia="黑体"/>
                <w:sz w:val="18"/>
                <w:szCs w:val="18"/>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2E4854F1">
            <w:pPr>
              <w:rPr>
                <w:rFonts w:eastAsia="黑体"/>
                <w:sz w:val="18"/>
                <w:szCs w:val="18"/>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4B8BCFD6">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5BAB17D3">
            <w:pP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55D72AD4">
            <w:pPr>
              <w:jc w:val="center"/>
              <w:rPr>
                <w:rFonts w:eastAsia="黑体"/>
              </w:rPr>
            </w:pPr>
          </w:p>
        </w:tc>
      </w:tr>
      <w:tr w14:paraId="6D3159B0">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25B6A1F3">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119CB9CC">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B1EE40D">
            <w:pPr>
              <w:jc w:val="center"/>
              <w:textAlignment w:val="center"/>
              <w:rPr>
                <w:rFonts w:eastAsia="黑体"/>
                <w:sz w:val="18"/>
                <w:szCs w:val="18"/>
              </w:rPr>
            </w:pPr>
            <w:r>
              <w:rPr>
                <w:rFonts w:eastAsia="黑体"/>
                <w:sz w:val="18"/>
                <w:szCs w:val="18"/>
                <w:lang w:bidi="ar"/>
              </w:rPr>
              <w:t>氮氧化物</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1A1BE950">
            <w:pPr>
              <w:rPr>
                <w:color w:val="000000" w:themeColor="text1"/>
                <w:sz w:val="21"/>
                <w:szCs w:val="21"/>
                <w14:textFill>
                  <w14:solidFill>
                    <w14:schemeClr w14:val="tx1"/>
                  </w14:solidFill>
                </w14:textFill>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4D235D87">
            <w:pPr>
              <w:jc w:val="cente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684BB9BA">
            <w:pPr>
              <w:rPr>
                <w:rFonts w:eastAsia="黑体"/>
                <w:sz w:val="18"/>
                <w:szCs w:val="18"/>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49A3C01C">
            <w:pPr>
              <w:jc w:val="center"/>
              <w:rPr>
                <w:rFonts w:eastAsia="黑体"/>
                <w:sz w:val="18"/>
                <w:szCs w:val="18"/>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5688BA16">
            <w:pPr>
              <w:rPr>
                <w:rFonts w:eastAsia="黑体"/>
                <w:sz w:val="18"/>
                <w:szCs w:val="18"/>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18FA5107">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4A84B94A">
            <w:pP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10788F20">
            <w:pPr>
              <w:jc w:val="center"/>
              <w:rPr>
                <w:rFonts w:eastAsia="黑体"/>
              </w:rPr>
            </w:pPr>
          </w:p>
        </w:tc>
      </w:tr>
      <w:tr w14:paraId="6BB91F7F">
        <w:tblPrEx>
          <w:tblCellMar>
            <w:top w:w="0" w:type="dxa"/>
            <w:left w:w="108" w:type="dxa"/>
            <w:bottom w:w="0" w:type="dxa"/>
            <w:right w:w="108" w:type="dxa"/>
          </w:tblCellMar>
        </w:tblPrEx>
        <w:trPr>
          <w:trHeight w:val="90" w:hRule="atLeast"/>
          <w:jc w:val="center"/>
        </w:trPr>
        <w:tc>
          <w:tcPr>
            <w:tcW w:w="888" w:type="dxa"/>
            <w:vMerge w:val="continue"/>
            <w:tcBorders>
              <w:left w:val="single" w:color="000000" w:sz="4" w:space="0"/>
              <w:right w:val="single" w:color="000000" w:sz="4" w:space="0"/>
            </w:tcBorders>
            <w:shd w:val="clear" w:color="auto" w:fill="BFBFBF"/>
            <w:vAlign w:val="center"/>
          </w:tcPr>
          <w:p w14:paraId="207C7B9A">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573C2AB0">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43064699">
            <w:pPr>
              <w:jc w:val="center"/>
              <w:textAlignment w:val="center"/>
              <w:rPr>
                <w:rFonts w:eastAsia="黑体"/>
                <w:sz w:val="18"/>
                <w:szCs w:val="18"/>
              </w:rPr>
            </w:pPr>
            <w:r>
              <w:rPr>
                <w:rFonts w:eastAsia="黑体"/>
                <w:sz w:val="18"/>
                <w:szCs w:val="18"/>
                <w:lang w:bidi="ar"/>
              </w:rPr>
              <w:t>颗粒物</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15A935EA">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284828AD"/>
        </w:tc>
        <w:tc>
          <w:tcPr>
            <w:tcW w:w="1659" w:type="dxa"/>
            <w:tcBorders>
              <w:top w:val="single" w:color="000000" w:sz="4" w:space="0"/>
              <w:left w:val="single" w:color="000000" w:sz="4" w:space="0"/>
              <w:bottom w:val="single" w:color="000000" w:sz="4" w:space="0"/>
              <w:right w:val="single" w:color="000000" w:sz="4" w:space="0"/>
            </w:tcBorders>
            <w:noWrap/>
            <w:vAlign w:val="center"/>
          </w:tcPr>
          <w:p w14:paraId="189CC2A9">
            <w:pPr>
              <w:rPr>
                <w:rFonts w:hint="eastAsia" w:eastAsia="黑体"/>
                <w:sz w:val="18"/>
                <w:szCs w:val="18"/>
                <w:lang w:eastAsia="zh-CN"/>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77A7137E">
            <w:pPr>
              <w:jc w:val="cente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69F0E2E5">
            <w:pPr>
              <w:rPr>
                <w:rFonts w:eastAsia="黑体"/>
                <w:sz w:val="18"/>
                <w:szCs w:val="18"/>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021F4D34">
            <w:pPr>
              <w:jc w:val="cente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15071003">
            <w:pP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1FA8E214">
            <w:pPr>
              <w:jc w:val="center"/>
              <w:rPr>
                <w:rFonts w:eastAsia="黑体"/>
              </w:rPr>
            </w:pPr>
          </w:p>
        </w:tc>
      </w:tr>
      <w:tr w14:paraId="1211417F">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7424B2EE">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3F41F510">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211FA92A">
            <w:pPr>
              <w:jc w:val="center"/>
              <w:textAlignment w:val="center"/>
              <w:rPr>
                <w:rFonts w:eastAsia="黑体"/>
                <w:sz w:val="18"/>
                <w:szCs w:val="18"/>
              </w:rPr>
            </w:pPr>
            <w:r>
              <w:rPr>
                <w:rFonts w:eastAsia="黑体"/>
                <w:sz w:val="18"/>
                <w:szCs w:val="18"/>
                <w:lang w:bidi="ar"/>
              </w:rPr>
              <w:t>挥发性有机物</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636F0B95">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2D2BCF24">
            <w:pPr>
              <w:jc w:val="cente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7DF0293A">
            <w:pPr>
              <w:rPr>
                <w:rFonts w:eastAsia="黑体"/>
                <w:sz w:val="18"/>
                <w:szCs w:val="18"/>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338544C0">
            <w:pPr>
              <w:jc w:val="center"/>
              <w:rPr>
                <w:rFonts w:eastAsia="黑体"/>
                <w:sz w:val="18"/>
                <w:szCs w:val="18"/>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06CB43AB">
            <w:pPr>
              <w:rPr>
                <w:rFonts w:eastAsia="黑体"/>
                <w:sz w:val="18"/>
                <w:szCs w:val="18"/>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41761F7E">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23B1D109">
            <w:pP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2FE3F5C7">
            <w:pPr>
              <w:jc w:val="center"/>
              <w:rPr>
                <w:rFonts w:eastAsia="黑体"/>
                <w:sz w:val="18"/>
                <w:szCs w:val="18"/>
              </w:rPr>
            </w:pPr>
          </w:p>
        </w:tc>
      </w:tr>
      <w:tr w14:paraId="3FDD0FE6">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258529F9">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728073E2">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76CB5B2">
            <w:pPr>
              <w:jc w:val="center"/>
              <w:textAlignment w:val="center"/>
              <w:rPr>
                <w:rFonts w:eastAsia="黑体"/>
                <w:sz w:val="18"/>
                <w:szCs w:val="18"/>
              </w:rPr>
            </w:pPr>
            <w:r>
              <w:rPr>
                <w:rFonts w:eastAsia="黑体"/>
                <w:sz w:val="18"/>
                <w:szCs w:val="18"/>
                <w:lang w:bidi="ar"/>
              </w:rPr>
              <w:t>铅</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0F71BC32">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614B01D1">
            <w:pPr>
              <w:jc w:val="cente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6C8E1271">
            <w:pPr>
              <w:rPr>
                <w:rFonts w:eastAsia="黑体"/>
                <w:sz w:val="18"/>
                <w:szCs w:val="18"/>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17397E8B">
            <w:pPr>
              <w:jc w:val="center"/>
              <w:rPr>
                <w:rFonts w:eastAsia="黑体"/>
                <w:sz w:val="18"/>
                <w:szCs w:val="18"/>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2188C27C">
            <w:pPr>
              <w:rPr>
                <w:rFonts w:eastAsia="黑体"/>
                <w:sz w:val="18"/>
                <w:szCs w:val="18"/>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3AF4AB8B">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00063626">
            <w:pP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07C2FBC1">
            <w:pPr>
              <w:jc w:val="center"/>
              <w:rPr>
                <w:rFonts w:eastAsia="黑体"/>
                <w:sz w:val="18"/>
                <w:szCs w:val="18"/>
              </w:rPr>
            </w:pPr>
          </w:p>
        </w:tc>
      </w:tr>
      <w:tr w14:paraId="3FFDC4A1">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7F11F281">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62B503FD">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262EC32">
            <w:pPr>
              <w:jc w:val="center"/>
              <w:textAlignment w:val="center"/>
              <w:rPr>
                <w:rFonts w:eastAsia="黑体"/>
                <w:sz w:val="18"/>
                <w:szCs w:val="18"/>
              </w:rPr>
            </w:pPr>
            <w:r>
              <w:rPr>
                <w:rFonts w:eastAsia="黑体"/>
                <w:sz w:val="18"/>
                <w:szCs w:val="18"/>
                <w:lang w:bidi="ar"/>
              </w:rPr>
              <w:t>汞</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2F126EE6">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5790A65B"/>
        </w:tc>
        <w:tc>
          <w:tcPr>
            <w:tcW w:w="1659" w:type="dxa"/>
            <w:tcBorders>
              <w:top w:val="single" w:color="000000" w:sz="4" w:space="0"/>
              <w:left w:val="single" w:color="000000" w:sz="4" w:space="0"/>
              <w:bottom w:val="single" w:color="000000" w:sz="4" w:space="0"/>
              <w:right w:val="single" w:color="000000" w:sz="4" w:space="0"/>
            </w:tcBorders>
            <w:noWrap/>
            <w:vAlign w:val="center"/>
          </w:tcPr>
          <w:p w14:paraId="055940DE">
            <w:pPr>
              <w:rPr>
                <w:rFonts w:eastAsia="黑体"/>
                <w:sz w:val="18"/>
                <w:szCs w:val="18"/>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6521954D">
            <w:pPr>
              <w:jc w:val="cente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3E9B549F">
            <w:pPr>
              <w:rPr>
                <w:rFonts w:eastAsia="黑体"/>
                <w:sz w:val="18"/>
                <w:szCs w:val="18"/>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5601A93C">
            <w:pPr>
              <w:jc w:val="cente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3E5943ED">
            <w:pP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376BA01C">
            <w:pPr>
              <w:jc w:val="center"/>
              <w:rPr>
                <w:rFonts w:eastAsia="黑体"/>
                <w:sz w:val="18"/>
                <w:szCs w:val="18"/>
              </w:rPr>
            </w:pPr>
          </w:p>
        </w:tc>
      </w:tr>
      <w:tr w14:paraId="28E2D223">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1157E6FB">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7C5ACB35">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2C298C8">
            <w:pPr>
              <w:jc w:val="center"/>
              <w:textAlignment w:val="center"/>
              <w:rPr>
                <w:rFonts w:eastAsia="黑体"/>
                <w:sz w:val="18"/>
                <w:szCs w:val="18"/>
              </w:rPr>
            </w:pPr>
            <w:r>
              <w:rPr>
                <w:rFonts w:eastAsia="黑体"/>
                <w:sz w:val="18"/>
                <w:szCs w:val="18"/>
                <w:lang w:bidi="ar"/>
              </w:rPr>
              <w:t>镉</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6DB0267A">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2558EAE5">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708F9CE3">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3D14BC63">
            <w:pPr>
              <w:jc w:val="cente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2B1F4D2E">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791FC656">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7BF3C6F3">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40C18285">
            <w:pPr>
              <w:jc w:val="center"/>
              <w:rPr>
                <w:rFonts w:eastAsia="黑体"/>
                <w:sz w:val="18"/>
                <w:szCs w:val="18"/>
              </w:rPr>
            </w:pPr>
          </w:p>
        </w:tc>
      </w:tr>
      <w:tr w14:paraId="1CA9368F">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169DCF8F">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622D74BF">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E647891">
            <w:pPr>
              <w:jc w:val="center"/>
              <w:textAlignment w:val="center"/>
              <w:rPr>
                <w:rFonts w:eastAsia="黑体"/>
                <w:sz w:val="18"/>
                <w:szCs w:val="18"/>
              </w:rPr>
            </w:pPr>
            <w:r>
              <w:rPr>
                <w:rFonts w:eastAsia="黑体"/>
                <w:sz w:val="18"/>
                <w:szCs w:val="18"/>
                <w:lang w:bidi="ar"/>
              </w:rPr>
              <w:t>铬</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608F8BBF">
            <w:pPr>
              <w:rPr>
                <w:rFonts w:eastAsia="黑体"/>
                <w:sz w:val="20"/>
                <w:szCs w:val="20"/>
              </w:rPr>
            </w:pPr>
          </w:p>
        </w:tc>
        <w:tc>
          <w:tcPr>
            <w:tcW w:w="1193" w:type="dxa"/>
            <w:tcBorders>
              <w:top w:val="single" w:color="000000" w:sz="4" w:space="0"/>
              <w:left w:val="single" w:color="000000" w:sz="4" w:space="0"/>
              <w:bottom w:val="single" w:color="000000" w:sz="4" w:space="0"/>
              <w:right w:val="single" w:color="000000" w:sz="4" w:space="0"/>
            </w:tcBorders>
            <w:noWrap/>
            <w:vAlign w:val="center"/>
          </w:tcPr>
          <w:p w14:paraId="20FD0E4A">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6A32944A">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1A69BBC6">
            <w:pPr>
              <w:jc w:val="cente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57884F0E">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3C951CDB">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2F173756">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19A6F0A7">
            <w:pPr>
              <w:jc w:val="center"/>
              <w:rPr>
                <w:rFonts w:eastAsia="黑体"/>
                <w:sz w:val="18"/>
                <w:szCs w:val="18"/>
              </w:rPr>
            </w:pPr>
          </w:p>
        </w:tc>
      </w:tr>
      <w:tr w14:paraId="1D72BCED">
        <w:tblPrEx>
          <w:tblCellMar>
            <w:top w:w="0" w:type="dxa"/>
            <w:left w:w="108" w:type="dxa"/>
            <w:bottom w:w="0" w:type="dxa"/>
            <w:right w:w="108" w:type="dxa"/>
          </w:tblCellMar>
        </w:tblPrEx>
        <w:trPr>
          <w:trHeight w:val="315" w:hRule="atLeast"/>
          <w:jc w:val="center"/>
        </w:trPr>
        <w:tc>
          <w:tcPr>
            <w:tcW w:w="888" w:type="dxa"/>
            <w:vMerge w:val="continue"/>
            <w:tcBorders>
              <w:left w:val="single" w:color="000000" w:sz="4" w:space="0"/>
              <w:right w:val="single" w:color="000000" w:sz="4" w:space="0"/>
            </w:tcBorders>
            <w:shd w:val="clear" w:color="auto" w:fill="BFBFBF"/>
            <w:vAlign w:val="center"/>
          </w:tcPr>
          <w:p w14:paraId="4C5D0FE3">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5E068082">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FF39E6D">
            <w:pPr>
              <w:jc w:val="center"/>
              <w:textAlignment w:val="center"/>
              <w:rPr>
                <w:rFonts w:eastAsia="黑体"/>
                <w:sz w:val="18"/>
                <w:szCs w:val="18"/>
              </w:rPr>
            </w:pPr>
            <w:r>
              <w:rPr>
                <w:rFonts w:eastAsia="黑体"/>
                <w:sz w:val="18"/>
                <w:szCs w:val="18"/>
                <w:lang w:bidi="ar"/>
              </w:rPr>
              <w:t>类金属砷</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18D69513">
            <w:pPr>
              <w:rPr>
                <w:rFonts w:eastAsia="黑体"/>
                <w:sz w:val="20"/>
                <w:szCs w:val="20"/>
              </w:rPr>
            </w:pPr>
          </w:p>
        </w:tc>
        <w:tc>
          <w:tcPr>
            <w:tcW w:w="1193" w:type="dxa"/>
            <w:tcBorders>
              <w:top w:val="single" w:color="000000" w:sz="4" w:space="0"/>
              <w:left w:val="single" w:color="000000" w:sz="4" w:space="0"/>
              <w:bottom w:val="single" w:color="000000" w:sz="4" w:space="0"/>
              <w:right w:val="nil"/>
            </w:tcBorders>
            <w:noWrap/>
            <w:vAlign w:val="center"/>
          </w:tcPr>
          <w:p w14:paraId="5D71A76C">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32045F7D">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25125D76">
            <w:pPr>
              <w:jc w:val="cente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655E93E9">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77B1EAD0">
            <w:pPr>
              <w:jc w:val="cente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000A9D23">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77AB2312">
            <w:pPr>
              <w:jc w:val="center"/>
              <w:rPr>
                <w:rFonts w:eastAsia="黑体"/>
                <w:sz w:val="18"/>
                <w:szCs w:val="18"/>
              </w:rPr>
            </w:pPr>
          </w:p>
        </w:tc>
      </w:tr>
      <w:tr w14:paraId="2D11EAA1">
        <w:tblPrEx>
          <w:tblCellMar>
            <w:top w:w="0" w:type="dxa"/>
            <w:left w:w="108" w:type="dxa"/>
            <w:bottom w:w="0" w:type="dxa"/>
            <w:right w:w="108" w:type="dxa"/>
          </w:tblCellMar>
        </w:tblPrEx>
        <w:trPr>
          <w:trHeight w:val="285" w:hRule="atLeast"/>
          <w:jc w:val="center"/>
        </w:trPr>
        <w:tc>
          <w:tcPr>
            <w:tcW w:w="888" w:type="dxa"/>
            <w:vMerge w:val="continue"/>
            <w:tcBorders>
              <w:left w:val="single" w:color="000000" w:sz="4" w:space="0"/>
              <w:right w:val="single" w:color="000000" w:sz="4" w:space="0"/>
            </w:tcBorders>
            <w:shd w:val="clear" w:color="auto" w:fill="BFBFBF"/>
            <w:vAlign w:val="center"/>
          </w:tcPr>
          <w:p w14:paraId="6A6F86E8">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7127308B">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38C93E0">
            <w:pPr>
              <w:jc w:val="center"/>
              <w:textAlignment w:val="center"/>
              <w:rPr>
                <w:rFonts w:eastAsia="黑体"/>
                <w:sz w:val="18"/>
                <w:szCs w:val="18"/>
              </w:rPr>
            </w:pPr>
            <w:r>
              <w:rPr>
                <w:rFonts w:eastAsia="黑体"/>
                <w:sz w:val="18"/>
                <w:szCs w:val="18"/>
                <w:lang w:bidi="ar"/>
              </w:rPr>
              <w:t>其他特征污染物</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4DF3D1C5">
            <w:pPr>
              <w:rPr>
                <w:rFonts w:eastAsia="黑体"/>
                <w:sz w:val="20"/>
                <w:szCs w:val="20"/>
              </w:rPr>
            </w:pPr>
          </w:p>
        </w:tc>
        <w:tc>
          <w:tcPr>
            <w:tcW w:w="1193" w:type="dxa"/>
            <w:tcBorders>
              <w:top w:val="single" w:color="000000" w:sz="4" w:space="0"/>
              <w:left w:val="single" w:color="000000" w:sz="4" w:space="0"/>
              <w:bottom w:val="single" w:color="000000" w:sz="4" w:space="0"/>
              <w:right w:val="nil"/>
            </w:tcBorders>
            <w:noWrap/>
            <w:vAlign w:val="center"/>
          </w:tcPr>
          <w:p w14:paraId="3393B66E">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2DBAFC2E">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6E4058C2">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28DE6D00">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35D616C2">
            <w:pP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1FE13C2B">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61EF880A">
            <w:pPr>
              <w:jc w:val="center"/>
              <w:rPr>
                <w:rFonts w:eastAsia="黑体"/>
              </w:rPr>
            </w:pPr>
          </w:p>
        </w:tc>
      </w:tr>
      <w:tr w14:paraId="35A6A844">
        <w:tblPrEx>
          <w:tblCellMar>
            <w:top w:w="0" w:type="dxa"/>
            <w:left w:w="108" w:type="dxa"/>
            <w:bottom w:w="0" w:type="dxa"/>
            <w:right w:w="108" w:type="dxa"/>
          </w:tblCellMar>
        </w:tblPrEx>
        <w:trPr>
          <w:trHeight w:val="285" w:hRule="atLeast"/>
          <w:jc w:val="center"/>
        </w:trPr>
        <w:tc>
          <w:tcPr>
            <w:tcW w:w="888" w:type="dxa"/>
            <w:vMerge w:val="continue"/>
            <w:tcBorders>
              <w:left w:val="single" w:color="000000" w:sz="4" w:space="0"/>
              <w:right w:val="single" w:color="000000" w:sz="4" w:space="0"/>
            </w:tcBorders>
            <w:shd w:val="clear" w:color="auto" w:fill="BFBFBF"/>
            <w:vAlign w:val="center"/>
          </w:tcPr>
          <w:p w14:paraId="42870452">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noWrap/>
            <w:vAlign w:val="center"/>
          </w:tcPr>
          <w:p w14:paraId="04CBF140">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2898B546">
            <w:pPr>
              <w:jc w:val="center"/>
              <w:textAlignment w:val="center"/>
              <w:rPr>
                <w:rFonts w:hint="eastAsia" w:eastAsia="黑体"/>
                <w:sz w:val="18"/>
                <w:szCs w:val="18"/>
                <w:lang w:val="en-US" w:eastAsia="zh-CN" w:bidi="ar"/>
              </w:rPr>
            </w:pPr>
            <w:r>
              <w:rPr>
                <w:rFonts w:hint="eastAsia" w:eastAsia="黑体"/>
                <w:sz w:val="18"/>
                <w:szCs w:val="18"/>
                <w:lang w:val="en-US" w:eastAsia="zh-CN" w:bidi="ar"/>
              </w:rPr>
              <w:t>氨</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0A969AD8">
            <w:pPr>
              <w:rPr>
                <w:rFonts w:eastAsia="黑体"/>
                <w:sz w:val="20"/>
                <w:szCs w:val="20"/>
              </w:rPr>
            </w:pPr>
          </w:p>
        </w:tc>
        <w:tc>
          <w:tcPr>
            <w:tcW w:w="1193" w:type="dxa"/>
            <w:tcBorders>
              <w:top w:val="single" w:color="000000" w:sz="4" w:space="0"/>
              <w:left w:val="single" w:color="000000" w:sz="4" w:space="0"/>
              <w:bottom w:val="single" w:color="000000" w:sz="4" w:space="0"/>
              <w:right w:val="nil"/>
            </w:tcBorders>
            <w:noWrap/>
            <w:vAlign w:val="center"/>
          </w:tcPr>
          <w:p w14:paraId="713E3015">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23385621">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733034EA">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34DD8B7D">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309034FE">
            <w:pP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0F69CD8A">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05864B6A">
            <w:pPr>
              <w:jc w:val="center"/>
              <w:rPr>
                <w:rFonts w:eastAsia="黑体"/>
              </w:rPr>
            </w:pPr>
          </w:p>
        </w:tc>
      </w:tr>
      <w:tr w14:paraId="7ED982AE">
        <w:tblPrEx>
          <w:tblCellMar>
            <w:top w:w="0" w:type="dxa"/>
            <w:left w:w="108" w:type="dxa"/>
            <w:bottom w:w="0" w:type="dxa"/>
            <w:right w:w="108" w:type="dxa"/>
          </w:tblCellMar>
        </w:tblPrEx>
        <w:trPr>
          <w:trHeight w:val="285" w:hRule="atLeast"/>
          <w:jc w:val="center"/>
        </w:trPr>
        <w:tc>
          <w:tcPr>
            <w:tcW w:w="888" w:type="dxa"/>
            <w:vMerge w:val="continue"/>
            <w:tcBorders>
              <w:left w:val="single" w:color="000000" w:sz="4" w:space="0"/>
              <w:bottom w:val="single" w:color="000000" w:sz="4" w:space="0"/>
              <w:right w:val="single" w:color="000000" w:sz="4" w:space="0"/>
            </w:tcBorders>
            <w:shd w:val="clear" w:color="auto" w:fill="BFBFBF"/>
            <w:vAlign w:val="center"/>
          </w:tcPr>
          <w:p w14:paraId="7AC29E6F">
            <w:pPr>
              <w:jc w:val="center"/>
              <w:rPr>
                <w:rFonts w:eastAsia="黑体"/>
                <w:sz w:val="22"/>
                <w:szCs w:val="22"/>
              </w:rPr>
            </w:pPr>
          </w:p>
        </w:tc>
        <w:tc>
          <w:tcPr>
            <w:tcW w:w="656" w:type="dxa"/>
            <w:vMerge w:val="continue"/>
            <w:tcBorders>
              <w:left w:val="single" w:color="000000" w:sz="4" w:space="0"/>
              <w:bottom w:val="single" w:color="000000" w:sz="4" w:space="0"/>
              <w:right w:val="single" w:color="000000" w:sz="4" w:space="0"/>
            </w:tcBorders>
            <w:shd w:val="clear" w:color="auto" w:fill="BFBFBF"/>
            <w:noWrap/>
            <w:vAlign w:val="center"/>
          </w:tcPr>
          <w:p w14:paraId="25F84C43">
            <w:pPr>
              <w:jc w:val="center"/>
              <w:rPr>
                <w:rFonts w:eastAsia="黑体"/>
                <w:sz w:val="22"/>
                <w:szCs w:val="22"/>
              </w:rPr>
            </w:pP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6C4871D">
            <w:pPr>
              <w:jc w:val="center"/>
              <w:textAlignment w:val="center"/>
              <w:rPr>
                <w:rFonts w:hint="eastAsia" w:eastAsia="黑体"/>
                <w:sz w:val="18"/>
                <w:szCs w:val="18"/>
                <w:lang w:val="en-US" w:eastAsia="zh-CN" w:bidi="ar"/>
              </w:rPr>
            </w:pPr>
            <w:r>
              <w:rPr>
                <w:rFonts w:hint="eastAsia" w:eastAsia="黑体"/>
                <w:sz w:val="18"/>
                <w:szCs w:val="18"/>
                <w:lang w:val="en-US" w:eastAsia="zh-CN" w:bidi="ar"/>
              </w:rPr>
              <w:t>硫化氢</w:t>
            </w:r>
          </w:p>
        </w:tc>
        <w:tc>
          <w:tcPr>
            <w:tcW w:w="1661" w:type="dxa"/>
            <w:tcBorders>
              <w:top w:val="single" w:color="000000" w:sz="4" w:space="0"/>
              <w:left w:val="single" w:color="000000" w:sz="4" w:space="0"/>
              <w:bottom w:val="single" w:color="000000" w:sz="4" w:space="0"/>
              <w:right w:val="single" w:color="000000" w:sz="4" w:space="0"/>
            </w:tcBorders>
            <w:noWrap/>
            <w:vAlign w:val="center"/>
          </w:tcPr>
          <w:p w14:paraId="3A594863">
            <w:pPr>
              <w:rPr>
                <w:rFonts w:eastAsia="黑体"/>
                <w:sz w:val="20"/>
                <w:szCs w:val="20"/>
              </w:rPr>
            </w:pPr>
          </w:p>
        </w:tc>
        <w:tc>
          <w:tcPr>
            <w:tcW w:w="1193" w:type="dxa"/>
            <w:tcBorders>
              <w:top w:val="single" w:color="000000" w:sz="4" w:space="0"/>
              <w:left w:val="single" w:color="000000" w:sz="4" w:space="0"/>
              <w:bottom w:val="single" w:color="000000" w:sz="4" w:space="0"/>
              <w:right w:val="nil"/>
            </w:tcBorders>
            <w:noWrap/>
            <w:vAlign w:val="center"/>
          </w:tcPr>
          <w:p w14:paraId="13E5EB47">
            <w:pPr>
              <w:rPr>
                <w:rFonts w:eastAsia="黑体"/>
                <w:sz w:val="20"/>
                <w:szCs w:val="20"/>
              </w:rPr>
            </w:pPr>
          </w:p>
        </w:tc>
        <w:tc>
          <w:tcPr>
            <w:tcW w:w="1659" w:type="dxa"/>
            <w:tcBorders>
              <w:top w:val="single" w:color="000000" w:sz="4" w:space="0"/>
              <w:left w:val="single" w:color="000000" w:sz="4" w:space="0"/>
              <w:bottom w:val="single" w:color="000000" w:sz="4" w:space="0"/>
              <w:right w:val="single" w:color="000000" w:sz="4" w:space="0"/>
            </w:tcBorders>
            <w:noWrap/>
            <w:vAlign w:val="center"/>
          </w:tcPr>
          <w:p w14:paraId="3C95F526">
            <w:pPr>
              <w:rPr>
                <w:rFonts w:eastAsia="黑体"/>
                <w:sz w:val="20"/>
                <w:szCs w:val="20"/>
              </w:rPr>
            </w:pPr>
          </w:p>
        </w:tc>
        <w:tc>
          <w:tcPr>
            <w:tcW w:w="3159" w:type="dxa"/>
            <w:gridSpan w:val="2"/>
            <w:tcBorders>
              <w:top w:val="single" w:color="000000" w:sz="4" w:space="0"/>
              <w:left w:val="single" w:color="000000" w:sz="4" w:space="0"/>
              <w:bottom w:val="single" w:color="000000" w:sz="4" w:space="0"/>
              <w:right w:val="single" w:color="000000" w:sz="4" w:space="0"/>
            </w:tcBorders>
            <w:noWrap/>
            <w:vAlign w:val="center"/>
          </w:tcPr>
          <w:p w14:paraId="7B28C815">
            <w:pPr>
              <w:rPr>
                <w:rFonts w:eastAsia="黑体"/>
                <w:sz w:val="20"/>
                <w:szCs w:val="20"/>
              </w:rPr>
            </w:pP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478F180C">
            <w:pPr>
              <w:jc w:val="center"/>
              <w:rPr>
                <w:rFonts w:eastAsia="黑体"/>
                <w:sz w:val="20"/>
                <w:szCs w:val="20"/>
              </w:rPr>
            </w:pPr>
          </w:p>
        </w:tc>
        <w:tc>
          <w:tcPr>
            <w:tcW w:w="3114" w:type="dxa"/>
            <w:gridSpan w:val="3"/>
            <w:tcBorders>
              <w:top w:val="single" w:color="000000" w:sz="4" w:space="0"/>
              <w:left w:val="single" w:color="000000" w:sz="4" w:space="0"/>
              <w:bottom w:val="single" w:color="000000" w:sz="4" w:space="0"/>
              <w:right w:val="single" w:color="000000" w:sz="4" w:space="0"/>
            </w:tcBorders>
            <w:vAlign w:val="center"/>
          </w:tcPr>
          <w:p w14:paraId="158EF0A9">
            <w:pPr>
              <w:rPr>
                <w:rFonts w:eastAsia="黑体"/>
                <w:sz w:val="18"/>
                <w:szCs w:val="18"/>
              </w:rPr>
            </w:pPr>
          </w:p>
        </w:tc>
        <w:tc>
          <w:tcPr>
            <w:tcW w:w="2276" w:type="dxa"/>
            <w:gridSpan w:val="2"/>
            <w:tcBorders>
              <w:top w:val="single" w:color="000000" w:sz="4" w:space="0"/>
              <w:left w:val="single" w:color="000000" w:sz="4" w:space="0"/>
              <w:bottom w:val="single" w:color="000000" w:sz="4" w:space="0"/>
              <w:right w:val="single" w:color="000000" w:sz="4" w:space="0"/>
            </w:tcBorders>
            <w:noWrap/>
            <w:vAlign w:val="center"/>
          </w:tcPr>
          <w:p w14:paraId="2B49BB52">
            <w:pPr>
              <w:jc w:val="center"/>
              <w:rPr>
                <w:rFonts w:eastAsia="黑体"/>
                <w:sz w:val="18"/>
                <w:szCs w:val="18"/>
              </w:rPr>
            </w:pPr>
          </w:p>
        </w:tc>
        <w:tc>
          <w:tcPr>
            <w:tcW w:w="1914" w:type="dxa"/>
            <w:gridSpan w:val="3"/>
            <w:tcBorders>
              <w:top w:val="single" w:color="000000" w:sz="4" w:space="0"/>
              <w:left w:val="single" w:color="000000" w:sz="4" w:space="0"/>
              <w:bottom w:val="single" w:color="000000" w:sz="4" w:space="0"/>
              <w:right w:val="single" w:color="000000" w:sz="4" w:space="0"/>
            </w:tcBorders>
            <w:noWrap/>
            <w:vAlign w:val="center"/>
          </w:tcPr>
          <w:p w14:paraId="23C1F18D">
            <w:pPr>
              <w:jc w:val="center"/>
              <w:rPr>
                <w:rFonts w:eastAsia="黑体"/>
              </w:rPr>
            </w:pPr>
          </w:p>
        </w:tc>
      </w:tr>
      <w:tr w14:paraId="1C0D4F12">
        <w:tblPrEx>
          <w:tblCellMar>
            <w:top w:w="0" w:type="dxa"/>
            <w:left w:w="108" w:type="dxa"/>
            <w:bottom w:w="0" w:type="dxa"/>
            <w:right w:w="108" w:type="dxa"/>
          </w:tblCellMar>
        </w:tblPrEx>
        <w:trPr>
          <w:trHeight w:val="443" w:hRule="atLeast"/>
          <w:jc w:val="center"/>
        </w:trPr>
        <w:tc>
          <w:tcPr>
            <w:tcW w:w="1544" w:type="dxa"/>
            <w:gridSpan w:val="2"/>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21F28BD0">
            <w:pPr>
              <w:jc w:val="center"/>
              <w:textAlignment w:val="center"/>
              <w:rPr>
                <w:rFonts w:eastAsia="黑体"/>
                <w:sz w:val="22"/>
                <w:szCs w:val="22"/>
              </w:rPr>
            </w:pPr>
            <w:r>
              <w:rPr>
                <w:rFonts w:eastAsia="黑体"/>
                <w:sz w:val="22"/>
                <w:szCs w:val="22"/>
                <w:lang w:bidi="ar"/>
              </w:rPr>
              <w:t>项目涉及法律法规规定的保护区情况</w:t>
            </w:r>
          </w:p>
        </w:tc>
        <w:tc>
          <w:tcPr>
            <w:tcW w:w="3407" w:type="dxa"/>
            <w:gridSpan w:val="3"/>
            <w:tcBorders>
              <w:top w:val="single" w:color="000000" w:sz="4" w:space="0"/>
              <w:left w:val="single" w:color="000000" w:sz="4" w:space="0"/>
              <w:bottom w:val="single" w:color="000000" w:sz="4" w:space="0"/>
              <w:right w:val="single" w:color="000000" w:sz="4" w:space="0"/>
              <w:tl2br w:val="single" w:color="000000" w:sz="4" w:space="0"/>
            </w:tcBorders>
            <w:shd w:val="clear" w:color="auto" w:fill="BFBFBF"/>
          </w:tcPr>
          <w:p w14:paraId="12CD362D">
            <w:pPr>
              <w:jc w:val="center"/>
              <w:textAlignment w:val="top"/>
              <w:rPr>
                <w:rFonts w:eastAsia="黑体"/>
                <w:sz w:val="18"/>
                <w:szCs w:val="18"/>
              </w:rPr>
            </w:pPr>
            <w:r>
              <w:rPr>
                <w:rFonts w:eastAsia="黑体"/>
                <w:sz w:val="18"/>
                <w:szCs w:val="18"/>
                <w:lang w:bidi="ar"/>
              </w:rPr>
              <w:t xml:space="preserve">                    影响及主要措施              生态保护目标</w:t>
            </w:r>
          </w:p>
        </w:tc>
        <w:tc>
          <w:tcPr>
            <w:tcW w:w="2852" w:type="dxa"/>
            <w:gridSpan w:val="2"/>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4B08C823">
            <w:pPr>
              <w:jc w:val="center"/>
              <w:textAlignment w:val="center"/>
              <w:rPr>
                <w:rFonts w:eastAsia="黑体"/>
                <w:sz w:val="18"/>
                <w:szCs w:val="18"/>
              </w:rPr>
            </w:pPr>
            <w:r>
              <w:rPr>
                <w:rFonts w:eastAsia="黑体"/>
                <w:sz w:val="18"/>
                <w:szCs w:val="18"/>
                <w:lang w:bidi="ar"/>
              </w:rPr>
              <w:t>名称</w:t>
            </w:r>
          </w:p>
        </w:tc>
        <w:tc>
          <w:tcPr>
            <w:tcW w:w="1413"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9A8D1B6">
            <w:pPr>
              <w:jc w:val="center"/>
              <w:textAlignment w:val="center"/>
              <w:rPr>
                <w:rFonts w:eastAsia="黑体"/>
                <w:sz w:val="18"/>
                <w:szCs w:val="18"/>
              </w:rPr>
            </w:pPr>
            <w:r>
              <w:rPr>
                <w:rFonts w:eastAsia="黑体"/>
                <w:sz w:val="18"/>
                <w:szCs w:val="18"/>
                <w:lang w:bidi="ar"/>
              </w:rPr>
              <w:t>级别</w:t>
            </w:r>
          </w:p>
        </w:tc>
        <w:tc>
          <w:tcPr>
            <w:tcW w:w="174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69C8665">
            <w:pPr>
              <w:jc w:val="center"/>
              <w:textAlignment w:val="center"/>
              <w:rPr>
                <w:rFonts w:eastAsia="黑体"/>
                <w:sz w:val="18"/>
                <w:szCs w:val="18"/>
                <w:lang w:bidi="ar"/>
              </w:rPr>
            </w:pPr>
            <w:r>
              <w:rPr>
                <w:rFonts w:eastAsia="黑体"/>
                <w:sz w:val="18"/>
                <w:szCs w:val="18"/>
                <w:lang w:bidi="ar"/>
              </w:rPr>
              <w:t>主要保护对象</w:t>
            </w:r>
          </w:p>
          <w:p w14:paraId="4A388F20">
            <w:pPr>
              <w:jc w:val="center"/>
              <w:textAlignment w:val="center"/>
              <w:rPr>
                <w:rFonts w:eastAsia="黑体"/>
                <w:sz w:val="18"/>
                <w:szCs w:val="18"/>
              </w:rPr>
            </w:pPr>
            <w:r>
              <w:rPr>
                <w:rFonts w:eastAsia="黑体"/>
                <w:sz w:val="18"/>
                <w:szCs w:val="18"/>
                <w:lang w:bidi="ar"/>
              </w:rPr>
              <w:t>（目标）</w:t>
            </w:r>
          </w:p>
        </w:tc>
        <w:tc>
          <w:tcPr>
            <w:tcW w:w="183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52B45DF">
            <w:pPr>
              <w:jc w:val="center"/>
              <w:textAlignment w:val="center"/>
              <w:rPr>
                <w:rFonts w:eastAsia="黑体"/>
                <w:sz w:val="18"/>
                <w:szCs w:val="18"/>
              </w:rPr>
            </w:pPr>
            <w:r>
              <w:rPr>
                <w:rFonts w:eastAsia="黑体"/>
                <w:sz w:val="18"/>
                <w:szCs w:val="18"/>
                <w:lang w:bidi="ar"/>
              </w:rPr>
              <w:t>工程影响情况</w:t>
            </w: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18489EF">
            <w:pPr>
              <w:jc w:val="center"/>
              <w:textAlignment w:val="center"/>
              <w:rPr>
                <w:rFonts w:eastAsia="黑体"/>
                <w:sz w:val="18"/>
                <w:szCs w:val="18"/>
              </w:rPr>
            </w:pPr>
            <w:r>
              <w:rPr>
                <w:rFonts w:eastAsia="黑体"/>
                <w:sz w:val="18"/>
                <w:szCs w:val="18"/>
                <w:lang w:bidi="ar"/>
              </w:rPr>
              <w:t>是否占用</w:t>
            </w:r>
          </w:p>
        </w:tc>
        <w:tc>
          <w:tcPr>
            <w:tcW w:w="1547"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B65612C">
            <w:pPr>
              <w:jc w:val="left"/>
              <w:textAlignment w:val="center"/>
              <w:rPr>
                <w:rFonts w:eastAsia="黑体"/>
                <w:sz w:val="18"/>
                <w:szCs w:val="18"/>
                <w:lang w:bidi="ar"/>
              </w:rPr>
            </w:pPr>
            <w:r>
              <w:rPr>
                <w:rFonts w:eastAsia="黑体"/>
                <w:sz w:val="18"/>
                <w:szCs w:val="18"/>
                <w:lang w:bidi="ar"/>
              </w:rPr>
              <w:t>占用面积</w:t>
            </w:r>
          </w:p>
          <w:p w14:paraId="584D2C88">
            <w:pPr>
              <w:jc w:val="left"/>
              <w:textAlignment w:val="center"/>
              <w:rPr>
                <w:rFonts w:eastAsia="黑体"/>
                <w:sz w:val="18"/>
                <w:szCs w:val="18"/>
              </w:rPr>
            </w:pPr>
            <w:r>
              <w:rPr>
                <w:rFonts w:eastAsia="黑体"/>
                <w:sz w:val="18"/>
                <w:szCs w:val="18"/>
                <w:lang w:bidi="ar"/>
              </w:rPr>
              <w:t>（公顷）</w:t>
            </w:r>
          </w:p>
        </w:tc>
        <w:tc>
          <w:tcPr>
            <w:tcW w:w="5757" w:type="dxa"/>
            <w:gridSpan w:val="7"/>
            <w:tcBorders>
              <w:top w:val="single" w:color="000000" w:sz="4" w:space="0"/>
              <w:left w:val="single" w:color="000000" w:sz="4" w:space="0"/>
              <w:bottom w:val="single" w:color="000000" w:sz="4" w:space="0"/>
              <w:right w:val="single" w:color="000000" w:sz="4" w:space="0"/>
            </w:tcBorders>
            <w:shd w:val="clear" w:color="auto" w:fill="BFBFBF"/>
            <w:vAlign w:val="center"/>
          </w:tcPr>
          <w:p w14:paraId="0B99A81B">
            <w:pPr>
              <w:jc w:val="center"/>
              <w:textAlignment w:val="center"/>
              <w:rPr>
                <w:rFonts w:eastAsia="黑体"/>
                <w:sz w:val="18"/>
                <w:szCs w:val="18"/>
              </w:rPr>
            </w:pPr>
            <w:r>
              <w:rPr>
                <w:rFonts w:eastAsia="黑体"/>
                <w:sz w:val="18"/>
                <w:szCs w:val="18"/>
                <w:lang w:bidi="ar"/>
              </w:rPr>
              <w:t>生态防护措施</w:t>
            </w:r>
          </w:p>
        </w:tc>
      </w:tr>
      <w:tr w14:paraId="20E231E3">
        <w:tblPrEx>
          <w:tblCellMar>
            <w:top w:w="0" w:type="dxa"/>
            <w:left w:w="108" w:type="dxa"/>
            <w:bottom w:w="0" w:type="dxa"/>
            <w:right w:w="108" w:type="dxa"/>
          </w:tblCellMar>
        </w:tblPrEx>
        <w:trPr>
          <w:trHeight w:val="313" w:hRule="atLeast"/>
          <w:jc w:val="center"/>
        </w:trPr>
        <w:tc>
          <w:tcPr>
            <w:tcW w:w="1544"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CD78D5F">
            <w:pPr>
              <w:jc w:val="center"/>
              <w:rPr>
                <w:rFonts w:eastAsia="黑体"/>
                <w:sz w:val="22"/>
                <w:szCs w:val="22"/>
              </w:rPr>
            </w:pPr>
          </w:p>
        </w:tc>
        <w:tc>
          <w:tcPr>
            <w:tcW w:w="3407" w:type="dxa"/>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536359F3">
            <w:pPr>
              <w:jc w:val="center"/>
              <w:textAlignment w:val="center"/>
              <w:rPr>
                <w:rFonts w:eastAsia="黑体"/>
                <w:sz w:val="18"/>
                <w:szCs w:val="18"/>
              </w:rPr>
            </w:pPr>
            <w:r>
              <w:rPr>
                <w:rFonts w:eastAsia="黑体"/>
                <w:sz w:val="18"/>
                <w:szCs w:val="18"/>
                <w:lang w:bidi="ar"/>
              </w:rPr>
              <w:t>生态保护红线</w:t>
            </w:r>
          </w:p>
        </w:tc>
        <w:tc>
          <w:tcPr>
            <w:tcW w:w="2852" w:type="dxa"/>
            <w:gridSpan w:val="2"/>
            <w:tcBorders>
              <w:top w:val="single" w:color="000000" w:sz="4" w:space="0"/>
              <w:left w:val="single" w:color="000000" w:sz="4" w:space="0"/>
              <w:bottom w:val="single" w:color="000000" w:sz="4" w:space="0"/>
              <w:right w:val="single" w:color="000000" w:sz="4" w:space="0"/>
            </w:tcBorders>
            <w:noWrap/>
            <w:vAlign w:val="center"/>
          </w:tcPr>
          <w:p w14:paraId="30724ADD">
            <w:pPr>
              <w:jc w:val="center"/>
              <w:textAlignment w:val="center"/>
              <w:rPr>
                <w:rFonts w:eastAsia="黑体"/>
                <w:sz w:val="18"/>
                <w:szCs w:val="18"/>
              </w:rPr>
            </w:pPr>
            <w:r>
              <w:rPr>
                <w:rFonts w:eastAsia="黑体"/>
                <w:sz w:val="18"/>
                <w:szCs w:val="18"/>
                <w:lang w:bidi="ar"/>
              </w:rPr>
              <w:t>（可增行）</w:t>
            </w:r>
          </w:p>
        </w:tc>
        <w:tc>
          <w:tcPr>
            <w:tcW w:w="1413" w:type="dxa"/>
            <w:tcBorders>
              <w:top w:val="single" w:color="000000" w:sz="4" w:space="0"/>
              <w:left w:val="single" w:color="000000" w:sz="4" w:space="0"/>
              <w:bottom w:val="single" w:color="000000" w:sz="4" w:space="0"/>
              <w:right w:val="single" w:color="000000" w:sz="4" w:space="0"/>
            </w:tcBorders>
            <w:noWrap/>
            <w:vAlign w:val="center"/>
          </w:tcPr>
          <w:p w14:paraId="35406E3D">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noWrap/>
            <w:vAlign w:val="center"/>
          </w:tcPr>
          <w:p w14:paraId="1251A37C">
            <w:pPr>
              <w:jc w:val="center"/>
              <w:rPr>
                <w:rFonts w:eastAsia="黑体"/>
                <w:sz w:val="18"/>
                <w:szCs w:val="18"/>
              </w:rPr>
            </w:pPr>
          </w:p>
        </w:tc>
        <w:tc>
          <w:tcPr>
            <w:tcW w:w="1836" w:type="dxa"/>
            <w:tcBorders>
              <w:top w:val="single" w:color="000000" w:sz="4" w:space="0"/>
              <w:left w:val="single" w:color="000000" w:sz="4" w:space="0"/>
              <w:bottom w:val="single" w:color="000000" w:sz="4" w:space="0"/>
              <w:right w:val="single" w:color="000000" w:sz="4" w:space="0"/>
            </w:tcBorders>
            <w:noWrap/>
            <w:vAlign w:val="center"/>
          </w:tcPr>
          <w:p w14:paraId="48476989">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noWrap/>
            <w:vAlign w:val="center"/>
          </w:tcPr>
          <w:p w14:paraId="19EF1F7C">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noWrap/>
            <w:vAlign w:val="center"/>
          </w:tcPr>
          <w:p w14:paraId="32BD29A0">
            <w:pPr>
              <w:rPr>
                <w:rFonts w:eastAsia="黑体"/>
                <w:sz w:val="18"/>
                <w:szCs w:val="18"/>
              </w:rPr>
            </w:pPr>
          </w:p>
        </w:tc>
        <w:tc>
          <w:tcPr>
            <w:tcW w:w="5757" w:type="dxa"/>
            <w:gridSpan w:val="7"/>
            <w:tcBorders>
              <w:top w:val="single" w:color="000000" w:sz="4" w:space="0"/>
              <w:left w:val="single" w:color="000000" w:sz="4" w:space="0"/>
              <w:bottom w:val="single" w:color="000000" w:sz="4" w:space="0"/>
              <w:right w:val="single" w:color="000000" w:sz="4" w:space="0"/>
            </w:tcBorders>
            <w:noWrap/>
            <w:vAlign w:val="center"/>
          </w:tcPr>
          <w:p w14:paraId="02AD8108">
            <w:pPr>
              <w:jc w:val="left"/>
              <w:textAlignment w:val="center"/>
              <w:rPr>
                <w:rFonts w:eastAsia="黑体"/>
                <w:sz w:val="18"/>
                <w:szCs w:val="18"/>
              </w:rPr>
            </w:pPr>
            <w:r>
              <w:rPr>
                <w:rFonts w:eastAsia="黑体"/>
                <w:sz w:val="18"/>
                <w:szCs w:val="18"/>
                <w:lang w:bidi="ar"/>
              </w:rPr>
              <w:t xml:space="preserve">   避让    减缓    补偿      重建（多选）</w:t>
            </w:r>
          </w:p>
        </w:tc>
      </w:tr>
      <w:tr w14:paraId="32FD2396">
        <w:tblPrEx>
          <w:tblCellMar>
            <w:top w:w="0" w:type="dxa"/>
            <w:left w:w="108" w:type="dxa"/>
            <w:bottom w:w="0" w:type="dxa"/>
            <w:right w:w="108" w:type="dxa"/>
          </w:tblCellMar>
        </w:tblPrEx>
        <w:trPr>
          <w:trHeight w:val="518" w:hRule="atLeast"/>
          <w:jc w:val="center"/>
        </w:trPr>
        <w:tc>
          <w:tcPr>
            <w:tcW w:w="1544"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E58E9EA">
            <w:pPr>
              <w:jc w:val="center"/>
              <w:rPr>
                <w:rFonts w:eastAsia="黑体"/>
                <w:sz w:val="22"/>
                <w:szCs w:val="22"/>
              </w:rPr>
            </w:pPr>
          </w:p>
        </w:tc>
        <w:tc>
          <w:tcPr>
            <w:tcW w:w="3407" w:type="dxa"/>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37320C1B">
            <w:pPr>
              <w:jc w:val="center"/>
              <w:textAlignment w:val="center"/>
              <w:rPr>
                <w:rFonts w:eastAsia="黑体"/>
                <w:sz w:val="18"/>
                <w:szCs w:val="18"/>
              </w:rPr>
            </w:pPr>
            <w:r>
              <w:rPr>
                <w:rFonts w:eastAsia="黑体"/>
                <w:sz w:val="18"/>
                <w:szCs w:val="18"/>
                <w:lang w:bidi="ar"/>
              </w:rPr>
              <w:t>自然保护区</w:t>
            </w:r>
          </w:p>
        </w:tc>
        <w:tc>
          <w:tcPr>
            <w:tcW w:w="2852" w:type="dxa"/>
            <w:gridSpan w:val="2"/>
            <w:tcBorders>
              <w:top w:val="single" w:color="000000" w:sz="4" w:space="0"/>
              <w:left w:val="single" w:color="000000" w:sz="4" w:space="0"/>
              <w:bottom w:val="single" w:color="000000" w:sz="4" w:space="0"/>
              <w:right w:val="single" w:color="000000" w:sz="4" w:space="0"/>
            </w:tcBorders>
            <w:noWrap/>
            <w:vAlign w:val="center"/>
          </w:tcPr>
          <w:p w14:paraId="59D15A35">
            <w:pPr>
              <w:jc w:val="center"/>
              <w:textAlignment w:val="center"/>
              <w:rPr>
                <w:rFonts w:eastAsia="黑体"/>
                <w:sz w:val="18"/>
                <w:szCs w:val="18"/>
              </w:rPr>
            </w:pPr>
            <w:r>
              <w:rPr>
                <w:rFonts w:eastAsia="黑体"/>
                <w:sz w:val="18"/>
                <w:szCs w:val="18"/>
                <w:lang w:bidi="ar"/>
              </w:rPr>
              <w:t>（可增行）</w:t>
            </w:r>
          </w:p>
        </w:tc>
        <w:tc>
          <w:tcPr>
            <w:tcW w:w="1413" w:type="dxa"/>
            <w:tcBorders>
              <w:top w:val="single" w:color="000000" w:sz="4" w:space="0"/>
              <w:left w:val="single" w:color="000000" w:sz="4" w:space="0"/>
              <w:bottom w:val="single" w:color="000000" w:sz="4" w:space="0"/>
              <w:right w:val="single" w:color="000000" w:sz="4" w:space="0"/>
            </w:tcBorders>
            <w:noWrap/>
            <w:vAlign w:val="center"/>
          </w:tcPr>
          <w:p w14:paraId="0E85A050">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noWrap/>
            <w:vAlign w:val="center"/>
          </w:tcPr>
          <w:p w14:paraId="73126D08">
            <w:pPr>
              <w:jc w:val="center"/>
              <w:rPr>
                <w:rFonts w:eastAsia="黑体"/>
                <w:sz w:val="18"/>
                <w:szCs w:val="18"/>
              </w:rPr>
            </w:pPr>
          </w:p>
        </w:tc>
        <w:tc>
          <w:tcPr>
            <w:tcW w:w="1836" w:type="dxa"/>
            <w:tcBorders>
              <w:top w:val="nil"/>
              <w:left w:val="nil"/>
              <w:bottom w:val="nil"/>
              <w:right w:val="nil"/>
            </w:tcBorders>
            <w:vAlign w:val="center"/>
          </w:tcPr>
          <w:p w14:paraId="15BE989C">
            <w:pPr>
              <w:jc w:val="left"/>
              <w:textAlignment w:val="center"/>
              <w:rPr>
                <w:rFonts w:eastAsia="黑体"/>
                <w:sz w:val="18"/>
                <w:szCs w:val="18"/>
              </w:rPr>
            </w:pPr>
            <w:r>
              <w:rPr>
                <w:rFonts w:eastAsia="黑体"/>
                <w:sz w:val="18"/>
                <w:szCs w:val="18"/>
                <w:lang w:bidi="ar"/>
              </w:rPr>
              <w:t>核心区、缓冲区、实验区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14:paraId="2CF709D8">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noWrap/>
            <w:vAlign w:val="center"/>
          </w:tcPr>
          <w:p w14:paraId="0E687926">
            <w:pPr>
              <w:rPr>
                <w:rFonts w:eastAsia="黑体"/>
                <w:sz w:val="18"/>
                <w:szCs w:val="18"/>
              </w:rPr>
            </w:pPr>
          </w:p>
        </w:tc>
        <w:tc>
          <w:tcPr>
            <w:tcW w:w="5757" w:type="dxa"/>
            <w:gridSpan w:val="7"/>
            <w:tcBorders>
              <w:top w:val="single" w:color="000000" w:sz="4" w:space="0"/>
              <w:left w:val="single" w:color="000000" w:sz="4" w:space="0"/>
              <w:bottom w:val="single" w:color="000000" w:sz="4" w:space="0"/>
              <w:right w:val="single" w:color="000000" w:sz="4" w:space="0"/>
            </w:tcBorders>
            <w:noWrap/>
            <w:vAlign w:val="center"/>
          </w:tcPr>
          <w:p w14:paraId="5FCC70DE">
            <w:pPr>
              <w:jc w:val="left"/>
              <w:textAlignment w:val="center"/>
              <w:rPr>
                <w:rFonts w:eastAsia="黑体"/>
                <w:sz w:val="18"/>
                <w:szCs w:val="18"/>
              </w:rPr>
            </w:pPr>
            <w:r>
              <w:rPr>
                <w:rFonts w:eastAsia="黑体"/>
                <w:sz w:val="18"/>
                <w:szCs w:val="18"/>
                <w:lang w:bidi="ar"/>
              </w:rPr>
              <w:t xml:space="preserve">   避让    减缓    补偿      重建（多选）</w:t>
            </w:r>
          </w:p>
        </w:tc>
      </w:tr>
      <w:tr w14:paraId="7438EEEF">
        <w:tblPrEx>
          <w:tblCellMar>
            <w:top w:w="0" w:type="dxa"/>
            <w:left w:w="108" w:type="dxa"/>
            <w:bottom w:w="0" w:type="dxa"/>
            <w:right w:w="108" w:type="dxa"/>
          </w:tblCellMar>
        </w:tblPrEx>
        <w:trPr>
          <w:trHeight w:val="495" w:hRule="atLeast"/>
          <w:jc w:val="center"/>
        </w:trPr>
        <w:tc>
          <w:tcPr>
            <w:tcW w:w="1544"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8D46743">
            <w:pPr>
              <w:jc w:val="center"/>
              <w:rPr>
                <w:rFonts w:eastAsia="黑体"/>
                <w:sz w:val="22"/>
                <w:szCs w:val="22"/>
              </w:rPr>
            </w:pPr>
          </w:p>
        </w:tc>
        <w:tc>
          <w:tcPr>
            <w:tcW w:w="3407" w:type="dxa"/>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18E6779B">
            <w:pPr>
              <w:jc w:val="center"/>
              <w:textAlignment w:val="center"/>
              <w:rPr>
                <w:rFonts w:eastAsia="黑体"/>
                <w:sz w:val="18"/>
                <w:szCs w:val="18"/>
              </w:rPr>
            </w:pPr>
            <w:r>
              <w:rPr>
                <w:rFonts w:eastAsia="黑体"/>
                <w:sz w:val="18"/>
                <w:szCs w:val="18"/>
                <w:lang w:bidi="ar"/>
              </w:rPr>
              <w:t>饮用水水源保护区（地表）</w:t>
            </w:r>
          </w:p>
        </w:tc>
        <w:tc>
          <w:tcPr>
            <w:tcW w:w="2852" w:type="dxa"/>
            <w:gridSpan w:val="2"/>
            <w:tcBorders>
              <w:top w:val="single" w:color="000000" w:sz="4" w:space="0"/>
              <w:left w:val="single" w:color="000000" w:sz="4" w:space="0"/>
              <w:bottom w:val="single" w:color="000000" w:sz="4" w:space="0"/>
              <w:right w:val="single" w:color="000000" w:sz="4" w:space="0"/>
            </w:tcBorders>
            <w:noWrap/>
            <w:vAlign w:val="center"/>
          </w:tcPr>
          <w:p w14:paraId="5E16C9B3">
            <w:pPr>
              <w:jc w:val="center"/>
              <w:textAlignment w:val="center"/>
              <w:rPr>
                <w:rFonts w:eastAsia="黑体"/>
                <w:sz w:val="18"/>
                <w:szCs w:val="18"/>
              </w:rPr>
            </w:pPr>
            <w:r>
              <w:rPr>
                <w:rFonts w:eastAsia="黑体"/>
                <w:sz w:val="18"/>
                <w:szCs w:val="18"/>
                <w:lang w:bidi="ar"/>
              </w:rPr>
              <w:t>（可增行）</w:t>
            </w:r>
          </w:p>
        </w:tc>
        <w:tc>
          <w:tcPr>
            <w:tcW w:w="1413" w:type="dxa"/>
            <w:tcBorders>
              <w:top w:val="single" w:color="000000" w:sz="4" w:space="0"/>
              <w:left w:val="single" w:color="000000" w:sz="4" w:space="0"/>
              <w:bottom w:val="single" w:color="000000" w:sz="4" w:space="0"/>
              <w:right w:val="single" w:color="000000" w:sz="4" w:space="0"/>
            </w:tcBorders>
            <w:noWrap/>
            <w:vAlign w:val="center"/>
          </w:tcPr>
          <w:p w14:paraId="63FC2EF3">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noWrap/>
            <w:vAlign w:val="center"/>
          </w:tcPr>
          <w:p w14:paraId="600502EE">
            <w:pPr>
              <w:jc w:val="center"/>
              <w:textAlignment w:val="center"/>
              <w:rPr>
                <w:rFonts w:eastAsia="黑体"/>
                <w:sz w:val="18"/>
                <w:szCs w:val="18"/>
              </w:rPr>
            </w:pPr>
            <w:r>
              <w:rPr>
                <w:rFonts w:eastAsia="黑体"/>
                <w:sz w:val="18"/>
                <w:szCs w:val="18"/>
                <w:lang w:bidi="ar"/>
              </w:rPr>
              <w:t>/</w:t>
            </w:r>
          </w:p>
        </w:tc>
        <w:tc>
          <w:tcPr>
            <w:tcW w:w="1836" w:type="dxa"/>
            <w:tcBorders>
              <w:top w:val="single" w:color="000000" w:sz="4" w:space="0"/>
              <w:left w:val="single" w:color="000000" w:sz="4" w:space="0"/>
              <w:bottom w:val="single" w:color="000000" w:sz="4" w:space="0"/>
              <w:right w:val="single" w:color="000000" w:sz="4" w:space="0"/>
            </w:tcBorders>
            <w:vAlign w:val="center"/>
          </w:tcPr>
          <w:p w14:paraId="1B8CB12B">
            <w:pPr>
              <w:jc w:val="left"/>
              <w:textAlignment w:val="center"/>
              <w:rPr>
                <w:rFonts w:eastAsia="黑体"/>
                <w:sz w:val="18"/>
                <w:szCs w:val="18"/>
              </w:rPr>
            </w:pPr>
            <w:r>
              <w:rPr>
                <w:rFonts w:eastAsia="黑体"/>
                <w:sz w:val="18"/>
                <w:szCs w:val="18"/>
                <w:lang w:bidi="ar"/>
              </w:rPr>
              <w:t>一级保护区、二级保护区、准保护区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14:paraId="0181FF70">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noWrap/>
            <w:vAlign w:val="center"/>
          </w:tcPr>
          <w:p w14:paraId="18F53FAE">
            <w:pPr>
              <w:rPr>
                <w:rFonts w:eastAsia="黑体"/>
                <w:sz w:val="18"/>
                <w:szCs w:val="18"/>
              </w:rPr>
            </w:pPr>
          </w:p>
        </w:tc>
        <w:tc>
          <w:tcPr>
            <w:tcW w:w="5757" w:type="dxa"/>
            <w:gridSpan w:val="7"/>
            <w:tcBorders>
              <w:top w:val="single" w:color="000000" w:sz="4" w:space="0"/>
              <w:left w:val="single" w:color="000000" w:sz="4" w:space="0"/>
              <w:bottom w:val="single" w:color="000000" w:sz="4" w:space="0"/>
              <w:right w:val="single" w:color="000000" w:sz="4" w:space="0"/>
            </w:tcBorders>
            <w:noWrap/>
            <w:vAlign w:val="center"/>
          </w:tcPr>
          <w:p w14:paraId="05C3E111">
            <w:pPr>
              <w:jc w:val="left"/>
              <w:textAlignment w:val="center"/>
              <w:rPr>
                <w:rFonts w:eastAsia="黑体"/>
                <w:sz w:val="18"/>
                <w:szCs w:val="18"/>
              </w:rPr>
            </w:pPr>
            <w:r>
              <w:rPr>
                <w:rFonts w:eastAsia="黑体"/>
                <w:sz w:val="18"/>
                <w:szCs w:val="18"/>
                <w:lang w:bidi="ar"/>
              </w:rPr>
              <w:t xml:space="preserve">   避让     减缓   补偿      重建（多选）</w:t>
            </w:r>
          </w:p>
        </w:tc>
      </w:tr>
      <w:tr w14:paraId="4D60E844">
        <w:tblPrEx>
          <w:tblCellMar>
            <w:top w:w="0" w:type="dxa"/>
            <w:left w:w="108" w:type="dxa"/>
            <w:bottom w:w="0" w:type="dxa"/>
            <w:right w:w="108" w:type="dxa"/>
          </w:tblCellMar>
        </w:tblPrEx>
        <w:trPr>
          <w:trHeight w:val="485" w:hRule="atLeast"/>
          <w:jc w:val="center"/>
        </w:trPr>
        <w:tc>
          <w:tcPr>
            <w:tcW w:w="1544"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DD40BB8">
            <w:pPr>
              <w:jc w:val="center"/>
              <w:rPr>
                <w:rFonts w:eastAsia="黑体"/>
                <w:sz w:val="22"/>
                <w:szCs w:val="22"/>
              </w:rPr>
            </w:pPr>
          </w:p>
        </w:tc>
        <w:tc>
          <w:tcPr>
            <w:tcW w:w="3407" w:type="dxa"/>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4076907">
            <w:pPr>
              <w:jc w:val="center"/>
              <w:textAlignment w:val="center"/>
              <w:rPr>
                <w:rFonts w:eastAsia="黑体"/>
                <w:sz w:val="18"/>
                <w:szCs w:val="18"/>
              </w:rPr>
            </w:pPr>
            <w:r>
              <w:rPr>
                <w:rFonts w:eastAsia="黑体"/>
                <w:sz w:val="18"/>
                <w:szCs w:val="18"/>
                <w:lang w:bidi="ar"/>
              </w:rPr>
              <w:t>饮用水水源保护区（地下）</w:t>
            </w:r>
          </w:p>
        </w:tc>
        <w:tc>
          <w:tcPr>
            <w:tcW w:w="2852" w:type="dxa"/>
            <w:gridSpan w:val="2"/>
            <w:tcBorders>
              <w:top w:val="single" w:color="000000" w:sz="4" w:space="0"/>
              <w:left w:val="single" w:color="000000" w:sz="4" w:space="0"/>
              <w:bottom w:val="single" w:color="000000" w:sz="4" w:space="0"/>
              <w:right w:val="single" w:color="000000" w:sz="4" w:space="0"/>
            </w:tcBorders>
            <w:noWrap/>
            <w:vAlign w:val="center"/>
          </w:tcPr>
          <w:p w14:paraId="629B268B">
            <w:pPr>
              <w:jc w:val="center"/>
              <w:textAlignment w:val="center"/>
              <w:rPr>
                <w:rFonts w:eastAsia="黑体"/>
                <w:sz w:val="18"/>
                <w:szCs w:val="18"/>
              </w:rPr>
            </w:pPr>
            <w:r>
              <w:rPr>
                <w:rFonts w:eastAsia="黑体"/>
                <w:sz w:val="18"/>
                <w:szCs w:val="18"/>
                <w:lang w:bidi="ar"/>
              </w:rPr>
              <w:t>（可增行）</w:t>
            </w:r>
          </w:p>
        </w:tc>
        <w:tc>
          <w:tcPr>
            <w:tcW w:w="1413" w:type="dxa"/>
            <w:tcBorders>
              <w:top w:val="single" w:color="000000" w:sz="4" w:space="0"/>
              <w:left w:val="single" w:color="000000" w:sz="4" w:space="0"/>
              <w:bottom w:val="single" w:color="000000" w:sz="4" w:space="0"/>
              <w:right w:val="single" w:color="000000" w:sz="4" w:space="0"/>
            </w:tcBorders>
            <w:noWrap/>
            <w:vAlign w:val="center"/>
          </w:tcPr>
          <w:p w14:paraId="5A831810">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noWrap/>
            <w:vAlign w:val="center"/>
          </w:tcPr>
          <w:p w14:paraId="3F3D6D88">
            <w:pPr>
              <w:jc w:val="center"/>
              <w:textAlignment w:val="center"/>
              <w:rPr>
                <w:rFonts w:eastAsia="黑体"/>
                <w:sz w:val="18"/>
                <w:szCs w:val="18"/>
              </w:rPr>
            </w:pPr>
            <w:r>
              <w:rPr>
                <w:rFonts w:eastAsia="黑体"/>
                <w:sz w:val="18"/>
                <w:szCs w:val="18"/>
                <w:lang w:bidi="ar"/>
              </w:rPr>
              <w:t>/</w:t>
            </w:r>
          </w:p>
        </w:tc>
        <w:tc>
          <w:tcPr>
            <w:tcW w:w="1836" w:type="dxa"/>
            <w:tcBorders>
              <w:top w:val="single" w:color="000000" w:sz="4" w:space="0"/>
              <w:left w:val="single" w:color="000000" w:sz="4" w:space="0"/>
              <w:bottom w:val="single" w:color="000000" w:sz="4" w:space="0"/>
              <w:right w:val="single" w:color="000000" w:sz="4" w:space="0"/>
            </w:tcBorders>
            <w:vAlign w:val="center"/>
          </w:tcPr>
          <w:p w14:paraId="28FAE7AF">
            <w:pPr>
              <w:jc w:val="left"/>
              <w:textAlignment w:val="center"/>
              <w:rPr>
                <w:rFonts w:eastAsia="黑体"/>
                <w:sz w:val="18"/>
                <w:szCs w:val="18"/>
              </w:rPr>
            </w:pPr>
            <w:r>
              <w:rPr>
                <w:rFonts w:eastAsia="黑体"/>
                <w:sz w:val="18"/>
                <w:szCs w:val="18"/>
                <w:lang w:bidi="ar"/>
              </w:rPr>
              <w:t>一级保护区、二级保护区、准保护区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14:paraId="72448428">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noWrap/>
            <w:vAlign w:val="center"/>
          </w:tcPr>
          <w:p w14:paraId="145A2A82">
            <w:pPr>
              <w:rPr>
                <w:rFonts w:eastAsia="黑体"/>
                <w:sz w:val="18"/>
                <w:szCs w:val="18"/>
              </w:rPr>
            </w:pPr>
          </w:p>
        </w:tc>
        <w:tc>
          <w:tcPr>
            <w:tcW w:w="5757" w:type="dxa"/>
            <w:gridSpan w:val="7"/>
            <w:tcBorders>
              <w:top w:val="single" w:color="000000" w:sz="4" w:space="0"/>
              <w:left w:val="single" w:color="000000" w:sz="4" w:space="0"/>
              <w:bottom w:val="single" w:color="000000" w:sz="4" w:space="0"/>
              <w:right w:val="single" w:color="000000" w:sz="4" w:space="0"/>
            </w:tcBorders>
            <w:noWrap/>
            <w:vAlign w:val="center"/>
          </w:tcPr>
          <w:p w14:paraId="120D2A20">
            <w:pPr>
              <w:jc w:val="left"/>
              <w:textAlignment w:val="center"/>
              <w:rPr>
                <w:rFonts w:eastAsia="黑体"/>
                <w:sz w:val="18"/>
                <w:szCs w:val="18"/>
              </w:rPr>
            </w:pPr>
            <w:r>
              <w:rPr>
                <w:rFonts w:eastAsia="黑体"/>
                <w:sz w:val="18"/>
                <w:szCs w:val="18"/>
                <w:lang w:bidi="ar"/>
              </w:rPr>
              <w:t xml:space="preserve">   避让     减缓   补偿      重建（多选）</w:t>
            </w:r>
          </w:p>
        </w:tc>
      </w:tr>
      <w:tr w14:paraId="64E66604">
        <w:tblPrEx>
          <w:tblCellMar>
            <w:top w:w="0" w:type="dxa"/>
            <w:left w:w="108" w:type="dxa"/>
            <w:bottom w:w="0" w:type="dxa"/>
            <w:right w:w="108" w:type="dxa"/>
          </w:tblCellMar>
        </w:tblPrEx>
        <w:trPr>
          <w:trHeight w:val="285" w:hRule="atLeast"/>
          <w:jc w:val="center"/>
        </w:trPr>
        <w:tc>
          <w:tcPr>
            <w:tcW w:w="1544"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878EFA6">
            <w:pPr>
              <w:jc w:val="center"/>
              <w:rPr>
                <w:rFonts w:eastAsia="黑体"/>
                <w:sz w:val="22"/>
                <w:szCs w:val="22"/>
              </w:rPr>
            </w:pPr>
          </w:p>
        </w:tc>
        <w:tc>
          <w:tcPr>
            <w:tcW w:w="3407" w:type="dxa"/>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44DAE34">
            <w:pPr>
              <w:jc w:val="center"/>
              <w:textAlignment w:val="center"/>
              <w:rPr>
                <w:rFonts w:eastAsia="黑体"/>
                <w:sz w:val="18"/>
                <w:szCs w:val="18"/>
              </w:rPr>
            </w:pPr>
            <w:r>
              <w:rPr>
                <w:rFonts w:eastAsia="黑体"/>
                <w:sz w:val="18"/>
                <w:szCs w:val="18"/>
                <w:lang w:bidi="ar"/>
              </w:rPr>
              <w:t>风景名胜区</w:t>
            </w:r>
          </w:p>
        </w:tc>
        <w:tc>
          <w:tcPr>
            <w:tcW w:w="2852" w:type="dxa"/>
            <w:gridSpan w:val="2"/>
            <w:tcBorders>
              <w:top w:val="single" w:color="000000" w:sz="4" w:space="0"/>
              <w:left w:val="single" w:color="000000" w:sz="4" w:space="0"/>
              <w:bottom w:val="single" w:color="000000" w:sz="4" w:space="0"/>
              <w:right w:val="single" w:color="000000" w:sz="4" w:space="0"/>
            </w:tcBorders>
            <w:noWrap/>
            <w:vAlign w:val="center"/>
          </w:tcPr>
          <w:p w14:paraId="461A2C03">
            <w:pPr>
              <w:jc w:val="center"/>
              <w:textAlignment w:val="center"/>
              <w:rPr>
                <w:rFonts w:eastAsia="黑体"/>
                <w:sz w:val="18"/>
                <w:szCs w:val="18"/>
              </w:rPr>
            </w:pPr>
            <w:r>
              <w:rPr>
                <w:rFonts w:eastAsia="黑体"/>
                <w:sz w:val="18"/>
                <w:szCs w:val="18"/>
                <w:lang w:bidi="ar"/>
              </w:rPr>
              <w:t>（可增行）</w:t>
            </w:r>
          </w:p>
        </w:tc>
        <w:tc>
          <w:tcPr>
            <w:tcW w:w="1413" w:type="dxa"/>
            <w:tcBorders>
              <w:top w:val="single" w:color="000000" w:sz="4" w:space="0"/>
              <w:left w:val="single" w:color="000000" w:sz="4" w:space="0"/>
              <w:bottom w:val="single" w:color="000000" w:sz="4" w:space="0"/>
              <w:right w:val="single" w:color="000000" w:sz="4" w:space="0"/>
            </w:tcBorders>
            <w:noWrap/>
            <w:vAlign w:val="center"/>
          </w:tcPr>
          <w:p w14:paraId="3139DBB5">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noWrap/>
            <w:vAlign w:val="center"/>
          </w:tcPr>
          <w:p w14:paraId="53DE37C6">
            <w:pPr>
              <w:jc w:val="center"/>
              <w:textAlignment w:val="center"/>
              <w:rPr>
                <w:rFonts w:eastAsia="黑体"/>
                <w:sz w:val="18"/>
                <w:szCs w:val="18"/>
              </w:rPr>
            </w:pPr>
            <w:r>
              <w:rPr>
                <w:rFonts w:eastAsia="黑体"/>
                <w:sz w:val="18"/>
                <w:szCs w:val="18"/>
                <w:lang w:bidi="ar"/>
              </w:rPr>
              <w:t>/</w:t>
            </w:r>
          </w:p>
        </w:tc>
        <w:tc>
          <w:tcPr>
            <w:tcW w:w="1836" w:type="dxa"/>
            <w:tcBorders>
              <w:top w:val="single" w:color="000000" w:sz="4" w:space="0"/>
              <w:left w:val="single" w:color="000000" w:sz="4" w:space="0"/>
              <w:bottom w:val="single" w:color="000000" w:sz="4" w:space="0"/>
              <w:right w:val="single" w:color="000000" w:sz="4" w:space="0"/>
            </w:tcBorders>
            <w:noWrap/>
            <w:vAlign w:val="center"/>
          </w:tcPr>
          <w:p w14:paraId="3EE76EF9">
            <w:pPr>
              <w:jc w:val="left"/>
              <w:textAlignment w:val="center"/>
              <w:rPr>
                <w:rFonts w:eastAsia="黑体"/>
                <w:sz w:val="18"/>
                <w:szCs w:val="18"/>
              </w:rPr>
            </w:pPr>
            <w:r>
              <w:rPr>
                <w:rFonts w:eastAsia="黑体"/>
                <w:sz w:val="18"/>
                <w:szCs w:val="18"/>
                <w:lang w:bidi="ar"/>
              </w:rPr>
              <w:t>核心景区、一般景区</w:t>
            </w:r>
          </w:p>
        </w:tc>
        <w:tc>
          <w:tcPr>
            <w:tcW w:w="1519" w:type="dxa"/>
            <w:tcBorders>
              <w:top w:val="single" w:color="000000" w:sz="4" w:space="0"/>
              <w:left w:val="single" w:color="000000" w:sz="4" w:space="0"/>
              <w:bottom w:val="single" w:color="000000" w:sz="4" w:space="0"/>
              <w:right w:val="single" w:color="000000" w:sz="4" w:space="0"/>
            </w:tcBorders>
            <w:noWrap/>
            <w:vAlign w:val="center"/>
          </w:tcPr>
          <w:p w14:paraId="7F4B8D24">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noWrap/>
            <w:vAlign w:val="center"/>
          </w:tcPr>
          <w:p w14:paraId="22B90766">
            <w:pPr>
              <w:rPr>
                <w:rFonts w:eastAsia="黑体"/>
                <w:sz w:val="18"/>
                <w:szCs w:val="18"/>
              </w:rPr>
            </w:pPr>
          </w:p>
        </w:tc>
        <w:tc>
          <w:tcPr>
            <w:tcW w:w="5757" w:type="dxa"/>
            <w:gridSpan w:val="7"/>
            <w:tcBorders>
              <w:top w:val="single" w:color="000000" w:sz="4" w:space="0"/>
              <w:left w:val="single" w:color="000000" w:sz="4" w:space="0"/>
              <w:bottom w:val="single" w:color="000000" w:sz="4" w:space="0"/>
              <w:right w:val="single" w:color="000000" w:sz="4" w:space="0"/>
            </w:tcBorders>
            <w:noWrap/>
            <w:vAlign w:val="center"/>
          </w:tcPr>
          <w:p w14:paraId="5CEA0DB5">
            <w:pPr>
              <w:jc w:val="left"/>
              <w:textAlignment w:val="center"/>
              <w:rPr>
                <w:rFonts w:eastAsia="黑体"/>
                <w:sz w:val="18"/>
                <w:szCs w:val="18"/>
              </w:rPr>
            </w:pPr>
            <w:r>
              <w:rPr>
                <w:rFonts w:eastAsia="黑体"/>
                <w:sz w:val="18"/>
                <w:szCs w:val="18"/>
                <w:lang w:bidi="ar"/>
              </w:rPr>
              <w:t xml:space="preserve">   避让     减缓   补偿      重建（多选）</w:t>
            </w:r>
          </w:p>
        </w:tc>
      </w:tr>
      <w:tr w14:paraId="55AA3876">
        <w:tblPrEx>
          <w:tblCellMar>
            <w:top w:w="0" w:type="dxa"/>
            <w:left w:w="108" w:type="dxa"/>
            <w:bottom w:w="0" w:type="dxa"/>
            <w:right w:w="108" w:type="dxa"/>
          </w:tblCellMar>
        </w:tblPrEx>
        <w:trPr>
          <w:trHeight w:val="285" w:hRule="atLeast"/>
          <w:jc w:val="center"/>
        </w:trPr>
        <w:tc>
          <w:tcPr>
            <w:tcW w:w="1544"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C3ED940">
            <w:pPr>
              <w:jc w:val="center"/>
              <w:rPr>
                <w:rFonts w:eastAsia="黑体"/>
                <w:sz w:val="22"/>
                <w:szCs w:val="22"/>
              </w:rPr>
            </w:pPr>
          </w:p>
        </w:tc>
        <w:tc>
          <w:tcPr>
            <w:tcW w:w="3407" w:type="dxa"/>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1B118723">
            <w:pPr>
              <w:jc w:val="center"/>
              <w:textAlignment w:val="center"/>
              <w:rPr>
                <w:rFonts w:eastAsia="黑体"/>
                <w:sz w:val="18"/>
                <w:szCs w:val="18"/>
              </w:rPr>
            </w:pPr>
            <w:r>
              <w:rPr>
                <w:rFonts w:eastAsia="黑体"/>
                <w:sz w:val="18"/>
                <w:szCs w:val="18"/>
                <w:lang w:bidi="ar"/>
              </w:rPr>
              <w:t>其他</w:t>
            </w:r>
          </w:p>
        </w:tc>
        <w:tc>
          <w:tcPr>
            <w:tcW w:w="2852" w:type="dxa"/>
            <w:gridSpan w:val="2"/>
            <w:tcBorders>
              <w:top w:val="single" w:color="000000" w:sz="4" w:space="0"/>
              <w:left w:val="single" w:color="000000" w:sz="4" w:space="0"/>
              <w:bottom w:val="single" w:color="000000" w:sz="4" w:space="0"/>
              <w:right w:val="single" w:color="000000" w:sz="4" w:space="0"/>
            </w:tcBorders>
            <w:noWrap/>
            <w:vAlign w:val="center"/>
          </w:tcPr>
          <w:p w14:paraId="3D8FDD70">
            <w:pPr>
              <w:jc w:val="center"/>
              <w:textAlignment w:val="center"/>
              <w:rPr>
                <w:rFonts w:eastAsia="黑体"/>
                <w:sz w:val="18"/>
                <w:szCs w:val="18"/>
              </w:rPr>
            </w:pPr>
            <w:r>
              <w:rPr>
                <w:rFonts w:eastAsia="黑体"/>
                <w:sz w:val="18"/>
                <w:szCs w:val="18"/>
                <w:lang w:bidi="ar"/>
              </w:rPr>
              <w:t>（可增行）</w:t>
            </w:r>
          </w:p>
        </w:tc>
        <w:tc>
          <w:tcPr>
            <w:tcW w:w="1413" w:type="dxa"/>
            <w:tcBorders>
              <w:top w:val="single" w:color="000000" w:sz="4" w:space="0"/>
              <w:left w:val="single" w:color="000000" w:sz="4" w:space="0"/>
              <w:bottom w:val="single" w:color="000000" w:sz="4" w:space="0"/>
              <w:right w:val="single" w:color="000000" w:sz="4" w:space="0"/>
            </w:tcBorders>
            <w:noWrap/>
            <w:vAlign w:val="center"/>
          </w:tcPr>
          <w:p w14:paraId="3E127163">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noWrap/>
            <w:vAlign w:val="center"/>
          </w:tcPr>
          <w:p w14:paraId="2C7977F6"/>
        </w:tc>
        <w:tc>
          <w:tcPr>
            <w:tcW w:w="1836" w:type="dxa"/>
            <w:tcBorders>
              <w:top w:val="single" w:color="000000" w:sz="4" w:space="0"/>
              <w:left w:val="single" w:color="000000" w:sz="4" w:space="0"/>
              <w:bottom w:val="single" w:color="000000" w:sz="4" w:space="0"/>
              <w:right w:val="single" w:color="000000" w:sz="4" w:space="0"/>
            </w:tcBorders>
            <w:noWrap/>
            <w:vAlign w:val="center"/>
          </w:tcPr>
          <w:p w14:paraId="36AADFAD">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noWrap/>
            <w:vAlign w:val="center"/>
          </w:tcPr>
          <w:p w14:paraId="2DF2C2F6">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noWrap/>
            <w:vAlign w:val="center"/>
          </w:tcPr>
          <w:p w14:paraId="1C78EC05">
            <w:pPr>
              <w:rPr>
                <w:rFonts w:eastAsia="黑体"/>
                <w:sz w:val="18"/>
                <w:szCs w:val="18"/>
              </w:rPr>
            </w:pPr>
          </w:p>
        </w:tc>
        <w:tc>
          <w:tcPr>
            <w:tcW w:w="5757" w:type="dxa"/>
            <w:gridSpan w:val="7"/>
            <w:tcBorders>
              <w:top w:val="single" w:color="000000" w:sz="4" w:space="0"/>
              <w:left w:val="single" w:color="000000" w:sz="4" w:space="0"/>
              <w:bottom w:val="single" w:color="000000" w:sz="4" w:space="0"/>
              <w:right w:val="single" w:color="000000" w:sz="4" w:space="0"/>
            </w:tcBorders>
            <w:noWrap/>
            <w:vAlign w:val="center"/>
          </w:tcPr>
          <w:p w14:paraId="4141ABFA">
            <w:pPr>
              <w:jc w:val="left"/>
              <w:textAlignment w:val="center"/>
              <w:rPr>
                <w:rFonts w:eastAsia="黑体"/>
                <w:sz w:val="18"/>
                <w:szCs w:val="18"/>
              </w:rPr>
            </w:pPr>
            <w:r>
              <w:rPr>
                <w:rFonts w:eastAsia="黑体"/>
                <w:sz w:val="18"/>
                <w:szCs w:val="18"/>
                <w:lang w:bidi="ar"/>
              </w:rPr>
              <w:t xml:space="preserve">   避让     减缓   补偿      重建（多选）</w:t>
            </w:r>
          </w:p>
        </w:tc>
      </w:tr>
      <w:tr w14:paraId="45633532">
        <w:tblPrEx>
          <w:tblCellMar>
            <w:top w:w="0" w:type="dxa"/>
            <w:left w:w="108" w:type="dxa"/>
            <w:bottom w:w="0" w:type="dxa"/>
            <w:right w:w="108" w:type="dxa"/>
          </w:tblCellMar>
        </w:tblPrEx>
        <w:trPr>
          <w:trHeight w:val="375" w:hRule="atLeast"/>
          <w:jc w:val="center"/>
        </w:trPr>
        <w:tc>
          <w:tcPr>
            <w:tcW w:w="1544" w:type="dxa"/>
            <w:gridSpan w:val="2"/>
            <w:vMerge w:val="restart"/>
            <w:tcBorders>
              <w:top w:val="single" w:color="000000" w:sz="4" w:space="0"/>
              <w:left w:val="single" w:color="000000" w:sz="4" w:space="0"/>
              <w:right w:val="single" w:color="000000" w:sz="4" w:space="0"/>
            </w:tcBorders>
            <w:shd w:val="clear" w:color="auto" w:fill="BFBFBF"/>
            <w:vAlign w:val="center"/>
          </w:tcPr>
          <w:p w14:paraId="5891FD11">
            <w:pPr>
              <w:jc w:val="center"/>
              <w:textAlignment w:val="center"/>
              <w:rPr>
                <w:rFonts w:eastAsia="黑体"/>
                <w:sz w:val="22"/>
                <w:szCs w:val="22"/>
              </w:rPr>
            </w:pPr>
            <w:r>
              <w:rPr>
                <w:rFonts w:eastAsia="黑体"/>
                <w:sz w:val="22"/>
                <w:szCs w:val="22"/>
                <w:lang w:bidi="ar"/>
              </w:rPr>
              <w:t>主要原料及燃料信息</w:t>
            </w:r>
          </w:p>
        </w:tc>
        <w:tc>
          <w:tcPr>
            <w:tcW w:w="12773" w:type="dxa"/>
            <w:gridSpan w:val="9"/>
            <w:tcBorders>
              <w:top w:val="single" w:color="000000" w:sz="4" w:space="0"/>
              <w:left w:val="single" w:color="000000" w:sz="4" w:space="0"/>
              <w:bottom w:val="single" w:color="000000" w:sz="4" w:space="0"/>
              <w:right w:val="single" w:color="000000" w:sz="4" w:space="0"/>
            </w:tcBorders>
            <w:shd w:val="clear" w:color="auto" w:fill="BFBFBF"/>
            <w:vAlign w:val="center"/>
          </w:tcPr>
          <w:p w14:paraId="07409D8B">
            <w:pPr>
              <w:jc w:val="center"/>
              <w:textAlignment w:val="center"/>
              <w:rPr>
                <w:rFonts w:eastAsia="黑体"/>
                <w:sz w:val="18"/>
                <w:szCs w:val="18"/>
              </w:rPr>
            </w:pPr>
            <w:r>
              <w:rPr>
                <w:rFonts w:eastAsia="黑体"/>
                <w:sz w:val="18"/>
                <w:szCs w:val="18"/>
                <w:lang w:bidi="ar"/>
              </w:rPr>
              <w:t>主要原料</w:t>
            </w:r>
          </w:p>
        </w:tc>
        <w:tc>
          <w:tcPr>
            <w:tcW w:w="7304" w:type="dxa"/>
            <w:gridSpan w:val="8"/>
            <w:tcBorders>
              <w:top w:val="single" w:color="000000" w:sz="4" w:space="0"/>
              <w:left w:val="single" w:color="000000" w:sz="4" w:space="0"/>
              <w:bottom w:val="single" w:color="000000" w:sz="4" w:space="0"/>
              <w:right w:val="single" w:color="000000" w:sz="4" w:space="0"/>
            </w:tcBorders>
            <w:shd w:val="clear" w:color="auto" w:fill="BFBFBF"/>
            <w:vAlign w:val="center"/>
          </w:tcPr>
          <w:p w14:paraId="6DE91E01">
            <w:pPr>
              <w:jc w:val="center"/>
              <w:textAlignment w:val="center"/>
              <w:rPr>
                <w:rFonts w:eastAsia="黑体"/>
                <w:sz w:val="18"/>
                <w:szCs w:val="18"/>
              </w:rPr>
            </w:pPr>
            <w:r>
              <w:rPr>
                <w:rFonts w:eastAsia="黑体"/>
                <w:sz w:val="18"/>
                <w:szCs w:val="18"/>
                <w:lang w:bidi="ar"/>
              </w:rPr>
              <w:t>主要燃料</w:t>
            </w:r>
          </w:p>
        </w:tc>
      </w:tr>
      <w:tr w14:paraId="11621ED5">
        <w:tblPrEx>
          <w:tblCellMar>
            <w:top w:w="0" w:type="dxa"/>
            <w:left w:w="108" w:type="dxa"/>
            <w:bottom w:w="0" w:type="dxa"/>
            <w:right w:w="108" w:type="dxa"/>
          </w:tblCellMar>
        </w:tblPrEx>
        <w:trPr>
          <w:trHeight w:val="450" w:hRule="atLeast"/>
          <w:jc w:val="center"/>
        </w:trPr>
        <w:tc>
          <w:tcPr>
            <w:tcW w:w="1544" w:type="dxa"/>
            <w:gridSpan w:val="2"/>
            <w:vMerge w:val="continue"/>
            <w:tcBorders>
              <w:left w:val="single" w:color="000000" w:sz="4" w:space="0"/>
              <w:right w:val="single" w:color="000000" w:sz="4" w:space="0"/>
            </w:tcBorders>
            <w:shd w:val="clear" w:color="auto" w:fill="BFBFBF"/>
            <w:vAlign w:val="center"/>
          </w:tcPr>
          <w:p w14:paraId="38A60BC1">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302C8965">
            <w:pPr>
              <w:jc w:val="left"/>
              <w:textAlignment w:val="center"/>
              <w:rPr>
                <w:rFonts w:eastAsia="黑体"/>
                <w:sz w:val="18"/>
                <w:szCs w:val="18"/>
              </w:rPr>
            </w:pPr>
            <w:r>
              <w:rPr>
                <w:rFonts w:eastAsia="黑体"/>
                <w:sz w:val="18"/>
                <w:szCs w:val="18"/>
                <w:lang w:bidi="ar"/>
              </w:rPr>
              <w:t>序号</w:t>
            </w:r>
          </w:p>
        </w:tc>
        <w:tc>
          <w:tcPr>
            <w:tcW w:w="2805"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7987CB8">
            <w:pPr>
              <w:jc w:val="center"/>
              <w:textAlignment w:val="center"/>
              <w:rPr>
                <w:rFonts w:eastAsia="黑体"/>
                <w:sz w:val="18"/>
                <w:szCs w:val="18"/>
              </w:rPr>
            </w:pPr>
            <w:r>
              <w:rPr>
                <w:rFonts w:eastAsia="黑体"/>
                <w:sz w:val="18"/>
                <w:szCs w:val="18"/>
                <w:lang w:bidi="ar"/>
              </w:rPr>
              <w:t>名称</w:t>
            </w:r>
          </w:p>
        </w:tc>
        <w:tc>
          <w:tcPr>
            <w:tcW w:w="285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455691D6">
            <w:pPr>
              <w:jc w:val="center"/>
              <w:textAlignment w:val="center"/>
              <w:rPr>
                <w:rFonts w:eastAsia="黑体"/>
                <w:sz w:val="18"/>
                <w:szCs w:val="18"/>
              </w:rPr>
            </w:pPr>
            <w:r>
              <w:rPr>
                <w:rFonts w:eastAsia="黑体"/>
                <w:sz w:val="18"/>
                <w:szCs w:val="18"/>
                <w:lang w:bidi="ar"/>
              </w:rPr>
              <w:t>年最大使用量</w:t>
            </w:r>
          </w:p>
        </w:tc>
        <w:tc>
          <w:tcPr>
            <w:tcW w:w="3159"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2F5F61DD">
            <w:pPr>
              <w:jc w:val="center"/>
              <w:textAlignment w:val="center"/>
              <w:rPr>
                <w:rFonts w:eastAsia="黑体"/>
                <w:sz w:val="18"/>
                <w:szCs w:val="18"/>
              </w:rPr>
            </w:pPr>
            <w:r>
              <w:rPr>
                <w:rFonts w:eastAsia="黑体"/>
                <w:sz w:val="18"/>
                <w:szCs w:val="18"/>
                <w:lang w:bidi="ar"/>
              </w:rPr>
              <w:t>计量单位</w:t>
            </w:r>
          </w:p>
        </w:tc>
        <w:tc>
          <w:tcPr>
            <w:tcW w:w="3355"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6D464D95">
            <w:pPr>
              <w:jc w:val="center"/>
              <w:textAlignment w:val="center"/>
              <w:rPr>
                <w:rFonts w:eastAsia="黑体"/>
                <w:sz w:val="18"/>
                <w:szCs w:val="18"/>
              </w:rPr>
            </w:pPr>
            <w:r>
              <w:rPr>
                <w:rFonts w:eastAsia="黑体"/>
                <w:sz w:val="18"/>
                <w:szCs w:val="18"/>
                <w:lang w:bidi="ar"/>
              </w:rPr>
              <w:t>有毒有害物质及含量（%）</w:t>
            </w:r>
          </w:p>
        </w:tc>
        <w:tc>
          <w:tcPr>
            <w:tcW w:w="1547"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603803B">
            <w:pPr>
              <w:jc w:val="center"/>
              <w:textAlignment w:val="center"/>
              <w:rPr>
                <w:rFonts w:eastAsia="黑体"/>
                <w:sz w:val="18"/>
                <w:szCs w:val="18"/>
              </w:rPr>
            </w:pPr>
            <w:r>
              <w:rPr>
                <w:rFonts w:eastAsia="黑体"/>
                <w:sz w:val="18"/>
                <w:szCs w:val="18"/>
                <w:lang w:bidi="ar"/>
              </w:rPr>
              <w:t>序号</w:t>
            </w:r>
          </w:p>
        </w:tc>
        <w:tc>
          <w:tcPr>
            <w:tcW w:w="1567"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07B316A">
            <w:pPr>
              <w:jc w:val="center"/>
              <w:textAlignment w:val="center"/>
              <w:rPr>
                <w:rFonts w:eastAsia="黑体"/>
                <w:sz w:val="18"/>
                <w:szCs w:val="18"/>
              </w:rPr>
            </w:pPr>
            <w:r>
              <w:rPr>
                <w:rFonts w:eastAsia="黑体"/>
                <w:sz w:val="18"/>
                <w:szCs w:val="18"/>
                <w:lang w:bidi="ar"/>
              </w:rPr>
              <w:t>名称</w:t>
            </w:r>
          </w:p>
        </w:tc>
        <w:tc>
          <w:tcPr>
            <w:tcW w:w="1462"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50A753D">
            <w:pPr>
              <w:jc w:val="center"/>
              <w:textAlignment w:val="center"/>
              <w:rPr>
                <w:rFonts w:eastAsia="黑体"/>
                <w:sz w:val="18"/>
                <w:szCs w:val="18"/>
              </w:rPr>
            </w:pPr>
            <w:r>
              <w:rPr>
                <w:rFonts w:eastAsia="黑体"/>
                <w:sz w:val="18"/>
                <w:szCs w:val="18"/>
                <w:lang w:bidi="ar"/>
              </w:rPr>
              <w:t>灰分(%)</w:t>
            </w:r>
          </w:p>
        </w:tc>
        <w:tc>
          <w:tcPr>
            <w:tcW w:w="814"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B52A6E0">
            <w:pPr>
              <w:jc w:val="center"/>
              <w:textAlignment w:val="center"/>
              <w:rPr>
                <w:rFonts w:eastAsia="黑体"/>
                <w:sz w:val="18"/>
                <w:szCs w:val="18"/>
              </w:rPr>
            </w:pPr>
            <w:r>
              <w:rPr>
                <w:rFonts w:eastAsia="黑体"/>
                <w:sz w:val="18"/>
                <w:szCs w:val="18"/>
                <w:lang w:bidi="ar"/>
              </w:rPr>
              <w:t>硫分(%)</w:t>
            </w:r>
          </w:p>
        </w:tc>
        <w:tc>
          <w:tcPr>
            <w:tcW w:w="888"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2FE7E42E">
            <w:pPr>
              <w:jc w:val="center"/>
              <w:textAlignment w:val="center"/>
              <w:rPr>
                <w:rFonts w:eastAsia="黑体"/>
                <w:sz w:val="18"/>
                <w:szCs w:val="18"/>
              </w:rPr>
            </w:pPr>
            <w:r>
              <w:rPr>
                <w:rFonts w:eastAsia="黑体"/>
                <w:sz w:val="18"/>
                <w:szCs w:val="18"/>
                <w:lang w:bidi="ar"/>
              </w:rPr>
              <w:t>年最大使用量</w:t>
            </w:r>
          </w:p>
        </w:tc>
        <w:tc>
          <w:tcPr>
            <w:tcW w:w="102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AF57FC4">
            <w:pPr>
              <w:jc w:val="center"/>
              <w:textAlignment w:val="center"/>
              <w:rPr>
                <w:rFonts w:eastAsia="黑体"/>
                <w:sz w:val="18"/>
                <w:szCs w:val="18"/>
              </w:rPr>
            </w:pPr>
            <w:r>
              <w:rPr>
                <w:rFonts w:eastAsia="黑体"/>
                <w:sz w:val="18"/>
                <w:szCs w:val="18"/>
                <w:lang w:bidi="ar"/>
              </w:rPr>
              <w:t>计量单位</w:t>
            </w:r>
          </w:p>
        </w:tc>
      </w:tr>
      <w:tr w14:paraId="481E4CA0">
        <w:tblPrEx>
          <w:tblCellMar>
            <w:top w:w="0" w:type="dxa"/>
            <w:left w:w="108" w:type="dxa"/>
            <w:bottom w:w="0" w:type="dxa"/>
            <w:right w:w="108" w:type="dxa"/>
          </w:tblCellMar>
        </w:tblPrEx>
        <w:trPr>
          <w:trHeight w:val="335" w:hRule="atLeast"/>
          <w:jc w:val="center"/>
        </w:trPr>
        <w:tc>
          <w:tcPr>
            <w:tcW w:w="1544" w:type="dxa"/>
            <w:gridSpan w:val="2"/>
            <w:vMerge w:val="continue"/>
            <w:tcBorders>
              <w:left w:val="single" w:color="000000" w:sz="4" w:space="0"/>
              <w:right w:val="single" w:color="000000" w:sz="4" w:space="0"/>
            </w:tcBorders>
            <w:shd w:val="clear" w:color="auto" w:fill="BFBFBF"/>
            <w:vAlign w:val="center"/>
          </w:tcPr>
          <w:p w14:paraId="615E7B0E">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281B73D4">
            <w:pPr>
              <w:jc w:val="center"/>
              <w:rPr>
                <w:rFonts w:eastAsia="黑体"/>
                <w:sz w:val="18"/>
                <w:szCs w:val="18"/>
              </w:rPr>
            </w:pPr>
            <w:r>
              <w:rPr>
                <w:rFonts w:eastAsia="黑体"/>
                <w:sz w:val="18"/>
                <w:szCs w:val="18"/>
              </w:rPr>
              <w:t>1</w:t>
            </w:r>
          </w:p>
        </w:tc>
        <w:tc>
          <w:tcPr>
            <w:tcW w:w="2805" w:type="dxa"/>
            <w:gridSpan w:val="2"/>
            <w:tcBorders>
              <w:top w:val="single" w:color="000000" w:sz="4" w:space="0"/>
              <w:left w:val="single" w:color="000000" w:sz="4" w:space="0"/>
              <w:bottom w:val="single" w:color="000000" w:sz="4" w:space="0"/>
              <w:right w:val="single" w:color="000000" w:sz="4" w:space="0"/>
            </w:tcBorders>
            <w:vAlign w:val="center"/>
          </w:tcPr>
          <w:p w14:paraId="1D338A50">
            <w:pPr>
              <w:jc w:val="center"/>
              <w:rPr>
                <w:rFonts w:eastAsia="黑体"/>
                <w:sz w:val="18"/>
                <w:szCs w:val="18"/>
                <w:lang w:val="en-US" w:eastAsia="zh-CN"/>
              </w:rPr>
            </w:pPr>
            <w:r>
              <w:rPr>
                <w:rFonts w:eastAsia="黑体"/>
                <w:sz w:val="18"/>
                <w:szCs w:val="18"/>
                <w:lang w:val="en-US" w:eastAsia="zh-CN"/>
              </w:rPr>
              <w:t>聚合氯化铝</w:t>
            </w:r>
          </w:p>
          <w:p w14:paraId="22C48063">
            <w:pPr>
              <w:jc w:val="center"/>
              <w:rPr>
                <w:rFonts w:eastAsia="黑体"/>
                <w:sz w:val="18"/>
                <w:szCs w:val="18"/>
              </w:rPr>
            </w:pPr>
            <w:r>
              <w:rPr>
                <w:rFonts w:eastAsia="黑体"/>
                <w:sz w:val="18"/>
                <w:szCs w:val="18"/>
                <w:lang w:val="en-US" w:eastAsia="zh-CN"/>
              </w:rPr>
              <w:t>（液体10%PAC）</w:t>
            </w: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776DC4EE">
            <w:pPr>
              <w:jc w:val="center"/>
              <w:rPr>
                <w:rFonts w:eastAsia="黑体"/>
                <w:sz w:val="18"/>
                <w:szCs w:val="18"/>
              </w:rPr>
            </w:pPr>
            <w:r>
              <w:rPr>
                <w:rFonts w:hint="eastAsia" w:eastAsia="黑体"/>
                <w:sz w:val="18"/>
                <w:szCs w:val="18"/>
                <w:lang w:val="en-US" w:eastAsia="zh-CN"/>
              </w:rPr>
              <w:t>300</w:t>
            </w: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14FCE458">
            <w:pPr>
              <w:jc w:val="center"/>
              <w:rPr>
                <w:rFonts w:eastAsia="黑体"/>
                <w:sz w:val="18"/>
                <w:szCs w:val="18"/>
              </w:rPr>
            </w:pPr>
            <w:r>
              <w:rPr>
                <w:rFonts w:eastAsia="黑体"/>
                <w:sz w:val="18"/>
                <w:szCs w:val="18"/>
              </w:rPr>
              <w:t>t/a</w:t>
            </w: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5F1CBECB">
            <w:pPr>
              <w:jc w:val="cente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48F65EEA">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576E8389">
            <w:pPr>
              <w:ind w:firstLine="360" w:firstLineChars="200"/>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51E82B94">
            <w:pPr>
              <w:rPr>
                <w:rFonts w:eastAsia="黑体"/>
                <w:sz w:val="18"/>
                <w:szCs w:val="18"/>
              </w:rPr>
            </w:pPr>
          </w:p>
        </w:tc>
        <w:tc>
          <w:tcPr>
            <w:tcW w:w="814" w:type="dxa"/>
            <w:tcBorders>
              <w:top w:val="single" w:color="000000" w:sz="4" w:space="0"/>
              <w:left w:val="single" w:color="000000" w:sz="4" w:space="0"/>
              <w:bottom w:val="single" w:color="000000" w:sz="4" w:space="0"/>
              <w:right w:val="single" w:color="000000" w:sz="4" w:space="0"/>
            </w:tcBorders>
            <w:vAlign w:val="center"/>
          </w:tcPr>
          <w:p w14:paraId="0AB55425">
            <w:pPr>
              <w:rPr>
                <w:rFonts w:eastAsia="黑体"/>
                <w:sz w:val="18"/>
                <w:szCs w:val="18"/>
              </w:rPr>
            </w:pPr>
          </w:p>
        </w:tc>
        <w:tc>
          <w:tcPr>
            <w:tcW w:w="888" w:type="dxa"/>
            <w:tcBorders>
              <w:top w:val="single" w:color="000000" w:sz="4" w:space="0"/>
              <w:left w:val="single" w:color="000000" w:sz="4" w:space="0"/>
              <w:bottom w:val="single" w:color="000000" w:sz="4" w:space="0"/>
              <w:right w:val="single" w:color="000000" w:sz="4" w:space="0"/>
            </w:tcBorders>
            <w:vAlign w:val="center"/>
          </w:tcPr>
          <w:p w14:paraId="72886DBF">
            <w:pPr>
              <w:ind w:firstLine="180" w:firstLineChars="100"/>
              <w:rPr>
                <w:rFonts w:eastAsia="黑体"/>
                <w:sz w:val="18"/>
                <w:szCs w:val="18"/>
              </w:rPr>
            </w:pPr>
          </w:p>
        </w:tc>
        <w:tc>
          <w:tcPr>
            <w:tcW w:w="1026" w:type="dxa"/>
            <w:gridSpan w:val="2"/>
            <w:tcBorders>
              <w:top w:val="single" w:color="000000" w:sz="4" w:space="0"/>
              <w:left w:val="single" w:color="000000" w:sz="4" w:space="0"/>
              <w:bottom w:val="single" w:color="000000" w:sz="4" w:space="0"/>
              <w:right w:val="single" w:color="000000" w:sz="4" w:space="0"/>
            </w:tcBorders>
            <w:vAlign w:val="center"/>
          </w:tcPr>
          <w:p w14:paraId="04C6ED16">
            <w:pPr>
              <w:ind w:firstLine="180" w:firstLineChars="100"/>
              <w:rPr>
                <w:rFonts w:eastAsia="黑体"/>
                <w:sz w:val="18"/>
                <w:szCs w:val="18"/>
              </w:rPr>
            </w:pPr>
          </w:p>
        </w:tc>
      </w:tr>
      <w:tr w14:paraId="4D2F1BE8">
        <w:tblPrEx>
          <w:tblCellMar>
            <w:top w:w="0" w:type="dxa"/>
            <w:left w:w="108" w:type="dxa"/>
            <w:bottom w:w="0" w:type="dxa"/>
            <w:right w:w="108" w:type="dxa"/>
          </w:tblCellMar>
        </w:tblPrEx>
        <w:trPr>
          <w:trHeight w:val="335" w:hRule="atLeast"/>
          <w:jc w:val="center"/>
        </w:trPr>
        <w:tc>
          <w:tcPr>
            <w:tcW w:w="1544" w:type="dxa"/>
            <w:gridSpan w:val="2"/>
            <w:vMerge w:val="continue"/>
            <w:tcBorders>
              <w:left w:val="single" w:color="000000" w:sz="4" w:space="0"/>
              <w:right w:val="single" w:color="000000" w:sz="4" w:space="0"/>
            </w:tcBorders>
            <w:shd w:val="clear" w:color="auto" w:fill="BFBFBF"/>
            <w:vAlign w:val="center"/>
          </w:tcPr>
          <w:p w14:paraId="106831B7">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13E4F631">
            <w:pPr>
              <w:jc w:val="center"/>
              <w:rPr>
                <w:rFonts w:eastAsia="黑体"/>
                <w:sz w:val="18"/>
                <w:szCs w:val="18"/>
              </w:rPr>
            </w:pPr>
            <w:r>
              <w:rPr>
                <w:rFonts w:eastAsia="黑体"/>
                <w:sz w:val="18"/>
                <w:szCs w:val="18"/>
              </w:rPr>
              <w:t>2</w:t>
            </w:r>
          </w:p>
        </w:tc>
        <w:tc>
          <w:tcPr>
            <w:tcW w:w="2805" w:type="dxa"/>
            <w:gridSpan w:val="2"/>
            <w:tcBorders>
              <w:top w:val="single" w:color="000000" w:sz="4" w:space="0"/>
              <w:left w:val="single" w:color="000000" w:sz="4" w:space="0"/>
              <w:bottom w:val="single" w:color="000000" w:sz="4" w:space="0"/>
              <w:right w:val="single" w:color="000000" w:sz="4" w:space="0"/>
            </w:tcBorders>
            <w:vAlign w:val="center"/>
          </w:tcPr>
          <w:p w14:paraId="2A5A400D">
            <w:pPr>
              <w:jc w:val="center"/>
              <w:rPr>
                <w:rFonts w:eastAsia="黑体"/>
                <w:sz w:val="18"/>
                <w:szCs w:val="18"/>
              </w:rPr>
            </w:pPr>
            <w:r>
              <w:rPr>
                <w:rFonts w:eastAsia="黑体"/>
                <w:sz w:val="18"/>
                <w:szCs w:val="18"/>
                <w:lang w:val="en-US" w:eastAsia="zh-CN"/>
              </w:rPr>
              <w:t>聚丙烯酰胺（PAM）</w:t>
            </w: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3C84C2FE">
            <w:pPr>
              <w:jc w:val="center"/>
              <w:rPr>
                <w:rFonts w:eastAsia="黑体"/>
                <w:sz w:val="18"/>
                <w:szCs w:val="18"/>
              </w:rPr>
            </w:pPr>
            <w:r>
              <w:rPr>
                <w:rFonts w:hint="eastAsia" w:eastAsia="黑体"/>
                <w:sz w:val="18"/>
                <w:szCs w:val="18"/>
                <w:lang w:val="en-US" w:eastAsia="zh-CN"/>
              </w:rPr>
              <w:t>20</w:t>
            </w:r>
            <w:r>
              <w:rPr>
                <w:rFonts w:hint="eastAsia" w:eastAsia="黑体"/>
                <w:sz w:val="18"/>
                <w:szCs w:val="18"/>
              </w:rPr>
              <w:t>0</w:t>
            </w: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3319E9DE">
            <w:pPr>
              <w:jc w:val="center"/>
              <w:rPr>
                <w:rFonts w:eastAsia="黑体"/>
                <w:sz w:val="18"/>
                <w:szCs w:val="18"/>
              </w:rPr>
            </w:pPr>
            <w:r>
              <w:rPr>
                <w:rFonts w:eastAsia="黑体"/>
                <w:sz w:val="18"/>
                <w:szCs w:val="18"/>
              </w:rPr>
              <w:t>t/a</w:t>
            </w: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186ABC2B">
            <w:pPr>
              <w:jc w:val="cente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40AC6452">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6F416506">
            <w:pP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57D16D35">
            <w:pPr>
              <w:rPr>
                <w:rFonts w:eastAsia="黑体"/>
                <w:sz w:val="18"/>
                <w:szCs w:val="18"/>
              </w:rPr>
            </w:pPr>
          </w:p>
        </w:tc>
        <w:tc>
          <w:tcPr>
            <w:tcW w:w="814" w:type="dxa"/>
            <w:tcBorders>
              <w:top w:val="single" w:color="000000" w:sz="4" w:space="0"/>
              <w:left w:val="single" w:color="000000" w:sz="4" w:space="0"/>
              <w:bottom w:val="single" w:color="000000" w:sz="4" w:space="0"/>
              <w:right w:val="single" w:color="000000" w:sz="4" w:space="0"/>
            </w:tcBorders>
            <w:vAlign w:val="center"/>
          </w:tcPr>
          <w:p w14:paraId="108437E5">
            <w:pPr>
              <w:rPr>
                <w:rFonts w:eastAsia="黑体"/>
                <w:sz w:val="18"/>
                <w:szCs w:val="18"/>
              </w:rPr>
            </w:pPr>
          </w:p>
        </w:tc>
        <w:tc>
          <w:tcPr>
            <w:tcW w:w="888" w:type="dxa"/>
            <w:tcBorders>
              <w:top w:val="single" w:color="000000" w:sz="4" w:space="0"/>
              <w:left w:val="single" w:color="000000" w:sz="4" w:space="0"/>
              <w:bottom w:val="single" w:color="000000" w:sz="4" w:space="0"/>
              <w:right w:val="single" w:color="000000" w:sz="4" w:space="0"/>
            </w:tcBorders>
            <w:vAlign w:val="center"/>
          </w:tcPr>
          <w:p w14:paraId="5775D8D1">
            <w:pPr>
              <w:rPr>
                <w:rFonts w:eastAsia="黑体"/>
                <w:sz w:val="18"/>
                <w:szCs w:val="18"/>
              </w:rPr>
            </w:pPr>
          </w:p>
        </w:tc>
        <w:tc>
          <w:tcPr>
            <w:tcW w:w="1026" w:type="dxa"/>
            <w:gridSpan w:val="2"/>
            <w:tcBorders>
              <w:top w:val="single" w:color="000000" w:sz="4" w:space="0"/>
              <w:left w:val="single" w:color="000000" w:sz="4" w:space="0"/>
              <w:bottom w:val="single" w:color="000000" w:sz="4" w:space="0"/>
              <w:right w:val="single" w:color="000000" w:sz="4" w:space="0"/>
            </w:tcBorders>
            <w:vAlign w:val="center"/>
          </w:tcPr>
          <w:p w14:paraId="5B53B14B">
            <w:pPr>
              <w:rPr>
                <w:rFonts w:eastAsia="黑体"/>
                <w:sz w:val="18"/>
                <w:szCs w:val="18"/>
              </w:rPr>
            </w:pPr>
          </w:p>
        </w:tc>
      </w:tr>
      <w:tr w14:paraId="5B36AC74">
        <w:tblPrEx>
          <w:tblCellMar>
            <w:top w:w="0" w:type="dxa"/>
            <w:left w:w="108" w:type="dxa"/>
            <w:bottom w:w="0" w:type="dxa"/>
            <w:right w:w="108" w:type="dxa"/>
          </w:tblCellMar>
        </w:tblPrEx>
        <w:trPr>
          <w:trHeight w:val="335" w:hRule="atLeast"/>
          <w:jc w:val="center"/>
        </w:trPr>
        <w:tc>
          <w:tcPr>
            <w:tcW w:w="1544" w:type="dxa"/>
            <w:gridSpan w:val="2"/>
            <w:vMerge w:val="continue"/>
            <w:tcBorders>
              <w:left w:val="single" w:color="000000" w:sz="4" w:space="0"/>
              <w:right w:val="single" w:color="000000" w:sz="4" w:space="0"/>
            </w:tcBorders>
            <w:shd w:val="clear" w:color="auto" w:fill="BFBFBF"/>
            <w:vAlign w:val="center"/>
          </w:tcPr>
          <w:p w14:paraId="0F88BAAC">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571BF3CA">
            <w:pPr>
              <w:jc w:val="center"/>
              <w:rPr>
                <w:rFonts w:eastAsia="黑体"/>
                <w:sz w:val="18"/>
                <w:szCs w:val="18"/>
              </w:rPr>
            </w:pPr>
            <w:r>
              <w:rPr>
                <w:rFonts w:eastAsia="黑体"/>
                <w:sz w:val="18"/>
                <w:szCs w:val="18"/>
              </w:rPr>
              <w:t>3</w:t>
            </w:r>
          </w:p>
        </w:tc>
        <w:tc>
          <w:tcPr>
            <w:tcW w:w="2805" w:type="dxa"/>
            <w:gridSpan w:val="2"/>
            <w:tcBorders>
              <w:top w:val="single" w:color="000000" w:sz="4" w:space="0"/>
              <w:left w:val="single" w:color="000000" w:sz="4" w:space="0"/>
              <w:bottom w:val="single" w:color="000000" w:sz="4" w:space="0"/>
              <w:right w:val="single" w:color="000000" w:sz="4" w:space="0"/>
            </w:tcBorders>
            <w:vAlign w:val="center"/>
          </w:tcPr>
          <w:p w14:paraId="74BE0F91">
            <w:pPr>
              <w:jc w:val="center"/>
              <w:rPr>
                <w:rFonts w:eastAsia="黑体"/>
                <w:sz w:val="18"/>
                <w:szCs w:val="18"/>
              </w:rPr>
            </w:pPr>
            <w:r>
              <w:rPr>
                <w:rFonts w:hint="eastAsia" w:eastAsia="黑体"/>
                <w:sz w:val="18"/>
                <w:szCs w:val="18"/>
                <w:lang w:val="en-US" w:eastAsia="zh-CN"/>
              </w:rPr>
              <w:t>NaOH</w:t>
            </w: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54DD8C21">
            <w:pPr>
              <w:jc w:val="center"/>
              <w:rPr>
                <w:rFonts w:eastAsia="黑体"/>
                <w:sz w:val="18"/>
                <w:szCs w:val="18"/>
              </w:rPr>
            </w:pPr>
            <w:r>
              <w:rPr>
                <w:rFonts w:hint="eastAsia" w:eastAsia="黑体"/>
                <w:sz w:val="18"/>
                <w:szCs w:val="18"/>
                <w:lang w:val="en-US" w:eastAsia="zh-CN"/>
              </w:rPr>
              <w:t>100</w:t>
            </w: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66D1B22D">
            <w:pPr>
              <w:jc w:val="center"/>
              <w:rPr>
                <w:rFonts w:eastAsia="黑体"/>
                <w:sz w:val="18"/>
                <w:szCs w:val="18"/>
              </w:rPr>
            </w:pPr>
            <w:r>
              <w:rPr>
                <w:rFonts w:eastAsia="黑体"/>
                <w:sz w:val="18"/>
                <w:szCs w:val="18"/>
              </w:rPr>
              <w:t>t/a</w:t>
            </w: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46C4F9AE">
            <w:pPr>
              <w:jc w:val="cente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31605AC7">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1929E174">
            <w:pP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44927883">
            <w:pPr>
              <w:rPr>
                <w:rFonts w:eastAsia="黑体"/>
                <w:sz w:val="18"/>
                <w:szCs w:val="18"/>
              </w:rPr>
            </w:pPr>
          </w:p>
        </w:tc>
        <w:tc>
          <w:tcPr>
            <w:tcW w:w="814" w:type="dxa"/>
            <w:tcBorders>
              <w:top w:val="single" w:color="000000" w:sz="4" w:space="0"/>
              <w:left w:val="single" w:color="000000" w:sz="4" w:space="0"/>
              <w:bottom w:val="single" w:color="000000" w:sz="4" w:space="0"/>
              <w:right w:val="single" w:color="000000" w:sz="4" w:space="0"/>
            </w:tcBorders>
            <w:vAlign w:val="center"/>
          </w:tcPr>
          <w:p w14:paraId="091558C1">
            <w:pPr>
              <w:rPr>
                <w:rFonts w:eastAsia="黑体"/>
                <w:sz w:val="18"/>
                <w:szCs w:val="18"/>
              </w:rPr>
            </w:pPr>
          </w:p>
        </w:tc>
        <w:tc>
          <w:tcPr>
            <w:tcW w:w="888" w:type="dxa"/>
            <w:tcBorders>
              <w:top w:val="single" w:color="000000" w:sz="4" w:space="0"/>
              <w:left w:val="single" w:color="000000" w:sz="4" w:space="0"/>
              <w:bottom w:val="single" w:color="000000" w:sz="4" w:space="0"/>
              <w:right w:val="single" w:color="000000" w:sz="4" w:space="0"/>
            </w:tcBorders>
            <w:vAlign w:val="center"/>
          </w:tcPr>
          <w:p w14:paraId="075773D9">
            <w:pPr>
              <w:rPr>
                <w:rFonts w:eastAsia="黑体"/>
                <w:sz w:val="18"/>
                <w:szCs w:val="18"/>
              </w:rPr>
            </w:pPr>
          </w:p>
        </w:tc>
        <w:tc>
          <w:tcPr>
            <w:tcW w:w="1026" w:type="dxa"/>
            <w:gridSpan w:val="2"/>
            <w:tcBorders>
              <w:top w:val="single" w:color="000000" w:sz="4" w:space="0"/>
              <w:left w:val="single" w:color="000000" w:sz="4" w:space="0"/>
              <w:bottom w:val="single" w:color="000000" w:sz="4" w:space="0"/>
              <w:right w:val="single" w:color="000000" w:sz="4" w:space="0"/>
            </w:tcBorders>
            <w:vAlign w:val="center"/>
          </w:tcPr>
          <w:p w14:paraId="033327DC">
            <w:pPr>
              <w:rPr>
                <w:rFonts w:eastAsia="黑体"/>
                <w:sz w:val="18"/>
                <w:szCs w:val="18"/>
              </w:rPr>
            </w:pPr>
          </w:p>
        </w:tc>
      </w:tr>
      <w:tr w14:paraId="3DCE5D75">
        <w:tblPrEx>
          <w:tblCellMar>
            <w:top w:w="0" w:type="dxa"/>
            <w:left w:w="108" w:type="dxa"/>
            <w:bottom w:w="0" w:type="dxa"/>
            <w:right w:w="108" w:type="dxa"/>
          </w:tblCellMar>
        </w:tblPrEx>
        <w:trPr>
          <w:trHeight w:val="335" w:hRule="atLeast"/>
          <w:jc w:val="center"/>
        </w:trPr>
        <w:tc>
          <w:tcPr>
            <w:tcW w:w="1544" w:type="dxa"/>
            <w:gridSpan w:val="2"/>
            <w:vMerge w:val="continue"/>
            <w:tcBorders>
              <w:left w:val="single" w:color="000000" w:sz="4" w:space="0"/>
              <w:right w:val="single" w:color="000000" w:sz="4" w:space="0"/>
            </w:tcBorders>
            <w:shd w:val="clear" w:color="auto" w:fill="BFBFBF"/>
            <w:vAlign w:val="center"/>
          </w:tcPr>
          <w:p w14:paraId="7B3F648C">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5EAAA50F">
            <w:pPr>
              <w:jc w:val="center"/>
              <w:rPr>
                <w:rFonts w:eastAsia="黑体"/>
                <w:sz w:val="18"/>
                <w:szCs w:val="18"/>
              </w:rPr>
            </w:pPr>
            <w:r>
              <w:rPr>
                <w:rFonts w:eastAsia="黑体"/>
                <w:sz w:val="18"/>
                <w:szCs w:val="18"/>
              </w:rPr>
              <w:t>4</w:t>
            </w:r>
          </w:p>
        </w:tc>
        <w:tc>
          <w:tcPr>
            <w:tcW w:w="2805" w:type="dxa"/>
            <w:gridSpan w:val="2"/>
            <w:tcBorders>
              <w:top w:val="single" w:color="000000" w:sz="4" w:space="0"/>
              <w:left w:val="single" w:color="000000" w:sz="4" w:space="0"/>
              <w:bottom w:val="single" w:color="000000" w:sz="4" w:space="0"/>
              <w:right w:val="single" w:color="000000" w:sz="4" w:space="0"/>
            </w:tcBorders>
            <w:vAlign w:val="center"/>
          </w:tcPr>
          <w:p w14:paraId="01651191">
            <w:pPr>
              <w:jc w:val="center"/>
              <w:rPr>
                <w:rFonts w:eastAsia="黑体"/>
                <w:sz w:val="18"/>
                <w:szCs w:val="18"/>
              </w:rPr>
            </w:pPr>
            <w:r>
              <w:rPr>
                <w:rFonts w:eastAsia="黑体"/>
                <w:sz w:val="18"/>
                <w:szCs w:val="18"/>
              </w:rPr>
              <w:t>电</w:t>
            </w: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58AA2930">
            <w:pPr>
              <w:jc w:val="center"/>
              <w:rPr>
                <w:rFonts w:eastAsia="黑体"/>
                <w:sz w:val="18"/>
                <w:szCs w:val="18"/>
              </w:rPr>
            </w:pPr>
            <w:r>
              <w:rPr>
                <w:rFonts w:eastAsia="黑体"/>
                <w:sz w:val="18"/>
                <w:szCs w:val="18"/>
              </w:rPr>
              <w:t>50</w:t>
            </w: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4106CBC1">
            <w:pPr>
              <w:jc w:val="center"/>
              <w:rPr>
                <w:rFonts w:eastAsia="黑体"/>
                <w:sz w:val="18"/>
                <w:szCs w:val="18"/>
              </w:rPr>
            </w:pPr>
            <w:r>
              <w:rPr>
                <w:rFonts w:eastAsia="黑体"/>
                <w:sz w:val="18"/>
                <w:szCs w:val="18"/>
              </w:rPr>
              <w:t>万度/a</w:t>
            </w:r>
          </w:p>
        </w:tc>
        <w:tc>
          <w:tcPr>
            <w:tcW w:w="3355" w:type="dxa"/>
            <w:gridSpan w:val="2"/>
            <w:tcBorders>
              <w:top w:val="single" w:color="000000" w:sz="4" w:space="0"/>
              <w:left w:val="single" w:color="000000" w:sz="4" w:space="0"/>
              <w:bottom w:val="single" w:color="000000" w:sz="4" w:space="0"/>
              <w:right w:val="single" w:color="000000" w:sz="4" w:space="0"/>
            </w:tcBorders>
            <w:vAlign w:val="center"/>
          </w:tcPr>
          <w:p w14:paraId="10862FB2">
            <w:pPr>
              <w:jc w:val="cente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5533C8F5">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504605C2">
            <w:pP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73A34215">
            <w:pPr>
              <w:rPr>
                <w:rFonts w:eastAsia="黑体"/>
                <w:sz w:val="18"/>
                <w:szCs w:val="18"/>
              </w:rPr>
            </w:pPr>
          </w:p>
        </w:tc>
        <w:tc>
          <w:tcPr>
            <w:tcW w:w="814" w:type="dxa"/>
            <w:tcBorders>
              <w:top w:val="single" w:color="000000" w:sz="4" w:space="0"/>
              <w:left w:val="single" w:color="000000" w:sz="4" w:space="0"/>
              <w:bottom w:val="single" w:color="000000" w:sz="4" w:space="0"/>
              <w:right w:val="single" w:color="000000" w:sz="4" w:space="0"/>
            </w:tcBorders>
            <w:vAlign w:val="center"/>
          </w:tcPr>
          <w:p w14:paraId="772A084F">
            <w:pPr>
              <w:rPr>
                <w:rFonts w:eastAsia="黑体"/>
                <w:sz w:val="18"/>
                <w:szCs w:val="18"/>
              </w:rPr>
            </w:pPr>
          </w:p>
        </w:tc>
        <w:tc>
          <w:tcPr>
            <w:tcW w:w="888" w:type="dxa"/>
            <w:tcBorders>
              <w:top w:val="single" w:color="000000" w:sz="4" w:space="0"/>
              <w:left w:val="single" w:color="000000" w:sz="4" w:space="0"/>
              <w:bottom w:val="single" w:color="000000" w:sz="4" w:space="0"/>
              <w:right w:val="single" w:color="000000" w:sz="4" w:space="0"/>
            </w:tcBorders>
            <w:vAlign w:val="center"/>
          </w:tcPr>
          <w:p w14:paraId="4009CE0A">
            <w:pPr>
              <w:rPr>
                <w:rFonts w:eastAsia="黑体"/>
                <w:sz w:val="18"/>
                <w:szCs w:val="18"/>
              </w:rPr>
            </w:pPr>
          </w:p>
        </w:tc>
        <w:tc>
          <w:tcPr>
            <w:tcW w:w="1026" w:type="dxa"/>
            <w:gridSpan w:val="2"/>
            <w:tcBorders>
              <w:top w:val="single" w:color="000000" w:sz="4" w:space="0"/>
              <w:left w:val="single" w:color="000000" w:sz="4" w:space="0"/>
              <w:bottom w:val="single" w:color="000000" w:sz="4" w:space="0"/>
              <w:right w:val="single" w:color="000000" w:sz="4" w:space="0"/>
            </w:tcBorders>
            <w:vAlign w:val="center"/>
          </w:tcPr>
          <w:p w14:paraId="2D08ACC3">
            <w:pPr>
              <w:rPr>
                <w:rFonts w:eastAsia="黑体"/>
                <w:sz w:val="18"/>
                <w:szCs w:val="18"/>
              </w:rPr>
            </w:pPr>
          </w:p>
        </w:tc>
      </w:tr>
      <w:tr w14:paraId="48BB6F28">
        <w:tblPrEx>
          <w:tblCellMar>
            <w:top w:w="0" w:type="dxa"/>
            <w:left w:w="108" w:type="dxa"/>
            <w:bottom w:w="0" w:type="dxa"/>
            <w:right w:w="108" w:type="dxa"/>
          </w:tblCellMar>
        </w:tblPrEx>
        <w:trPr>
          <w:trHeight w:val="518" w:hRule="atLeast"/>
          <w:jc w:val="center"/>
        </w:trPr>
        <w:tc>
          <w:tcPr>
            <w:tcW w:w="888" w:type="dxa"/>
            <w:vMerge w:val="restart"/>
            <w:tcBorders>
              <w:top w:val="single" w:color="000000" w:sz="4" w:space="0"/>
              <w:left w:val="single" w:color="auto" w:sz="4" w:space="0"/>
              <w:right w:val="single" w:color="000000" w:sz="4" w:space="0"/>
            </w:tcBorders>
            <w:shd w:val="clear" w:color="auto" w:fill="BFBFBF"/>
            <w:vAlign w:val="center"/>
          </w:tcPr>
          <w:p w14:paraId="6A65B36A">
            <w:pPr>
              <w:jc w:val="center"/>
              <w:textAlignment w:val="center"/>
              <w:rPr>
                <w:rFonts w:eastAsia="黑体"/>
                <w:sz w:val="22"/>
                <w:szCs w:val="22"/>
              </w:rPr>
            </w:pPr>
            <w:r>
              <w:rPr>
                <w:rFonts w:eastAsia="黑体"/>
                <w:sz w:val="22"/>
                <w:szCs w:val="22"/>
                <w:lang w:bidi="ar"/>
              </w:rPr>
              <w:t>大气污染治理与排放信息</w:t>
            </w:r>
          </w:p>
        </w:tc>
        <w:tc>
          <w:tcPr>
            <w:tcW w:w="656"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A538662">
            <w:pPr>
              <w:jc w:val="center"/>
              <w:textAlignment w:val="center"/>
              <w:rPr>
                <w:rFonts w:eastAsia="黑体"/>
                <w:sz w:val="22"/>
                <w:szCs w:val="22"/>
                <w:lang w:bidi="ar"/>
              </w:rPr>
            </w:pPr>
            <w:r>
              <w:rPr>
                <w:rFonts w:eastAsia="黑体"/>
                <w:sz w:val="22"/>
                <w:szCs w:val="22"/>
                <w:lang w:bidi="ar"/>
              </w:rPr>
              <w:t>有组织</w:t>
            </w:r>
          </w:p>
          <w:p w14:paraId="4748AFF3">
            <w:pPr>
              <w:jc w:val="center"/>
              <w:textAlignment w:val="center"/>
              <w:rPr>
                <w:rFonts w:eastAsia="黑体"/>
                <w:sz w:val="22"/>
                <w:szCs w:val="22"/>
              </w:rPr>
            </w:pPr>
            <w:r>
              <w:rPr>
                <w:rFonts w:eastAsia="黑体"/>
                <w:sz w:val="22"/>
                <w:szCs w:val="22"/>
                <w:lang w:bidi="ar"/>
              </w:rPr>
              <w:t>排放（主要排放口）</w:t>
            </w:r>
          </w:p>
        </w:tc>
        <w:tc>
          <w:tcPr>
            <w:tcW w:w="602"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7EB4347B">
            <w:pPr>
              <w:jc w:val="center"/>
              <w:rPr>
                <w:kern w:val="2"/>
                <w:sz w:val="21"/>
                <w:szCs w:val="21"/>
              </w:rPr>
            </w:pPr>
          </w:p>
        </w:tc>
        <w:tc>
          <w:tcPr>
            <w:tcW w:w="1144"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8DE7847">
            <w:pPr>
              <w:jc w:val="center"/>
              <w:textAlignment w:val="center"/>
              <w:rPr>
                <w:rFonts w:eastAsia="黑体"/>
                <w:sz w:val="18"/>
                <w:szCs w:val="18"/>
              </w:rPr>
            </w:pPr>
            <w:r>
              <w:rPr>
                <w:rFonts w:eastAsia="黑体"/>
                <w:sz w:val="18"/>
                <w:szCs w:val="18"/>
                <w:lang w:bidi="ar"/>
              </w:rPr>
              <w:t>排放口名称</w:t>
            </w:r>
          </w:p>
        </w:tc>
        <w:tc>
          <w:tcPr>
            <w:tcW w:w="1661"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067C3873">
            <w:pPr>
              <w:jc w:val="center"/>
              <w:textAlignment w:val="center"/>
              <w:rPr>
                <w:rFonts w:eastAsia="黑体"/>
                <w:sz w:val="18"/>
                <w:szCs w:val="18"/>
              </w:rPr>
            </w:pPr>
            <w:r>
              <w:rPr>
                <w:rFonts w:eastAsia="黑体"/>
                <w:sz w:val="18"/>
                <w:szCs w:val="18"/>
                <w:lang w:bidi="ar"/>
              </w:rPr>
              <w:t>排气筒高度（米）</w:t>
            </w:r>
          </w:p>
        </w:tc>
        <w:tc>
          <w:tcPr>
            <w:tcW w:w="4265" w:type="dxa"/>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200147BE">
            <w:pPr>
              <w:jc w:val="center"/>
              <w:textAlignment w:val="center"/>
              <w:rPr>
                <w:rFonts w:eastAsia="黑体"/>
                <w:sz w:val="18"/>
                <w:szCs w:val="18"/>
              </w:rPr>
            </w:pPr>
            <w:r>
              <w:rPr>
                <w:rFonts w:eastAsia="黑体"/>
                <w:sz w:val="18"/>
                <w:szCs w:val="18"/>
                <w:lang w:bidi="ar"/>
              </w:rPr>
              <w:t>污染防治设施工艺</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464F0F96">
            <w:pPr>
              <w:jc w:val="center"/>
              <w:textAlignment w:val="center"/>
              <w:rPr>
                <w:rFonts w:eastAsia="黑体"/>
                <w:sz w:val="18"/>
                <w:szCs w:val="18"/>
              </w:rPr>
            </w:pPr>
            <w:r>
              <w:rPr>
                <w:rFonts w:eastAsia="黑体"/>
                <w:sz w:val="18"/>
                <w:szCs w:val="18"/>
                <w:lang w:bidi="ar"/>
              </w:rPr>
              <w:t>生产设施</w:t>
            </w:r>
          </w:p>
        </w:tc>
        <w:tc>
          <w:tcPr>
            <w:tcW w:w="8823" w:type="dxa"/>
            <w:gridSpan w:val="9"/>
            <w:tcBorders>
              <w:top w:val="single" w:color="000000" w:sz="4" w:space="0"/>
              <w:left w:val="single" w:color="000000" w:sz="4" w:space="0"/>
              <w:bottom w:val="single" w:color="000000" w:sz="4" w:space="0"/>
              <w:right w:val="single" w:color="000000" w:sz="4" w:space="0"/>
            </w:tcBorders>
            <w:shd w:val="clear" w:color="auto" w:fill="BFBFBF"/>
            <w:vAlign w:val="center"/>
          </w:tcPr>
          <w:p w14:paraId="50D04AE8">
            <w:pPr>
              <w:jc w:val="center"/>
              <w:textAlignment w:val="center"/>
              <w:rPr>
                <w:rFonts w:eastAsia="黑体"/>
                <w:sz w:val="18"/>
                <w:szCs w:val="18"/>
              </w:rPr>
            </w:pPr>
            <w:r>
              <w:rPr>
                <w:rFonts w:eastAsia="黑体"/>
                <w:sz w:val="18"/>
                <w:szCs w:val="18"/>
                <w:lang w:bidi="ar"/>
              </w:rPr>
              <w:t>污染物排放</w:t>
            </w:r>
          </w:p>
        </w:tc>
      </w:tr>
      <w:tr w14:paraId="5F74CCD6">
        <w:tblPrEx>
          <w:tblCellMar>
            <w:top w:w="0" w:type="dxa"/>
            <w:left w:w="108" w:type="dxa"/>
            <w:bottom w:w="0" w:type="dxa"/>
            <w:right w:w="108" w:type="dxa"/>
          </w:tblCellMar>
        </w:tblPrEx>
        <w:trPr>
          <w:trHeight w:val="773" w:hRule="atLeast"/>
          <w:jc w:val="center"/>
        </w:trPr>
        <w:tc>
          <w:tcPr>
            <w:tcW w:w="888" w:type="dxa"/>
            <w:vMerge w:val="continue"/>
            <w:tcBorders>
              <w:left w:val="single" w:color="auto" w:sz="4" w:space="0"/>
              <w:right w:val="single" w:color="000000" w:sz="4" w:space="0"/>
            </w:tcBorders>
            <w:shd w:val="clear" w:color="auto" w:fill="BFBFBF"/>
            <w:vAlign w:val="center"/>
          </w:tcPr>
          <w:p w14:paraId="562D6475">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1512157">
            <w:pPr>
              <w:jc w:val="center"/>
              <w:rPr>
                <w:rFonts w:eastAsia="黑体"/>
                <w:sz w:val="22"/>
                <w:szCs w:val="22"/>
              </w:rPr>
            </w:pPr>
          </w:p>
        </w:tc>
        <w:tc>
          <w:tcPr>
            <w:tcW w:w="602"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C2DA560">
            <w:pPr>
              <w:jc w:val="center"/>
              <w:rPr>
                <w:rFonts w:eastAsia="黑体"/>
                <w:sz w:val="18"/>
                <w:szCs w:val="18"/>
              </w:rPr>
            </w:pPr>
          </w:p>
        </w:tc>
        <w:tc>
          <w:tcPr>
            <w:tcW w:w="1144"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CEAF2EE">
            <w:pPr>
              <w:jc w:val="center"/>
              <w:rPr>
                <w:rFonts w:eastAsia="黑体"/>
                <w:sz w:val="18"/>
                <w:szCs w:val="18"/>
              </w:rPr>
            </w:pPr>
          </w:p>
        </w:tc>
        <w:tc>
          <w:tcPr>
            <w:tcW w:w="1661"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40CEDCC">
            <w:pPr>
              <w:jc w:val="center"/>
              <w:rPr>
                <w:rFonts w:eastAsia="黑体"/>
                <w:sz w:val="18"/>
                <w:szCs w:val="18"/>
              </w:rPr>
            </w:pPr>
          </w:p>
        </w:tc>
        <w:tc>
          <w:tcPr>
            <w:tcW w:w="1193"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F2E2FE9">
            <w:pPr>
              <w:jc w:val="center"/>
              <w:textAlignment w:val="center"/>
              <w:rPr>
                <w:rFonts w:eastAsia="黑体"/>
                <w:sz w:val="18"/>
                <w:szCs w:val="18"/>
              </w:rPr>
            </w:pPr>
            <w:r>
              <w:rPr>
                <w:rFonts w:eastAsia="黑体"/>
                <w:sz w:val="18"/>
                <w:szCs w:val="18"/>
                <w:lang w:bidi="ar"/>
              </w:rPr>
              <w:t>序号（编号）</w:t>
            </w:r>
          </w:p>
        </w:tc>
        <w:tc>
          <w:tcPr>
            <w:tcW w:w="1659"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916FFD6">
            <w:pPr>
              <w:jc w:val="center"/>
              <w:textAlignment w:val="center"/>
              <w:rPr>
                <w:rFonts w:eastAsia="黑体"/>
                <w:sz w:val="18"/>
                <w:szCs w:val="18"/>
              </w:rPr>
            </w:pPr>
            <w:r>
              <w:rPr>
                <w:rFonts w:eastAsia="黑体"/>
                <w:sz w:val="18"/>
                <w:szCs w:val="18"/>
                <w:lang w:bidi="ar"/>
              </w:rPr>
              <w:t>名称</w:t>
            </w:r>
          </w:p>
        </w:tc>
        <w:tc>
          <w:tcPr>
            <w:tcW w:w="1413"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AAB1E76">
            <w:pPr>
              <w:jc w:val="center"/>
              <w:textAlignment w:val="center"/>
              <w:rPr>
                <w:rFonts w:eastAsia="黑体"/>
                <w:sz w:val="18"/>
                <w:szCs w:val="18"/>
              </w:rPr>
            </w:pPr>
            <w:r>
              <w:rPr>
                <w:rFonts w:eastAsia="黑体"/>
                <w:sz w:val="18"/>
                <w:szCs w:val="18"/>
                <w:lang w:bidi="ar"/>
              </w:rPr>
              <w:t>污染防治设施处理效率</w:t>
            </w:r>
          </w:p>
        </w:tc>
        <w:tc>
          <w:tcPr>
            <w:tcW w:w="174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C6F48CB">
            <w:pPr>
              <w:jc w:val="center"/>
              <w:textAlignment w:val="center"/>
              <w:rPr>
                <w:rFonts w:eastAsia="黑体"/>
                <w:sz w:val="18"/>
                <w:szCs w:val="18"/>
              </w:rPr>
            </w:pPr>
            <w:r>
              <w:rPr>
                <w:rFonts w:eastAsia="黑体"/>
                <w:sz w:val="18"/>
                <w:szCs w:val="18"/>
                <w:lang w:bidi="ar"/>
              </w:rPr>
              <w:t>序号（编号）</w:t>
            </w:r>
          </w:p>
        </w:tc>
        <w:tc>
          <w:tcPr>
            <w:tcW w:w="1836" w:type="dxa"/>
            <w:tcBorders>
              <w:top w:val="single" w:color="000000" w:sz="4" w:space="0"/>
              <w:left w:val="single" w:color="000000" w:sz="4" w:space="0"/>
              <w:bottom w:val="single" w:color="000000" w:sz="4" w:space="0"/>
              <w:right w:val="single" w:color="000000" w:sz="4" w:space="0"/>
            </w:tcBorders>
            <w:shd w:val="clear" w:color="auto" w:fill="BFBFBF"/>
            <w:noWrap/>
            <w:vAlign w:val="center"/>
          </w:tcPr>
          <w:p w14:paraId="618B040A">
            <w:pPr>
              <w:jc w:val="center"/>
              <w:textAlignment w:val="center"/>
              <w:rPr>
                <w:rFonts w:eastAsia="黑体"/>
                <w:sz w:val="18"/>
                <w:szCs w:val="18"/>
              </w:rPr>
            </w:pPr>
            <w:r>
              <w:rPr>
                <w:rFonts w:eastAsia="黑体"/>
                <w:sz w:val="18"/>
                <w:szCs w:val="18"/>
                <w:lang w:bidi="ar"/>
              </w:rPr>
              <w:t>名称</w:t>
            </w:r>
          </w:p>
        </w:tc>
        <w:tc>
          <w:tcPr>
            <w:tcW w:w="1519" w:type="dxa"/>
            <w:tcBorders>
              <w:top w:val="single" w:color="000000" w:sz="4" w:space="0"/>
              <w:left w:val="single" w:color="000000" w:sz="4" w:space="0"/>
              <w:bottom w:val="single" w:color="auto" w:sz="4" w:space="0"/>
              <w:right w:val="single" w:color="000000" w:sz="4" w:space="0"/>
            </w:tcBorders>
            <w:shd w:val="clear" w:color="auto" w:fill="BFBFBF"/>
            <w:vAlign w:val="center"/>
          </w:tcPr>
          <w:p w14:paraId="6840677C">
            <w:pPr>
              <w:jc w:val="center"/>
              <w:textAlignment w:val="center"/>
              <w:rPr>
                <w:rFonts w:eastAsia="黑体"/>
                <w:sz w:val="18"/>
                <w:szCs w:val="18"/>
              </w:rPr>
            </w:pPr>
            <w:r>
              <w:rPr>
                <w:rFonts w:eastAsia="黑体"/>
                <w:sz w:val="18"/>
                <w:szCs w:val="18"/>
                <w:lang w:bidi="ar"/>
              </w:rPr>
              <w:t>污染物种类</w:t>
            </w:r>
          </w:p>
        </w:tc>
        <w:tc>
          <w:tcPr>
            <w:tcW w:w="1547" w:type="dxa"/>
            <w:tcBorders>
              <w:top w:val="single" w:color="000000" w:sz="4" w:space="0"/>
              <w:left w:val="single" w:color="000000" w:sz="4" w:space="0"/>
              <w:bottom w:val="single" w:color="auto" w:sz="4" w:space="0"/>
              <w:right w:val="single" w:color="000000" w:sz="4" w:space="0"/>
            </w:tcBorders>
            <w:shd w:val="clear" w:color="auto" w:fill="BFBFBF"/>
            <w:vAlign w:val="center"/>
          </w:tcPr>
          <w:p w14:paraId="13297760">
            <w:pPr>
              <w:jc w:val="center"/>
              <w:textAlignment w:val="center"/>
              <w:rPr>
                <w:rFonts w:eastAsia="黑体"/>
                <w:sz w:val="18"/>
                <w:szCs w:val="18"/>
              </w:rPr>
            </w:pPr>
            <w:r>
              <w:rPr>
                <w:rFonts w:eastAsia="黑体"/>
                <w:sz w:val="18"/>
                <w:szCs w:val="18"/>
                <w:lang w:bidi="ar"/>
              </w:rPr>
              <w:t>排放浓度（毫克/立方米）</w:t>
            </w:r>
          </w:p>
        </w:tc>
        <w:tc>
          <w:tcPr>
            <w:tcW w:w="1567" w:type="dxa"/>
            <w:gridSpan w:val="2"/>
            <w:tcBorders>
              <w:top w:val="single" w:color="000000" w:sz="4" w:space="0"/>
              <w:left w:val="single" w:color="000000" w:sz="4" w:space="0"/>
              <w:bottom w:val="single" w:color="auto" w:sz="4" w:space="0"/>
              <w:right w:val="single" w:color="000000" w:sz="4" w:space="0"/>
            </w:tcBorders>
            <w:shd w:val="clear" w:color="auto" w:fill="BFBFBF"/>
            <w:vAlign w:val="center"/>
          </w:tcPr>
          <w:p w14:paraId="711AA78A">
            <w:pPr>
              <w:jc w:val="center"/>
              <w:textAlignment w:val="center"/>
              <w:rPr>
                <w:rFonts w:eastAsia="黑体"/>
                <w:sz w:val="18"/>
                <w:szCs w:val="18"/>
                <w:lang w:bidi="ar"/>
              </w:rPr>
            </w:pPr>
            <w:r>
              <w:rPr>
                <w:rFonts w:eastAsia="黑体"/>
                <w:sz w:val="18"/>
                <w:szCs w:val="18"/>
                <w:lang w:bidi="ar"/>
              </w:rPr>
              <w:t>排放速率</w:t>
            </w:r>
          </w:p>
          <w:p w14:paraId="3F8A7829">
            <w:pPr>
              <w:jc w:val="center"/>
              <w:textAlignment w:val="center"/>
              <w:rPr>
                <w:rFonts w:eastAsia="黑体"/>
                <w:sz w:val="18"/>
                <w:szCs w:val="18"/>
              </w:rPr>
            </w:pPr>
            <w:r>
              <w:rPr>
                <w:rFonts w:eastAsia="黑体"/>
                <w:sz w:val="18"/>
                <w:szCs w:val="18"/>
                <w:lang w:bidi="ar"/>
              </w:rPr>
              <w:t>(千克/小时)</w:t>
            </w:r>
          </w:p>
        </w:tc>
        <w:tc>
          <w:tcPr>
            <w:tcW w:w="1462" w:type="dxa"/>
            <w:tcBorders>
              <w:top w:val="single" w:color="000000" w:sz="4" w:space="0"/>
              <w:left w:val="single" w:color="000000" w:sz="4" w:space="0"/>
              <w:bottom w:val="single" w:color="auto" w:sz="4" w:space="0"/>
              <w:right w:val="single" w:color="auto" w:sz="4" w:space="0"/>
            </w:tcBorders>
            <w:shd w:val="clear" w:color="auto" w:fill="BFBFBF"/>
            <w:vAlign w:val="center"/>
          </w:tcPr>
          <w:p w14:paraId="46025492">
            <w:pPr>
              <w:jc w:val="left"/>
              <w:textAlignment w:val="center"/>
              <w:rPr>
                <w:rFonts w:eastAsia="黑体"/>
                <w:sz w:val="18"/>
                <w:szCs w:val="18"/>
              </w:rPr>
            </w:pPr>
            <w:r>
              <w:rPr>
                <w:rFonts w:eastAsia="黑体"/>
                <w:sz w:val="18"/>
                <w:szCs w:val="18"/>
                <w:lang w:bidi="ar"/>
              </w:rPr>
              <w:t>排放量（吨/年）</w:t>
            </w:r>
          </w:p>
        </w:tc>
        <w:tc>
          <w:tcPr>
            <w:tcW w:w="2728" w:type="dxa"/>
            <w:gridSpan w:val="4"/>
            <w:tcBorders>
              <w:top w:val="single" w:color="auto" w:sz="4" w:space="0"/>
              <w:left w:val="single" w:color="auto" w:sz="4" w:space="0"/>
              <w:bottom w:val="single" w:color="auto" w:sz="4" w:space="0"/>
              <w:right w:val="single" w:color="auto" w:sz="4" w:space="0"/>
            </w:tcBorders>
            <w:shd w:val="clear" w:color="auto" w:fill="BFBFBF"/>
            <w:vAlign w:val="center"/>
          </w:tcPr>
          <w:p w14:paraId="39B5702D">
            <w:pPr>
              <w:jc w:val="center"/>
              <w:textAlignment w:val="center"/>
              <w:rPr>
                <w:rFonts w:eastAsia="黑体"/>
                <w:sz w:val="18"/>
                <w:szCs w:val="18"/>
              </w:rPr>
            </w:pPr>
            <w:r>
              <w:rPr>
                <w:rFonts w:eastAsia="黑体"/>
                <w:sz w:val="18"/>
                <w:szCs w:val="18"/>
                <w:lang w:bidi="ar"/>
              </w:rPr>
              <w:t>排放标准名称</w:t>
            </w:r>
          </w:p>
        </w:tc>
      </w:tr>
      <w:tr w14:paraId="74793A16">
        <w:tblPrEx>
          <w:tblCellMar>
            <w:top w:w="0" w:type="dxa"/>
            <w:left w:w="108" w:type="dxa"/>
            <w:bottom w:w="0" w:type="dxa"/>
            <w:right w:w="108" w:type="dxa"/>
          </w:tblCellMar>
        </w:tblPrEx>
        <w:trPr>
          <w:trHeight w:val="373" w:hRule="atLeast"/>
          <w:jc w:val="center"/>
        </w:trPr>
        <w:tc>
          <w:tcPr>
            <w:tcW w:w="888" w:type="dxa"/>
            <w:vMerge w:val="continue"/>
            <w:tcBorders>
              <w:left w:val="single" w:color="auto" w:sz="4" w:space="0"/>
              <w:right w:val="single" w:color="000000" w:sz="4" w:space="0"/>
            </w:tcBorders>
            <w:shd w:val="clear" w:color="auto" w:fill="BFBFBF"/>
            <w:vAlign w:val="center"/>
          </w:tcPr>
          <w:p w14:paraId="1EFC2FBB">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2EB185A">
            <w:pPr>
              <w:jc w:val="center"/>
              <w:rPr>
                <w:rFonts w:eastAsia="黑体"/>
                <w:sz w:val="22"/>
                <w:szCs w:val="22"/>
              </w:rPr>
            </w:pPr>
          </w:p>
        </w:tc>
        <w:tc>
          <w:tcPr>
            <w:tcW w:w="602" w:type="dxa"/>
            <w:tcBorders>
              <w:top w:val="single" w:color="000000" w:sz="4" w:space="0"/>
              <w:left w:val="single" w:color="000000" w:sz="4" w:space="0"/>
              <w:bottom w:val="single" w:color="auto" w:sz="4" w:space="0"/>
              <w:right w:val="single" w:color="000000" w:sz="4" w:space="0"/>
            </w:tcBorders>
            <w:shd w:val="clear" w:color="auto" w:fill="auto"/>
            <w:vAlign w:val="center"/>
          </w:tcPr>
          <w:p w14:paraId="7BC13F26">
            <w:pPr>
              <w:jc w:val="center"/>
              <w:rPr>
                <w:rFonts w:eastAsia="黑体"/>
                <w:sz w:val="18"/>
                <w:szCs w:val="18"/>
              </w:rPr>
            </w:pPr>
          </w:p>
        </w:tc>
        <w:tc>
          <w:tcPr>
            <w:tcW w:w="1144" w:type="dxa"/>
            <w:tcBorders>
              <w:top w:val="single" w:color="000000" w:sz="4" w:space="0"/>
              <w:left w:val="single" w:color="000000" w:sz="4" w:space="0"/>
              <w:bottom w:val="single" w:color="auto" w:sz="4" w:space="0"/>
              <w:right w:val="single" w:color="000000" w:sz="4" w:space="0"/>
            </w:tcBorders>
            <w:shd w:val="clear" w:color="auto" w:fill="auto"/>
            <w:vAlign w:val="center"/>
          </w:tcPr>
          <w:p w14:paraId="6BA856DC">
            <w:pPr>
              <w:jc w:val="center"/>
              <w:rPr>
                <w:rFonts w:eastAsia="黑体"/>
                <w:sz w:val="18"/>
                <w:szCs w:val="18"/>
              </w:rPr>
            </w:pPr>
          </w:p>
        </w:tc>
        <w:tc>
          <w:tcPr>
            <w:tcW w:w="1661" w:type="dxa"/>
            <w:tcBorders>
              <w:top w:val="single" w:color="000000" w:sz="4" w:space="0"/>
              <w:left w:val="single" w:color="000000" w:sz="4" w:space="0"/>
              <w:bottom w:val="single" w:color="auto" w:sz="4" w:space="0"/>
              <w:right w:val="single" w:color="000000" w:sz="4" w:space="0"/>
            </w:tcBorders>
            <w:shd w:val="clear" w:color="auto" w:fill="auto"/>
            <w:vAlign w:val="center"/>
          </w:tcPr>
          <w:p w14:paraId="750824B1">
            <w:pPr>
              <w:jc w:val="center"/>
              <w:rPr>
                <w:rFonts w:hint="default" w:eastAsia="黑体"/>
                <w:sz w:val="18"/>
                <w:szCs w:val="18"/>
                <w:lang w:val="en-US" w:eastAsia="zh-CN"/>
              </w:rPr>
            </w:pPr>
            <w:r>
              <w:rPr>
                <w:rFonts w:hint="eastAsia" w:eastAsia="黑体"/>
                <w:sz w:val="18"/>
                <w:szCs w:val="18"/>
                <w:lang w:val="en-US" w:eastAsia="zh-CN"/>
              </w:rPr>
              <w:t>15</w:t>
            </w:r>
          </w:p>
        </w:tc>
        <w:tc>
          <w:tcPr>
            <w:tcW w:w="1193" w:type="dxa"/>
            <w:tcBorders>
              <w:top w:val="single" w:color="000000" w:sz="4" w:space="0"/>
              <w:left w:val="single" w:color="000000" w:sz="4" w:space="0"/>
              <w:bottom w:val="single" w:color="auto" w:sz="4" w:space="0"/>
              <w:right w:val="single" w:color="000000" w:sz="4" w:space="0"/>
            </w:tcBorders>
            <w:shd w:val="clear" w:color="auto" w:fill="auto"/>
            <w:vAlign w:val="center"/>
          </w:tcPr>
          <w:p w14:paraId="2E6485E6">
            <w:pPr>
              <w:jc w:val="center"/>
              <w:rPr>
                <w:rFonts w:hint="default" w:eastAsia="黑体"/>
                <w:sz w:val="18"/>
                <w:szCs w:val="18"/>
                <w:lang w:val="en-US" w:eastAsia="zh-CN"/>
              </w:rPr>
            </w:pPr>
            <w:r>
              <w:rPr>
                <w:rFonts w:hint="eastAsia" w:eastAsia="黑体"/>
                <w:sz w:val="18"/>
                <w:szCs w:val="18"/>
                <w:lang w:val="en-US" w:eastAsia="zh-CN"/>
              </w:rPr>
              <w:t>DA004</w:t>
            </w:r>
          </w:p>
        </w:tc>
        <w:tc>
          <w:tcPr>
            <w:tcW w:w="1659" w:type="dxa"/>
            <w:tcBorders>
              <w:top w:val="single" w:color="000000" w:sz="4" w:space="0"/>
              <w:left w:val="single" w:color="000000" w:sz="4" w:space="0"/>
              <w:bottom w:val="single" w:color="auto" w:sz="4" w:space="0"/>
              <w:right w:val="single" w:color="000000" w:sz="4" w:space="0"/>
            </w:tcBorders>
            <w:shd w:val="clear" w:color="auto" w:fill="auto"/>
            <w:noWrap/>
            <w:vAlign w:val="center"/>
          </w:tcPr>
          <w:p w14:paraId="1D7000D9">
            <w:pPr>
              <w:jc w:val="center"/>
              <w:rPr>
                <w:rFonts w:hint="default" w:eastAsia="黑体"/>
                <w:sz w:val="18"/>
                <w:szCs w:val="18"/>
                <w:lang w:val="en-US" w:eastAsia="zh-CN"/>
              </w:rPr>
            </w:pPr>
            <w:r>
              <w:rPr>
                <w:rFonts w:hint="eastAsia" w:eastAsia="黑体"/>
                <w:sz w:val="18"/>
                <w:szCs w:val="18"/>
                <w:lang w:val="en-US" w:eastAsia="zh-CN"/>
              </w:rPr>
              <w:t>洗涤塔</w:t>
            </w:r>
          </w:p>
        </w:tc>
        <w:tc>
          <w:tcPr>
            <w:tcW w:w="1413" w:type="dxa"/>
            <w:tcBorders>
              <w:top w:val="single" w:color="000000" w:sz="4" w:space="0"/>
              <w:left w:val="single" w:color="000000" w:sz="4" w:space="0"/>
              <w:bottom w:val="single" w:color="auto" w:sz="4" w:space="0"/>
              <w:right w:val="single" w:color="000000" w:sz="4" w:space="0"/>
            </w:tcBorders>
            <w:shd w:val="clear" w:color="auto" w:fill="auto"/>
            <w:vAlign w:val="center"/>
          </w:tcPr>
          <w:p w14:paraId="1F90CAB3">
            <w:pPr>
              <w:jc w:val="center"/>
              <w:rPr>
                <w:rFonts w:hint="default" w:eastAsia="黑体"/>
                <w:sz w:val="18"/>
                <w:szCs w:val="18"/>
                <w:lang w:val="en-US" w:eastAsia="zh-CN"/>
              </w:rPr>
            </w:pPr>
            <w:r>
              <w:rPr>
                <w:rFonts w:hint="eastAsia" w:eastAsia="黑体"/>
                <w:sz w:val="18"/>
                <w:szCs w:val="18"/>
                <w:lang w:val="en-US" w:eastAsia="zh-CN"/>
              </w:rPr>
              <w:t>90%</w:t>
            </w:r>
          </w:p>
        </w:tc>
        <w:tc>
          <w:tcPr>
            <w:tcW w:w="1746" w:type="dxa"/>
            <w:tcBorders>
              <w:top w:val="single" w:color="000000" w:sz="4" w:space="0"/>
              <w:left w:val="single" w:color="000000" w:sz="4" w:space="0"/>
              <w:bottom w:val="single" w:color="auto" w:sz="4" w:space="0"/>
              <w:right w:val="single" w:color="000000" w:sz="4" w:space="0"/>
            </w:tcBorders>
            <w:shd w:val="clear" w:color="auto" w:fill="auto"/>
            <w:vAlign w:val="center"/>
          </w:tcPr>
          <w:p w14:paraId="1A9D4564">
            <w:pPr>
              <w:jc w:val="center"/>
              <w:rPr>
                <w:rFonts w:eastAsia="黑体"/>
                <w:sz w:val="18"/>
                <w:szCs w:val="18"/>
              </w:rPr>
            </w:pPr>
          </w:p>
        </w:tc>
        <w:tc>
          <w:tcPr>
            <w:tcW w:w="1836" w:type="dxa"/>
            <w:tcBorders>
              <w:top w:val="single" w:color="000000" w:sz="4" w:space="0"/>
              <w:left w:val="single" w:color="000000" w:sz="4" w:space="0"/>
              <w:bottom w:val="single" w:color="000000" w:sz="4" w:space="0"/>
              <w:right w:val="single" w:color="auto" w:sz="4" w:space="0"/>
            </w:tcBorders>
            <w:shd w:val="clear" w:color="auto" w:fill="auto"/>
            <w:noWrap/>
            <w:vAlign w:val="center"/>
          </w:tcPr>
          <w:p w14:paraId="617E24F4">
            <w:pPr>
              <w:jc w:val="center"/>
              <w:rPr>
                <w:rFonts w:eastAsia="黑体"/>
                <w:sz w:val="18"/>
                <w:szCs w:val="18"/>
              </w:rPr>
            </w:pPr>
          </w:p>
        </w:tc>
        <w:tc>
          <w:tcPr>
            <w:tcW w:w="1519" w:type="dxa"/>
            <w:tcBorders>
              <w:top w:val="single" w:color="auto" w:sz="4" w:space="0"/>
              <w:left w:val="single" w:color="auto" w:sz="4" w:space="0"/>
              <w:bottom w:val="single" w:color="auto" w:sz="4" w:space="0"/>
              <w:right w:val="single" w:color="auto" w:sz="4" w:space="0"/>
            </w:tcBorders>
            <w:shd w:val="clear" w:color="auto" w:fill="auto"/>
            <w:vAlign w:val="center"/>
          </w:tcPr>
          <w:p w14:paraId="2A569517">
            <w:pPr>
              <w:jc w:val="center"/>
              <w:rPr>
                <w:rFonts w:hint="eastAsia" w:eastAsia="黑体"/>
                <w:sz w:val="18"/>
                <w:szCs w:val="18"/>
                <w:lang w:val="en-US" w:eastAsia="zh-CN"/>
              </w:rPr>
            </w:pPr>
            <w:r>
              <w:rPr>
                <w:rFonts w:hint="eastAsia" w:eastAsia="黑体"/>
                <w:sz w:val="18"/>
                <w:szCs w:val="18"/>
                <w:lang w:val="en-US" w:eastAsia="zh-CN"/>
              </w:rPr>
              <w:t>臭气浓度</w:t>
            </w:r>
          </w:p>
        </w:tc>
        <w:tc>
          <w:tcPr>
            <w:tcW w:w="1547" w:type="dxa"/>
            <w:tcBorders>
              <w:top w:val="single" w:color="auto" w:sz="4" w:space="0"/>
              <w:left w:val="single" w:color="auto" w:sz="4" w:space="0"/>
              <w:bottom w:val="single" w:color="auto" w:sz="4" w:space="0"/>
              <w:right w:val="single" w:color="auto" w:sz="4" w:space="0"/>
            </w:tcBorders>
            <w:shd w:val="clear" w:color="auto" w:fill="auto"/>
            <w:vAlign w:val="center"/>
          </w:tcPr>
          <w:p w14:paraId="015DEFE0">
            <w:pPr>
              <w:jc w:val="center"/>
              <w:rPr>
                <w:rFonts w:eastAsia="黑体"/>
                <w:sz w:val="18"/>
                <w:szCs w:val="18"/>
              </w:rPr>
            </w:pPr>
            <w:r>
              <w:rPr>
                <w:rFonts w:eastAsia="黑体"/>
                <w:sz w:val="18"/>
                <w:szCs w:val="18"/>
              </w:rPr>
              <w:t>/</w:t>
            </w:r>
          </w:p>
        </w:tc>
        <w:tc>
          <w:tcPr>
            <w:tcW w:w="1567"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29C9228">
            <w:pPr>
              <w:jc w:val="center"/>
              <w:rPr>
                <w:rFonts w:eastAsia="黑体"/>
                <w:sz w:val="18"/>
                <w:szCs w:val="18"/>
              </w:rPr>
            </w:pPr>
            <w:r>
              <w:rPr>
                <w:rFonts w:eastAsia="黑体"/>
                <w:sz w:val="18"/>
                <w:szCs w:val="18"/>
              </w:rPr>
              <w:t>/</w:t>
            </w:r>
          </w:p>
        </w:tc>
        <w:tc>
          <w:tcPr>
            <w:tcW w:w="1462" w:type="dxa"/>
            <w:tcBorders>
              <w:top w:val="single" w:color="auto" w:sz="4" w:space="0"/>
              <w:left w:val="single" w:color="auto" w:sz="4" w:space="0"/>
              <w:bottom w:val="single" w:color="auto" w:sz="4" w:space="0"/>
              <w:right w:val="single" w:color="auto" w:sz="4" w:space="0"/>
            </w:tcBorders>
            <w:shd w:val="clear" w:color="auto" w:fill="auto"/>
            <w:vAlign w:val="center"/>
          </w:tcPr>
          <w:p w14:paraId="55B8E097">
            <w:pPr>
              <w:jc w:val="center"/>
              <w:rPr>
                <w:rFonts w:eastAsia="黑体"/>
                <w:sz w:val="18"/>
                <w:szCs w:val="18"/>
              </w:rPr>
            </w:pPr>
            <w:r>
              <w:rPr>
                <w:rFonts w:eastAsia="黑体"/>
                <w:sz w:val="18"/>
                <w:szCs w:val="18"/>
              </w:rPr>
              <w:t>/</w:t>
            </w:r>
          </w:p>
        </w:tc>
        <w:tc>
          <w:tcPr>
            <w:tcW w:w="2728" w:type="dxa"/>
            <w:gridSpan w:val="4"/>
            <w:tcBorders>
              <w:top w:val="single" w:color="auto" w:sz="4" w:space="0"/>
              <w:left w:val="single" w:color="auto" w:sz="4" w:space="0"/>
              <w:bottom w:val="single" w:color="auto" w:sz="4" w:space="0"/>
              <w:right w:val="single" w:color="auto" w:sz="4" w:space="0"/>
            </w:tcBorders>
            <w:shd w:val="clear" w:color="auto" w:fill="auto"/>
            <w:vAlign w:val="center"/>
          </w:tcPr>
          <w:p w14:paraId="35FBE82F">
            <w:pPr>
              <w:jc w:val="center"/>
              <w:rPr>
                <w:rFonts w:eastAsia="黑体"/>
                <w:sz w:val="18"/>
                <w:szCs w:val="18"/>
              </w:rPr>
            </w:pPr>
            <w:r>
              <w:rPr>
                <w:rFonts w:eastAsia="黑体"/>
                <w:sz w:val="18"/>
                <w:szCs w:val="18"/>
              </w:rPr>
              <w:t>《恶臭污染物排放标准》（GB14554-93）表</w:t>
            </w:r>
            <w:r>
              <w:rPr>
                <w:rFonts w:hint="eastAsia" w:eastAsia="黑体"/>
                <w:sz w:val="18"/>
                <w:szCs w:val="18"/>
                <w:lang w:val="en-US" w:eastAsia="zh-CN"/>
              </w:rPr>
              <w:t>2限</w:t>
            </w:r>
            <w:r>
              <w:rPr>
                <w:rFonts w:eastAsia="黑体"/>
                <w:sz w:val="18"/>
                <w:szCs w:val="18"/>
              </w:rPr>
              <w:t>值要求</w:t>
            </w:r>
          </w:p>
        </w:tc>
      </w:tr>
      <w:tr w14:paraId="5C588DF9">
        <w:tblPrEx>
          <w:tblCellMar>
            <w:top w:w="0" w:type="dxa"/>
            <w:left w:w="108" w:type="dxa"/>
            <w:bottom w:w="0" w:type="dxa"/>
            <w:right w:w="108" w:type="dxa"/>
          </w:tblCellMar>
        </w:tblPrEx>
        <w:trPr>
          <w:trHeight w:val="285" w:hRule="atLeast"/>
          <w:jc w:val="center"/>
        </w:trPr>
        <w:tc>
          <w:tcPr>
            <w:tcW w:w="888" w:type="dxa"/>
            <w:vMerge w:val="continue"/>
            <w:tcBorders>
              <w:left w:val="single" w:color="auto" w:sz="4" w:space="0"/>
              <w:right w:val="single" w:color="000000" w:sz="4" w:space="0"/>
            </w:tcBorders>
            <w:shd w:val="clear" w:color="auto" w:fill="BFBFBF"/>
            <w:vAlign w:val="center"/>
          </w:tcPr>
          <w:p w14:paraId="75C66C23">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auto" w:sz="4" w:space="0"/>
            </w:tcBorders>
            <w:shd w:val="clear" w:color="auto" w:fill="BFBFBF"/>
            <w:vAlign w:val="center"/>
          </w:tcPr>
          <w:p w14:paraId="1EC5B7BD">
            <w:pPr>
              <w:jc w:val="center"/>
              <w:rPr>
                <w:rFonts w:eastAsia="黑体"/>
                <w:sz w:val="22"/>
                <w:szCs w:val="22"/>
              </w:rPr>
            </w:pPr>
          </w:p>
        </w:tc>
        <w:tc>
          <w:tcPr>
            <w:tcW w:w="602" w:type="dxa"/>
            <w:vMerge w:val="restart"/>
            <w:tcBorders>
              <w:top w:val="single" w:color="auto" w:sz="4" w:space="0"/>
              <w:left w:val="single" w:color="auto" w:sz="4" w:space="0"/>
              <w:bottom w:val="single" w:color="auto" w:sz="4" w:space="0"/>
              <w:right w:val="single" w:color="auto" w:sz="4" w:space="0"/>
            </w:tcBorders>
            <w:vAlign w:val="center"/>
          </w:tcPr>
          <w:p w14:paraId="5E3DE3BD">
            <w:pPr>
              <w:jc w:val="center"/>
              <w:rPr>
                <w:rFonts w:eastAsia="黑体"/>
                <w:sz w:val="18"/>
                <w:szCs w:val="18"/>
              </w:rPr>
            </w:pPr>
          </w:p>
        </w:tc>
        <w:tc>
          <w:tcPr>
            <w:tcW w:w="1144" w:type="dxa"/>
            <w:vMerge w:val="restart"/>
            <w:tcBorders>
              <w:top w:val="single" w:color="auto" w:sz="4" w:space="0"/>
              <w:left w:val="single" w:color="auto" w:sz="4" w:space="0"/>
              <w:bottom w:val="single" w:color="auto" w:sz="4" w:space="0"/>
              <w:right w:val="single" w:color="auto" w:sz="4" w:space="0"/>
            </w:tcBorders>
            <w:noWrap/>
            <w:vAlign w:val="center"/>
          </w:tcPr>
          <w:p w14:paraId="324F2E81">
            <w:pPr>
              <w:jc w:val="center"/>
              <w:rPr>
                <w:rFonts w:eastAsia="黑体"/>
                <w:sz w:val="18"/>
                <w:szCs w:val="18"/>
              </w:rPr>
            </w:pPr>
          </w:p>
        </w:tc>
        <w:tc>
          <w:tcPr>
            <w:tcW w:w="1661" w:type="dxa"/>
            <w:vMerge w:val="restart"/>
            <w:tcBorders>
              <w:top w:val="single" w:color="auto" w:sz="4" w:space="0"/>
              <w:left w:val="single" w:color="auto" w:sz="4" w:space="0"/>
              <w:bottom w:val="single" w:color="auto" w:sz="4" w:space="0"/>
              <w:right w:val="single" w:color="auto" w:sz="4" w:space="0"/>
            </w:tcBorders>
            <w:vAlign w:val="center"/>
          </w:tcPr>
          <w:p w14:paraId="0DBF2E19">
            <w:pPr>
              <w:jc w:val="center"/>
              <w:rPr>
                <w:rFonts w:hint="default" w:eastAsia="黑体"/>
                <w:sz w:val="18"/>
                <w:szCs w:val="18"/>
                <w:lang w:val="en-US" w:eastAsia="zh-CN"/>
              </w:rPr>
            </w:pPr>
            <w:r>
              <w:rPr>
                <w:rFonts w:hint="eastAsia" w:eastAsia="黑体"/>
                <w:sz w:val="18"/>
                <w:szCs w:val="18"/>
                <w:lang w:val="en-US" w:eastAsia="zh-CN"/>
              </w:rPr>
              <w:t>15</w:t>
            </w:r>
          </w:p>
        </w:tc>
        <w:tc>
          <w:tcPr>
            <w:tcW w:w="1193" w:type="dxa"/>
            <w:vMerge w:val="restart"/>
            <w:tcBorders>
              <w:top w:val="single" w:color="auto" w:sz="4" w:space="0"/>
              <w:left w:val="single" w:color="auto" w:sz="4" w:space="0"/>
              <w:bottom w:val="single" w:color="auto" w:sz="4" w:space="0"/>
              <w:right w:val="single" w:color="auto" w:sz="4" w:space="0"/>
            </w:tcBorders>
            <w:vAlign w:val="center"/>
          </w:tcPr>
          <w:p w14:paraId="266EB3DA">
            <w:pPr>
              <w:jc w:val="center"/>
              <w:rPr>
                <w:rFonts w:hint="default" w:eastAsia="黑体"/>
                <w:sz w:val="18"/>
                <w:szCs w:val="18"/>
                <w:lang w:val="en-US" w:eastAsia="zh-CN"/>
              </w:rPr>
            </w:pPr>
            <w:r>
              <w:rPr>
                <w:rFonts w:hint="eastAsia" w:eastAsia="黑体"/>
                <w:sz w:val="18"/>
                <w:szCs w:val="18"/>
                <w:lang w:val="en-US" w:eastAsia="zh-CN"/>
              </w:rPr>
              <w:t>DA011</w:t>
            </w:r>
          </w:p>
        </w:tc>
        <w:tc>
          <w:tcPr>
            <w:tcW w:w="1659" w:type="dxa"/>
            <w:vMerge w:val="restart"/>
            <w:tcBorders>
              <w:top w:val="single" w:color="auto" w:sz="4" w:space="0"/>
              <w:left w:val="single" w:color="auto" w:sz="4" w:space="0"/>
              <w:bottom w:val="single" w:color="auto" w:sz="4" w:space="0"/>
              <w:right w:val="single" w:color="auto" w:sz="4" w:space="0"/>
            </w:tcBorders>
            <w:vAlign w:val="center"/>
          </w:tcPr>
          <w:p w14:paraId="3B204E1E">
            <w:pPr>
              <w:jc w:val="center"/>
              <w:rPr>
                <w:rFonts w:hint="default" w:eastAsia="黑体"/>
                <w:sz w:val="18"/>
                <w:szCs w:val="18"/>
                <w:lang w:val="en-US" w:eastAsia="zh-CN"/>
              </w:rPr>
            </w:pPr>
            <w:r>
              <w:rPr>
                <w:rFonts w:hint="eastAsia" w:eastAsia="黑体"/>
                <w:sz w:val="18"/>
                <w:szCs w:val="18"/>
                <w:lang w:val="en-US" w:eastAsia="zh-CN"/>
              </w:rPr>
              <w:t>活性炭吸附</w:t>
            </w:r>
          </w:p>
        </w:tc>
        <w:tc>
          <w:tcPr>
            <w:tcW w:w="1413" w:type="dxa"/>
            <w:vMerge w:val="restart"/>
            <w:tcBorders>
              <w:top w:val="single" w:color="auto" w:sz="4" w:space="0"/>
              <w:left w:val="single" w:color="auto" w:sz="4" w:space="0"/>
              <w:bottom w:val="single" w:color="auto" w:sz="4" w:space="0"/>
              <w:right w:val="single" w:color="auto" w:sz="4" w:space="0"/>
            </w:tcBorders>
            <w:vAlign w:val="center"/>
          </w:tcPr>
          <w:p w14:paraId="3308E936">
            <w:pPr>
              <w:widowControl w:val="0"/>
              <w:jc w:val="center"/>
              <w:rPr>
                <w:rFonts w:hint="default" w:eastAsia="黑体"/>
                <w:sz w:val="18"/>
                <w:szCs w:val="18"/>
                <w:lang w:val="en-US" w:eastAsia="zh-CN"/>
              </w:rPr>
            </w:pPr>
            <w:r>
              <w:rPr>
                <w:rFonts w:hint="eastAsia" w:eastAsia="黑体"/>
                <w:sz w:val="18"/>
                <w:szCs w:val="18"/>
                <w:lang w:val="en-US" w:eastAsia="zh-CN"/>
              </w:rPr>
              <w:t>90%</w:t>
            </w:r>
          </w:p>
        </w:tc>
        <w:tc>
          <w:tcPr>
            <w:tcW w:w="1746" w:type="dxa"/>
            <w:tcBorders>
              <w:top w:val="single" w:color="auto" w:sz="4" w:space="0"/>
              <w:left w:val="single" w:color="auto" w:sz="4" w:space="0"/>
              <w:bottom w:val="single" w:color="auto" w:sz="4" w:space="0"/>
              <w:right w:val="single" w:color="auto" w:sz="4" w:space="0"/>
            </w:tcBorders>
            <w:vAlign w:val="center"/>
          </w:tcPr>
          <w:p w14:paraId="2B44764D">
            <w:pPr>
              <w:rPr>
                <w:rFonts w:eastAsia="黑体"/>
                <w:sz w:val="18"/>
                <w:szCs w:val="18"/>
              </w:rPr>
            </w:pPr>
          </w:p>
        </w:tc>
        <w:tc>
          <w:tcPr>
            <w:tcW w:w="1836" w:type="dxa"/>
            <w:tcBorders>
              <w:top w:val="single" w:color="000000" w:sz="4" w:space="0"/>
              <w:left w:val="single" w:color="auto" w:sz="4" w:space="0"/>
              <w:bottom w:val="single" w:color="000000" w:sz="4" w:space="0"/>
              <w:right w:val="single" w:color="auto" w:sz="4" w:space="0"/>
            </w:tcBorders>
            <w:vAlign w:val="center"/>
          </w:tcPr>
          <w:p w14:paraId="0D030DDC">
            <w:pPr>
              <w:rPr>
                <w:rFonts w:eastAsia="黑体"/>
                <w:sz w:val="18"/>
                <w:szCs w:val="18"/>
              </w:rPr>
            </w:pPr>
          </w:p>
        </w:tc>
        <w:tc>
          <w:tcPr>
            <w:tcW w:w="1519" w:type="dxa"/>
            <w:tcBorders>
              <w:top w:val="single" w:color="auto" w:sz="4" w:space="0"/>
              <w:left w:val="single" w:color="auto" w:sz="4" w:space="0"/>
              <w:bottom w:val="single" w:color="auto" w:sz="4" w:space="0"/>
              <w:right w:val="single" w:color="auto" w:sz="4" w:space="0"/>
            </w:tcBorders>
            <w:vAlign w:val="center"/>
          </w:tcPr>
          <w:p w14:paraId="7965EABB">
            <w:pPr>
              <w:jc w:val="center"/>
              <w:rPr>
                <w:rFonts w:hint="eastAsia" w:eastAsia="黑体"/>
                <w:sz w:val="18"/>
                <w:szCs w:val="18"/>
                <w:lang w:val="en-US" w:eastAsia="zh-CN"/>
              </w:rPr>
            </w:pPr>
            <w:r>
              <w:rPr>
                <w:rFonts w:hint="eastAsia" w:eastAsia="黑体"/>
                <w:sz w:val="18"/>
                <w:szCs w:val="18"/>
                <w:lang w:val="en-US" w:eastAsia="zh-CN"/>
              </w:rPr>
              <w:t>氨</w:t>
            </w:r>
          </w:p>
        </w:tc>
        <w:tc>
          <w:tcPr>
            <w:tcW w:w="1547" w:type="dxa"/>
            <w:tcBorders>
              <w:top w:val="single" w:color="auto" w:sz="4" w:space="0"/>
              <w:left w:val="single" w:color="auto" w:sz="4" w:space="0"/>
              <w:bottom w:val="single" w:color="auto" w:sz="4" w:space="0"/>
              <w:right w:val="single" w:color="auto" w:sz="4" w:space="0"/>
            </w:tcBorders>
            <w:vAlign w:val="center"/>
          </w:tcPr>
          <w:p w14:paraId="5C0712C8">
            <w:pPr>
              <w:jc w:val="center"/>
              <w:rPr>
                <w:rFonts w:hint="default" w:eastAsia="黑体"/>
                <w:sz w:val="18"/>
                <w:szCs w:val="18"/>
                <w:lang w:val="en-US" w:eastAsia="zh-CN"/>
              </w:rPr>
            </w:pPr>
            <w:r>
              <w:rPr>
                <w:rFonts w:hint="eastAsia" w:eastAsia="黑体"/>
                <w:sz w:val="18"/>
                <w:szCs w:val="18"/>
                <w:lang w:val="en-US" w:eastAsia="zh-CN"/>
              </w:rPr>
              <w:t>47.8</w:t>
            </w:r>
          </w:p>
        </w:tc>
        <w:tc>
          <w:tcPr>
            <w:tcW w:w="1567" w:type="dxa"/>
            <w:gridSpan w:val="2"/>
            <w:tcBorders>
              <w:top w:val="single" w:color="auto" w:sz="4" w:space="0"/>
              <w:left w:val="single" w:color="auto" w:sz="4" w:space="0"/>
              <w:bottom w:val="single" w:color="auto" w:sz="4" w:space="0"/>
              <w:right w:val="single" w:color="auto" w:sz="4" w:space="0"/>
            </w:tcBorders>
            <w:vAlign w:val="center"/>
          </w:tcPr>
          <w:p w14:paraId="64E96314">
            <w:pPr>
              <w:jc w:val="center"/>
              <w:rPr>
                <w:rFonts w:hint="default" w:eastAsia="黑体"/>
                <w:sz w:val="18"/>
                <w:szCs w:val="18"/>
                <w:lang w:val="en-US" w:eastAsia="zh-CN"/>
              </w:rPr>
            </w:pPr>
            <w:r>
              <w:rPr>
                <w:rFonts w:hint="eastAsia" w:eastAsia="黑体"/>
                <w:sz w:val="18"/>
                <w:szCs w:val="18"/>
                <w:lang w:val="en-US" w:eastAsia="zh-CN"/>
              </w:rPr>
              <w:t>0.0011</w:t>
            </w:r>
          </w:p>
        </w:tc>
        <w:tc>
          <w:tcPr>
            <w:tcW w:w="1462" w:type="dxa"/>
            <w:tcBorders>
              <w:top w:val="single" w:color="auto" w:sz="4" w:space="0"/>
              <w:left w:val="single" w:color="auto" w:sz="4" w:space="0"/>
              <w:bottom w:val="single" w:color="auto" w:sz="4" w:space="0"/>
              <w:right w:val="single" w:color="auto" w:sz="4" w:space="0"/>
            </w:tcBorders>
            <w:vAlign w:val="center"/>
          </w:tcPr>
          <w:p w14:paraId="38503C5F">
            <w:pPr>
              <w:jc w:val="center"/>
              <w:rPr>
                <w:rFonts w:hint="default" w:eastAsia="黑体"/>
                <w:sz w:val="18"/>
                <w:szCs w:val="18"/>
                <w:lang w:val="en-US" w:eastAsia="zh-CN"/>
              </w:rPr>
            </w:pPr>
            <w:r>
              <w:rPr>
                <w:rFonts w:hint="eastAsia" w:eastAsia="黑体"/>
                <w:sz w:val="18"/>
                <w:szCs w:val="18"/>
                <w:lang w:val="en-US" w:eastAsia="zh-CN"/>
              </w:rPr>
              <w:t>0.0096</w:t>
            </w:r>
          </w:p>
        </w:tc>
        <w:tc>
          <w:tcPr>
            <w:tcW w:w="2728" w:type="dxa"/>
            <w:gridSpan w:val="4"/>
            <w:vMerge w:val="restart"/>
            <w:tcBorders>
              <w:top w:val="single" w:color="auto" w:sz="4" w:space="0"/>
              <w:left w:val="single" w:color="auto" w:sz="4" w:space="0"/>
              <w:bottom w:val="single" w:color="auto" w:sz="4" w:space="0"/>
              <w:right w:val="single" w:color="auto" w:sz="4" w:space="0"/>
            </w:tcBorders>
            <w:vAlign w:val="center"/>
          </w:tcPr>
          <w:p w14:paraId="1C494D60">
            <w:pPr>
              <w:jc w:val="center"/>
              <w:rPr>
                <w:rFonts w:eastAsia="黑体"/>
                <w:sz w:val="18"/>
                <w:szCs w:val="18"/>
              </w:rPr>
            </w:pPr>
            <w:r>
              <w:rPr>
                <w:bCs/>
                <w:sz w:val="18"/>
                <w:szCs w:val="18"/>
              </w:rPr>
              <w:t>《恶臭污染物排放标准》（GB14554-93）表</w:t>
            </w:r>
            <w:r>
              <w:rPr>
                <w:rFonts w:hint="eastAsia"/>
                <w:bCs/>
                <w:sz w:val="18"/>
                <w:szCs w:val="18"/>
                <w:lang w:val="en-US" w:eastAsia="zh-CN"/>
              </w:rPr>
              <w:t>2限</w:t>
            </w:r>
            <w:r>
              <w:rPr>
                <w:bCs/>
                <w:sz w:val="18"/>
                <w:szCs w:val="18"/>
              </w:rPr>
              <w:t>值要求</w:t>
            </w:r>
          </w:p>
        </w:tc>
      </w:tr>
      <w:tr w14:paraId="0A46C098">
        <w:tblPrEx>
          <w:tblCellMar>
            <w:top w:w="0" w:type="dxa"/>
            <w:left w:w="108" w:type="dxa"/>
            <w:bottom w:w="0" w:type="dxa"/>
            <w:right w:w="108" w:type="dxa"/>
          </w:tblCellMar>
        </w:tblPrEx>
        <w:trPr>
          <w:trHeight w:val="285" w:hRule="atLeast"/>
          <w:jc w:val="center"/>
        </w:trPr>
        <w:tc>
          <w:tcPr>
            <w:tcW w:w="888" w:type="dxa"/>
            <w:vMerge w:val="continue"/>
            <w:tcBorders>
              <w:left w:val="single" w:color="auto" w:sz="4" w:space="0"/>
              <w:right w:val="single" w:color="000000" w:sz="4" w:space="0"/>
            </w:tcBorders>
            <w:shd w:val="clear" w:color="auto" w:fill="BFBFBF"/>
            <w:vAlign w:val="center"/>
          </w:tcPr>
          <w:p w14:paraId="7713E565">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auto" w:sz="4" w:space="0"/>
            </w:tcBorders>
            <w:shd w:val="clear" w:color="auto" w:fill="BFBFBF"/>
            <w:vAlign w:val="center"/>
          </w:tcPr>
          <w:p w14:paraId="291F1CF7">
            <w:pPr>
              <w:jc w:val="center"/>
              <w:rPr>
                <w:rFonts w:eastAsia="黑体"/>
                <w:sz w:val="22"/>
                <w:szCs w:val="22"/>
              </w:rPr>
            </w:pPr>
          </w:p>
        </w:tc>
        <w:tc>
          <w:tcPr>
            <w:tcW w:w="602" w:type="dxa"/>
            <w:vMerge w:val="continue"/>
            <w:tcBorders>
              <w:top w:val="single" w:color="auto" w:sz="4" w:space="0"/>
              <w:left w:val="single" w:color="auto" w:sz="4" w:space="0"/>
              <w:bottom w:val="single" w:color="auto" w:sz="4" w:space="0"/>
              <w:right w:val="single" w:color="auto" w:sz="4" w:space="0"/>
            </w:tcBorders>
            <w:vAlign w:val="center"/>
          </w:tcPr>
          <w:p w14:paraId="741D4E5E">
            <w:pPr>
              <w:jc w:val="center"/>
              <w:rPr>
                <w:rFonts w:eastAsia="黑体"/>
                <w:sz w:val="18"/>
                <w:szCs w:val="18"/>
              </w:rPr>
            </w:pPr>
          </w:p>
        </w:tc>
        <w:tc>
          <w:tcPr>
            <w:tcW w:w="1144" w:type="dxa"/>
            <w:vMerge w:val="continue"/>
            <w:tcBorders>
              <w:top w:val="single" w:color="auto" w:sz="4" w:space="0"/>
              <w:left w:val="single" w:color="auto" w:sz="4" w:space="0"/>
              <w:bottom w:val="single" w:color="auto" w:sz="4" w:space="0"/>
              <w:right w:val="single" w:color="auto" w:sz="4" w:space="0"/>
            </w:tcBorders>
            <w:noWrap/>
            <w:vAlign w:val="center"/>
          </w:tcPr>
          <w:p w14:paraId="3DFF6495">
            <w:pPr>
              <w:jc w:val="center"/>
              <w:rPr>
                <w:rFonts w:eastAsia="黑体"/>
                <w:sz w:val="18"/>
                <w:szCs w:val="18"/>
              </w:rPr>
            </w:pPr>
          </w:p>
        </w:tc>
        <w:tc>
          <w:tcPr>
            <w:tcW w:w="1661" w:type="dxa"/>
            <w:vMerge w:val="continue"/>
            <w:tcBorders>
              <w:top w:val="single" w:color="auto" w:sz="4" w:space="0"/>
              <w:left w:val="single" w:color="auto" w:sz="4" w:space="0"/>
              <w:bottom w:val="single" w:color="auto" w:sz="4" w:space="0"/>
              <w:right w:val="single" w:color="auto" w:sz="4" w:space="0"/>
            </w:tcBorders>
            <w:vAlign w:val="center"/>
          </w:tcPr>
          <w:p w14:paraId="6C15AA04">
            <w:pPr>
              <w:jc w:val="center"/>
              <w:rPr>
                <w:rFonts w:eastAsia="黑体"/>
                <w:sz w:val="18"/>
                <w:szCs w:val="18"/>
              </w:rPr>
            </w:pPr>
          </w:p>
        </w:tc>
        <w:tc>
          <w:tcPr>
            <w:tcW w:w="1193" w:type="dxa"/>
            <w:vMerge w:val="continue"/>
            <w:tcBorders>
              <w:top w:val="single" w:color="auto" w:sz="4" w:space="0"/>
              <w:left w:val="single" w:color="auto" w:sz="4" w:space="0"/>
              <w:bottom w:val="single" w:color="auto" w:sz="4" w:space="0"/>
              <w:right w:val="single" w:color="auto" w:sz="4" w:space="0"/>
            </w:tcBorders>
            <w:vAlign w:val="center"/>
          </w:tcPr>
          <w:p w14:paraId="5F0D635D">
            <w:pPr>
              <w:jc w:val="center"/>
              <w:rPr>
                <w:rFonts w:eastAsia="黑体"/>
                <w:sz w:val="18"/>
                <w:szCs w:val="18"/>
              </w:rPr>
            </w:pPr>
          </w:p>
        </w:tc>
        <w:tc>
          <w:tcPr>
            <w:tcW w:w="1659" w:type="dxa"/>
            <w:vMerge w:val="continue"/>
            <w:tcBorders>
              <w:top w:val="single" w:color="auto" w:sz="4" w:space="0"/>
              <w:left w:val="single" w:color="auto" w:sz="4" w:space="0"/>
              <w:bottom w:val="single" w:color="auto" w:sz="4" w:space="0"/>
              <w:right w:val="single" w:color="auto" w:sz="4" w:space="0"/>
            </w:tcBorders>
            <w:vAlign w:val="center"/>
          </w:tcPr>
          <w:p w14:paraId="19B7A7AA">
            <w:pPr>
              <w:jc w:val="center"/>
              <w:rPr>
                <w:rFonts w:eastAsia="黑体"/>
                <w:sz w:val="18"/>
                <w:szCs w:val="18"/>
              </w:rPr>
            </w:pPr>
          </w:p>
        </w:tc>
        <w:tc>
          <w:tcPr>
            <w:tcW w:w="1413" w:type="dxa"/>
            <w:vMerge w:val="continue"/>
            <w:tcBorders>
              <w:top w:val="single" w:color="auto" w:sz="4" w:space="0"/>
              <w:left w:val="single" w:color="auto" w:sz="4" w:space="0"/>
              <w:bottom w:val="single" w:color="auto" w:sz="4" w:space="0"/>
              <w:right w:val="single" w:color="auto" w:sz="4" w:space="0"/>
            </w:tcBorders>
            <w:vAlign w:val="center"/>
          </w:tcPr>
          <w:p w14:paraId="005D1354">
            <w:pPr>
              <w:widowControl w:val="0"/>
              <w:jc w:val="center"/>
              <w:rPr>
                <w:rFonts w:eastAsia="黑体"/>
                <w:sz w:val="18"/>
                <w:szCs w:val="18"/>
              </w:rPr>
            </w:pPr>
          </w:p>
        </w:tc>
        <w:tc>
          <w:tcPr>
            <w:tcW w:w="1746" w:type="dxa"/>
            <w:tcBorders>
              <w:top w:val="single" w:color="auto" w:sz="4" w:space="0"/>
              <w:left w:val="single" w:color="auto" w:sz="4" w:space="0"/>
              <w:bottom w:val="single" w:color="auto" w:sz="4" w:space="0"/>
              <w:right w:val="single" w:color="auto" w:sz="4" w:space="0"/>
            </w:tcBorders>
            <w:vAlign w:val="center"/>
          </w:tcPr>
          <w:p w14:paraId="44D3F108">
            <w:pPr>
              <w:rPr>
                <w:rFonts w:eastAsia="黑体"/>
                <w:sz w:val="18"/>
                <w:szCs w:val="18"/>
              </w:rPr>
            </w:pPr>
          </w:p>
        </w:tc>
        <w:tc>
          <w:tcPr>
            <w:tcW w:w="1836" w:type="dxa"/>
            <w:tcBorders>
              <w:top w:val="single" w:color="000000" w:sz="4" w:space="0"/>
              <w:left w:val="single" w:color="auto" w:sz="4" w:space="0"/>
              <w:bottom w:val="single" w:color="000000" w:sz="4" w:space="0"/>
              <w:right w:val="single" w:color="000000" w:sz="4" w:space="0"/>
            </w:tcBorders>
            <w:vAlign w:val="center"/>
          </w:tcPr>
          <w:p w14:paraId="5EE0D314">
            <w:pPr>
              <w:rPr>
                <w:rFonts w:eastAsia="黑体"/>
                <w:sz w:val="18"/>
                <w:szCs w:val="18"/>
              </w:rPr>
            </w:pPr>
          </w:p>
        </w:tc>
        <w:tc>
          <w:tcPr>
            <w:tcW w:w="1519" w:type="dxa"/>
            <w:tcBorders>
              <w:top w:val="single" w:color="auto" w:sz="4" w:space="0"/>
              <w:left w:val="single" w:color="000000" w:sz="4" w:space="0"/>
              <w:bottom w:val="single" w:color="000000" w:sz="4" w:space="0"/>
              <w:right w:val="single" w:color="000000" w:sz="4" w:space="0"/>
            </w:tcBorders>
            <w:vAlign w:val="center"/>
          </w:tcPr>
          <w:p w14:paraId="1DFA399C">
            <w:pPr>
              <w:jc w:val="center"/>
              <w:rPr>
                <w:rFonts w:hint="eastAsia" w:eastAsia="黑体"/>
                <w:sz w:val="18"/>
                <w:szCs w:val="18"/>
                <w:lang w:val="en-US" w:eastAsia="zh-CN"/>
              </w:rPr>
            </w:pPr>
            <w:r>
              <w:rPr>
                <w:rFonts w:hint="eastAsia" w:eastAsia="黑体"/>
                <w:sz w:val="18"/>
                <w:szCs w:val="18"/>
                <w:lang w:val="en-US" w:eastAsia="zh-CN"/>
              </w:rPr>
              <w:t>硫化氢</w:t>
            </w:r>
          </w:p>
        </w:tc>
        <w:tc>
          <w:tcPr>
            <w:tcW w:w="1547" w:type="dxa"/>
            <w:tcBorders>
              <w:top w:val="single" w:color="auto" w:sz="4" w:space="0"/>
              <w:left w:val="single" w:color="000000" w:sz="4" w:space="0"/>
              <w:bottom w:val="single" w:color="000000" w:sz="4" w:space="0"/>
              <w:right w:val="single" w:color="000000" w:sz="4" w:space="0"/>
            </w:tcBorders>
            <w:vAlign w:val="center"/>
          </w:tcPr>
          <w:p w14:paraId="5E0F9CB2">
            <w:pPr>
              <w:jc w:val="center"/>
              <w:rPr>
                <w:rFonts w:hint="default" w:eastAsia="黑体"/>
                <w:sz w:val="18"/>
                <w:szCs w:val="18"/>
                <w:lang w:val="en-US" w:eastAsia="zh-CN"/>
              </w:rPr>
            </w:pPr>
            <w:r>
              <w:rPr>
                <w:rFonts w:hint="eastAsia" w:eastAsia="黑体"/>
                <w:sz w:val="18"/>
                <w:szCs w:val="18"/>
                <w:lang w:val="en-US" w:eastAsia="zh-CN"/>
              </w:rPr>
              <w:t>4.38</w:t>
            </w:r>
          </w:p>
        </w:tc>
        <w:tc>
          <w:tcPr>
            <w:tcW w:w="1567" w:type="dxa"/>
            <w:gridSpan w:val="2"/>
            <w:tcBorders>
              <w:top w:val="single" w:color="auto" w:sz="4" w:space="0"/>
              <w:left w:val="single" w:color="000000" w:sz="4" w:space="0"/>
              <w:bottom w:val="single" w:color="000000" w:sz="4" w:space="0"/>
              <w:right w:val="single" w:color="000000" w:sz="4" w:space="0"/>
            </w:tcBorders>
            <w:vAlign w:val="center"/>
          </w:tcPr>
          <w:p w14:paraId="3EEBFD98">
            <w:pPr>
              <w:jc w:val="center"/>
              <w:rPr>
                <w:rFonts w:hint="default" w:eastAsia="黑体"/>
                <w:sz w:val="18"/>
                <w:szCs w:val="18"/>
                <w:lang w:val="en-US" w:eastAsia="zh-CN"/>
              </w:rPr>
            </w:pPr>
            <w:r>
              <w:rPr>
                <w:rFonts w:hint="eastAsia" w:eastAsia="黑体"/>
                <w:sz w:val="18"/>
                <w:szCs w:val="18"/>
                <w:lang w:val="en-US" w:eastAsia="zh-CN"/>
              </w:rPr>
              <w:t>0.000324</w:t>
            </w:r>
          </w:p>
        </w:tc>
        <w:tc>
          <w:tcPr>
            <w:tcW w:w="1462" w:type="dxa"/>
            <w:tcBorders>
              <w:top w:val="single" w:color="auto" w:sz="4" w:space="0"/>
              <w:left w:val="single" w:color="000000" w:sz="4" w:space="0"/>
              <w:bottom w:val="single" w:color="000000" w:sz="4" w:space="0"/>
              <w:right w:val="single" w:color="auto" w:sz="4" w:space="0"/>
            </w:tcBorders>
            <w:vAlign w:val="center"/>
          </w:tcPr>
          <w:p w14:paraId="62ECC762">
            <w:pPr>
              <w:jc w:val="center"/>
              <w:rPr>
                <w:rFonts w:hint="default" w:eastAsia="黑体"/>
                <w:sz w:val="18"/>
                <w:szCs w:val="18"/>
                <w:lang w:val="en-US" w:eastAsia="zh-CN"/>
              </w:rPr>
            </w:pPr>
            <w:r>
              <w:rPr>
                <w:rFonts w:hint="eastAsia" w:eastAsia="黑体"/>
                <w:sz w:val="18"/>
                <w:szCs w:val="18"/>
                <w:lang w:val="en-US" w:eastAsia="zh-CN"/>
              </w:rPr>
              <w:t>0.0028</w:t>
            </w:r>
          </w:p>
        </w:tc>
        <w:tc>
          <w:tcPr>
            <w:tcW w:w="2728" w:type="dxa"/>
            <w:gridSpan w:val="4"/>
            <w:vMerge w:val="continue"/>
            <w:tcBorders>
              <w:top w:val="single" w:color="auto" w:sz="4" w:space="0"/>
              <w:left w:val="single" w:color="auto" w:sz="4" w:space="0"/>
              <w:right w:val="single" w:color="auto" w:sz="4" w:space="0"/>
            </w:tcBorders>
            <w:vAlign w:val="center"/>
          </w:tcPr>
          <w:p w14:paraId="33365CAE">
            <w:pPr>
              <w:jc w:val="center"/>
              <w:rPr>
                <w:rFonts w:eastAsia="黑体"/>
                <w:sz w:val="18"/>
                <w:szCs w:val="18"/>
              </w:rPr>
            </w:pPr>
          </w:p>
        </w:tc>
      </w:tr>
      <w:tr w14:paraId="76E61C14">
        <w:tblPrEx>
          <w:tblCellMar>
            <w:top w:w="0" w:type="dxa"/>
            <w:left w:w="108" w:type="dxa"/>
            <w:bottom w:w="0" w:type="dxa"/>
            <w:right w:w="108" w:type="dxa"/>
          </w:tblCellMar>
        </w:tblPrEx>
        <w:trPr>
          <w:trHeight w:val="326" w:hRule="atLeast"/>
          <w:jc w:val="center"/>
        </w:trPr>
        <w:tc>
          <w:tcPr>
            <w:tcW w:w="888" w:type="dxa"/>
            <w:vMerge w:val="continue"/>
            <w:tcBorders>
              <w:left w:val="single" w:color="auto" w:sz="4" w:space="0"/>
              <w:right w:val="single" w:color="000000" w:sz="4" w:space="0"/>
            </w:tcBorders>
            <w:shd w:val="clear" w:color="auto" w:fill="BFBFBF"/>
            <w:vAlign w:val="center"/>
          </w:tcPr>
          <w:p w14:paraId="511902BB">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auto" w:sz="4" w:space="0"/>
            </w:tcBorders>
            <w:shd w:val="clear" w:color="auto" w:fill="BFBFBF"/>
            <w:vAlign w:val="center"/>
          </w:tcPr>
          <w:p w14:paraId="55474AAC">
            <w:pPr>
              <w:jc w:val="center"/>
              <w:rPr>
                <w:rFonts w:eastAsia="黑体"/>
                <w:sz w:val="22"/>
                <w:szCs w:val="22"/>
              </w:rPr>
            </w:pPr>
          </w:p>
        </w:tc>
        <w:tc>
          <w:tcPr>
            <w:tcW w:w="602" w:type="dxa"/>
            <w:vMerge w:val="continue"/>
            <w:tcBorders>
              <w:top w:val="single" w:color="auto" w:sz="4" w:space="0"/>
              <w:left w:val="single" w:color="auto" w:sz="4" w:space="0"/>
              <w:bottom w:val="single" w:color="auto" w:sz="4" w:space="0"/>
              <w:right w:val="single" w:color="auto" w:sz="4" w:space="0"/>
            </w:tcBorders>
            <w:vAlign w:val="center"/>
          </w:tcPr>
          <w:p w14:paraId="5CE8A89C">
            <w:pPr>
              <w:jc w:val="center"/>
              <w:rPr>
                <w:rFonts w:eastAsia="黑体"/>
                <w:sz w:val="18"/>
                <w:szCs w:val="18"/>
              </w:rPr>
            </w:pPr>
          </w:p>
        </w:tc>
        <w:tc>
          <w:tcPr>
            <w:tcW w:w="1144" w:type="dxa"/>
            <w:vMerge w:val="continue"/>
            <w:tcBorders>
              <w:top w:val="single" w:color="auto" w:sz="4" w:space="0"/>
              <w:left w:val="single" w:color="auto" w:sz="4" w:space="0"/>
              <w:bottom w:val="single" w:color="auto" w:sz="4" w:space="0"/>
              <w:right w:val="single" w:color="auto" w:sz="4" w:space="0"/>
            </w:tcBorders>
            <w:noWrap/>
            <w:vAlign w:val="center"/>
          </w:tcPr>
          <w:p w14:paraId="2B64BC7B">
            <w:pPr>
              <w:jc w:val="center"/>
              <w:rPr>
                <w:rFonts w:eastAsia="黑体"/>
                <w:sz w:val="18"/>
                <w:szCs w:val="18"/>
              </w:rPr>
            </w:pPr>
          </w:p>
        </w:tc>
        <w:tc>
          <w:tcPr>
            <w:tcW w:w="1661" w:type="dxa"/>
            <w:vMerge w:val="continue"/>
            <w:tcBorders>
              <w:top w:val="single" w:color="auto" w:sz="4" w:space="0"/>
              <w:left w:val="single" w:color="auto" w:sz="4" w:space="0"/>
              <w:bottom w:val="single" w:color="auto" w:sz="4" w:space="0"/>
              <w:right w:val="single" w:color="auto" w:sz="4" w:space="0"/>
            </w:tcBorders>
            <w:vAlign w:val="center"/>
          </w:tcPr>
          <w:p w14:paraId="19C34E3E">
            <w:pPr>
              <w:jc w:val="center"/>
              <w:rPr>
                <w:rFonts w:eastAsia="黑体"/>
                <w:sz w:val="18"/>
                <w:szCs w:val="18"/>
              </w:rPr>
            </w:pPr>
          </w:p>
        </w:tc>
        <w:tc>
          <w:tcPr>
            <w:tcW w:w="1193" w:type="dxa"/>
            <w:vMerge w:val="continue"/>
            <w:tcBorders>
              <w:top w:val="single" w:color="auto" w:sz="4" w:space="0"/>
              <w:left w:val="single" w:color="auto" w:sz="4" w:space="0"/>
              <w:bottom w:val="single" w:color="auto" w:sz="4" w:space="0"/>
              <w:right w:val="single" w:color="auto" w:sz="4" w:space="0"/>
            </w:tcBorders>
            <w:vAlign w:val="center"/>
          </w:tcPr>
          <w:p w14:paraId="5C0A0D92">
            <w:pPr>
              <w:jc w:val="center"/>
              <w:rPr>
                <w:rFonts w:eastAsia="黑体"/>
                <w:sz w:val="18"/>
                <w:szCs w:val="18"/>
              </w:rPr>
            </w:pPr>
          </w:p>
        </w:tc>
        <w:tc>
          <w:tcPr>
            <w:tcW w:w="1659" w:type="dxa"/>
            <w:vMerge w:val="continue"/>
            <w:tcBorders>
              <w:top w:val="single" w:color="auto" w:sz="4" w:space="0"/>
              <w:left w:val="single" w:color="auto" w:sz="4" w:space="0"/>
              <w:bottom w:val="single" w:color="auto" w:sz="4" w:space="0"/>
              <w:right w:val="single" w:color="auto" w:sz="4" w:space="0"/>
            </w:tcBorders>
            <w:vAlign w:val="center"/>
          </w:tcPr>
          <w:p w14:paraId="0B744710">
            <w:pPr>
              <w:jc w:val="center"/>
              <w:rPr>
                <w:rFonts w:eastAsia="黑体"/>
                <w:sz w:val="18"/>
                <w:szCs w:val="18"/>
              </w:rPr>
            </w:pPr>
          </w:p>
        </w:tc>
        <w:tc>
          <w:tcPr>
            <w:tcW w:w="1413" w:type="dxa"/>
            <w:vMerge w:val="continue"/>
            <w:tcBorders>
              <w:top w:val="single" w:color="auto" w:sz="4" w:space="0"/>
              <w:left w:val="single" w:color="auto" w:sz="4" w:space="0"/>
              <w:bottom w:val="single" w:color="auto" w:sz="4" w:space="0"/>
              <w:right w:val="single" w:color="auto" w:sz="4" w:space="0"/>
            </w:tcBorders>
            <w:vAlign w:val="center"/>
          </w:tcPr>
          <w:p w14:paraId="1A299993">
            <w:pPr>
              <w:widowControl w:val="0"/>
              <w:jc w:val="center"/>
              <w:rPr>
                <w:rFonts w:eastAsia="黑体"/>
                <w:sz w:val="18"/>
                <w:szCs w:val="18"/>
              </w:rPr>
            </w:pPr>
          </w:p>
        </w:tc>
        <w:tc>
          <w:tcPr>
            <w:tcW w:w="1746" w:type="dxa"/>
            <w:tcBorders>
              <w:top w:val="single" w:color="auto" w:sz="4" w:space="0"/>
              <w:left w:val="single" w:color="auto" w:sz="4" w:space="0"/>
              <w:bottom w:val="single" w:color="auto" w:sz="4" w:space="0"/>
              <w:right w:val="single" w:color="auto" w:sz="4" w:space="0"/>
            </w:tcBorders>
            <w:vAlign w:val="center"/>
          </w:tcPr>
          <w:p w14:paraId="4CDBFD53">
            <w:pPr>
              <w:rPr>
                <w:rFonts w:eastAsia="黑体"/>
                <w:sz w:val="18"/>
                <w:szCs w:val="18"/>
              </w:rPr>
            </w:pPr>
          </w:p>
        </w:tc>
        <w:tc>
          <w:tcPr>
            <w:tcW w:w="1836" w:type="dxa"/>
            <w:tcBorders>
              <w:top w:val="single" w:color="000000" w:sz="4" w:space="0"/>
              <w:left w:val="single" w:color="auto" w:sz="4" w:space="0"/>
              <w:bottom w:val="single" w:color="000000" w:sz="4" w:space="0"/>
              <w:right w:val="single" w:color="000000" w:sz="4" w:space="0"/>
            </w:tcBorders>
            <w:vAlign w:val="center"/>
          </w:tcPr>
          <w:p w14:paraId="6884AA47">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vAlign w:val="center"/>
          </w:tcPr>
          <w:p w14:paraId="11682CF4">
            <w:pPr>
              <w:jc w:val="center"/>
              <w:rPr>
                <w:rFonts w:hint="default" w:eastAsia="黑体"/>
                <w:sz w:val="18"/>
                <w:szCs w:val="18"/>
                <w:lang w:val="en-US" w:eastAsia="zh-CN"/>
              </w:rPr>
            </w:pPr>
            <w:r>
              <w:rPr>
                <w:rFonts w:hint="eastAsia" w:eastAsia="黑体"/>
                <w:sz w:val="18"/>
                <w:szCs w:val="18"/>
                <w:lang w:val="en-US" w:eastAsia="zh-CN"/>
              </w:rPr>
              <w:t>臭气浓度</w:t>
            </w:r>
          </w:p>
        </w:tc>
        <w:tc>
          <w:tcPr>
            <w:tcW w:w="1547" w:type="dxa"/>
            <w:tcBorders>
              <w:top w:val="single" w:color="000000" w:sz="4" w:space="0"/>
              <w:left w:val="single" w:color="000000" w:sz="4" w:space="0"/>
              <w:bottom w:val="single" w:color="000000" w:sz="4" w:space="0"/>
              <w:right w:val="single" w:color="000000" w:sz="4" w:space="0"/>
            </w:tcBorders>
            <w:vAlign w:val="center"/>
          </w:tcPr>
          <w:p w14:paraId="050C08DF">
            <w:pPr>
              <w:jc w:val="center"/>
              <w:rPr>
                <w:rFonts w:eastAsia="黑体"/>
                <w:sz w:val="18"/>
                <w:szCs w:val="18"/>
              </w:rPr>
            </w:pPr>
            <w:r>
              <w:rPr>
                <w:rFonts w:eastAsia="黑体"/>
                <w:sz w:val="18"/>
                <w:szCs w:val="18"/>
              </w:rPr>
              <w:t>/</w:t>
            </w: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49DBAA4F">
            <w:pPr>
              <w:jc w:val="center"/>
              <w:rPr>
                <w:rFonts w:eastAsia="黑体"/>
                <w:sz w:val="18"/>
                <w:szCs w:val="18"/>
              </w:rPr>
            </w:pPr>
            <w:r>
              <w:rPr>
                <w:rFonts w:eastAsia="黑体"/>
                <w:sz w:val="18"/>
                <w:szCs w:val="18"/>
              </w:rPr>
              <w:t>/</w:t>
            </w:r>
          </w:p>
        </w:tc>
        <w:tc>
          <w:tcPr>
            <w:tcW w:w="1462" w:type="dxa"/>
            <w:tcBorders>
              <w:top w:val="single" w:color="000000" w:sz="4" w:space="0"/>
              <w:left w:val="single" w:color="000000" w:sz="4" w:space="0"/>
              <w:bottom w:val="single" w:color="000000" w:sz="4" w:space="0"/>
              <w:right w:val="single" w:color="auto" w:sz="4" w:space="0"/>
            </w:tcBorders>
            <w:vAlign w:val="center"/>
          </w:tcPr>
          <w:p w14:paraId="53D4E620">
            <w:pPr>
              <w:jc w:val="center"/>
              <w:rPr>
                <w:rFonts w:eastAsia="黑体"/>
                <w:sz w:val="18"/>
                <w:szCs w:val="18"/>
              </w:rPr>
            </w:pPr>
            <w:r>
              <w:rPr>
                <w:rFonts w:eastAsia="黑体"/>
                <w:sz w:val="18"/>
                <w:szCs w:val="18"/>
              </w:rPr>
              <w:t>/</w:t>
            </w:r>
          </w:p>
        </w:tc>
        <w:tc>
          <w:tcPr>
            <w:tcW w:w="2728" w:type="dxa"/>
            <w:gridSpan w:val="4"/>
            <w:vMerge w:val="continue"/>
            <w:tcBorders>
              <w:left w:val="single" w:color="auto" w:sz="4" w:space="0"/>
              <w:right w:val="single" w:color="auto" w:sz="4" w:space="0"/>
            </w:tcBorders>
            <w:vAlign w:val="center"/>
          </w:tcPr>
          <w:p w14:paraId="4E3C9F8B">
            <w:pPr>
              <w:jc w:val="center"/>
              <w:rPr>
                <w:rFonts w:eastAsia="黑体"/>
                <w:sz w:val="18"/>
                <w:szCs w:val="18"/>
              </w:rPr>
            </w:pPr>
          </w:p>
        </w:tc>
      </w:tr>
      <w:tr w14:paraId="2DBBD1AE">
        <w:tblPrEx>
          <w:tblCellMar>
            <w:top w:w="0" w:type="dxa"/>
            <w:left w:w="108" w:type="dxa"/>
            <w:bottom w:w="0" w:type="dxa"/>
            <w:right w:w="108" w:type="dxa"/>
          </w:tblCellMar>
        </w:tblPrEx>
        <w:trPr>
          <w:trHeight w:val="300" w:hRule="atLeast"/>
          <w:jc w:val="center"/>
        </w:trPr>
        <w:tc>
          <w:tcPr>
            <w:tcW w:w="888" w:type="dxa"/>
            <w:vMerge w:val="continue"/>
            <w:tcBorders>
              <w:left w:val="single" w:color="auto" w:sz="4" w:space="0"/>
              <w:right w:val="single" w:color="000000" w:sz="4" w:space="0"/>
            </w:tcBorders>
            <w:shd w:val="clear" w:color="auto" w:fill="BFBFBF"/>
            <w:vAlign w:val="center"/>
          </w:tcPr>
          <w:p w14:paraId="3096D67A">
            <w:pPr>
              <w:jc w:val="center"/>
              <w:rPr>
                <w:rFonts w:eastAsia="黑体"/>
                <w:sz w:val="22"/>
                <w:szCs w:val="22"/>
              </w:rPr>
            </w:pPr>
          </w:p>
        </w:tc>
        <w:tc>
          <w:tcPr>
            <w:tcW w:w="656" w:type="dxa"/>
            <w:vMerge w:val="restart"/>
            <w:tcBorders>
              <w:top w:val="single" w:color="000000" w:sz="4" w:space="0"/>
              <w:left w:val="single" w:color="000000" w:sz="4" w:space="0"/>
              <w:right w:val="single" w:color="000000" w:sz="4" w:space="0"/>
            </w:tcBorders>
            <w:shd w:val="clear" w:color="auto" w:fill="BFBFBF"/>
            <w:vAlign w:val="center"/>
          </w:tcPr>
          <w:p w14:paraId="391710BD">
            <w:pPr>
              <w:jc w:val="center"/>
              <w:textAlignment w:val="center"/>
              <w:rPr>
                <w:rFonts w:eastAsia="黑体"/>
                <w:sz w:val="22"/>
                <w:szCs w:val="22"/>
                <w:lang w:bidi="ar"/>
              </w:rPr>
            </w:pPr>
            <w:r>
              <w:rPr>
                <w:rFonts w:eastAsia="黑体"/>
                <w:sz w:val="22"/>
                <w:szCs w:val="22"/>
                <w:lang w:bidi="ar"/>
              </w:rPr>
              <w:t>无组织</w:t>
            </w:r>
          </w:p>
          <w:p w14:paraId="799E0591">
            <w:pPr>
              <w:jc w:val="center"/>
              <w:textAlignment w:val="center"/>
              <w:rPr>
                <w:rFonts w:eastAsia="黑体"/>
                <w:sz w:val="22"/>
                <w:szCs w:val="22"/>
              </w:rPr>
            </w:pPr>
            <w:r>
              <w:rPr>
                <w:rFonts w:eastAsia="黑体"/>
                <w:sz w:val="22"/>
                <w:szCs w:val="22"/>
                <w:lang w:bidi="ar"/>
              </w:rPr>
              <w:t>排放</w:t>
            </w:r>
          </w:p>
        </w:tc>
        <w:tc>
          <w:tcPr>
            <w:tcW w:w="1746" w:type="dxa"/>
            <w:gridSpan w:val="2"/>
            <w:vMerge w:val="restart"/>
            <w:tcBorders>
              <w:top w:val="single" w:color="auto" w:sz="4" w:space="0"/>
              <w:left w:val="single" w:color="000000" w:sz="4" w:space="0"/>
              <w:bottom w:val="single" w:color="000000" w:sz="4" w:space="0"/>
              <w:right w:val="single" w:color="000000" w:sz="4" w:space="0"/>
            </w:tcBorders>
            <w:shd w:val="clear" w:color="auto" w:fill="BFBFBF"/>
            <w:vAlign w:val="center"/>
          </w:tcPr>
          <w:p w14:paraId="70A2139F">
            <w:pPr>
              <w:jc w:val="center"/>
              <w:textAlignment w:val="center"/>
              <w:rPr>
                <w:rFonts w:eastAsia="黑体"/>
                <w:sz w:val="18"/>
                <w:szCs w:val="18"/>
              </w:rPr>
            </w:pPr>
            <w:r>
              <w:rPr>
                <w:rFonts w:eastAsia="黑体"/>
                <w:sz w:val="18"/>
                <w:szCs w:val="18"/>
                <w:lang w:bidi="ar"/>
              </w:rPr>
              <w:t>序号</w:t>
            </w:r>
          </w:p>
        </w:tc>
        <w:tc>
          <w:tcPr>
            <w:tcW w:w="7672" w:type="dxa"/>
            <w:gridSpan w:val="5"/>
            <w:vMerge w:val="restart"/>
            <w:tcBorders>
              <w:top w:val="single" w:color="auto" w:sz="4" w:space="0"/>
              <w:left w:val="single" w:color="000000" w:sz="4" w:space="0"/>
              <w:bottom w:val="single" w:color="000000" w:sz="4" w:space="0"/>
              <w:right w:val="single" w:color="000000" w:sz="4" w:space="0"/>
            </w:tcBorders>
            <w:shd w:val="clear" w:color="auto" w:fill="BFBFBF"/>
            <w:vAlign w:val="center"/>
          </w:tcPr>
          <w:p w14:paraId="0CEB385D">
            <w:pPr>
              <w:jc w:val="center"/>
              <w:textAlignment w:val="center"/>
              <w:rPr>
                <w:rFonts w:eastAsia="黑体"/>
                <w:sz w:val="18"/>
                <w:szCs w:val="18"/>
              </w:rPr>
            </w:pPr>
            <w:r>
              <w:rPr>
                <w:rFonts w:eastAsia="黑体"/>
                <w:sz w:val="18"/>
                <w:szCs w:val="18"/>
                <w:lang w:bidi="ar"/>
              </w:rPr>
              <w:t>无组织排放源名称</w:t>
            </w:r>
          </w:p>
        </w:tc>
        <w:tc>
          <w:tcPr>
            <w:tcW w:w="10659" w:type="dxa"/>
            <w:gridSpan w:val="10"/>
            <w:tcBorders>
              <w:top w:val="single" w:color="000000" w:sz="4" w:space="0"/>
              <w:left w:val="single" w:color="000000" w:sz="4" w:space="0"/>
              <w:bottom w:val="single" w:color="000000" w:sz="4" w:space="0"/>
              <w:right w:val="single" w:color="000000" w:sz="4" w:space="0"/>
            </w:tcBorders>
            <w:shd w:val="clear" w:color="auto" w:fill="BFBFBF"/>
            <w:vAlign w:val="center"/>
          </w:tcPr>
          <w:p w14:paraId="0E5D2523">
            <w:pPr>
              <w:jc w:val="center"/>
              <w:textAlignment w:val="center"/>
              <w:rPr>
                <w:rFonts w:eastAsia="黑体"/>
                <w:sz w:val="18"/>
                <w:szCs w:val="18"/>
              </w:rPr>
            </w:pPr>
            <w:r>
              <w:rPr>
                <w:rFonts w:eastAsia="黑体"/>
                <w:sz w:val="18"/>
                <w:szCs w:val="18"/>
                <w:lang w:bidi="ar"/>
              </w:rPr>
              <w:t>污染物排放</w:t>
            </w:r>
          </w:p>
        </w:tc>
      </w:tr>
      <w:tr w14:paraId="0330848C">
        <w:tblPrEx>
          <w:tblCellMar>
            <w:top w:w="0" w:type="dxa"/>
            <w:left w:w="108" w:type="dxa"/>
            <w:bottom w:w="0" w:type="dxa"/>
            <w:right w:w="108" w:type="dxa"/>
          </w:tblCellMar>
        </w:tblPrEx>
        <w:trPr>
          <w:trHeight w:val="525" w:hRule="atLeast"/>
          <w:jc w:val="center"/>
        </w:trPr>
        <w:tc>
          <w:tcPr>
            <w:tcW w:w="888" w:type="dxa"/>
            <w:vMerge w:val="continue"/>
            <w:tcBorders>
              <w:left w:val="single" w:color="auto" w:sz="4" w:space="0"/>
              <w:bottom w:val="single" w:color="auto" w:sz="4" w:space="0"/>
              <w:right w:val="single" w:color="000000" w:sz="4" w:space="0"/>
            </w:tcBorders>
            <w:shd w:val="clear" w:color="auto" w:fill="BFBFBF"/>
            <w:vAlign w:val="center"/>
          </w:tcPr>
          <w:p w14:paraId="5D00B30C">
            <w:pPr>
              <w:jc w:val="center"/>
              <w:rPr>
                <w:rFonts w:eastAsia="黑体"/>
                <w:sz w:val="22"/>
                <w:szCs w:val="22"/>
              </w:rPr>
            </w:pPr>
          </w:p>
        </w:tc>
        <w:tc>
          <w:tcPr>
            <w:tcW w:w="656" w:type="dxa"/>
            <w:vMerge w:val="continue"/>
            <w:tcBorders>
              <w:left w:val="single" w:color="000000" w:sz="4" w:space="0"/>
              <w:bottom w:val="single" w:color="auto" w:sz="4" w:space="0"/>
              <w:right w:val="single" w:color="000000" w:sz="4" w:space="0"/>
            </w:tcBorders>
            <w:shd w:val="clear" w:color="auto" w:fill="BFBFBF"/>
            <w:vAlign w:val="center"/>
          </w:tcPr>
          <w:p w14:paraId="314C2EE5">
            <w:pPr>
              <w:jc w:val="center"/>
              <w:rPr>
                <w:rFonts w:eastAsia="黑体"/>
                <w:sz w:val="22"/>
                <w:szCs w:val="22"/>
              </w:rPr>
            </w:pPr>
          </w:p>
        </w:tc>
        <w:tc>
          <w:tcPr>
            <w:tcW w:w="1746" w:type="dxa"/>
            <w:gridSpan w:val="2"/>
            <w:vMerge w:val="continue"/>
            <w:tcBorders>
              <w:top w:val="single" w:color="000000" w:sz="4" w:space="0"/>
              <w:left w:val="single" w:color="000000" w:sz="4" w:space="0"/>
              <w:bottom w:val="single" w:color="auto" w:sz="4" w:space="0"/>
              <w:right w:val="single" w:color="000000" w:sz="4" w:space="0"/>
            </w:tcBorders>
            <w:shd w:val="clear" w:color="auto" w:fill="BFBFBF"/>
            <w:vAlign w:val="center"/>
          </w:tcPr>
          <w:p w14:paraId="02A6EDF0">
            <w:pPr>
              <w:jc w:val="center"/>
              <w:rPr>
                <w:rFonts w:eastAsia="黑体"/>
                <w:sz w:val="18"/>
                <w:szCs w:val="18"/>
              </w:rPr>
            </w:pPr>
          </w:p>
        </w:tc>
        <w:tc>
          <w:tcPr>
            <w:tcW w:w="7672" w:type="dxa"/>
            <w:gridSpan w:val="5"/>
            <w:vMerge w:val="continue"/>
            <w:tcBorders>
              <w:top w:val="single" w:color="000000" w:sz="4" w:space="0"/>
              <w:left w:val="single" w:color="000000" w:sz="4" w:space="0"/>
              <w:bottom w:val="single" w:color="auto" w:sz="4" w:space="0"/>
              <w:right w:val="single" w:color="000000" w:sz="4" w:space="0"/>
            </w:tcBorders>
            <w:shd w:val="clear" w:color="auto" w:fill="BFBFBF"/>
            <w:vAlign w:val="center"/>
          </w:tcPr>
          <w:p w14:paraId="3D287586">
            <w:pPr>
              <w:jc w:val="center"/>
              <w:rPr>
                <w:rFonts w:eastAsia="黑体"/>
                <w:sz w:val="18"/>
                <w:szCs w:val="18"/>
              </w:rPr>
            </w:pPr>
          </w:p>
        </w:tc>
        <w:tc>
          <w:tcPr>
            <w:tcW w:w="1836" w:type="dxa"/>
            <w:tcBorders>
              <w:top w:val="single" w:color="000000" w:sz="4" w:space="0"/>
              <w:left w:val="single" w:color="000000" w:sz="4" w:space="0"/>
              <w:bottom w:val="single" w:color="auto" w:sz="4" w:space="0"/>
              <w:right w:val="single" w:color="000000" w:sz="4" w:space="0"/>
            </w:tcBorders>
            <w:shd w:val="clear" w:color="auto" w:fill="BFBFBF"/>
            <w:vAlign w:val="center"/>
          </w:tcPr>
          <w:p w14:paraId="0F4083C0">
            <w:pPr>
              <w:jc w:val="center"/>
              <w:textAlignment w:val="center"/>
              <w:rPr>
                <w:rFonts w:eastAsia="黑体"/>
                <w:sz w:val="18"/>
                <w:szCs w:val="18"/>
              </w:rPr>
            </w:pPr>
            <w:r>
              <w:rPr>
                <w:rFonts w:eastAsia="黑体"/>
                <w:sz w:val="18"/>
                <w:szCs w:val="18"/>
                <w:lang w:bidi="ar"/>
              </w:rPr>
              <w:t>污染物种类</w:t>
            </w:r>
          </w:p>
        </w:tc>
        <w:tc>
          <w:tcPr>
            <w:tcW w:w="1519" w:type="dxa"/>
            <w:tcBorders>
              <w:top w:val="single" w:color="000000" w:sz="4" w:space="0"/>
              <w:left w:val="single" w:color="000000" w:sz="4" w:space="0"/>
              <w:bottom w:val="single" w:color="auto" w:sz="4" w:space="0"/>
              <w:right w:val="single" w:color="000000" w:sz="4" w:space="0"/>
            </w:tcBorders>
            <w:shd w:val="clear" w:color="auto" w:fill="BFBFBF"/>
            <w:vAlign w:val="center"/>
          </w:tcPr>
          <w:p w14:paraId="2693307A">
            <w:pPr>
              <w:jc w:val="center"/>
              <w:textAlignment w:val="center"/>
              <w:rPr>
                <w:rFonts w:eastAsia="黑体"/>
                <w:sz w:val="18"/>
                <w:szCs w:val="18"/>
                <w:lang w:bidi="ar"/>
              </w:rPr>
            </w:pPr>
            <w:r>
              <w:rPr>
                <w:rFonts w:eastAsia="黑体"/>
                <w:sz w:val="18"/>
                <w:szCs w:val="18"/>
                <w:lang w:bidi="ar"/>
              </w:rPr>
              <w:t>排放浓度</w:t>
            </w:r>
          </w:p>
          <w:p w14:paraId="66D2D39E">
            <w:pPr>
              <w:jc w:val="center"/>
              <w:textAlignment w:val="center"/>
              <w:rPr>
                <w:rFonts w:eastAsia="黑体"/>
                <w:sz w:val="18"/>
                <w:szCs w:val="18"/>
              </w:rPr>
            </w:pPr>
            <w:r>
              <w:rPr>
                <w:rFonts w:eastAsia="黑体"/>
                <w:sz w:val="18"/>
                <w:szCs w:val="18"/>
                <w:lang w:bidi="ar"/>
              </w:rPr>
              <w:t>（毫克/立方米）</w:t>
            </w:r>
          </w:p>
        </w:tc>
        <w:tc>
          <w:tcPr>
            <w:tcW w:w="7304" w:type="dxa"/>
            <w:gridSpan w:val="8"/>
            <w:tcBorders>
              <w:top w:val="single" w:color="000000" w:sz="4" w:space="0"/>
              <w:left w:val="single" w:color="000000" w:sz="4" w:space="0"/>
              <w:bottom w:val="single" w:color="auto" w:sz="4" w:space="0"/>
              <w:right w:val="single" w:color="000000" w:sz="4" w:space="0"/>
            </w:tcBorders>
            <w:shd w:val="clear" w:color="auto" w:fill="BFBFBF"/>
            <w:vAlign w:val="center"/>
          </w:tcPr>
          <w:p w14:paraId="56E00263">
            <w:pPr>
              <w:jc w:val="center"/>
              <w:textAlignment w:val="center"/>
              <w:rPr>
                <w:rFonts w:eastAsia="黑体"/>
                <w:sz w:val="18"/>
                <w:szCs w:val="18"/>
              </w:rPr>
            </w:pPr>
            <w:r>
              <w:rPr>
                <w:rFonts w:eastAsia="黑体"/>
                <w:sz w:val="18"/>
                <w:szCs w:val="18"/>
                <w:lang w:bidi="ar"/>
              </w:rPr>
              <w:t>排放标准名称</w:t>
            </w:r>
          </w:p>
        </w:tc>
      </w:tr>
      <w:tr w14:paraId="244DE174">
        <w:tblPrEx>
          <w:tblCellMar>
            <w:top w:w="0" w:type="dxa"/>
            <w:left w:w="108" w:type="dxa"/>
            <w:bottom w:w="0" w:type="dxa"/>
            <w:right w:w="108" w:type="dxa"/>
          </w:tblCellMar>
        </w:tblPrEx>
        <w:trPr>
          <w:trHeight w:val="285" w:hRule="atLeast"/>
          <w:jc w:val="center"/>
        </w:trPr>
        <w:tc>
          <w:tcPr>
            <w:tcW w:w="888" w:type="dxa"/>
            <w:vMerge w:val="continue"/>
            <w:tcBorders>
              <w:top w:val="single" w:color="auto" w:sz="4" w:space="0"/>
              <w:left w:val="single" w:color="auto" w:sz="4" w:space="0"/>
              <w:bottom w:val="single" w:color="auto" w:sz="4" w:space="0"/>
              <w:right w:val="single" w:color="auto" w:sz="4" w:space="0"/>
            </w:tcBorders>
            <w:shd w:val="clear" w:color="auto" w:fill="BFBFBF"/>
            <w:vAlign w:val="center"/>
          </w:tcPr>
          <w:p w14:paraId="46AB6649">
            <w:pPr>
              <w:jc w:val="center"/>
              <w:rPr>
                <w:rFonts w:eastAsia="黑体"/>
                <w:sz w:val="22"/>
                <w:szCs w:val="22"/>
              </w:rPr>
            </w:pPr>
          </w:p>
        </w:tc>
        <w:tc>
          <w:tcPr>
            <w:tcW w:w="656" w:type="dxa"/>
            <w:vMerge w:val="continue"/>
            <w:tcBorders>
              <w:top w:val="single" w:color="auto" w:sz="4" w:space="0"/>
              <w:left w:val="single" w:color="auto" w:sz="4" w:space="0"/>
              <w:bottom w:val="single" w:color="auto" w:sz="4" w:space="0"/>
              <w:right w:val="single" w:color="auto" w:sz="4" w:space="0"/>
            </w:tcBorders>
            <w:shd w:val="clear" w:color="auto" w:fill="BFBFBF"/>
            <w:vAlign w:val="center"/>
          </w:tcPr>
          <w:p w14:paraId="726F06C3">
            <w:pPr>
              <w:jc w:val="center"/>
              <w:rPr>
                <w:rFonts w:eastAsia="黑体"/>
                <w:sz w:val="22"/>
                <w:szCs w:val="22"/>
              </w:rPr>
            </w:pPr>
          </w:p>
        </w:tc>
        <w:tc>
          <w:tcPr>
            <w:tcW w:w="1746" w:type="dxa"/>
            <w:gridSpan w:val="2"/>
            <w:vMerge w:val="restart"/>
            <w:tcBorders>
              <w:top w:val="single" w:color="auto" w:sz="4" w:space="0"/>
              <w:left w:val="single" w:color="auto" w:sz="4" w:space="0"/>
              <w:bottom w:val="single" w:color="auto" w:sz="4" w:space="0"/>
              <w:right w:val="single" w:color="auto" w:sz="4" w:space="0"/>
            </w:tcBorders>
            <w:vAlign w:val="center"/>
          </w:tcPr>
          <w:p w14:paraId="72A5457A">
            <w:pPr>
              <w:jc w:val="center"/>
              <w:rPr>
                <w:rFonts w:eastAsia="黑体"/>
                <w:sz w:val="18"/>
                <w:szCs w:val="18"/>
              </w:rPr>
            </w:pPr>
            <w:r>
              <w:rPr>
                <w:rFonts w:eastAsia="黑体"/>
                <w:sz w:val="18"/>
                <w:szCs w:val="18"/>
              </w:rPr>
              <w:t>FS1</w:t>
            </w:r>
          </w:p>
          <w:p w14:paraId="4DA03983">
            <w:pPr>
              <w:jc w:val="center"/>
              <w:rPr>
                <w:rFonts w:eastAsia="黑体"/>
                <w:sz w:val="18"/>
                <w:szCs w:val="18"/>
              </w:rPr>
            </w:pPr>
          </w:p>
        </w:tc>
        <w:tc>
          <w:tcPr>
            <w:tcW w:w="7672" w:type="dxa"/>
            <w:gridSpan w:val="5"/>
            <w:vMerge w:val="restart"/>
            <w:tcBorders>
              <w:top w:val="single" w:color="auto" w:sz="4" w:space="0"/>
              <w:left w:val="single" w:color="auto" w:sz="4" w:space="0"/>
              <w:bottom w:val="single" w:color="auto" w:sz="4" w:space="0"/>
              <w:right w:val="single" w:color="auto" w:sz="4" w:space="0"/>
            </w:tcBorders>
            <w:vAlign w:val="center"/>
          </w:tcPr>
          <w:p w14:paraId="1F7CC4E3">
            <w:pPr>
              <w:jc w:val="center"/>
              <w:rPr>
                <w:rFonts w:hint="eastAsia" w:eastAsia="黑体"/>
                <w:sz w:val="18"/>
                <w:szCs w:val="18"/>
                <w:lang w:val="en-US" w:eastAsia="zh-CN"/>
              </w:rPr>
            </w:pPr>
            <w:r>
              <w:rPr>
                <w:rFonts w:hint="eastAsia" w:eastAsia="黑体"/>
                <w:sz w:val="18"/>
                <w:szCs w:val="18"/>
                <w:lang w:val="en-US" w:eastAsia="zh-CN"/>
              </w:rPr>
              <w:t>污水处理站</w:t>
            </w:r>
          </w:p>
        </w:tc>
        <w:tc>
          <w:tcPr>
            <w:tcW w:w="1836" w:type="dxa"/>
            <w:tcBorders>
              <w:top w:val="single" w:color="auto" w:sz="4" w:space="0"/>
              <w:left w:val="single" w:color="auto" w:sz="4" w:space="0"/>
              <w:bottom w:val="single" w:color="auto" w:sz="4" w:space="0"/>
              <w:right w:val="single" w:color="auto" w:sz="4" w:space="0"/>
            </w:tcBorders>
            <w:vAlign w:val="center"/>
          </w:tcPr>
          <w:p w14:paraId="673083DE">
            <w:pPr>
              <w:widowControl w:val="0"/>
              <w:jc w:val="center"/>
              <w:rPr>
                <w:rFonts w:eastAsia="黑体"/>
                <w:sz w:val="18"/>
                <w:szCs w:val="18"/>
              </w:rPr>
            </w:pPr>
            <w:r>
              <w:rPr>
                <w:bCs/>
                <w:sz w:val="18"/>
                <w:szCs w:val="18"/>
              </w:rPr>
              <w:t>NH</w:t>
            </w:r>
            <w:r>
              <w:rPr>
                <w:bCs/>
                <w:sz w:val="18"/>
                <w:szCs w:val="18"/>
                <w:vertAlign w:val="subscript"/>
              </w:rPr>
              <w:t>3</w:t>
            </w:r>
          </w:p>
        </w:tc>
        <w:tc>
          <w:tcPr>
            <w:tcW w:w="1519" w:type="dxa"/>
            <w:tcBorders>
              <w:top w:val="single" w:color="auto" w:sz="4" w:space="0"/>
              <w:left w:val="single" w:color="auto" w:sz="4" w:space="0"/>
              <w:bottom w:val="single" w:color="auto" w:sz="4" w:space="0"/>
              <w:right w:val="single" w:color="auto" w:sz="4" w:space="0"/>
            </w:tcBorders>
            <w:vAlign w:val="center"/>
          </w:tcPr>
          <w:p w14:paraId="214385F1">
            <w:pPr>
              <w:jc w:val="center"/>
              <w:rPr>
                <w:rFonts w:eastAsia="黑体"/>
                <w:sz w:val="18"/>
                <w:szCs w:val="18"/>
              </w:rPr>
            </w:pPr>
            <w:r>
              <w:rPr>
                <w:rFonts w:eastAsia="黑体"/>
                <w:sz w:val="18"/>
                <w:szCs w:val="18"/>
              </w:rPr>
              <w:t>/</w:t>
            </w:r>
          </w:p>
        </w:tc>
        <w:tc>
          <w:tcPr>
            <w:tcW w:w="7304" w:type="dxa"/>
            <w:gridSpan w:val="8"/>
            <w:vMerge w:val="restart"/>
            <w:tcBorders>
              <w:top w:val="single" w:color="auto" w:sz="4" w:space="0"/>
              <w:left w:val="single" w:color="auto" w:sz="4" w:space="0"/>
              <w:bottom w:val="single" w:color="auto" w:sz="4" w:space="0"/>
              <w:right w:val="single" w:color="auto" w:sz="4" w:space="0"/>
            </w:tcBorders>
            <w:vAlign w:val="center"/>
          </w:tcPr>
          <w:p w14:paraId="1529C0B3">
            <w:pPr>
              <w:widowControl w:val="0"/>
              <w:jc w:val="center"/>
              <w:rPr>
                <w:bCs/>
                <w:sz w:val="18"/>
                <w:szCs w:val="18"/>
              </w:rPr>
            </w:pPr>
            <w:r>
              <w:rPr>
                <w:bCs/>
                <w:sz w:val="18"/>
                <w:szCs w:val="18"/>
              </w:rPr>
              <w:t>《恶臭污染物排放标准》（GB14554-93）表1恶臭污染物厂界标准值要求</w:t>
            </w:r>
          </w:p>
        </w:tc>
      </w:tr>
      <w:tr w14:paraId="59A9C6E5">
        <w:tblPrEx>
          <w:tblCellMar>
            <w:top w:w="0" w:type="dxa"/>
            <w:left w:w="108" w:type="dxa"/>
            <w:bottom w:w="0" w:type="dxa"/>
            <w:right w:w="108" w:type="dxa"/>
          </w:tblCellMar>
        </w:tblPrEx>
        <w:trPr>
          <w:trHeight w:val="285" w:hRule="atLeast"/>
          <w:jc w:val="center"/>
        </w:trPr>
        <w:tc>
          <w:tcPr>
            <w:tcW w:w="888" w:type="dxa"/>
            <w:vMerge w:val="continue"/>
            <w:tcBorders>
              <w:top w:val="single" w:color="auto" w:sz="4" w:space="0"/>
              <w:left w:val="single" w:color="auto" w:sz="4" w:space="0"/>
              <w:bottom w:val="single" w:color="auto" w:sz="4" w:space="0"/>
              <w:right w:val="single" w:color="auto" w:sz="4" w:space="0"/>
            </w:tcBorders>
            <w:shd w:val="clear" w:color="auto" w:fill="BFBFBF"/>
            <w:vAlign w:val="center"/>
          </w:tcPr>
          <w:p w14:paraId="5BAD3B1C">
            <w:pPr>
              <w:jc w:val="center"/>
              <w:rPr>
                <w:rFonts w:eastAsia="黑体"/>
                <w:sz w:val="22"/>
                <w:szCs w:val="22"/>
              </w:rPr>
            </w:pPr>
          </w:p>
        </w:tc>
        <w:tc>
          <w:tcPr>
            <w:tcW w:w="656" w:type="dxa"/>
            <w:vMerge w:val="continue"/>
            <w:tcBorders>
              <w:top w:val="single" w:color="auto" w:sz="4" w:space="0"/>
              <w:left w:val="single" w:color="auto" w:sz="4" w:space="0"/>
              <w:bottom w:val="single" w:color="auto" w:sz="4" w:space="0"/>
              <w:right w:val="single" w:color="auto" w:sz="4" w:space="0"/>
            </w:tcBorders>
            <w:shd w:val="clear" w:color="auto" w:fill="BFBFBF"/>
            <w:vAlign w:val="center"/>
          </w:tcPr>
          <w:p w14:paraId="49F4268F">
            <w:pPr>
              <w:jc w:val="center"/>
              <w:rPr>
                <w:rFonts w:eastAsia="黑体"/>
                <w:sz w:val="22"/>
                <w:szCs w:val="22"/>
              </w:rPr>
            </w:pPr>
          </w:p>
        </w:tc>
        <w:tc>
          <w:tcPr>
            <w:tcW w:w="1746" w:type="dxa"/>
            <w:gridSpan w:val="2"/>
            <w:vMerge w:val="continue"/>
            <w:tcBorders>
              <w:top w:val="single" w:color="auto" w:sz="4" w:space="0"/>
              <w:left w:val="single" w:color="auto" w:sz="4" w:space="0"/>
              <w:bottom w:val="single" w:color="auto" w:sz="4" w:space="0"/>
              <w:right w:val="single" w:color="auto" w:sz="4" w:space="0"/>
            </w:tcBorders>
            <w:vAlign w:val="center"/>
          </w:tcPr>
          <w:p w14:paraId="7B56815C">
            <w:pPr>
              <w:jc w:val="center"/>
              <w:rPr>
                <w:rFonts w:eastAsia="黑体"/>
                <w:sz w:val="18"/>
                <w:szCs w:val="18"/>
              </w:rPr>
            </w:pPr>
          </w:p>
        </w:tc>
        <w:tc>
          <w:tcPr>
            <w:tcW w:w="7672" w:type="dxa"/>
            <w:gridSpan w:val="5"/>
            <w:vMerge w:val="continue"/>
            <w:tcBorders>
              <w:top w:val="single" w:color="auto" w:sz="4" w:space="0"/>
              <w:left w:val="single" w:color="auto" w:sz="4" w:space="0"/>
              <w:bottom w:val="single" w:color="auto" w:sz="4" w:space="0"/>
              <w:right w:val="single" w:color="auto" w:sz="4" w:space="0"/>
            </w:tcBorders>
            <w:vAlign w:val="center"/>
          </w:tcPr>
          <w:p w14:paraId="11932BCF">
            <w:pPr>
              <w:jc w:val="center"/>
              <w:rPr>
                <w:rFonts w:eastAsia="黑体"/>
                <w:sz w:val="18"/>
                <w:szCs w:val="18"/>
              </w:rPr>
            </w:pPr>
          </w:p>
        </w:tc>
        <w:tc>
          <w:tcPr>
            <w:tcW w:w="1836" w:type="dxa"/>
            <w:tcBorders>
              <w:top w:val="single" w:color="auto" w:sz="4" w:space="0"/>
              <w:left w:val="single" w:color="auto" w:sz="4" w:space="0"/>
              <w:bottom w:val="single" w:color="auto" w:sz="4" w:space="0"/>
              <w:right w:val="single" w:color="auto" w:sz="4" w:space="0"/>
            </w:tcBorders>
            <w:vAlign w:val="center"/>
          </w:tcPr>
          <w:p w14:paraId="2F907D43">
            <w:pPr>
              <w:widowControl w:val="0"/>
              <w:jc w:val="center"/>
              <w:rPr>
                <w:rFonts w:hint="default" w:eastAsia="宋体"/>
                <w:kern w:val="2"/>
                <w:sz w:val="18"/>
                <w:szCs w:val="18"/>
                <w:lang w:val="en-US" w:eastAsia="zh-CN"/>
              </w:rPr>
            </w:pPr>
            <w:r>
              <w:rPr>
                <w:bCs/>
                <w:sz w:val="18"/>
                <w:szCs w:val="18"/>
              </w:rPr>
              <w:t>H</w:t>
            </w:r>
            <w:r>
              <w:rPr>
                <w:rFonts w:hint="eastAsia"/>
                <w:bCs/>
                <w:sz w:val="18"/>
                <w:szCs w:val="18"/>
                <w:vertAlign w:val="subscript"/>
                <w:lang w:val="en-US" w:eastAsia="zh-CN"/>
              </w:rPr>
              <w:t>2</w:t>
            </w:r>
            <w:r>
              <w:rPr>
                <w:rFonts w:hint="eastAsia"/>
                <w:bCs/>
                <w:sz w:val="18"/>
                <w:szCs w:val="18"/>
                <w:lang w:val="en-US" w:eastAsia="zh-CN"/>
              </w:rPr>
              <w:t>S</w:t>
            </w:r>
          </w:p>
        </w:tc>
        <w:tc>
          <w:tcPr>
            <w:tcW w:w="1519" w:type="dxa"/>
            <w:tcBorders>
              <w:top w:val="single" w:color="auto" w:sz="4" w:space="0"/>
              <w:left w:val="single" w:color="auto" w:sz="4" w:space="0"/>
              <w:bottom w:val="single" w:color="auto" w:sz="4" w:space="0"/>
              <w:right w:val="single" w:color="auto" w:sz="4" w:space="0"/>
            </w:tcBorders>
            <w:vAlign w:val="center"/>
          </w:tcPr>
          <w:p w14:paraId="2276E931">
            <w:pPr>
              <w:jc w:val="center"/>
              <w:rPr>
                <w:rFonts w:eastAsia="黑体"/>
                <w:sz w:val="18"/>
                <w:szCs w:val="18"/>
              </w:rPr>
            </w:pPr>
            <w:r>
              <w:rPr>
                <w:rFonts w:eastAsia="黑体"/>
                <w:sz w:val="18"/>
                <w:szCs w:val="18"/>
              </w:rPr>
              <w:t>/</w:t>
            </w:r>
          </w:p>
        </w:tc>
        <w:tc>
          <w:tcPr>
            <w:tcW w:w="7304" w:type="dxa"/>
            <w:gridSpan w:val="8"/>
            <w:vMerge w:val="continue"/>
            <w:tcBorders>
              <w:top w:val="single" w:color="auto" w:sz="4" w:space="0"/>
              <w:left w:val="single" w:color="auto" w:sz="4" w:space="0"/>
              <w:bottom w:val="single" w:color="auto" w:sz="4" w:space="0"/>
              <w:right w:val="single" w:color="auto" w:sz="4" w:space="0"/>
            </w:tcBorders>
            <w:vAlign w:val="center"/>
          </w:tcPr>
          <w:p w14:paraId="4EE8AF3F">
            <w:pPr>
              <w:widowControl w:val="0"/>
              <w:jc w:val="center"/>
              <w:rPr>
                <w:bCs/>
                <w:sz w:val="18"/>
                <w:szCs w:val="18"/>
              </w:rPr>
            </w:pPr>
          </w:p>
        </w:tc>
      </w:tr>
      <w:tr w14:paraId="299855C3">
        <w:tblPrEx>
          <w:tblCellMar>
            <w:top w:w="0" w:type="dxa"/>
            <w:left w:w="108" w:type="dxa"/>
            <w:bottom w:w="0" w:type="dxa"/>
            <w:right w:w="108" w:type="dxa"/>
          </w:tblCellMar>
        </w:tblPrEx>
        <w:trPr>
          <w:trHeight w:val="285" w:hRule="atLeast"/>
          <w:jc w:val="center"/>
        </w:trPr>
        <w:tc>
          <w:tcPr>
            <w:tcW w:w="888" w:type="dxa"/>
            <w:vMerge w:val="continue"/>
            <w:tcBorders>
              <w:top w:val="single" w:color="auto" w:sz="4" w:space="0"/>
              <w:left w:val="single" w:color="auto" w:sz="4" w:space="0"/>
              <w:bottom w:val="single" w:color="auto" w:sz="4" w:space="0"/>
              <w:right w:val="single" w:color="auto" w:sz="4" w:space="0"/>
            </w:tcBorders>
            <w:shd w:val="clear" w:color="auto" w:fill="BFBFBF"/>
            <w:vAlign w:val="center"/>
          </w:tcPr>
          <w:p w14:paraId="4F424D5C">
            <w:pPr>
              <w:jc w:val="center"/>
              <w:rPr>
                <w:rFonts w:eastAsia="黑体"/>
                <w:sz w:val="22"/>
                <w:szCs w:val="22"/>
              </w:rPr>
            </w:pPr>
          </w:p>
        </w:tc>
        <w:tc>
          <w:tcPr>
            <w:tcW w:w="656" w:type="dxa"/>
            <w:vMerge w:val="continue"/>
            <w:tcBorders>
              <w:top w:val="single" w:color="auto" w:sz="4" w:space="0"/>
              <w:left w:val="single" w:color="auto" w:sz="4" w:space="0"/>
              <w:bottom w:val="single" w:color="auto" w:sz="4" w:space="0"/>
              <w:right w:val="single" w:color="auto" w:sz="4" w:space="0"/>
            </w:tcBorders>
            <w:shd w:val="clear" w:color="auto" w:fill="BFBFBF"/>
            <w:vAlign w:val="center"/>
          </w:tcPr>
          <w:p w14:paraId="69CBEBE2">
            <w:pPr>
              <w:jc w:val="center"/>
              <w:rPr>
                <w:rFonts w:eastAsia="黑体"/>
                <w:sz w:val="22"/>
                <w:szCs w:val="22"/>
              </w:rPr>
            </w:pPr>
          </w:p>
        </w:tc>
        <w:tc>
          <w:tcPr>
            <w:tcW w:w="1746" w:type="dxa"/>
            <w:gridSpan w:val="2"/>
            <w:vMerge w:val="continue"/>
            <w:tcBorders>
              <w:top w:val="single" w:color="auto" w:sz="4" w:space="0"/>
              <w:left w:val="single" w:color="auto" w:sz="4" w:space="0"/>
              <w:bottom w:val="single" w:color="auto" w:sz="4" w:space="0"/>
              <w:right w:val="single" w:color="auto" w:sz="4" w:space="0"/>
            </w:tcBorders>
            <w:vAlign w:val="center"/>
          </w:tcPr>
          <w:p w14:paraId="651B0C8B">
            <w:pPr>
              <w:jc w:val="center"/>
              <w:rPr>
                <w:rFonts w:eastAsia="黑体"/>
                <w:sz w:val="18"/>
                <w:szCs w:val="18"/>
              </w:rPr>
            </w:pPr>
          </w:p>
        </w:tc>
        <w:tc>
          <w:tcPr>
            <w:tcW w:w="7672" w:type="dxa"/>
            <w:gridSpan w:val="5"/>
            <w:vMerge w:val="continue"/>
            <w:tcBorders>
              <w:top w:val="single" w:color="auto" w:sz="4" w:space="0"/>
              <w:left w:val="single" w:color="auto" w:sz="4" w:space="0"/>
              <w:bottom w:val="single" w:color="auto" w:sz="4" w:space="0"/>
              <w:right w:val="single" w:color="auto" w:sz="4" w:space="0"/>
            </w:tcBorders>
            <w:vAlign w:val="center"/>
          </w:tcPr>
          <w:p w14:paraId="23B381B8">
            <w:pPr>
              <w:jc w:val="center"/>
              <w:rPr>
                <w:rFonts w:eastAsia="黑体"/>
                <w:sz w:val="18"/>
                <w:szCs w:val="18"/>
              </w:rPr>
            </w:pPr>
          </w:p>
        </w:tc>
        <w:tc>
          <w:tcPr>
            <w:tcW w:w="1836" w:type="dxa"/>
            <w:tcBorders>
              <w:top w:val="single" w:color="auto" w:sz="4" w:space="0"/>
              <w:left w:val="single" w:color="auto" w:sz="4" w:space="0"/>
              <w:bottom w:val="single" w:color="auto" w:sz="4" w:space="0"/>
              <w:right w:val="single" w:color="auto" w:sz="4" w:space="0"/>
            </w:tcBorders>
            <w:vAlign w:val="center"/>
          </w:tcPr>
          <w:p w14:paraId="19E80882">
            <w:pPr>
              <w:widowControl w:val="0"/>
              <w:jc w:val="center"/>
              <w:rPr>
                <w:rFonts w:hint="default" w:eastAsia="黑体"/>
                <w:kern w:val="2"/>
                <w:sz w:val="18"/>
                <w:szCs w:val="18"/>
                <w:lang w:val="en-US" w:eastAsia="zh-CN"/>
              </w:rPr>
            </w:pPr>
            <w:r>
              <w:rPr>
                <w:rFonts w:hint="eastAsia" w:eastAsia="黑体"/>
                <w:bCs/>
                <w:sz w:val="18"/>
                <w:szCs w:val="18"/>
                <w:lang w:val="en-US" w:eastAsia="zh-CN"/>
              </w:rPr>
              <w:t>臭气浓度</w:t>
            </w:r>
          </w:p>
        </w:tc>
        <w:tc>
          <w:tcPr>
            <w:tcW w:w="1519" w:type="dxa"/>
            <w:tcBorders>
              <w:top w:val="single" w:color="auto" w:sz="4" w:space="0"/>
              <w:left w:val="single" w:color="auto" w:sz="4" w:space="0"/>
              <w:bottom w:val="single" w:color="auto" w:sz="4" w:space="0"/>
              <w:right w:val="single" w:color="auto" w:sz="4" w:space="0"/>
            </w:tcBorders>
            <w:vAlign w:val="center"/>
          </w:tcPr>
          <w:p w14:paraId="5EC47B59">
            <w:pPr>
              <w:jc w:val="center"/>
              <w:rPr>
                <w:rFonts w:eastAsia="黑体"/>
                <w:sz w:val="18"/>
                <w:szCs w:val="18"/>
              </w:rPr>
            </w:pPr>
            <w:r>
              <w:rPr>
                <w:rFonts w:eastAsia="黑体"/>
                <w:sz w:val="18"/>
                <w:szCs w:val="18"/>
              </w:rPr>
              <w:t>/</w:t>
            </w:r>
          </w:p>
        </w:tc>
        <w:tc>
          <w:tcPr>
            <w:tcW w:w="7304" w:type="dxa"/>
            <w:gridSpan w:val="8"/>
            <w:vMerge w:val="continue"/>
            <w:tcBorders>
              <w:top w:val="single" w:color="auto" w:sz="4" w:space="0"/>
              <w:left w:val="single" w:color="auto" w:sz="4" w:space="0"/>
              <w:bottom w:val="single" w:color="auto" w:sz="4" w:space="0"/>
              <w:right w:val="single" w:color="auto" w:sz="4" w:space="0"/>
            </w:tcBorders>
            <w:vAlign w:val="center"/>
          </w:tcPr>
          <w:p w14:paraId="3D589950">
            <w:pPr>
              <w:widowControl w:val="0"/>
              <w:jc w:val="center"/>
              <w:rPr>
                <w:bCs/>
                <w:sz w:val="18"/>
                <w:szCs w:val="18"/>
              </w:rPr>
            </w:pPr>
          </w:p>
        </w:tc>
      </w:tr>
      <w:tr w14:paraId="34EA1BFC">
        <w:tblPrEx>
          <w:tblCellMar>
            <w:top w:w="0" w:type="dxa"/>
            <w:left w:w="108" w:type="dxa"/>
            <w:bottom w:w="0" w:type="dxa"/>
            <w:right w:w="108" w:type="dxa"/>
          </w:tblCellMar>
        </w:tblPrEx>
        <w:trPr>
          <w:trHeight w:val="360" w:hRule="atLeast"/>
          <w:jc w:val="center"/>
        </w:trPr>
        <w:tc>
          <w:tcPr>
            <w:tcW w:w="888" w:type="dxa"/>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3A980AAD">
            <w:pPr>
              <w:jc w:val="center"/>
              <w:textAlignment w:val="center"/>
              <w:rPr>
                <w:rFonts w:eastAsia="黑体"/>
                <w:sz w:val="22"/>
                <w:szCs w:val="22"/>
              </w:rPr>
            </w:pPr>
            <w:r>
              <w:rPr>
                <w:rFonts w:eastAsia="黑体"/>
                <w:sz w:val="22"/>
                <w:szCs w:val="22"/>
                <w:lang w:bidi="ar"/>
              </w:rPr>
              <w:t>水污染治理与排放信息（主要排放口）</w:t>
            </w:r>
          </w:p>
        </w:tc>
        <w:tc>
          <w:tcPr>
            <w:tcW w:w="656" w:type="dxa"/>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241B1A41">
            <w:pPr>
              <w:jc w:val="center"/>
              <w:textAlignment w:val="center"/>
              <w:rPr>
                <w:rFonts w:eastAsia="黑体"/>
                <w:sz w:val="22"/>
                <w:szCs w:val="22"/>
                <w:lang w:bidi="ar"/>
              </w:rPr>
            </w:pPr>
            <w:r>
              <w:rPr>
                <w:rFonts w:eastAsia="黑体"/>
                <w:sz w:val="22"/>
                <w:szCs w:val="22"/>
                <w:lang w:bidi="ar"/>
              </w:rPr>
              <w:t>车间或生产</w:t>
            </w:r>
          </w:p>
          <w:p w14:paraId="590A9921">
            <w:pPr>
              <w:jc w:val="center"/>
              <w:textAlignment w:val="center"/>
              <w:rPr>
                <w:rFonts w:eastAsia="黑体"/>
                <w:sz w:val="22"/>
                <w:szCs w:val="22"/>
              </w:rPr>
            </w:pPr>
            <w:r>
              <w:rPr>
                <w:rFonts w:eastAsia="黑体"/>
                <w:sz w:val="22"/>
                <w:szCs w:val="22"/>
                <w:lang w:bidi="ar"/>
              </w:rPr>
              <w:t>设施排放口</w:t>
            </w:r>
          </w:p>
        </w:tc>
        <w:tc>
          <w:tcPr>
            <w:tcW w:w="602" w:type="dxa"/>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1EF5EA89">
            <w:pPr>
              <w:jc w:val="center"/>
              <w:textAlignment w:val="center"/>
              <w:rPr>
                <w:rFonts w:eastAsia="黑体"/>
                <w:sz w:val="18"/>
                <w:szCs w:val="18"/>
              </w:rPr>
            </w:pPr>
            <w:r>
              <w:rPr>
                <w:rFonts w:eastAsia="黑体"/>
                <w:sz w:val="18"/>
                <w:szCs w:val="18"/>
                <w:lang w:bidi="ar"/>
              </w:rPr>
              <w:t>序号（编号）</w:t>
            </w:r>
          </w:p>
        </w:tc>
        <w:tc>
          <w:tcPr>
            <w:tcW w:w="1144" w:type="dxa"/>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62F8ADE9">
            <w:pPr>
              <w:jc w:val="center"/>
              <w:textAlignment w:val="center"/>
              <w:rPr>
                <w:rFonts w:eastAsia="黑体"/>
                <w:sz w:val="18"/>
                <w:szCs w:val="18"/>
              </w:rPr>
            </w:pPr>
            <w:r>
              <w:rPr>
                <w:rFonts w:eastAsia="黑体"/>
                <w:sz w:val="18"/>
                <w:szCs w:val="18"/>
                <w:lang w:bidi="ar"/>
              </w:rPr>
              <w:t>排放口名称</w:t>
            </w:r>
          </w:p>
        </w:tc>
        <w:tc>
          <w:tcPr>
            <w:tcW w:w="4513" w:type="dxa"/>
            <w:gridSpan w:val="3"/>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3958C3CE">
            <w:pPr>
              <w:jc w:val="center"/>
              <w:textAlignment w:val="center"/>
              <w:rPr>
                <w:rFonts w:eastAsia="黑体"/>
                <w:sz w:val="18"/>
                <w:szCs w:val="18"/>
              </w:rPr>
            </w:pPr>
            <w:r>
              <w:rPr>
                <w:rFonts w:eastAsia="黑体"/>
                <w:sz w:val="18"/>
                <w:szCs w:val="18"/>
                <w:lang w:bidi="ar"/>
              </w:rPr>
              <w:t>废水类别</w:t>
            </w:r>
          </w:p>
        </w:tc>
        <w:tc>
          <w:tcPr>
            <w:tcW w:w="4995" w:type="dxa"/>
            <w:gridSpan w:val="3"/>
            <w:vMerge w:val="restart"/>
            <w:tcBorders>
              <w:top w:val="single" w:color="auto" w:sz="4" w:space="0"/>
              <w:left w:val="single" w:color="000000" w:sz="4" w:space="0"/>
              <w:bottom w:val="single" w:color="auto" w:sz="4" w:space="0"/>
              <w:right w:val="single" w:color="000000" w:sz="4" w:space="0"/>
            </w:tcBorders>
            <w:shd w:val="clear" w:color="auto" w:fill="BFBFBF"/>
            <w:noWrap/>
            <w:vAlign w:val="center"/>
          </w:tcPr>
          <w:p w14:paraId="1C3C5391">
            <w:pPr>
              <w:jc w:val="center"/>
              <w:textAlignment w:val="center"/>
              <w:rPr>
                <w:rFonts w:eastAsia="黑体"/>
                <w:sz w:val="18"/>
                <w:szCs w:val="18"/>
              </w:rPr>
            </w:pPr>
            <w:r>
              <w:rPr>
                <w:rFonts w:eastAsia="黑体"/>
                <w:sz w:val="18"/>
                <w:szCs w:val="18"/>
                <w:lang w:bidi="ar"/>
              </w:rPr>
              <w:t>污染防治设施工艺</w:t>
            </w:r>
          </w:p>
        </w:tc>
        <w:tc>
          <w:tcPr>
            <w:tcW w:w="1519" w:type="dxa"/>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10E2DDB5">
            <w:pPr>
              <w:jc w:val="center"/>
              <w:textAlignment w:val="center"/>
              <w:rPr>
                <w:rFonts w:eastAsia="黑体"/>
                <w:sz w:val="18"/>
                <w:szCs w:val="18"/>
              </w:rPr>
            </w:pPr>
            <w:r>
              <w:rPr>
                <w:rFonts w:eastAsia="黑体"/>
                <w:sz w:val="18"/>
                <w:szCs w:val="18"/>
                <w:lang w:bidi="ar"/>
              </w:rPr>
              <w:t>排放去向</w:t>
            </w:r>
          </w:p>
        </w:tc>
        <w:tc>
          <w:tcPr>
            <w:tcW w:w="7304" w:type="dxa"/>
            <w:gridSpan w:val="8"/>
            <w:tcBorders>
              <w:top w:val="single" w:color="auto" w:sz="4" w:space="0"/>
              <w:left w:val="single" w:color="000000" w:sz="4" w:space="0"/>
              <w:bottom w:val="single" w:color="auto" w:sz="4" w:space="0"/>
              <w:right w:val="single" w:color="000000" w:sz="4" w:space="0"/>
            </w:tcBorders>
            <w:shd w:val="clear" w:color="auto" w:fill="BFBFBF"/>
            <w:vAlign w:val="center"/>
          </w:tcPr>
          <w:p w14:paraId="38490480">
            <w:pPr>
              <w:jc w:val="center"/>
              <w:textAlignment w:val="center"/>
              <w:rPr>
                <w:rFonts w:eastAsia="黑体"/>
                <w:sz w:val="18"/>
                <w:szCs w:val="18"/>
              </w:rPr>
            </w:pPr>
            <w:r>
              <w:rPr>
                <w:rFonts w:eastAsia="黑体"/>
                <w:sz w:val="18"/>
                <w:szCs w:val="18"/>
                <w:lang w:bidi="ar"/>
              </w:rPr>
              <w:t>污染物排放</w:t>
            </w:r>
          </w:p>
        </w:tc>
      </w:tr>
      <w:tr w14:paraId="1CFD5D10">
        <w:tblPrEx>
          <w:tblCellMar>
            <w:top w:w="0" w:type="dxa"/>
            <w:left w:w="108" w:type="dxa"/>
            <w:bottom w:w="0" w:type="dxa"/>
            <w:right w:w="108" w:type="dxa"/>
          </w:tblCellMar>
        </w:tblPrEx>
        <w:trPr>
          <w:trHeight w:val="300" w:hRule="atLeast"/>
          <w:jc w:val="center"/>
        </w:trPr>
        <w:tc>
          <w:tcPr>
            <w:tcW w:w="888" w:type="dxa"/>
            <w:vMerge w:val="continue"/>
            <w:tcBorders>
              <w:top w:val="single" w:color="auto" w:sz="4" w:space="0"/>
              <w:left w:val="single" w:color="000000" w:sz="4" w:space="0"/>
              <w:bottom w:val="single" w:color="auto" w:sz="4" w:space="0"/>
              <w:right w:val="single" w:color="000000" w:sz="4" w:space="0"/>
            </w:tcBorders>
            <w:shd w:val="clear" w:color="auto" w:fill="BFBFBF"/>
            <w:vAlign w:val="center"/>
          </w:tcPr>
          <w:p w14:paraId="2F3A82F5">
            <w:pPr>
              <w:jc w:val="center"/>
              <w:rPr>
                <w:rFonts w:eastAsia="黑体"/>
                <w:sz w:val="22"/>
                <w:szCs w:val="22"/>
              </w:rPr>
            </w:pPr>
          </w:p>
        </w:tc>
        <w:tc>
          <w:tcPr>
            <w:tcW w:w="656" w:type="dxa"/>
            <w:vMerge w:val="continue"/>
            <w:tcBorders>
              <w:top w:val="single" w:color="auto" w:sz="4" w:space="0"/>
              <w:left w:val="single" w:color="000000" w:sz="4" w:space="0"/>
              <w:bottom w:val="single" w:color="auto" w:sz="4" w:space="0"/>
              <w:right w:val="single" w:color="000000" w:sz="4" w:space="0"/>
            </w:tcBorders>
            <w:shd w:val="clear" w:color="auto" w:fill="BFBFBF"/>
            <w:vAlign w:val="center"/>
          </w:tcPr>
          <w:p w14:paraId="0C887426">
            <w:pPr>
              <w:jc w:val="center"/>
              <w:rPr>
                <w:rFonts w:eastAsia="黑体"/>
                <w:sz w:val="22"/>
                <w:szCs w:val="22"/>
              </w:rPr>
            </w:pPr>
          </w:p>
        </w:tc>
        <w:tc>
          <w:tcPr>
            <w:tcW w:w="602" w:type="dxa"/>
            <w:vMerge w:val="continue"/>
            <w:tcBorders>
              <w:top w:val="single" w:color="auto" w:sz="4" w:space="0"/>
              <w:left w:val="single" w:color="000000" w:sz="4" w:space="0"/>
              <w:bottom w:val="single" w:color="auto" w:sz="4" w:space="0"/>
              <w:right w:val="single" w:color="000000" w:sz="4" w:space="0"/>
            </w:tcBorders>
            <w:shd w:val="clear" w:color="auto" w:fill="BFBFBF"/>
            <w:vAlign w:val="center"/>
          </w:tcPr>
          <w:p w14:paraId="5116FF08">
            <w:pPr>
              <w:jc w:val="center"/>
              <w:rPr>
                <w:rFonts w:eastAsia="黑体"/>
                <w:sz w:val="18"/>
                <w:szCs w:val="18"/>
              </w:rPr>
            </w:pPr>
          </w:p>
        </w:tc>
        <w:tc>
          <w:tcPr>
            <w:tcW w:w="1144" w:type="dxa"/>
            <w:vMerge w:val="continue"/>
            <w:tcBorders>
              <w:top w:val="single" w:color="auto" w:sz="4" w:space="0"/>
              <w:left w:val="single" w:color="000000" w:sz="4" w:space="0"/>
              <w:bottom w:val="single" w:color="auto" w:sz="4" w:space="0"/>
              <w:right w:val="single" w:color="000000" w:sz="4" w:space="0"/>
            </w:tcBorders>
            <w:shd w:val="clear" w:color="auto" w:fill="BFBFBF"/>
            <w:vAlign w:val="center"/>
          </w:tcPr>
          <w:p w14:paraId="68120B82">
            <w:pPr>
              <w:jc w:val="center"/>
              <w:rPr>
                <w:rFonts w:eastAsia="黑体"/>
                <w:sz w:val="18"/>
                <w:szCs w:val="18"/>
              </w:rPr>
            </w:pPr>
          </w:p>
        </w:tc>
        <w:tc>
          <w:tcPr>
            <w:tcW w:w="4513" w:type="dxa"/>
            <w:gridSpan w:val="3"/>
            <w:vMerge w:val="continue"/>
            <w:tcBorders>
              <w:top w:val="single" w:color="auto" w:sz="4" w:space="0"/>
              <w:left w:val="single" w:color="000000" w:sz="4" w:space="0"/>
              <w:bottom w:val="single" w:color="auto" w:sz="4" w:space="0"/>
              <w:right w:val="single" w:color="000000" w:sz="4" w:space="0"/>
            </w:tcBorders>
            <w:shd w:val="clear" w:color="auto" w:fill="BFBFBF"/>
            <w:vAlign w:val="center"/>
          </w:tcPr>
          <w:p w14:paraId="1C361AA9">
            <w:pPr>
              <w:jc w:val="center"/>
              <w:rPr>
                <w:rFonts w:eastAsia="黑体"/>
                <w:sz w:val="18"/>
                <w:szCs w:val="18"/>
              </w:rPr>
            </w:pPr>
          </w:p>
        </w:tc>
        <w:tc>
          <w:tcPr>
            <w:tcW w:w="4995" w:type="dxa"/>
            <w:gridSpan w:val="3"/>
            <w:vMerge w:val="continue"/>
            <w:tcBorders>
              <w:top w:val="single" w:color="auto" w:sz="4" w:space="0"/>
              <w:left w:val="single" w:color="000000" w:sz="4" w:space="0"/>
              <w:bottom w:val="single" w:color="auto" w:sz="4" w:space="0"/>
              <w:right w:val="single" w:color="000000" w:sz="4" w:space="0"/>
            </w:tcBorders>
            <w:shd w:val="clear" w:color="auto" w:fill="BFBFBF"/>
            <w:noWrap/>
            <w:vAlign w:val="center"/>
          </w:tcPr>
          <w:p w14:paraId="2560E624">
            <w:pPr>
              <w:jc w:val="center"/>
              <w:rPr>
                <w:rFonts w:eastAsia="黑体"/>
                <w:sz w:val="18"/>
                <w:szCs w:val="18"/>
              </w:rPr>
            </w:pPr>
          </w:p>
        </w:tc>
        <w:tc>
          <w:tcPr>
            <w:tcW w:w="1519" w:type="dxa"/>
            <w:vMerge w:val="continue"/>
            <w:tcBorders>
              <w:top w:val="single" w:color="auto" w:sz="4" w:space="0"/>
              <w:left w:val="single" w:color="000000" w:sz="4" w:space="0"/>
              <w:bottom w:val="single" w:color="auto" w:sz="4" w:space="0"/>
              <w:right w:val="single" w:color="000000" w:sz="4" w:space="0"/>
            </w:tcBorders>
            <w:shd w:val="clear" w:color="auto" w:fill="BFBFBF"/>
            <w:vAlign w:val="center"/>
          </w:tcPr>
          <w:p w14:paraId="19440AB7">
            <w:pPr>
              <w:jc w:val="center"/>
              <w:rPr>
                <w:rFonts w:eastAsia="黑体"/>
                <w:sz w:val="18"/>
                <w:szCs w:val="18"/>
              </w:rPr>
            </w:pPr>
          </w:p>
        </w:tc>
        <w:tc>
          <w:tcPr>
            <w:tcW w:w="1547" w:type="dxa"/>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7B23B4E4">
            <w:pPr>
              <w:jc w:val="center"/>
              <w:textAlignment w:val="center"/>
              <w:rPr>
                <w:rFonts w:eastAsia="黑体"/>
                <w:sz w:val="18"/>
                <w:szCs w:val="18"/>
              </w:rPr>
            </w:pPr>
            <w:r>
              <w:rPr>
                <w:rFonts w:eastAsia="黑体"/>
                <w:sz w:val="18"/>
                <w:szCs w:val="18"/>
                <w:lang w:bidi="ar"/>
              </w:rPr>
              <w:t>污染物种类</w:t>
            </w:r>
          </w:p>
        </w:tc>
        <w:tc>
          <w:tcPr>
            <w:tcW w:w="1567" w:type="dxa"/>
            <w:gridSpan w:val="2"/>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6785BC29">
            <w:pPr>
              <w:jc w:val="center"/>
              <w:textAlignment w:val="center"/>
              <w:rPr>
                <w:rFonts w:eastAsia="黑体"/>
                <w:sz w:val="18"/>
                <w:szCs w:val="18"/>
                <w:lang w:bidi="ar"/>
              </w:rPr>
            </w:pPr>
            <w:r>
              <w:rPr>
                <w:rFonts w:eastAsia="黑体"/>
                <w:sz w:val="18"/>
                <w:szCs w:val="18"/>
                <w:lang w:bidi="ar"/>
              </w:rPr>
              <w:t>排放浓度</w:t>
            </w:r>
          </w:p>
          <w:p w14:paraId="5F46DB6B">
            <w:pPr>
              <w:jc w:val="center"/>
              <w:textAlignment w:val="center"/>
              <w:rPr>
                <w:rFonts w:eastAsia="黑体"/>
                <w:sz w:val="18"/>
                <w:szCs w:val="18"/>
              </w:rPr>
            </w:pPr>
            <w:r>
              <w:rPr>
                <w:rFonts w:eastAsia="黑体"/>
                <w:sz w:val="18"/>
                <w:szCs w:val="18"/>
                <w:lang w:bidi="ar"/>
              </w:rPr>
              <w:t>（毫克/升）</w:t>
            </w:r>
          </w:p>
        </w:tc>
        <w:tc>
          <w:tcPr>
            <w:tcW w:w="1462" w:type="dxa"/>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426FBB21">
            <w:pPr>
              <w:jc w:val="center"/>
              <w:textAlignment w:val="center"/>
              <w:rPr>
                <w:rFonts w:eastAsia="黑体"/>
                <w:sz w:val="18"/>
                <w:szCs w:val="18"/>
              </w:rPr>
            </w:pPr>
            <w:r>
              <w:rPr>
                <w:rFonts w:eastAsia="黑体"/>
                <w:sz w:val="18"/>
                <w:szCs w:val="18"/>
                <w:lang w:bidi="ar"/>
              </w:rPr>
              <w:t>排放量（吨/年）</w:t>
            </w:r>
          </w:p>
        </w:tc>
        <w:tc>
          <w:tcPr>
            <w:tcW w:w="2728" w:type="dxa"/>
            <w:gridSpan w:val="4"/>
            <w:vMerge w:val="restart"/>
            <w:tcBorders>
              <w:top w:val="single" w:color="auto" w:sz="4" w:space="0"/>
              <w:left w:val="single" w:color="000000" w:sz="4" w:space="0"/>
              <w:bottom w:val="single" w:color="auto" w:sz="4" w:space="0"/>
              <w:right w:val="single" w:color="000000" w:sz="4" w:space="0"/>
            </w:tcBorders>
            <w:shd w:val="clear" w:color="auto" w:fill="BFBFBF"/>
            <w:vAlign w:val="center"/>
          </w:tcPr>
          <w:p w14:paraId="4FF7C740">
            <w:pPr>
              <w:jc w:val="center"/>
              <w:textAlignment w:val="center"/>
              <w:rPr>
                <w:rFonts w:eastAsia="黑体"/>
                <w:sz w:val="18"/>
                <w:szCs w:val="18"/>
              </w:rPr>
            </w:pPr>
            <w:r>
              <w:rPr>
                <w:rFonts w:eastAsia="黑体"/>
                <w:sz w:val="18"/>
                <w:szCs w:val="18"/>
                <w:lang w:bidi="ar"/>
              </w:rPr>
              <w:t>排放标准名称</w:t>
            </w:r>
          </w:p>
        </w:tc>
      </w:tr>
      <w:tr w14:paraId="12461E7A">
        <w:tblPrEx>
          <w:tblCellMar>
            <w:top w:w="0" w:type="dxa"/>
            <w:left w:w="108" w:type="dxa"/>
            <w:bottom w:w="0" w:type="dxa"/>
            <w:right w:w="108" w:type="dxa"/>
          </w:tblCellMar>
        </w:tblPrEx>
        <w:trPr>
          <w:trHeight w:val="473" w:hRule="atLeast"/>
          <w:jc w:val="center"/>
        </w:trPr>
        <w:tc>
          <w:tcPr>
            <w:tcW w:w="888" w:type="dxa"/>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29F127C1">
            <w:pPr>
              <w:jc w:val="center"/>
              <w:rPr>
                <w:rFonts w:eastAsia="黑体"/>
                <w:sz w:val="22"/>
                <w:szCs w:val="22"/>
              </w:rPr>
            </w:pPr>
          </w:p>
        </w:tc>
        <w:tc>
          <w:tcPr>
            <w:tcW w:w="656" w:type="dxa"/>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5924E9C1">
            <w:pPr>
              <w:jc w:val="center"/>
              <w:rPr>
                <w:rFonts w:eastAsia="黑体"/>
                <w:sz w:val="22"/>
                <w:szCs w:val="22"/>
              </w:rPr>
            </w:pPr>
          </w:p>
        </w:tc>
        <w:tc>
          <w:tcPr>
            <w:tcW w:w="602" w:type="dxa"/>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75876DAA">
            <w:pPr>
              <w:jc w:val="center"/>
              <w:rPr>
                <w:rFonts w:eastAsia="黑体"/>
                <w:sz w:val="18"/>
                <w:szCs w:val="18"/>
              </w:rPr>
            </w:pPr>
          </w:p>
        </w:tc>
        <w:tc>
          <w:tcPr>
            <w:tcW w:w="1144" w:type="dxa"/>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3736CD8F">
            <w:pPr>
              <w:jc w:val="center"/>
              <w:rPr>
                <w:rFonts w:eastAsia="黑体"/>
                <w:sz w:val="18"/>
                <w:szCs w:val="18"/>
              </w:rPr>
            </w:pPr>
          </w:p>
        </w:tc>
        <w:tc>
          <w:tcPr>
            <w:tcW w:w="4513" w:type="dxa"/>
            <w:gridSpan w:val="3"/>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0CDC0190">
            <w:pPr>
              <w:jc w:val="center"/>
              <w:rPr>
                <w:rFonts w:eastAsia="黑体"/>
                <w:sz w:val="18"/>
                <w:szCs w:val="18"/>
              </w:rPr>
            </w:pPr>
          </w:p>
        </w:tc>
        <w:tc>
          <w:tcPr>
            <w:tcW w:w="1413" w:type="dxa"/>
            <w:tcBorders>
              <w:top w:val="single" w:color="auto" w:sz="4" w:space="0"/>
              <w:left w:val="single" w:color="000000" w:sz="4" w:space="0"/>
              <w:bottom w:val="single" w:color="000000" w:sz="4" w:space="0"/>
              <w:right w:val="single" w:color="000000" w:sz="4" w:space="0"/>
            </w:tcBorders>
            <w:shd w:val="clear" w:color="auto" w:fill="BFBFBF"/>
            <w:vAlign w:val="center"/>
          </w:tcPr>
          <w:p w14:paraId="5099BF57">
            <w:pPr>
              <w:jc w:val="center"/>
              <w:textAlignment w:val="center"/>
              <w:rPr>
                <w:rFonts w:eastAsia="黑体"/>
                <w:sz w:val="18"/>
                <w:szCs w:val="18"/>
              </w:rPr>
            </w:pPr>
            <w:r>
              <w:rPr>
                <w:rFonts w:eastAsia="黑体"/>
                <w:sz w:val="18"/>
                <w:szCs w:val="18"/>
                <w:lang w:bidi="ar"/>
              </w:rPr>
              <w:t>序号（编号）</w:t>
            </w:r>
          </w:p>
        </w:tc>
        <w:tc>
          <w:tcPr>
            <w:tcW w:w="1746" w:type="dxa"/>
            <w:tcBorders>
              <w:top w:val="single" w:color="auto" w:sz="4" w:space="0"/>
              <w:left w:val="single" w:color="000000" w:sz="4" w:space="0"/>
              <w:bottom w:val="single" w:color="000000" w:sz="4" w:space="0"/>
              <w:right w:val="single" w:color="000000" w:sz="4" w:space="0"/>
            </w:tcBorders>
            <w:shd w:val="clear" w:color="auto" w:fill="BFBFBF"/>
            <w:vAlign w:val="center"/>
          </w:tcPr>
          <w:p w14:paraId="5C18012D">
            <w:pPr>
              <w:jc w:val="center"/>
              <w:textAlignment w:val="center"/>
              <w:rPr>
                <w:rFonts w:eastAsia="黑体"/>
                <w:sz w:val="18"/>
                <w:szCs w:val="18"/>
              </w:rPr>
            </w:pPr>
            <w:r>
              <w:rPr>
                <w:rFonts w:eastAsia="黑体"/>
                <w:sz w:val="18"/>
                <w:szCs w:val="18"/>
                <w:lang w:bidi="ar"/>
              </w:rPr>
              <w:t>名称</w:t>
            </w:r>
          </w:p>
        </w:tc>
        <w:tc>
          <w:tcPr>
            <w:tcW w:w="1836" w:type="dxa"/>
            <w:tcBorders>
              <w:top w:val="single" w:color="auto" w:sz="4" w:space="0"/>
              <w:left w:val="single" w:color="000000" w:sz="4" w:space="0"/>
              <w:bottom w:val="single" w:color="000000" w:sz="4" w:space="0"/>
              <w:right w:val="single" w:color="000000" w:sz="4" w:space="0"/>
            </w:tcBorders>
            <w:shd w:val="clear" w:color="auto" w:fill="BFBFBF"/>
            <w:vAlign w:val="center"/>
          </w:tcPr>
          <w:p w14:paraId="030C22B5">
            <w:pPr>
              <w:jc w:val="center"/>
              <w:textAlignment w:val="center"/>
              <w:rPr>
                <w:rFonts w:eastAsia="黑体"/>
                <w:sz w:val="18"/>
                <w:szCs w:val="18"/>
              </w:rPr>
            </w:pPr>
            <w:r>
              <w:rPr>
                <w:rFonts w:eastAsia="黑体"/>
                <w:sz w:val="18"/>
                <w:szCs w:val="18"/>
                <w:lang w:bidi="ar"/>
              </w:rPr>
              <w:t>污染治理设施处理水量(吨/小时）</w:t>
            </w:r>
          </w:p>
        </w:tc>
        <w:tc>
          <w:tcPr>
            <w:tcW w:w="1519" w:type="dxa"/>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51526E73">
            <w:pPr>
              <w:jc w:val="center"/>
              <w:rPr>
                <w:rFonts w:eastAsia="黑体"/>
                <w:sz w:val="18"/>
                <w:szCs w:val="18"/>
              </w:rPr>
            </w:pPr>
          </w:p>
        </w:tc>
        <w:tc>
          <w:tcPr>
            <w:tcW w:w="1547" w:type="dxa"/>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516A3681">
            <w:pPr>
              <w:jc w:val="center"/>
              <w:rPr>
                <w:rFonts w:eastAsia="黑体"/>
                <w:sz w:val="18"/>
                <w:szCs w:val="18"/>
              </w:rPr>
            </w:pPr>
          </w:p>
        </w:tc>
        <w:tc>
          <w:tcPr>
            <w:tcW w:w="1567" w:type="dxa"/>
            <w:gridSpan w:val="2"/>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2DB1620C">
            <w:pPr>
              <w:jc w:val="center"/>
              <w:rPr>
                <w:rFonts w:eastAsia="黑体"/>
                <w:sz w:val="18"/>
                <w:szCs w:val="18"/>
              </w:rPr>
            </w:pPr>
          </w:p>
        </w:tc>
        <w:tc>
          <w:tcPr>
            <w:tcW w:w="1462" w:type="dxa"/>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58DC9C60">
            <w:pPr>
              <w:jc w:val="center"/>
              <w:rPr>
                <w:rFonts w:eastAsia="黑体"/>
                <w:sz w:val="18"/>
                <w:szCs w:val="18"/>
              </w:rPr>
            </w:pPr>
          </w:p>
        </w:tc>
        <w:tc>
          <w:tcPr>
            <w:tcW w:w="2728" w:type="dxa"/>
            <w:gridSpan w:val="4"/>
            <w:vMerge w:val="continue"/>
            <w:tcBorders>
              <w:top w:val="single" w:color="auto" w:sz="4" w:space="0"/>
              <w:left w:val="single" w:color="000000" w:sz="4" w:space="0"/>
              <w:bottom w:val="single" w:color="000000" w:sz="4" w:space="0"/>
              <w:right w:val="single" w:color="000000" w:sz="4" w:space="0"/>
            </w:tcBorders>
            <w:shd w:val="clear" w:color="auto" w:fill="BFBFBF"/>
            <w:vAlign w:val="center"/>
          </w:tcPr>
          <w:p w14:paraId="5B650E54">
            <w:pPr>
              <w:jc w:val="center"/>
              <w:rPr>
                <w:rFonts w:eastAsia="黑体"/>
                <w:sz w:val="18"/>
                <w:szCs w:val="18"/>
              </w:rPr>
            </w:pPr>
          </w:p>
        </w:tc>
      </w:tr>
      <w:tr w14:paraId="16D39B65">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8751E2F">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C0C9837">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01FD56AC">
            <w:pPr>
              <w:rPr>
                <w:rFonts w:eastAsia="黑体"/>
                <w:sz w:val="18"/>
                <w:szCs w:val="18"/>
              </w:rPr>
            </w:pPr>
          </w:p>
        </w:tc>
        <w:tc>
          <w:tcPr>
            <w:tcW w:w="1144" w:type="dxa"/>
            <w:tcBorders>
              <w:top w:val="single" w:color="000000" w:sz="4" w:space="0"/>
              <w:left w:val="nil"/>
              <w:bottom w:val="single" w:color="000000" w:sz="4" w:space="0"/>
              <w:right w:val="single" w:color="000000" w:sz="4" w:space="0"/>
            </w:tcBorders>
            <w:vAlign w:val="center"/>
          </w:tcPr>
          <w:p w14:paraId="30192A07">
            <w:pPr>
              <w:rPr>
                <w:rFonts w:eastAsia="黑体"/>
                <w:sz w:val="18"/>
                <w:szCs w:val="18"/>
              </w:rPr>
            </w:pPr>
          </w:p>
        </w:tc>
        <w:tc>
          <w:tcPr>
            <w:tcW w:w="4513" w:type="dxa"/>
            <w:gridSpan w:val="3"/>
            <w:tcBorders>
              <w:top w:val="single" w:color="000000" w:sz="4" w:space="0"/>
              <w:left w:val="single" w:color="000000" w:sz="4" w:space="0"/>
              <w:bottom w:val="single" w:color="000000" w:sz="4" w:space="0"/>
              <w:right w:val="single" w:color="000000" w:sz="4" w:space="0"/>
            </w:tcBorders>
            <w:vAlign w:val="center"/>
          </w:tcPr>
          <w:p w14:paraId="724CA43C">
            <w:pPr>
              <w:rPr>
                <w:rFonts w:eastAsia="黑体"/>
                <w:sz w:val="18"/>
                <w:szCs w:val="18"/>
              </w:rPr>
            </w:pPr>
          </w:p>
        </w:tc>
        <w:tc>
          <w:tcPr>
            <w:tcW w:w="1413" w:type="dxa"/>
            <w:tcBorders>
              <w:top w:val="single" w:color="000000" w:sz="4" w:space="0"/>
              <w:left w:val="single" w:color="000000" w:sz="4" w:space="0"/>
              <w:bottom w:val="single" w:color="000000" w:sz="4" w:space="0"/>
              <w:right w:val="single" w:color="000000" w:sz="4" w:space="0"/>
            </w:tcBorders>
            <w:vAlign w:val="center"/>
          </w:tcPr>
          <w:p w14:paraId="2BC79F47">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vAlign w:val="center"/>
          </w:tcPr>
          <w:p w14:paraId="1854A302">
            <w:pPr>
              <w:rPr>
                <w:rFonts w:eastAsia="黑体"/>
                <w:sz w:val="18"/>
                <w:szCs w:val="18"/>
              </w:rPr>
            </w:pPr>
          </w:p>
        </w:tc>
        <w:tc>
          <w:tcPr>
            <w:tcW w:w="1836" w:type="dxa"/>
            <w:tcBorders>
              <w:top w:val="single" w:color="000000" w:sz="4" w:space="0"/>
              <w:left w:val="single" w:color="000000" w:sz="4" w:space="0"/>
              <w:bottom w:val="single" w:color="000000" w:sz="4" w:space="0"/>
              <w:right w:val="single" w:color="000000" w:sz="4" w:space="0"/>
            </w:tcBorders>
            <w:vAlign w:val="center"/>
          </w:tcPr>
          <w:p w14:paraId="42D8BFCF">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vAlign w:val="center"/>
          </w:tcPr>
          <w:p w14:paraId="37E3868E">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7A2B6B42">
            <w:pP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2A232BFE">
            <w:pPr>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66C9CD4C">
            <w:pPr>
              <w:rPr>
                <w:rFonts w:eastAsia="黑体"/>
                <w:sz w:val="18"/>
                <w:szCs w:val="18"/>
              </w:rPr>
            </w:pPr>
          </w:p>
        </w:tc>
        <w:tc>
          <w:tcPr>
            <w:tcW w:w="2728" w:type="dxa"/>
            <w:gridSpan w:val="4"/>
            <w:tcBorders>
              <w:top w:val="single" w:color="000000" w:sz="4" w:space="0"/>
              <w:left w:val="single" w:color="000000" w:sz="4" w:space="0"/>
              <w:bottom w:val="single" w:color="000000" w:sz="4" w:space="0"/>
              <w:right w:val="single" w:color="000000" w:sz="4" w:space="0"/>
            </w:tcBorders>
            <w:vAlign w:val="center"/>
          </w:tcPr>
          <w:p w14:paraId="65A9D40F">
            <w:pPr>
              <w:jc w:val="center"/>
            </w:pPr>
          </w:p>
        </w:tc>
      </w:tr>
      <w:tr w14:paraId="7E81C15D">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4780F26">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741B485">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0851BC83">
            <w:pPr>
              <w:rPr>
                <w:rFonts w:eastAsia="黑体"/>
                <w:sz w:val="18"/>
                <w:szCs w:val="18"/>
              </w:rPr>
            </w:pPr>
          </w:p>
        </w:tc>
        <w:tc>
          <w:tcPr>
            <w:tcW w:w="1144" w:type="dxa"/>
            <w:tcBorders>
              <w:top w:val="single" w:color="000000" w:sz="4" w:space="0"/>
              <w:left w:val="nil"/>
              <w:bottom w:val="single" w:color="000000" w:sz="4" w:space="0"/>
              <w:right w:val="single" w:color="000000" w:sz="4" w:space="0"/>
            </w:tcBorders>
            <w:vAlign w:val="center"/>
          </w:tcPr>
          <w:p w14:paraId="5BDA96B6">
            <w:pPr>
              <w:rPr>
                <w:rFonts w:eastAsia="黑体"/>
                <w:sz w:val="18"/>
                <w:szCs w:val="18"/>
              </w:rPr>
            </w:pPr>
          </w:p>
        </w:tc>
        <w:tc>
          <w:tcPr>
            <w:tcW w:w="4513" w:type="dxa"/>
            <w:gridSpan w:val="3"/>
            <w:tcBorders>
              <w:top w:val="single" w:color="000000" w:sz="4" w:space="0"/>
              <w:left w:val="single" w:color="000000" w:sz="4" w:space="0"/>
              <w:bottom w:val="single" w:color="000000" w:sz="4" w:space="0"/>
              <w:right w:val="single" w:color="000000" w:sz="4" w:space="0"/>
            </w:tcBorders>
            <w:vAlign w:val="center"/>
          </w:tcPr>
          <w:p w14:paraId="285E0045">
            <w:pPr>
              <w:rPr>
                <w:rFonts w:eastAsia="黑体"/>
                <w:sz w:val="18"/>
                <w:szCs w:val="18"/>
              </w:rPr>
            </w:pPr>
          </w:p>
        </w:tc>
        <w:tc>
          <w:tcPr>
            <w:tcW w:w="1413" w:type="dxa"/>
            <w:tcBorders>
              <w:top w:val="single" w:color="000000" w:sz="4" w:space="0"/>
              <w:left w:val="single" w:color="000000" w:sz="4" w:space="0"/>
              <w:bottom w:val="single" w:color="000000" w:sz="4" w:space="0"/>
              <w:right w:val="single" w:color="000000" w:sz="4" w:space="0"/>
            </w:tcBorders>
            <w:vAlign w:val="center"/>
          </w:tcPr>
          <w:p w14:paraId="4C339BF1">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vAlign w:val="center"/>
          </w:tcPr>
          <w:p w14:paraId="04DF5FC8">
            <w:pPr>
              <w:rPr>
                <w:rFonts w:eastAsia="黑体"/>
                <w:sz w:val="18"/>
                <w:szCs w:val="18"/>
              </w:rPr>
            </w:pPr>
          </w:p>
        </w:tc>
        <w:tc>
          <w:tcPr>
            <w:tcW w:w="1836" w:type="dxa"/>
            <w:tcBorders>
              <w:top w:val="single" w:color="000000" w:sz="4" w:space="0"/>
              <w:left w:val="single" w:color="000000" w:sz="4" w:space="0"/>
              <w:bottom w:val="single" w:color="000000" w:sz="4" w:space="0"/>
              <w:right w:val="single" w:color="000000" w:sz="4" w:space="0"/>
            </w:tcBorders>
            <w:vAlign w:val="center"/>
          </w:tcPr>
          <w:p w14:paraId="49EB2696">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vAlign w:val="center"/>
          </w:tcPr>
          <w:p w14:paraId="06F5E335">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7FFE4C79">
            <w:pP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3545D91D">
            <w:pPr>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2EB1588F">
            <w:pPr>
              <w:rPr>
                <w:rFonts w:eastAsia="黑体"/>
                <w:sz w:val="18"/>
                <w:szCs w:val="18"/>
              </w:rPr>
            </w:pPr>
          </w:p>
        </w:tc>
        <w:tc>
          <w:tcPr>
            <w:tcW w:w="2728" w:type="dxa"/>
            <w:gridSpan w:val="4"/>
            <w:tcBorders>
              <w:top w:val="single" w:color="000000" w:sz="4" w:space="0"/>
              <w:left w:val="single" w:color="000000" w:sz="4" w:space="0"/>
              <w:bottom w:val="single" w:color="000000" w:sz="4" w:space="0"/>
              <w:right w:val="single" w:color="000000" w:sz="4" w:space="0"/>
            </w:tcBorders>
            <w:vAlign w:val="center"/>
          </w:tcPr>
          <w:p w14:paraId="74FA83CB">
            <w:pPr>
              <w:jc w:val="center"/>
            </w:pPr>
          </w:p>
        </w:tc>
      </w:tr>
      <w:tr w14:paraId="50039A8B">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9BE44D0">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6469F4A">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72F3898C">
            <w:pPr>
              <w:rPr>
                <w:rFonts w:eastAsia="黑体"/>
                <w:sz w:val="18"/>
                <w:szCs w:val="18"/>
              </w:rPr>
            </w:pPr>
          </w:p>
        </w:tc>
        <w:tc>
          <w:tcPr>
            <w:tcW w:w="1144" w:type="dxa"/>
            <w:tcBorders>
              <w:top w:val="single" w:color="000000" w:sz="4" w:space="0"/>
              <w:left w:val="nil"/>
              <w:bottom w:val="single" w:color="000000" w:sz="4" w:space="0"/>
              <w:right w:val="single" w:color="000000" w:sz="4" w:space="0"/>
            </w:tcBorders>
            <w:vAlign w:val="center"/>
          </w:tcPr>
          <w:p w14:paraId="2F489E35">
            <w:pPr>
              <w:rPr>
                <w:rFonts w:eastAsia="黑体"/>
                <w:sz w:val="18"/>
                <w:szCs w:val="18"/>
              </w:rPr>
            </w:pPr>
          </w:p>
        </w:tc>
        <w:tc>
          <w:tcPr>
            <w:tcW w:w="4513" w:type="dxa"/>
            <w:gridSpan w:val="3"/>
            <w:tcBorders>
              <w:top w:val="single" w:color="000000" w:sz="4" w:space="0"/>
              <w:left w:val="single" w:color="000000" w:sz="4" w:space="0"/>
              <w:bottom w:val="single" w:color="000000" w:sz="4" w:space="0"/>
              <w:right w:val="single" w:color="000000" w:sz="4" w:space="0"/>
            </w:tcBorders>
            <w:vAlign w:val="center"/>
          </w:tcPr>
          <w:p w14:paraId="46CE03CD">
            <w:pPr>
              <w:rPr>
                <w:rFonts w:eastAsia="黑体"/>
                <w:sz w:val="18"/>
                <w:szCs w:val="18"/>
              </w:rPr>
            </w:pPr>
          </w:p>
        </w:tc>
        <w:tc>
          <w:tcPr>
            <w:tcW w:w="1413" w:type="dxa"/>
            <w:tcBorders>
              <w:top w:val="single" w:color="000000" w:sz="4" w:space="0"/>
              <w:left w:val="single" w:color="000000" w:sz="4" w:space="0"/>
              <w:bottom w:val="single" w:color="000000" w:sz="4" w:space="0"/>
              <w:right w:val="single" w:color="000000" w:sz="4" w:space="0"/>
            </w:tcBorders>
            <w:vAlign w:val="center"/>
          </w:tcPr>
          <w:p w14:paraId="329FD096">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vAlign w:val="center"/>
          </w:tcPr>
          <w:p w14:paraId="665B7452">
            <w:pPr>
              <w:rPr>
                <w:rFonts w:eastAsia="黑体"/>
                <w:sz w:val="18"/>
                <w:szCs w:val="18"/>
              </w:rPr>
            </w:pPr>
          </w:p>
        </w:tc>
        <w:tc>
          <w:tcPr>
            <w:tcW w:w="1836" w:type="dxa"/>
            <w:tcBorders>
              <w:top w:val="single" w:color="000000" w:sz="4" w:space="0"/>
              <w:left w:val="single" w:color="000000" w:sz="4" w:space="0"/>
              <w:bottom w:val="single" w:color="000000" w:sz="4" w:space="0"/>
              <w:right w:val="single" w:color="000000" w:sz="4" w:space="0"/>
            </w:tcBorders>
            <w:vAlign w:val="center"/>
          </w:tcPr>
          <w:p w14:paraId="674E8A2A">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vAlign w:val="center"/>
          </w:tcPr>
          <w:p w14:paraId="47F3E62F">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13786B38">
            <w:pP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57ABF21D">
            <w:pPr>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10DA590A">
            <w:pPr>
              <w:rPr>
                <w:rFonts w:eastAsia="黑体"/>
                <w:sz w:val="18"/>
                <w:szCs w:val="18"/>
              </w:rPr>
            </w:pPr>
          </w:p>
        </w:tc>
        <w:tc>
          <w:tcPr>
            <w:tcW w:w="2728" w:type="dxa"/>
            <w:gridSpan w:val="4"/>
            <w:tcBorders>
              <w:top w:val="single" w:color="000000" w:sz="4" w:space="0"/>
              <w:left w:val="single" w:color="000000" w:sz="4" w:space="0"/>
              <w:bottom w:val="single" w:color="000000" w:sz="4" w:space="0"/>
              <w:right w:val="single" w:color="000000" w:sz="4" w:space="0"/>
            </w:tcBorders>
            <w:vAlign w:val="center"/>
          </w:tcPr>
          <w:p w14:paraId="198DE0E8">
            <w:pPr>
              <w:jc w:val="center"/>
            </w:pPr>
          </w:p>
        </w:tc>
      </w:tr>
      <w:tr w14:paraId="1DEED4D7">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C0C6802">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E01703F">
            <w:pPr>
              <w:jc w:val="center"/>
              <w:rPr>
                <w:rFonts w:eastAsia="黑体"/>
                <w:sz w:val="22"/>
                <w:szCs w:val="22"/>
              </w:rPr>
            </w:pPr>
          </w:p>
        </w:tc>
        <w:tc>
          <w:tcPr>
            <w:tcW w:w="602" w:type="dxa"/>
            <w:tcBorders>
              <w:top w:val="single" w:color="000000" w:sz="4" w:space="0"/>
              <w:left w:val="single" w:color="000000" w:sz="4" w:space="0"/>
              <w:bottom w:val="single" w:color="000000" w:sz="4" w:space="0"/>
              <w:right w:val="single" w:color="000000" w:sz="4" w:space="0"/>
            </w:tcBorders>
            <w:vAlign w:val="center"/>
          </w:tcPr>
          <w:p w14:paraId="188F175B">
            <w:pPr>
              <w:rPr>
                <w:rFonts w:eastAsia="黑体"/>
                <w:sz w:val="18"/>
                <w:szCs w:val="18"/>
              </w:rPr>
            </w:pPr>
          </w:p>
        </w:tc>
        <w:tc>
          <w:tcPr>
            <w:tcW w:w="1144" w:type="dxa"/>
            <w:tcBorders>
              <w:top w:val="single" w:color="000000" w:sz="4" w:space="0"/>
              <w:left w:val="nil"/>
              <w:bottom w:val="single" w:color="000000" w:sz="4" w:space="0"/>
              <w:right w:val="single" w:color="000000" w:sz="4" w:space="0"/>
            </w:tcBorders>
            <w:vAlign w:val="center"/>
          </w:tcPr>
          <w:p w14:paraId="0930A1C6">
            <w:pPr>
              <w:rPr>
                <w:rFonts w:eastAsia="黑体"/>
                <w:sz w:val="18"/>
                <w:szCs w:val="18"/>
              </w:rPr>
            </w:pPr>
          </w:p>
        </w:tc>
        <w:tc>
          <w:tcPr>
            <w:tcW w:w="4513" w:type="dxa"/>
            <w:gridSpan w:val="3"/>
            <w:tcBorders>
              <w:top w:val="single" w:color="000000" w:sz="4" w:space="0"/>
              <w:left w:val="single" w:color="000000" w:sz="4" w:space="0"/>
              <w:bottom w:val="single" w:color="000000" w:sz="4" w:space="0"/>
              <w:right w:val="single" w:color="000000" w:sz="4" w:space="0"/>
            </w:tcBorders>
            <w:vAlign w:val="center"/>
          </w:tcPr>
          <w:p w14:paraId="01752F50">
            <w:pPr>
              <w:rPr>
                <w:rFonts w:eastAsia="黑体"/>
                <w:sz w:val="18"/>
                <w:szCs w:val="18"/>
              </w:rPr>
            </w:pPr>
          </w:p>
        </w:tc>
        <w:tc>
          <w:tcPr>
            <w:tcW w:w="1413" w:type="dxa"/>
            <w:tcBorders>
              <w:top w:val="single" w:color="000000" w:sz="4" w:space="0"/>
              <w:left w:val="single" w:color="000000" w:sz="4" w:space="0"/>
              <w:bottom w:val="single" w:color="000000" w:sz="4" w:space="0"/>
              <w:right w:val="single" w:color="000000" w:sz="4" w:space="0"/>
            </w:tcBorders>
            <w:vAlign w:val="center"/>
          </w:tcPr>
          <w:p w14:paraId="2BBEBE00">
            <w:pPr>
              <w:rPr>
                <w:rFonts w:eastAsia="黑体"/>
                <w:sz w:val="18"/>
                <w:szCs w:val="18"/>
              </w:rPr>
            </w:pPr>
          </w:p>
        </w:tc>
        <w:tc>
          <w:tcPr>
            <w:tcW w:w="1746" w:type="dxa"/>
            <w:tcBorders>
              <w:top w:val="single" w:color="000000" w:sz="4" w:space="0"/>
              <w:left w:val="single" w:color="000000" w:sz="4" w:space="0"/>
              <w:bottom w:val="single" w:color="000000" w:sz="4" w:space="0"/>
              <w:right w:val="single" w:color="000000" w:sz="4" w:space="0"/>
            </w:tcBorders>
            <w:vAlign w:val="center"/>
          </w:tcPr>
          <w:p w14:paraId="2B216144">
            <w:pPr>
              <w:rPr>
                <w:rFonts w:eastAsia="黑体"/>
                <w:sz w:val="18"/>
                <w:szCs w:val="18"/>
              </w:rPr>
            </w:pPr>
          </w:p>
        </w:tc>
        <w:tc>
          <w:tcPr>
            <w:tcW w:w="1836" w:type="dxa"/>
            <w:tcBorders>
              <w:top w:val="single" w:color="000000" w:sz="4" w:space="0"/>
              <w:left w:val="single" w:color="000000" w:sz="4" w:space="0"/>
              <w:bottom w:val="single" w:color="000000" w:sz="4" w:space="0"/>
              <w:right w:val="single" w:color="000000" w:sz="4" w:space="0"/>
            </w:tcBorders>
            <w:vAlign w:val="center"/>
          </w:tcPr>
          <w:p w14:paraId="69902E48">
            <w:pPr>
              <w:rPr>
                <w:rFonts w:eastAsia="黑体"/>
                <w:sz w:val="18"/>
                <w:szCs w:val="18"/>
              </w:rPr>
            </w:pPr>
          </w:p>
        </w:tc>
        <w:tc>
          <w:tcPr>
            <w:tcW w:w="1519" w:type="dxa"/>
            <w:tcBorders>
              <w:top w:val="single" w:color="000000" w:sz="4" w:space="0"/>
              <w:left w:val="single" w:color="000000" w:sz="4" w:space="0"/>
              <w:bottom w:val="single" w:color="000000" w:sz="4" w:space="0"/>
              <w:right w:val="single" w:color="000000" w:sz="4" w:space="0"/>
            </w:tcBorders>
            <w:vAlign w:val="center"/>
          </w:tcPr>
          <w:p w14:paraId="0CB64FA9">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08FBDB37">
            <w:pP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0375D68B">
            <w:pPr>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1E000F63">
            <w:pPr>
              <w:rPr>
                <w:rFonts w:eastAsia="黑体"/>
                <w:sz w:val="18"/>
                <w:szCs w:val="18"/>
              </w:rPr>
            </w:pPr>
          </w:p>
        </w:tc>
        <w:tc>
          <w:tcPr>
            <w:tcW w:w="2728" w:type="dxa"/>
            <w:gridSpan w:val="4"/>
            <w:tcBorders>
              <w:top w:val="single" w:color="000000" w:sz="4" w:space="0"/>
              <w:left w:val="single" w:color="000000" w:sz="4" w:space="0"/>
              <w:bottom w:val="single" w:color="000000" w:sz="4" w:space="0"/>
              <w:right w:val="single" w:color="000000" w:sz="4" w:space="0"/>
            </w:tcBorders>
            <w:vAlign w:val="center"/>
          </w:tcPr>
          <w:p w14:paraId="6D129303">
            <w:pPr>
              <w:jc w:val="center"/>
            </w:pPr>
          </w:p>
        </w:tc>
      </w:tr>
      <w:tr w14:paraId="2F7CCA3B">
        <w:tblPrEx>
          <w:tblCellMar>
            <w:top w:w="0" w:type="dxa"/>
            <w:left w:w="108" w:type="dxa"/>
            <w:bottom w:w="0" w:type="dxa"/>
            <w:right w:w="108" w:type="dxa"/>
          </w:tblCellMar>
        </w:tblPrEx>
        <w:trPr>
          <w:trHeight w:val="300"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225BA4B">
            <w:pPr>
              <w:jc w:val="center"/>
              <w:rPr>
                <w:rFonts w:eastAsia="黑体"/>
                <w:sz w:val="22"/>
                <w:szCs w:val="22"/>
              </w:rPr>
            </w:pPr>
          </w:p>
        </w:tc>
        <w:tc>
          <w:tcPr>
            <w:tcW w:w="656"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48EB32C7">
            <w:pPr>
              <w:jc w:val="center"/>
              <w:textAlignment w:val="center"/>
              <w:rPr>
                <w:rFonts w:eastAsia="黑体"/>
                <w:sz w:val="22"/>
                <w:szCs w:val="22"/>
              </w:rPr>
            </w:pPr>
            <w:r>
              <w:rPr>
                <w:rFonts w:eastAsia="黑体"/>
                <w:sz w:val="22"/>
                <w:szCs w:val="22"/>
                <w:lang w:bidi="ar"/>
              </w:rPr>
              <w:t>总排放口（间接排放）</w:t>
            </w:r>
          </w:p>
        </w:tc>
        <w:tc>
          <w:tcPr>
            <w:tcW w:w="602" w:type="dxa"/>
            <w:vMerge w:val="restart"/>
            <w:tcBorders>
              <w:top w:val="nil"/>
              <w:left w:val="single" w:color="000000" w:sz="4" w:space="0"/>
              <w:bottom w:val="single" w:color="000000" w:sz="4" w:space="0"/>
              <w:right w:val="single" w:color="000000" w:sz="4" w:space="0"/>
            </w:tcBorders>
            <w:shd w:val="clear" w:color="auto" w:fill="BFBFBF"/>
            <w:vAlign w:val="center"/>
          </w:tcPr>
          <w:p w14:paraId="76C32CD7">
            <w:pPr>
              <w:jc w:val="center"/>
              <w:textAlignment w:val="center"/>
              <w:rPr>
                <w:rFonts w:eastAsia="黑体"/>
                <w:sz w:val="18"/>
                <w:szCs w:val="18"/>
              </w:rPr>
            </w:pPr>
            <w:r>
              <w:rPr>
                <w:rFonts w:eastAsia="黑体"/>
                <w:sz w:val="18"/>
                <w:szCs w:val="18"/>
                <w:lang w:bidi="ar"/>
              </w:rPr>
              <w:t>序号（编号）</w:t>
            </w:r>
          </w:p>
        </w:tc>
        <w:tc>
          <w:tcPr>
            <w:tcW w:w="1144"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3F826F2E">
            <w:pPr>
              <w:jc w:val="center"/>
              <w:textAlignment w:val="center"/>
              <w:rPr>
                <w:rFonts w:eastAsia="黑体"/>
                <w:sz w:val="18"/>
                <w:szCs w:val="18"/>
              </w:rPr>
            </w:pPr>
            <w:r>
              <w:rPr>
                <w:rFonts w:eastAsia="黑体"/>
                <w:sz w:val="18"/>
                <w:szCs w:val="18"/>
                <w:lang w:bidi="ar"/>
              </w:rPr>
              <w:t>排放口名称</w:t>
            </w:r>
          </w:p>
        </w:tc>
        <w:tc>
          <w:tcPr>
            <w:tcW w:w="4513" w:type="dxa"/>
            <w:gridSpan w:val="3"/>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285227F">
            <w:pPr>
              <w:jc w:val="center"/>
              <w:textAlignment w:val="center"/>
              <w:rPr>
                <w:rFonts w:eastAsia="黑体"/>
                <w:sz w:val="18"/>
                <w:szCs w:val="18"/>
              </w:rPr>
            </w:pPr>
            <w:r>
              <w:rPr>
                <w:rFonts w:eastAsia="黑体"/>
                <w:sz w:val="18"/>
                <w:szCs w:val="18"/>
                <w:lang w:bidi="ar"/>
              </w:rPr>
              <w:t>污染防治设施工艺</w:t>
            </w:r>
          </w:p>
        </w:tc>
        <w:tc>
          <w:tcPr>
            <w:tcW w:w="1413"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0F8E1113">
            <w:pPr>
              <w:jc w:val="center"/>
              <w:textAlignment w:val="center"/>
              <w:rPr>
                <w:rFonts w:eastAsia="黑体"/>
                <w:sz w:val="18"/>
                <w:szCs w:val="18"/>
              </w:rPr>
            </w:pPr>
            <w:r>
              <w:rPr>
                <w:rFonts w:eastAsia="黑体"/>
                <w:sz w:val="18"/>
                <w:szCs w:val="18"/>
                <w:lang w:bidi="ar"/>
              </w:rPr>
              <w:t>污染防治设施处理水量（吨/小时）</w:t>
            </w:r>
          </w:p>
        </w:tc>
        <w:tc>
          <w:tcPr>
            <w:tcW w:w="358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6A3C42F0">
            <w:pPr>
              <w:jc w:val="center"/>
              <w:textAlignment w:val="center"/>
              <w:rPr>
                <w:rFonts w:eastAsia="黑体"/>
                <w:sz w:val="18"/>
                <w:szCs w:val="18"/>
              </w:rPr>
            </w:pPr>
            <w:r>
              <w:rPr>
                <w:rFonts w:eastAsia="黑体"/>
                <w:sz w:val="18"/>
                <w:szCs w:val="18"/>
                <w:lang w:bidi="ar"/>
              </w:rPr>
              <w:t>受纳污水处理厂</w:t>
            </w:r>
          </w:p>
        </w:tc>
        <w:tc>
          <w:tcPr>
            <w:tcW w:w="1519"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413F5546">
            <w:pPr>
              <w:jc w:val="center"/>
              <w:textAlignment w:val="center"/>
              <w:rPr>
                <w:rFonts w:eastAsia="黑体"/>
                <w:sz w:val="18"/>
                <w:szCs w:val="18"/>
              </w:rPr>
            </w:pPr>
            <w:r>
              <w:rPr>
                <w:rFonts w:eastAsia="黑体"/>
                <w:sz w:val="18"/>
                <w:szCs w:val="18"/>
                <w:lang w:bidi="ar"/>
              </w:rPr>
              <w:t>受纳污水处理厂排放标准名称</w:t>
            </w:r>
          </w:p>
        </w:tc>
        <w:tc>
          <w:tcPr>
            <w:tcW w:w="7304" w:type="dxa"/>
            <w:gridSpan w:val="8"/>
            <w:tcBorders>
              <w:top w:val="single" w:color="000000" w:sz="4" w:space="0"/>
              <w:left w:val="single" w:color="000000" w:sz="4" w:space="0"/>
              <w:bottom w:val="single" w:color="000000" w:sz="4" w:space="0"/>
              <w:right w:val="single" w:color="000000" w:sz="4" w:space="0"/>
            </w:tcBorders>
            <w:shd w:val="clear" w:color="auto" w:fill="BFBFBF"/>
            <w:vAlign w:val="center"/>
          </w:tcPr>
          <w:p w14:paraId="09514070">
            <w:pPr>
              <w:jc w:val="center"/>
              <w:textAlignment w:val="center"/>
              <w:rPr>
                <w:rFonts w:eastAsia="黑体"/>
                <w:sz w:val="18"/>
                <w:szCs w:val="18"/>
              </w:rPr>
            </w:pPr>
            <w:r>
              <w:rPr>
                <w:rFonts w:eastAsia="黑体"/>
                <w:sz w:val="18"/>
                <w:szCs w:val="18"/>
                <w:lang w:bidi="ar"/>
              </w:rPr>
              <w:t>污染物排放</w:t>
            </w:r>
          </w:p>
        </w:tc>
      </w:tr>
      <w:tr w14:paraId="1AB3E8A7">
        <w:tblPrEx>
          <w:tblCellMar>
            <w:top w:w="0" w:type="dxa"/>
            <w:left w:w="108" w:type="dxa"/>
            <w:bottom w:w="0" w:type="dxa"/>
            <w:right w:w="108" w:type="dxa"/>
          </w:tblCellMar>
        </w:tblPrEx>
        <w:trPr>
          <w:trHeight w:val="300"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39E525DB">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3E96B381">
            <w:pPr>
              <w:jc w:val="center"/>
              <w:rPr>
                <w:rFonts w:eastAsia="黑体"/>
                <w:sz w:val="22"/>
                <w:szCs w:val="22"/>
              </w:rPr>
            </w:pPr>
          </w:p>
        </w:tc>
        <w:tc>
          <w:tcPr>
            <w:tcW w:w="602" w:type="dxa"/>
            <w:vMerge w:val="continue"/>
            <w:tcBorders>
              <w:top w:val="nil"/>
              <w:left w:val="single" w:color="000000" w:sz="4" w:space="0"/>
              <w:bottom w:val="single" w:color="000000" w:sz="4" w:space="0"/>
              <w:right w:val="single" w:color="000000" w:sz="4" w:space="0"/>
            </w:tcBorders>
            <w:shd w:val="clear" w:color="auto" w:fill="BFBFBF"/>
            <w:vAlign w:val="center"/>
          </w:tcPr>
          <w:p w14:paraId="404D6231">
            <w:pPr>
              <w:jc w:val="center"/>
              <w:rPr>
                <w:rFonts w:eastAsia="黑体"/>
                <w:sz w:val="18"/>
                <w:szCs w:val="18"/>
              </w:rPr>
            </w:pPr>
          </w:p>
        </w:tc>
        <w:tc>
          <w:tcPr>
            <w:tcW w:w="1144"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CF94A5A">
            <w:pPr>
              <w:jc w:val="center"/>
              <w:rPr>
                <w:rFonts w:eastAsia="黑体"/>
                <w:sz w:val="18"/>
                <w:szCs w:val="18"/>
              </w:rPr>
            </w:pPr>
          </w:p>
        </w:tc>
        <w:tc>
          <w:tcPr>
            <w:tcW w:w="4513" w:type="dxa"/>
            <w:gridSpan w:val="3"/>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11DFFB0">
            <w:pPr>
              <w:jc w:val="center"/>
              <w:rPr>
                <w:rFonts w:eastAsia="黑体"/>
                <w:sz w:val="18"/>
                <w:szCs w:val="18"/>
              </w:rPr>
            </w:pPr>
          </w:p>
        </w:tc>
        <w:tc>
          <w:tcPr>
            <w:tcW w:w="1413"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E33FDDF">
            <w:pPr>
              <w:jc w:val="center"/>
              <w:rPr>
                <w:rFonts w:eastAsia="黑体"/>
                <w:sz w:val="18"/>
                <w:szCs w:val="18"/>
              </w:rPr>
            </w:pPr>
          </w:p>
        </w:tc>
        <w:tc>
          <w:tcPr>
            <w:tcW w:w="1746"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1ADFA243">
            <w:pPr>
              <w:jc w:val="center"/>
              <w:textAlignment w:val="center"/>
              <w:rPr>
                <w:rFonts w:eastAsia="黑体"/>
                <w:sz w:val="18"/>
                <w:szCs w:val="18"/>
              </w:rPr>
            </w:pPr>
            <w:r>
              <w:rPr>
                <w:rFonts w:eastAsia="黑体"/>
                <w:sz w:val="18"/>
                <w:szCs w:val="18"/>
                <w:lang w:bidi="ar"/>
              </w:rPr>
              <w:t>名称</w:t>
            </w:r>
          </w:p>
        </w:tc>
        <w:tc>
          <w:tcPr>
            <w:tcW w:w="1836"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7DF6340">
            <w:pPr>
              <w:jc w:val="center"/>
              <w:textAlignment w:val="center"/>
              <w:rPr>
                <w:rFonts w:eastAsia="黑体"/>
                <w:sz w:val="18"/>
                <w:szCs w:val="18"/>
              </w:rPr>
            </w:pPr>
            <w:r>
              <w:rPr>
                <w:rFonts w:eastAsia="黑体"/>
                <w:sz w:val="18"/>
                <w:szCs w:val="18"/>
                <w:lang w:bidi="ar"/>
              </w:rPr>
              <w:t>编号</w:t>
            </w:r>
          </w:p>
        </w:tc>
        <w:tc>
          <w:tcPr>
            <w:tcW w:w="1519"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EAB6477">
            <w:pPr>
              <w:jc w:val="center"/>
              <w:rPr>
                <w:rFonts w:eastAsia="黑体"/>
                <w:sz w:val="18"/>
                <w:szCs w:val="18"/>
              </w:rPr>
            </w:pPr>
          </w:p>
        </w:tc>
        <w:tc>
          <w:tcPr>
            <w:tcW w:w="1547"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430F788E">
            <w:pPr>
              <w:jc w:val="center"/>
              <w:textAlignment w:val="center"/>
              <w:rPr>
                <w:rFonts w:eastAsia="黑体"/>
                <w:sz w:val="18"/>
                <w:szCs w:val="18"/>
              </w:rPr>
            </w:pPr>
            <w:r>
              <w:rPr>
                <w:rFonts w:eastAsia="黑体"/>
                <w:sz w:val="18"/>
                <w:szCs w:val="18"/>
                <w:lang w:bidi="ar"/>
              </w:rPr>
              <w:t>污染物种类</w:t>
            </w:r>
          </w:p>
        </w:tc>
        <w:tc>
          <w:tcPr>
            <w:tcW w:w="1567" w:type="dxa"/>
            <w:gridSpan w:val="2"/>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3E1A59E1">
            <w:pPr>
              <w:jc w:val="center"/>
              <w:textAlignment w:val="center"/>
              <w:rPr>
                <w:rFonts w:eastAsia="黑体"/>
                <w:sz w:val="18"/>
                <w:szCs w:val="18"/>
                <w:lang w:bidi="ar"/>
              </w:rPr>
            </w:pPr>
            <w:r>
              <w:rPr>
                <w:rFonts w:eastAsia="黑体"/>
                <w:sz w:val="18"/>
                <w:szCs w:val="18"/>
                <w:lang w:bidi="ar"/>
              </w:rPr>
              <w:t>排放浓度</w:t>
            </w:r>
          </w:p>
          <w:p w14:paraId="74492E68">
            <w:pPr>
              <w:jc w:val="center"/>
              <w:textAlignment w:val="center"/>
              <w:rPr>
                <w:rFonts w:eastAsia="黑体"/>
                <w:sz w:val="18"/>
                <w:szCs w:val="18"/>
              </w:rPr>
            </w:pPr>
            <w:r>
              <w:rPr>
                <w:rFonts w:eastAsia="黑体"/>
                <w:sz w:val="18"/>
                <w:szCs w:val="18"/>
                <w:lang w:bidi="ar"/>
              </w:rPr>
              <w:t>（毫克/升）</w:t>
            </w:r>
          </w:p>
        </w:tc>
        <w:tc>
          <w:tcPr>
            <w:tcW w:w="1462"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154BC68">
            <w:pPr>
              <w:jc w:val="center"/>
              <w:textAlignment w:val="center"/>
              <w:rPr>
                <w:rFonts w:eastAsia="黑体"/>
                <w:sz w:val="18"/>
                <w:szCs w:val="18"/>
              </w:rPr>
            </w:pPr>
            <w:r>
              <w:rPr>
                <w:rFonts w:eastAsia="黑体"/>
                <w:sz w:val="18"/>
                <w:szCs w:val="18"/>
                <w:lang w:bidi="ar"/>
              </w:rPr>
              <w:t>排放量（吨/年）</w:t>
            </w:r>
          </w:p>
        </w:tc>
        <w:tc>
          <w:tcPr>
            <w:tcW w:w="2728" w:type="dxa"/>
            <w:gridSpan w:val="4"/>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2BE4DBD7">
            <w:pPr>
              <w:jc w:val="center"/>
              <w:textAlignment w:val="center"/>
              <w:rPr>
                <w:rFonts w:eastAsia="黑体"/>
                <w:sz w:val="18"/>
                <w:szCs w:val="18"/>
              </w:rPr>
            </w:pPr>
            <w:r>
              <w:rPr>
                <w:rFonts w:eastAsia="黑体"/>
                <w:sz w:val="18"/>
                <w:szCs w:val="18"/>
                <w:lang w:bidi="ar"/>
              </w:rPr>
              <w:t>排放标准名称</w:t>
            </w:r>
          </w:p>
        </w:tc>
      </w:tr>
      <w:tr w14:paraId="656389CC">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12469BA">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435DFA2">
            <w:pPr>
              <w:jc w:val="center"/>
              <w:rPr>
                <w:rFonts w:eastAsia="黑体"/>
                <w:sz w:val="22"/>
                <w:szCs w:val="22"/>
              </w:rPr>
            </w:pPr>
          </w:p>
        </w:tc>
        <w:tc>
          <w:tcPr>
            <w:tcW w:w="602" w:type="dxa"/>
            <w:vMerge w:val="continue"/>
            <w:tcBorders>
              <w:top w:val="nil"/>
              <w:left w:val="single" w:color="000000" w:sz="4" w:space="0"/>
              <w:bottom w:val="single" w:color="000000" w:sz="4" w:space="0"/>
              <w:right w:val="single" w:color="000000" w:sz="4" w:space="0"/>
            </w:tcBorders>
            <w:shd w:val="clear" w:color="auto" w:fill="BFBFBF"/>
            <w:vAlign w:val="center"/>
          </w:tcPr>
          <w:p w14:paraId="5ABA2376">
            <w:pPr>
              <w:jc w:val="center"/>
              <w:rPr>
                <w:rFonts w:eastAsia="黑体"/>
                <w:sz w:val="18"/>
                <w:szCs w:val="18"/>
              </w:rPr>
            </w:pPr>
          </w:p>
        </w:tc>
        <w:tc>
          <w:tcPr>
            <w:tcW w:w="1144"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28FDC43">
            <w:pPr>
              <w:jc w:val="center"/>
              <w:rPr>
                <w:rFonts w:eastAsia="黑体"/>
                <w:sz w:val="18"/>
                <w:szCs w:val="18"/>
              </w:rPr>
            </w:pPr>
          </w:p>
        </w:tc>
        <w:tc>
          <w:tcPr>
            <w:tcW w:w="4513" w:type="dxa"/>
            <w:gridSpan w:val="3"/>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56FBCC0">
            <w:pPr>
              <w:jc w:val="center"/>
              <w:rPr>
                <w:rFonts w:eastAsia="黑体"/>
                <w:sz w:val="18"/>
                <w:szCs w:val="18"/>
              </w:rPr>
            </w:pPr>
          </w:p>
        </w:tc>
        <w:tc>
          <w:tcPr>
            <w:tcW w:w="1413"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4C49AB9">
            <w:pPr>
              <w:jc w:val="center"/>
              <w:rPr>
                <w:rFonts w:eastAsia="黑体"/>
                <w:sz w:val="18"/>
                <w:szCs w:val="18"/>
              </w:rPr>
            </w:pPr>
          </w:p>
        </w:tc>
        <w:tc>
          <w:tcPr>
            <w:tcW w:w="174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526E325">
            <w:pPr>
              <w:jc w:val="center"/>
              <w:rPr>
                <w:rFonts w:eastAsia="黑体"/>
                <w:sz w:val="18"/>
                <w:szCs w:val="18"/>
              </w:rPr>
            </w:pPr>
          </w:p>
        </w:tc>
        <w:tc>
          <w:tcPr>
            <w:tcW w:w="183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7E53854">
            <w:pPr>
              <w:jc w:val="center"/>
              <w:rPr>
                <w:rFonts w:eastAsia="黑体"/>
                <w:sz w:val="18"/>
                <w:szCs w:val="18"/>
              </w:rPr>
            </w:pPr>
          </w:p>
        </w:tc>
        <w:tc>
          <w:tcPr>
            <w:tcW w:w="1519"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5B0FC65">
            <w:pPr>
              <w:jc w:val="center"/>
              <w:rPr>
                <w:rFonts w:eastAsia="黑体"/>
                <w:sz w:val="18"/>
                <w:szCs w:val="18"/>
              </w:rPr>
            </w:pPr>
          </w:p>
        </w:tc>
        <w:tc>
          <w:tcPr>
            <w:tcW w:w="1547"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4A3F72D">
            <w:pPr>
              <w:jc w:val="center"/>
              <w:rPr>
                <w:rFonts w:eastAsia="黑体"/>
                <w:sz w:val="18"/>
                <w:szCs w:val="18"/>
              </w:rPr>
            </w:pPr>
          </w:p>
        </w:tc>
        <w:tc>
          <w:tcPr>
            <w:tcW w:w="1567"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35A7EFD">
            <w:pPr>
              <w:jc w:val="center"/>
              <w:rPr>
                <w:rFonts w:eastAsia="黑体"/>
                <w:sz w:val="18"/>
                <w:szCs w:val="18"/>
              </w:rPr>
            </w:pPr>
          </w:p>
        </w:tc>
        <w:tc>
          <w:tcPr>
            <w:tcW w:w="1462"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1E21ADC">
            <w:pPr>
              <w:jc w:val="center"/>
              <w:rPr>
                <w:rFonts w:eastAsia="黑体"/>
                <w:sz w:val="18"/>
                <w:szCs w:val="18"/>
              </w:rPr>
            </w:pPr>
          </w:p>
        </w:tc>
        <w:tc>
          <w:tcPr>
            <w:tcW w:w="2728" w:type="dxa"/>
            <w:gridSpan w:val="4"/>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38AE9199">
            <w:pPr>
              <w:jc w:val="center"/>
              <w:rPr>
                <w:rFonts w:eastAsia="黑体"/>
                <w:sz w:val="18"/>
                <w:szCs w:val="18"/>
              </w:rPr>
            </w:pPr>
          </w:p>
        </w:tc>
      </w:tr>
      <w:tr w14:paraId="6FB03E5A">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4360EA0">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67E101E">
            <w:pPr>
              <w:jc w:val="center"/>
              <w:rPr>
                <w:rFonts w:eastAsia="黑体"/>
                <w:sz w:val="22"/>
                <w:szCs w:val="22"/>
              </w:rPr>
            </w:pPr>
          </w:p>
        </w:tc>
        <w:tc>
          <w:tcPr>
            <w:tcW w:w="602" w:type="dxa"/>
            <w:vMerge w:val="restart"/>
            <w:tcBorders>
              <w:top w:val="single" w:color="000000" w:sz="4" w:space="0"/>
              <w:left w:val="single" w:color="000000" w:sz="4" w:space="0"/>
              <w:right w:val="single" w:color="000000" w:sz="4" w:space="0"/>
            </w:tcBorders>
            <w:vAlign w:val="center"/>
          </w:tcPr>
          <w:p w14:paraId="76F018D9">
            <w:pPr>
              <w:jc w:val="center"/>
              <w:rPr>
                <w:sz w:val="18"/>
                <w:szCs w:val="18"/>
              </w:rPr>
            </w:pPr>
          </w:p>
        </w:tc>
        <w:tc>
          <w:tcPr>
            <w:tcW w:w="1144" w:type="dxa"/>
            <w:vMerge w:val="restart"/>
            <w:tcBorders>
              <w:top w:val="single" w:color="000000" w:sz="4" w:space="0"/>
              <w:left w:val="nil"/>
              <w:right w:val="single" w:color="000000" w:sz="4" w:space="0"/>
            </w:tcBorders>
            <w:vAlign w:val="center"/>
          </w:tcPr>
          <w:p w14:paraId="33E20E43">
            <w:pPr>
              <w:jc w:val="center"/>
              <w:rPr>
                <w:sz w:val="18"/>
                <w:szCs w:val="18"/>
              </w:rPr>
            </w:pPr>
          </w:p>
        </w:tc>
        <w:tc>
          <w:tcPr>
            <w:tcW w:w="4513" w:type="dxa"/>
            <w:gridSpan w:val="3"/>
            <w:vMerge w:val="restart"/>
            <w:tcBorders>
              <w:top w:val="single" w:color="000000" w:sz="4" w:space="0"/>
              <w:left w:val="single" w:color="000000" w:sz="4" w:space="0"/>
              <w:right w:val="single" w:color="000000" w:sz="4" w:space="0"/>
            </w:tcBorders>
            <w:vAlign w:val="center"/>
          </w:tcPr>
          <w:p w14:paraId="4EB97B0C">
            <w:pPr>
              <w:jc w:val="center"/>
              <w:rPr>
                <w:sz w:val="18"/>
                <w:szCs w:val="18"/>
              </w:rPr>
            </w:pPr>
          </w:p>
        </w:tc>
        <w:tc>
          <w:tcPr>
            <w:tcW w:w="1413" w:type="dxa"/>
            <w:vMerge w:val="restart"/>
            <w:tcBorders>
              <w:top w:val="single" w:color="000000" w:sz="4" w:space="0"/>
              <w:left w:val="single" w:color="000000" w:sz="4" w:space="0"/>
              <w:right w:val="single" w:color="000000" w:sz="4" w:space="0"/>
            </w:tcBorders>
            <w:vAlign w:val="center"/>
          </w:tcPr>
          <w:p w14:paraId="75FF501D">
            <w:pPr>
              <w:jc w:val="center"/>
              <w:rPr>
                <w:sz w:val="18"/>
                <w:szCs w:val="18"/>
              </w:rPr>
            </w:pPr>
          </w:p>
        </w:tc>
        <w:tc>
          <w:tcPr>
            <w:tcW w:w="3582" w:type="dxa"/>
            <w:gridSpan w:val="2"/>
            <w:vMerge w:val="restart"/>
            <w:tcBorders>
              <w:top w:val="single" w:color="000000" w:sz="4" w:space="0"/>
              <w:left w:val="single" w:color="000000" w:sz="4" w:space="0"/>
              <w:right w:val="single" w:color="000000" w:sz="4" w:space="0"/>
            </w:tcBorders>
            <w:vAlign w:val="center"/>
          </w:tcPr>
          <w:p w14:paraId="07635CE2">
            <w:pPr>
              <w:jc w:val="center"/>
              <w:rPr>
                <w:rFonts w:eastAsia="黑体"/>
                <w:sz w:val="18"/>
                <w:szCs w:val="18"/>
              </w:rPr>
            </w:pPr>
          </w:p>
        </w:tc>
        <w:tc>
          <w:tcPr>
            <w:tcW w:w="1519" w:type="dxa"/>
            <w:vMerge w:val="restart"/>
            <w:tcBorders>
              <w:top w:val="single" w:color="000000" w:sz="4" w:space="0"/>
              <w:left w:val="nil"/>
              <w:right w:val="single" w:color="000000" w:sz="4" w:space="0"/>
            </w:tcBorders>
            <w:vAlign w:val="center"/>
          </w:tcPr>
          <w:p w14:paraId="0B59D065">
            <w:pPr>
              <w:rPr>
                <w:rFonts w:eastAsia="黑体"/>
                <w:sz w:val="18"/>
                <w:szCs w:val="18"/>
              </w:rPr>
            </w:pPr>
          </w:p>
        </w:tc>
        <w:tc>
          <w:tcPr>
            <w:tcW w:w="1547" w:type="dxa"/>
            <w:tcBorders>
              <w:top w:val="single" w:color="000000" w:sz="4" w:space="0"/>
              <w:left w:val="nil"/>
              <w:bottom w:val="single" w:color="000000" w:sz="4" w:space="0"/>
              <w:right w:val="single" w:color="000000" w:sz="4" w:space="0"/>
            </w:tcBorders>
            <w:vAlign w:val="center"/>
          </w:tcPr>
          <w:p w14:paraId="12185104">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2A5F9DCD">
            <w:pPr>
              <w:adjustRightInd w:val="0"/>
              <w:snapToGrid w:val="0"/>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115C5022">
            <w:pPr>
              <w:adjustRightInd w:val="0"/>
              <w:snapToGrid w:val="0"/>
              <w:jc w:val="center"/>
            </w:pPr>
          </w:p>
        </w:tc>
        <w:tc>
          <w:tcPr>
            <w:tcW w:w="2728" w:type="dxa"/>
            <w:gridSpan w:val="4"/>
            <w:vMerge w:val="restart"/>
            <w:tcBorders>
              <w:top w:val="single" w:color="000000" w:sz="4" w:space="0"/>
              <w:left w:val="single" w:color="000000" w:sz="4" w:space="0"/>
              <w:right w:val="single" w:color="000000" w:sz="4" w:space="0"/>
            </w:tcBorders>
            <w:vAlign w:val="center"/>
          </w:tcPr>
          <w:p w14:paraId="4AF3291A">
            <w:pPr>
              <w:jc w:val="center"/>
            </w:pPr>
          </w:p>
        </w:tc>
      </w:tr>
      <w:tr w14:paraId="7D5CDA2B">
        <w:tblPrEx>
          <w:tblCellMar>
            <w:top w:w="0" w:type="dxa"/>
            <w:left w:w="108" w:type="dxa"/>
            <w:bottom w:w="0" w:type="dxa"/>
            <w:right w:w="108" w:type="dxa"/>
          </w:tblCellMar>
        </w:tblPrEx>
        <w:trPr>
          <w:trHeight w:val="291"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81C27B6">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64D32DCF">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535CB51D">
            <w:pPr>
              <w:rPr>
                <w:rFonts w:eastAsia="黑体"/>
                <w:sz w:val="18"/>
                <w:szCs w:val="18"/>
              </w:rPr>
            </w:pPr>
          </w:p>
        </w:tc>
        <w:tc>
          <w:tcPr>
            <w:tcW w:w="1144" w:type="dxa"/>
            <w:vMerge w:val="continue"/>
            <w:tcBorders>
              <w:left w:val="nil"/>
              <w:right w:val="single" w:color="000000" w:sz="4" w:space="0"/>
            </w:tcBorders>
            <w:vAlign w:val="center"/>
          </w:tcPr>
          <w:p w14:paraId="2D7C3B7E">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7968EAEC">
            <w:pPr>
              <w:jc w:val="center"/>
              <w:rPr>
                <w:rFonts w:eastAsia="黑体"/>
                <w:sz w:val="18"/>
                <w:szCs w:val="18"/>
              </w:rPr>
            </w:pPr>
          </w:p>
        </w:tc>
        <w:tc>
          <w:tcPr>
            <w:tcW w:w="1413" w:type="dxa"/>
            <w:vMerge w:val="continue"/>
            <w:tcBorders>
              <w:left w:val="single" w:color="000000" w:sz="4" w:space="0"/>
              <w:right w:val="single" w:color="000000" w:sz="4" w:space="0"/>
            </w:tcBorders>
            <w:vAlign w:val="center"/>
          </w:tcPr>
          <w:p w14:paraId="68BC6B27">
            <w:pPr>
              <w:rPr>
                <w:rFonts w:eastAsia="黑体"/>
                <w:sz w:val="18"/>
                <w:szCs w:val="18"/>
              </w:rPr>
            </w:pPr>
          </w:p>
        </w:tc>
        <w:tc>
          <w:tcPr>
            <w:tcW w:w="3582" w:type="dxa"/>
            <w:gridSpan w:val="2"/>
            <w:vMerge w:val="continue"/>
            <w:tcBorders>
              <w:left w:val="single" w:color="000000" w:sz="4" w:space="0"/>
              <w:right w:val="single" w:color="000000" w:sz="4" w:space="0"/>
            </w:tcBorders>
            <w:vAlign w:val="center"/>
          </w:tcPr>
          <w:p w14:paraId="46163768">
            <w:pPr>
              <w:jc w:val="center"/>
              <w:rPr>
                <w:rFonts w:eastAsia="黑体"/>
                <w:sz w:val="18"/>
                <w:szCs w:val="18"/>
              </w:rPr>
            </w:pPr>
          </w:p>
        </w:tc>
        <w:tc>
          <w:tcPr>
            <w:tcW w:w="1519" w:type="dxa"/>
            <w:vMerge w:val="continue"/>
            <w:tcBorders>
              <w:left w:val="nil"/>
              <w:right w:val="single" w:color="000000" w:sz="4" w:space="0"/>
            </w:tcBorders>
            <w:vAlign w:val="center"/>
          </w:tcPr>
          <w:p w14:paraId="3A46ABDF">
            <w:pPr>
              <w:rPr>
                <w:rFonts w:eastAsia="黑体"/>
                <w:sz w:val="18"/>
                <w:szCs w:val="18"/>
              </w:rPr>
            </w:pPr>
          </w:p>
        </w:tc>
        <w:tc>
          <w:tcPr>
            <w:tcW w:w="1547" w:type="dxa"/>
            <w:tcBorders>
              <w:top w:val="single" w:color="000000" w:sz="4" w:space="0"/>
              <w:left w:val="nil"/>
              <w:bottom w:val="single" w:color="000000" w:sz="4" w:space="0"/>
              <w:right w:val="single" w:color="000000" w:sz="4" w:space="0"/>
            </w:tcBorders>
            <w:vAlign w:val="center"/>
          </w:tcPr>
          <w:p w14:paraId="4C5D8188">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50663CFA">
            <w:pPr>
              <w:adjustRightInd w:val="0"/>
              <w:snapToGrid w:val="0"/>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379CECD7">
            <w:pPr>
              <w:adjustRightInd w:val="0"/>
              <w:snapToGrid w:val="0"/>
              <w:jc w:val="center"/>
            </w:pPr>
          </w:p>
        </w:tc>
        <w:tc>
          <w:tcPr>
            <w:tcW w:w="2728" w:type="dxa"/>
            <w:gridSpan w:val="4"/>
            <w:vMerge w:val="continue"/>
            <w:tcBorders>
              <w:left w:val="single" w:color="000000" w:sz="4" w:space="0"/>
              <w:right w:val="single" w:color="000000" w:sz="4" w:space="0"/>
            </w:tcBorders>
            <w:vAlign w:val="center"/>
          </w:tcPr>
          <w:p w14:paraId="3006D8F7">
            <w:pPr>
              <w:jc w:val="center"/>
            </w:pPr>
          </w:p>
        </w:tc>
      </w:tr>
      <w:tr w14:paraId="03A56C7E">
        <w:tblPrEx>
          <w:tblCellMar>
            <w:top w:w="0" w:type="dxa"/>
            <w:left w:w="108" w:type="dxa"/>
            <w:bottom w:w="0" w:type="dxa"/>
            <w:right w:w="108" w:type="dxa"/>
          </w:tblCellMar>
        </w:tblPrEx>
        <w:trPr>
          <w:trHeight w:val="291"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FA17435">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ED60DC3">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72DA50B4">
            <w:pPr>
              <w:rPr>
                <w:rFonts w:eastAsia="黑体"/>
                <w:sz w:val="18"/>
                <w:szCs w:val="18"/>
              </w:rPr>
            </w:pPr>
          </w:p>
        </w:tc>
        <w:tc>
          <w:tcPr>
            <w:tcW w:w="1144" w:type="dxa"/>
            <w:vMerge w:val="continue"/>
            <w:tcBorders>
              <w:left w:val="nil"/>
              <w:right w:val="single" w:color="000000" w:sz="4" w:space="0"/>
            </w:tcBorders>
            <w:vAlign w:val="center"/>
          </w:tcPr>
          <w:p w14:paraId="4683B4BF">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397B0DE4">
            <w:pPr>
              <w:jc w:val="center"/>
              <w:rPr>
                <w:rFonts w:eastAsia="黑体"/>
                <w:sz w:val="18"/>
                <w:szCs w:val="18"/>
              </w:rPr>
            </w:pPr>
          </w:p>
        </w:tc>
        <w:tc>
          <w:tcPr>
            <w:tcW w:w="1413" w:type="dxa"/>
            <w:vMerge w:val="continue"/>
            <w:tcBorders>
              <w:left w:val="single" w:color="000000" w:sz="4" w:space="0"/>
              <w:right w:val="single" w:color="000000" w:sz="4" w:space="0"/>
            </w:tcBorders>
            <w:vAlign w:val="center"/>
          </w:tcPr>
          <w:p w14:paraId="06FE7FFD">
            <w:pPr>
              <w:rPr>
                <w:rFonts w:eastAsia="黑体"/>
                <w:sz w:val="18"/>
                <w:szCs w:val="18"/>
              </w:rPr>
            </w:pPr>
          </w:p>
        </w:tc>
        <w:tc>
          <w:tcPr>
            <w:tcW w:w="3582" w:type="dxa"/>
            <w:gridSpan w:val="2"/>
            <w:vMerge w:val="continue"/>
            <w:tcBorders>
              <w:left w:val="single" w:color="000000" w:sz="4" w:space="0"/>
              <w:right w:val="single" w:color="000000" w:sz="4" w:space="0"/>
            </w:tcBorders>
            <w:vAlign w:val="center"/>
          </w:tcPr>
          <w:p w14:paraId="0BC7E04F">
            <w:pPr>
              <w:jc w:val="center"/>
              <w:rPr>
                <w:rFonts w:eastAsia="黑体"/>
                <w:sz w:val="18"/>
                <w:szCs w:val="18"/>
              </w:rPr>
            </w:pPr>
          </w:p>
        </w:tc>
        <w:tc>
          <w:tcPr>
            <w:tcW w:w="1519" w:type="dxa"/>
            <w:vMerge w:val="continue"/>
            <w:tcBorders>
              <w:left w:val="nil"/>
              <w:right w:val="single" w:color="000000" w:sz="4" w:space="0"/>
            </w:tcBorders>
            <w:vAlign w:val="center"/>
          </w:tcPr>
          <w:p w14:paraId="2210549E">
            <w:pPr>
              <w:rPr>
                <w:rFonts w:eastAsia="黑体"/>
                <w:sz w:val="18"/>
                <w:szCs w:val="18"/>
              </w:rPr>
            </w:pPr>
          </w:p>
        </w:tc>
        <w:tc>
          <w:tcPr>
            <w:tcW w:w="1547" w:type="dxa"/>
            <w:tcBorders>
              <w:top w:val="single" w:color="000000" w:sz="4" w:space="0"/>
              <w:left w:val="nil"/>
              <w:bottom w:val="single" w:color="000000" w:sz="4" w:space="0"/>
              <w:right w:val="single" w:color="000000" w:sz="4" w:space="0"/>
            </w:tcBorders>
            <w:vAlign w:val="center"/>
          </w:tcPr>
          <w:p w14:paraId="1FA79D85">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5B011303">
            <w:pPr>
              <w:adjustRightInd w:val="0"/>
              <w:snapToGrid w:val="0"/>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04CD42E0">
            <w:pPr>
              <w:adjustRightInd w:val="0"/>
              <w:snapToGrid w:val="0"/>
              <w:jc w:val="center"/>
            </w:pPr>
          </w:p>
        </w:tc>
        <w:tc>
          <w:tcPr>
            <w:tcW w:w="2728" w:type="dxa"/>
            <w:gridSpan w:val="4"/>
            <w:vMerge w:val="continue"/>
            <w:tcBorders>
              <w:left w:val="single" w:color="000000" w:sz="4" w:space="0"/>
              <w:right w:val="single" w:color="000000" w:sz="4" w:space="0"/>
            </w:tcBorders>
            <w:vAlign w:val="center"/>
          </w:tcPr>
          <w:p w14:paraId="1A9761FF">
            <w:pPr>
              <w:jc w:val="center"/>
            </w:pPr>
          </w:p>
        </w:tc>
      </w:tr>
      <w:tr w14:paraId="5556EF9B">
        <w:tblPrEx>
          <w:tblCellMar>
            <w:top w:w="0" w:type="dxa"/>
            <w:left w:w="108" w:type="dxa"/>
            <w:bottom w:w="0" w:type="dxa"/>
            <w:right w:w="108" w:type="dxa"/>
          </w:tblCellMar>
        </w:tblPrEx>
        <w:trPr>
          <w:trHeight w:val="291"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5C421B1">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34B6F0F">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1545D643">
            <w:pPr>
              <w:rPr>
                <w:rFonts w:eastAsia="黑体"/>
                <w:sz w:val="18"/>
                <w:szCs w:val="18"/>
              </w:rPr>
            </w:pPr>
          </w:p>
        </w:tc>
        <w:tc>
          <w:tcPr>
            <w:tcW w:w="1144" w:type="dxa"/>
            <w:vMerge w:val="continue"/>
            <w:tcBorders>
              <w:left w:val="nil"/>
              <w:right w:val="single" w:color="000000" w:sz="4" w:space="0"/>
            </w:tcBorders>
            <w:vAlign w:val="center"/>
          </w:tcPr>
          <w:p w14:paraId="1DD5F149">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723C591E">
            <w:pPr>
              <w:jc w:val="center"/>
              <w:rPr>
                <w:rFonts w:eastAsia="黑体"/>
                <w:sz w:val="18"/>
                <w:szCs w:val="18"/>
              </w:rPr>
            </w:pPr>
          </w:p>
        </w:tc>
        <w:tc>
          <w:tcPr>
            <w:tcW w:w="1413" w:type="dxa"/>
            <w:vMerge w:val="continue"/>
            <w:tcBorders>
              <w:left w:val="single" w:color="000000" w:sz="4" w:space="0"/>
              <w:right w:val="single" w:color="000000" w:sz="4" w:space="0"/>
            </w:tcBorders>
            <w:vAlign w:val="center"/>
          </w:tcPr>
          <w:p w14:paraId="69642272">
            <w:pPr>
              <w:rPr>
                <w:rFonts w:eastAsia="黑体"/>
                <w:sz w:val="18"/>
                <w:szCs w:val="18"/>
              </w:rPr>
            </w:pPr>
          </w:p>
        </w:tc>
        <w:tc>
          <w:tcPr>
            <w:tcW w:w="3582" w:type="dxa"/>
            <w:gridSpan w:val="2"/>
            <w:vMerge w:val="continue"/>
            <w:tcBorders>
              <w:left w:val="single" w:color="000000" w:sz="4" w:space="0"/>
              <w:right w:val="single" w:color="000000" w:sz="4" w:space="0"/>
            </w:tcBorders>
            <w:vAlign w:val="center"/>
          </w:tcPr>
          <w:p w14:paraId="7AC77B20">
            <w:pPr>
              <w:jc w:val="center"/>
              <w:rPr>
                <w:rFonts w:eastAsia="黑体"/>
                <w:sz w:val="18"/>
                <w:szCs w:val="18"/>
              </w:rPr>
            </w:pPr>
          </w:p>
        </w:tc>
        <w:tc>
          <w:tcPr>
            <w:tcW w:w="1519" w:type="dxa"/>
            <w:vMerge w:val="continue"/>
            <w:tcBorders>
              <w:left w:val="nil"/>
              <w:right w:val="single" w:color="000000" w:sz="4" w:space="0"/>
            </w:tcBorders>
            <w:vAlign w:val="center"/>
          </w:tcPr>
          <w:p w14:paraId="502D9191">
            <w:pPr>
              <w:rPr>
                <w:rFonts w:eastAsia="黑体"/>
                <w:sz w:val="18"/>
                <w:szCs w:val="18"/>
              </w:rPr>
            </w:pPr>
          </w:p>
        </w:tc>
        <w:tc>
          <w:tcPr>
            <w:tcW w:w="1547" w:type="dxa"/>
            <w:tcBorders>
              <w:top w:val="single" w:color="000000" w:sz="4" w:space="0"/>
              <w:left w:val="nil"/>
              <w:bottom w:val="single" w:color="000000" w:sz="4" w:space="0"/>
              <w:right w:val="single" w:color="000000" w:sz="4" w:space="0"/>
            </w:tcBorders>
            <w:vAlign w:val="center"/>
          </w:tcPr>
          <w:p w14:paraId="0B41D4CF">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73438FBD">
            <w:pPr>
              <w:adjustRightInd w:val="0"/>
              <w:snapToGrid w:val="0"/>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50BE8B9F">
            <w:pPr>
              <w:adjustRightInd w:val="0"/>
              <w:snapToGrid w:val="0"/>
              <w:jc w:val="center"/>
            </w:pPr>
          </w:p>
        </w:tc>
        <w:tc>
          <w:tcPr>
            <w:tcW w:w="2728" w:type="dxa"/>
            <w:gridSpan w:val="4"/>
            <w:vMerge w:val="continue"/>
            <w:tcBorders>
              <w:left w:val="single" w:color="000000" w:sz="4" w:space="0"/>
              <w:right w:val="single" w:color="000000" w:sz="4" w:space="0"/>
            </w:tcBorders>
            <w:vAlign w:val="center"/>
          </w:tcPr>
          <w:p w14:paraId="3F8A0391">
            <w:pPr>
              <w:jc w:val="center"/>
            </w:pPr>
          </w:p>
        </w:tc>
      </w:tr>
      <w:tr w14:paraId="7DD53124">
        <w:tblPrEx>
          <w:tblCellMar>
            <w:top w:w="0" w:type="dxa"/>
            <w:left w:w="108" w:type="dxa"/>
            <w:bottom w:w="0" w:type="dxa"/>
            <w:right w:w="108" w:type="dxa"/>
          </w:tblCellMar>
        </w:tblPrEx>
        <w:trPr>
          <w:trHeight w:val="291"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258FB64">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3E7BAD9">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0093B090">
            <w:pPr>
              <w:rPr>
                <w:rFonts w:eastAsia="黑体"/>
                <w:sz w:val="18"/>
                <w:szCs w:val="18"/>
              </w:rPr>
            </w:pPr>
          </w:p>
        </w:tc>
        <w:tc>
          <w:tcPr>
            <w:tcW w:w="1144" w:type="dxa"/>
            <w:vMerge w:val="continue"/>
            <w:tcBorders>
              <w:left w:val="nil"/>
              <w:right w:val="single" w:color="000000" w:sz="4" w:space="0"/>
            </w:tcBorders>
            <w:vAlign w:val="center"/>
          </w:tcPr>
          <w:p w14:paraId="3461E907">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6CE25A8F">
            <w:pPr>
              <w:jc w:val="center"/>
              <w:rPr>
                <w:rFonts w:eastAsia="黑体"/>
                <w:sz w:val="18"/>
                <w:szCs w:val="18"/>
              </w:rPr>
            </w:pPr>
          </w:p>
        </w:tc>
        <w:tc>
          <w:tcPr>
            <w:tcW w:w="1413" w:type="dxa"/>
            <w:vMerge w:val="continue"/>
            <w:tcBorders>
              <w:left w:val="single" w:color="000000" w:sz="4" w:space="0"/>
              <w:right w:val="single" w:color="000000" w:sz="4" w:space="0"/>
            </w:tcBorders>
            <w:vAlign w:val="center"/>
          </w:tcPr>
          <w:p w14:paraId="06037572">
            <w:pPr>
              <w:rPr>
                <w:rFonts w:eastAsia="黑体"/>
                <w:sz w:val="18"/>
                <w:szCs w:val="18"/>
              </w:rPr>
            </w:pPr>
          </w:p>
        </w:tc>
        <w:tc>
          <w:tcPr>
            <w:tcW w:w="3582" w:type="dxa"/>
            <w:gridSpan w:val="2"/>
            <w:vMerge w:val="continue"/>
            <w:tcBorders>
              <w:left w:val="single" w:color="000000" w:sz="4" w:space="0"/>
              <w:right w:val="single" w:color="000000" w:sz="4" w:space="0"/>
            </w:tcBorders>
            <w:vAlign w:val="center"/>
          </w:tcPr>
          <w:p w14:paraId="39B9C5C9">
            <w:pPr>
              <w:jc w:val="center"/>
              <w:rPr>
                <w:rFonts w:eastAsia="黑体"/>
                <w:sz w:val="18"/>
                <w:szCs w:val="18"/>
              </w:rPr>
            </w:pPr>
          </w:p>
        </w:tc>
        <w:tc>
          <w:tcPr>
            <w:tcW w:w="1519" w:type="dxa"/>
            <w:vMerge w:val="continue"/>
            <w:tcBorders>
              <w:left w:val="nil"/>
              <w:right w:val="single" w:color="000000" w:sz="4" w:space="0"/>
            </w:tcBorders>
            <w:vAlign w:val="center"/>
          </w:tcPr>
          <w:p w14:paraId="3034C4B6">
            <w:pPr>
              <w:rPr>
                <w:rFonts w:eastAsia="黑体"/>
                <w:sz w:val="18"/>
                <w:szCs w:val="18"/>
              </w:rPr>
            </w:pPr>
          </w:p>
        </w:tc>
        <w:tc>
          <w:tcPr>
            <w:tcW w:w="1547" w:type="dxa"/>
            <w:tcBorders>
              <w:top w:val="single" w:color="000000" w:sz="4" w:space="0"/>
              <w:left w:val="nil"/>
              <w:bottom w:val="single" w:color="000000" w:sz="4" w:space="0"/>
              <w:right w:val="single" w:color="000000" w:sz="4" w:space="0"/>
            </w:tcBorders>
            <w:vAlign w:val="center"/>
          </w:tcPr>
          <w:p w14:paraId="57B4D086">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5B273D72">
            <w:pPr>
              <w:adjustRightInd w:val="0"/>
              <w:snapToGrid w:val="0"/>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2DFBBB2F">
            <w:pPr>
              <w:adjustRightInd w:val="0"/>
              <w:snapToGrid w:val="0"/>
              <w:jc w:val="center"/>
            </w:pPr>
          </w:p>
        </w:tc>
        <w:tc>
          <w:tcPr>
            <w:tcW w:w="2728" w:type="dxa"/>
            <w:gridSpan w:val="4"/>
            <w:vMerge w:val="continue"/>
            <w:tcBorders>
              <w:left w:val="single" w:color="000000" w:sz="4" w:space="0"/>
              <w:right w:val="single" w:color="000000" w:sz="4" w:space="0"/>
            </w:tcBorders>
            <w:vAlign w:val="center"/>
          </w:tcPr>
          <w:p w14:paraId="424C2062">
            <w:pPr>
              <w:jc w:val="center"/>
            </w:pPr>
          </w:p>
        </w:tc>
      </w:tr>
      <w:tr w14:paraId="5D1B0BFC">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E761ED7">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B8DC43B">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5E153CEB">
            <w:pPr>
              <w:rPr>
                <w:rFonts w:eastAsia="黑体"/>
                <w:sz w:val="18"/>
                <w:szCs w:val="18"/>
              </w:rPr>
            </w:pPr>
          </w:p>
        </w:tc>
        <w:tc>
          <w:tcPr>
            <w:tcW w:w="1144" w:type="dxa"/>
            <w:vMerge w:val="continue"/>
            <w:tcBorders>
              <w:left w:val="nil"/>
              <w:right w:val="single" w:color="000000" w:sz="4" w:space="0"/>
            </w:tcBorders>
            <w:vAlign w:val="center"/>
          </w:tcPr>
          <w:p w14:paraId="7E997DF6">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723D8809">
            <w:pPr>
              <w:jc w:val="center"/>
              <w:rPr>
                <w:rFonts w:eastAsia="黑体"/>
                <w:sz w:val="18"/>
                <w:szCs w:val="18"/>
              </w:rPr>
            </w:pPr>
          </w:p>
        </w:tc>
        <w:tc>
          <w:tcPr>
            <w:tcW w:w="1413" w:type="dxa"/>
            <w:vMerge w:val="continue"/>
            <w:tcBorders>
              <w:left w:val="single" w:color="000000" w:sz="4" w:space="0"/>
              <w:right w:val="single" w:color="000000" w:sz="4" w:space="0"/>
            </w:tcBorders>
            <w:vAlign w:val="center"/>
          </w:tcPr>
          <w:p w14:paraId="0D64BA75">
            <w:pPr>
              <w:rPr>
                <w:rFonts w:eastAsia="黑体"/>
                <w:sz w:val="18"/>
                <w:szCs w:val="18"/>
              </w:rPr>
            </w:pPr>
          </w:p>
        </w:tc>
        <w:tc>
          <w:tcPr>
            <w:tcW w:w="3582" w:type="dxa"/>
            <w:gridSpan w:val="2"/>
            <w:vMerge w:val="continue"/>
            <w:tcBorders>
              <w:left w:val="single" w:color="000000" w:sz="4" w:space="0"/>
              <w:right w:val="single" w:color="000000" w:sz="4" w:space="0"/>
            </w:tcBorders>
            <w:vAlign w:val="center"/>
          </w:tcPr>
          <w:p w14:paraId="60C93F6A">
            <w:pPr>
              <w:jc w:val="center"/>
              <w:rPr>
                <w:rFonts w:eastAsia="黑体"/>
                <w:sz w:val="18"/>
                <w:szCs w:val="18"/>
              </w:rPr>
            </w:pPr>
          </w:p>
        </w:tc>
        <w:tc>
          <w:tcPr>
            <w:tcW w:w="1519" w:type="dxa"/>
            <w:vMerge w:val="continue"/>
            <w:tcBorders>
              <w:left w:val="nil"/>
              <w:right w:val="single" w:color="000000" w:sz="4" w:space="0"/>
            </w:tcBorders>
            <w:vAlign w:val="center"/>
          </w:tcPr>
          <w:p w14:paraId="4A7717F2">
            <w:pPr>
              <w:rPr>
                <w:rFonts w:eastAsia="黑体"/>
                <w:sz w:val="18"/>
                <w:szCs w:val="18"/>
              </w:rPr>
            </w:pPr>
          </w:p>
        </w:tc>
        <w:tc>
          <w:tcPr>
            <w:tcW w:w="1547" w:type="dxa"/>
            <w:tcBorders>
              <w:top w:val="single" w:color="000000" w:sz="4" w:space="0"/>
              <w:left w:val="nil"/>
              <w:bottom w:val="single" w:color="000000" w:sz="4" w:space="0"/>
              <w:right w:val="single" w:color="000000" w:sz="4" w:space="0"/>
            </w:tcBorders>
            <w:vAlign w:val="center"/>
          </w:tcPr>
          <w:p w14:paraId="6581AB1A">
            <w:pPr>
              <w:jc w:val="center"/>
              <w:rPr>
                <w:rFonts w:eastAsia="黑体"/>
                <w:sz w:val="18"/>
                <w:szCs w:val="18"/>
              </w:rPr>
            </w:pP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276CA7C3">
            <w:pPr>
              <w:adjustRightInd w:val="0"/>
              <w:snapToGrid w:val="0"/>
              <w:jc w:val="center"/>
              <w:rPr>
                <w:rFonts w:eastAsia="黑体"/>
                <w:sz w:val="18"/>
                <w:szCs w:val="18"/>
              </w:rPr>
            </w:pPr>
          </w:p>
        </w:tc>
        <w:tc>
          <w:tcPr>
            <w:tcW w:w="1462" w:type="dxa"/>
            <w:tcBorders>
              <w:top w:val="single" w:color="000000" w:sz="4" w:space="0"/>
              <w:left w:val="single" w:color="000000" w:sz="4" w:space="0"/>
              <w:bottom w:val="single" w:color="000000" w:sz="4" w:space="0"/>
              <w:right w:val="single" w:color="000000" w:sz="4" w:space="0"/>
            </w:tcBorders>
            <w:vAlign w:val="center"/>
          </w:tcPr>
          <w:p w14:paraId="7F440FDE">
            <w:pPr>
              <w:adjustRightInd w:val="0"/>
              <w:snapToGrid w:val="0"/>
              <w:jc w:val="center"/>
            </w:pPr>
          </w:p>
        </w:tc>
        <w:tc>
          <w:tcPr>
            <w:tcW w:w="2728" w:type="dxa"/>
            <w:gridSpan w:val="4"/>
            <w:vMerge w:val="continue"/>
            <w:tcBorders>
              <w:left w:val="single" w:color="000000" w:sz="4" w:space="0"/>
              <w:bottom w:val="single" w:color="000000" w:sz="4" w:space="0"/>
              <w:right w:val="single" w:color="000000" w:sz="4" w:space="0"/>
            </w:tcBorders>
            <w:vAlign w:val="center"/>
          </w:tcPr>
          <w:p w14:paraId="1B5F191B">
            <w:pPr>
              <w:jc w:val="center"/>
            </w:pPr>
          </w:p>
        </w:tc>
      </w:tr>
      <w:tr w14:paraId="657A4556">
        <w:tblPrEx>
          <w:tblCellMar>
            <w:top w:w="0" w:type="dxa"/>
            <w:left w:w="108" w:type="dxa"/>
            <w:bottom w:w="0" w:type="dxa"/>
            <w:right w:w="108" w:type="dxa"/>
          </w:tblCellMar>
        </w:tblPrEx>
        <w:trPr>
          <w:trHeight w:val="300"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0574FEDF">
            <w:pPr>
              <w:jc w:val="center"/>
              <w:rPr>
                <w:rFonts w:eastAsia="黑体"/>
                <w:sz w:val="22"/>
                <w:szCs w:val="22"/>
              </w:rPr>
            </w:pPr>
          </w:p>
        </w:tc>
        <w:tc>
          <w:tcPr>
            <w:tcW w:w="656"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761D48FE">
            <w:pPr>
              <w:jc w:val="center"/>
              <w:textAlignment w:val="center"/>
              <w:rPr>
                <w:rFonts w:eastAsia="黑体"/>
                <w:sz w:val="22"/>
                <w:szCs w:val="22"/>
              </w:rPr>
            </w:pPr>
            <w:r>
              <w:rPr>
                <w:rFonts w:eastAsia="黑体"/>
                <w:sz w:val="22"/>
                <w:szCs w:val="22"/>
                <w:lang w:bidi="ar"/>
              </w:rPr>
              <w:t>总排放口（直接排放）</w:t>
            </w:r>
          </w:p>
        </w:tc>
        <w:tc>
          <w:tcPr>
            <w:tcW w:w="602"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52BE4C4F">
            <w:pPr>
              <w:jc w:val="center"/>
              <w:textAlignment w:val="center"/>
              <w:rPr>
                <w:rFonts w:eastAsia="黑体"/>
                <w:sz w:val="18"/>
                <w:szCs w:val="18"/>
              </w:rPr>
            </w:pPr>
            <w:r>
              <w:rPr>
                <w:rFonts w:eastAsia="黑体"/>
                <w:sz w:val="18"/>
                <w:szCs w:val="18"/>
                <w:lang w:bidi="ar"/>
              </w:rPr>
              <w:t>序号（编号）</w:t>
            </w:r>
          </w:p>
        </w:tc>
        <w:tc>
          <w:tcPr>
            <w:tcW w:w="1144" w:type="dxa"/>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1D032DF3">
            <w:pPr>
              <w:jc w:val="center"/>
              <w:textAlignment w:val="center"/>
              <w:rPr>
                <w:rFonts w:eastAsia="黑体"/>
                <w:sz w:val="18"/>
                <w:szCs w:val="18"/>
              </w:rPr>
            </w:pPr>
            <w:r>
              <w:rPr>
                <w:rFonts w:eastAsia="黑体"/>
                <w:sz w:val="18"/>
                <w:szCs w:val="18"/>
                <w:lang w:bidi="ar"/>
              </w:rPr>
              <w:t>排放口名称</w:t>
            </w:r>
          </w:p>
        </w:tc>
        <w:tc>
          <w:tcPr>
            <w:tcW w:w="4513" w:type="dxa"/>
            <w:gridSpan w:val="3"/>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02662874">
            <w:pPr>
              <w:jc w:val="center"/>
              <w:textAlignment w:val="center"/>
              <w:rPr>
                <w:rFonts w:eastAsia="黑体"/>
                <w:sz w:val="18"/>
                <w:szCs w:val="18"/>
              </w:rPr>
            </w:pPr>
            <w:r>
              <w:rPr>
                <w:rFonts w:eastAsia="黑体"/>
                <w:sz w:val="18"/>
                <w:szCs w:val="18"/>
                <w:lang w:bidi="ar"/>
              </w:rPr>
              <w:t>污染防治设施工艺</w:t>
            </w:r>
          </w:p>
        </w:tc>
        <w:tc>
          <w:tcPr>
            <w:tcW w:w="3159" w:type="dxa"/>
            <w:gridSpan w:val="2"/>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14:paraId="6910A12E">
            <w:pPr>
              <w:jc w:val="center"/>
              <w:textAlignment w:val="center"/>
              <w:rPr>
                <w:rFonts w:eastAsia="黑体"/>
                <w:sz w:val="18"/>
                <w:szCs w:val="18"/>
              </w:rPr>
            </w:pPr>
            <w:r>
              <w:rPr>
                <w:rFonts w:eastAsia="黑体"/>
                <w:sz w:val="18"/>
                <w:szCs w:val="18"/>
                <w:lang w:bidi="ar"/>
              </w:rPr>
              <w:t>污染防治设施处理水量（吨/小时）</w:t>
            </w:r>
          </w:p>
        </w:tc>
        <w:tc>
          <w:tcPr>
            <w:tcW w:w="3355"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5A0E1990">
            <w:pPr>
              <w:jc w:val="center"/>
              <w:textAlignment w:val="center"/>
              <w:rPr>
                <w:rFonts w:eastAsia="黑体"/>
                <w:sz w:val="18"/>
                <w:szCs w:val="18"/>
              </w:rPr>
            </w:pPr>
            <w:r>
              <w:rPr>
                <w:rFonts w:eastAsia="黑体"/>
                <w:sz w:val="18"/>
                <w:szCs w:val="18"/>
                <w:lang w:bidi="ar"/>
              </w:rPr>
              <w:t>受纳水体</w:t>
            </w:r>
          </w:p>
        </w:tc>
        <w:tc>
          <w:tcPr>
            <w:tcW w:w="7304" w:type="dxa"/>
            <w:gridSpan w:val="8"/>
            <w:tcBorders>
              <w:top w:val="single" w:color="000000" w:sz="4" w:space="0"/>
              <w:left w:val="single" w:color="000000" w:sz="4" w:space="0"/>
              <w:bottom w:val="single" w:color="000000" w:sz="4" w:space="0"/>
              <w:right w:val="single" w:color="000000" w:sz="4" w:space="0"/>
            </w:tcBorders>
            <w:shd w:val="clear" w:color="auto" w:fill="BFBFBF"/>
            <w:vAlign w:val="center"/>
          </w:tcPr>
          <w:p w14:paraId="7628ECED">
            <w:pPr>
              <w:jc w:val="center"/>
              <w:textAlignment w:val="center"/>
              <w:rPr>
                <w:rFonts w:eastAsia="黑体"/>
                <w:sz w:val="18"/>
                <w:szCs w:val="18"/>
              </w:rPr>
            </w:pPr>
            <w:r>
              <w:rPr>
                <w:rFonts w:eastAsia="黑体"/>
                <w:sz w:val="18"/>
                <w:szCs w:val="18"/>
                <w:lang w:bidi="ar"/>
              </w:rPr>
              <w:t>污染物排放</w:t>
            </w:r>
          </w:p>
        </w:tc>
      </w:tr>
      <w:tr w14:paraId="3F6DFADD">
        <w:tblPrEx>
          <w:tblCellMar>
            <w:top w:w="0" w:type="dxa"/>
            <w:left w:w="108" w:type="dxa"/>
            <w:bottom w:w="0" w:type="dxa"/>
            <w:right w:w="108" w:type="dxa"/>
          </w:tblCellMar>
        </w:tblPrEx>
        <w:trPr>
          <w:trHeight w:val="926"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4CE6D2C">
            <w:pPr>
              <w:jc w:val="center"/>
              <w:rPr>
                <w:rFonts w:eastAsia="黑体"/>
                <w:sz w:val="22"/>
                <w:szCs w:val="22"/>
              </w:rPr>
            </w:pPr>
          </w:p>
        </w:tc>
        <w:tc>
          <w:tcPr>
            <w:tcW w:w="656"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8D12AAC">
            <w:pPr>
              <w:jc w:val="center"/>
              <w:rPr>
                <w:rFonts w:eastAsia="黑体"/>
                <w:sz w:val="22"/>
                <w:szCs w:val="22"/>
              </w:rPr>
            </w:pPr>
          </w:p>
        </w:tc>
        <w:tc>
          <w:tcPr>
            <w:tcW w:w="602"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459E2087">
            <w:pPr>
              <w:jc w:val="center"/>
              <w:rPr>
                <w:rFonts w:eastAsia="黑体"/>
                <w:sz w:val="18"/>
                <w:szCs w:val="18"/>
              </w:rPr>
            </w:pPr>
          </w:p>
        </w:tc>
        <w:tc>
          <w:tcPr>
            <w:tcW w:w="1144"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15E449B">
            <w:pPr>
              <w:jc w:val="center"/>
              <w:rPr>
                <w:rFonts w:eastAsia="黑体"/>
                <w:sz w:val="18"/>
                <w:szCs w:val="18"/>
              </w:rPr>
            </w:pPr>
          </w:p>
        </w:tc>
        <w:tc>
          <w:tcPr>
            <w:tcW w:w="4513" w:type="dxa"/>
            <w:gridSpan w:val="3"/>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50DAD98">
            <w:pPr>
              <w:jc w:val="center"/>
              <w:rPr>
                <w:rFonts w:eastAsia="黑体"/>
                <w:sz w:val="18"/>
                <w:szCs w:val="18"/>
              </w:rPr>
            </w:pPr>
          </w:p>
        </w:tc>
        <w:tc>
          <w:tcPr>
            <w:tcW w:w="3159" w:type="dxa"/>
            <w:gridSpan w:val="2"/>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1AFB6A7F">
            <w:pPr>
              <w:jc w:val="center"/>
              <w:rPr>
                <w:rFonts w:eastAsia="黑体"/>
                <w:sz w:val="18"/>
                <w:szCs w:val="18"/>
              </w:rPr>
            </w:pPr>
          </w:p>
        </w:tc>
        <w:tc>
          <w:tcPr>
            <w:tcW w:w="183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6F63E9E4">
            <w:pPr>
              <w:jc w:val="center"/>
              <w:textAlignment w:val="center"/>
              <w:rPr>
                <w:rFonts w:eastAsia="黑体"/>
                <w:sz w:val="18"/>
                <w:szCs w:val="18"/>
              </w:rPr>
            </w:pPr>
            <w:r>
              <w:rPr>
                <w:rFonts w:eastAsia="黑体"/>
                <w:sz w:val="18"/>
                <w:szCs w:val="18"/>
                <w:lang w:bidi="ar"/>
              </w:rPr>
              <w:t>名称</w:t>
            </w: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F5F56BA">
            <w:pPr>
              <w:jc w:val="center"/>
              <w:textAlignment w:val="center"/>
              <w:rPr>
                <w:rFonts w:eastAsia="黑体"/>
                <w:sz w:val="18"/>
                <w:szCs w:val="18"/>
              </w:rPr>
            </w:pPr>
            <w:r>
              <w:rPr>
                <w:rFonts w:eastAsia="黑体"/>
                <w:sz w:val="18"/>
                <w:szCs w:val="18"/>
                <w:lang w:bidi="ar"/>
              </w:rPr>
              <w:t>功能类别</w:t>
            </w:r>
          </w:p>
        </w:tc>
        <w:tc>
          <w:tcPr>
            <w:tcW w:w="1547"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0E97B1D">
            <w:pPr>
              <w:jc w:val="center"/>
              <w:textAlignment w:val="center"/>
              <w:rPr>
                <w:rFonts w:eastAsia="黑体"/>
                <w:sz w:val="18"/>
                <w:szCs w:val="18"/>
              </w:rPr>
            </w:pPr>
            <w:r>
              <w:rPr>
                <w:rFonts w:eastAsia="黑体"/>
                <w:sz w:val="18"/>
                <w:szCs w:val="18"/>
                <w:lang w:bidi="ar"/>
              </w:rPr>
              <w:t>污染物种类</w:t>
            </w:r>
          </w:p>
        </w:tc>
        <w:tc>
          <w:tcPr>
            <w:tcW w:w="1567"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498FC0A1">
            <w:pPr>
              <w:jc w:val="center"/>
              <w:textAlignment w:val="center"/>
              <w:rPr>
                <w:rFonts w:eastAsia="黑体"/>
                <w:sz w:val="18"/>
                <w:szCs w:val="18"/>
                <w:lang w:bidi="ar"/>
              </w:rPr>
            </w:pPr>
            <w:r>
              <w:rPr>
                <w:rFonts w:eastAsia="黑体"/>
                <w:sz w:val="18"/>
                <w:szCs w:val="18"/>
                <w:lang w:bidi="ar"/>
              </w:rPr>
              <w:t>排放浓度</w:t>
            </w:r>
          </w:p>
          <w:p w14:paraId="6F9CBB29">
            <w:pPr>
              <w:jc w:val="center"/>
              <w:textAlignment w:val="center"/>
              <w:rPr>
                <w:rFonts w:eastAsia="黑体"/>
                <w:sz w:val="18"/>
                <w:szCs w:val="18"/>
              </w:rPr>
            </w:pPr>
            <w:r>
              <w:rPr>
                <w:rFonts w:eastAsia="黑体"/>
                <w:sz w:val="18"/>
                <w:szCs w:val="18"/>
                <w:lang w:bidi="ar"/>
              </w:rPr>
              <w:t>（毫克/升）</w:t>
            </w:r>
          </w:p>
        </w:tc>
        <w:tc>
          <w:tcPr>
            <w:tcW w:w="1462"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632A6B6">
            <w:pPr>
              <w:jc w:val="center"/>
              <w:textAlignment w:val="center"/>
              <w:rPr>
                <w:rFonts w:eastAsia="黑体"/>
                <w:sz w:val="18"/>
                <w:szCs w:val="18"/>
              </w:rPr>
            </w:pPr>
            <w:r>
              <w:rPr>
                <w:rFonts w:eastAsia="黑体"/>
                <w:sz w:val="18"/>
                <w:szCs w:val="18"/>
                <w:lang w:bidi="ar"/>
              </w:rPr>
              <w:t>排放量（吨/年）</w:t>
            </w:r>
          </w:p>
        </w:tc>
        <w:tc>
          <w:tcPr>
            <w:tcW w:w="2728" w:type="dxa"/>
            <w:gridSpan w:val="4"/>
            <w:tcBorders>
              <w:top w:val="single" w:color="000000" w:sz="4" w:space="0"/>
              <w:left w:val="single" w:color="000000" w:sz="4" w:space="0"/>
              <w:bottom w:val="single" w:color="000000" w:sz="4" w:space="0"/>
              <w:right w:val="single" w:color="000000" w:sz="4" w:space="0"/>
            </w:tcBorders>
            <w:shd w:val="clear" w:color="auto" w:fill="BFBFBF"/>
            <w:vAlign w:val="center"/>
          </w:tcPr>
          <w:p w14:paraId="0D2F31E7">
            <w:pPr>
              <w:jc w:val="center"/>
              <w:textAlignment w:val="center"/>
              <w:rPr>
                <w:rFonts w:eastAsia="黑体"/>
                <w:sz w:val="18"/>
                <w:szCs w:val="18"/>
                <w:lang w:bidi="ar"/>
              </w:rPr>
            </w:pPr>
            <w:r>
              <w:rPr>
                <w:rFonts w:eastAsia="黑体"/>
                <w:sz w:val="18"/>
                <w:szCs w:val="18"/>
                <w:lang w:bidi="ar"/>
              </w:rPr>
              <w:t>排放标准名称</w:t>
            </w:r>
          </w:p>
        </w:tc>
      </w:tr>
      <w:tr w14:paraId="57526F13">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5B74101">
            <w:pPr>
              <w:jc w:val="center"/>
              <w:rPr>
                <w:rFonts w:eastAsia="黑体"/>
                <w:sz w:val="22"/>
                <w:szCs w:val="22"/>
              </w:rPr>
            </w:pPr>
          </w:p>
        </w:tc>
        <w:tc>
          <w:tcPr>
            <w:tcW w:w="656" w:type="dxa"/>
            <w:vMerge w:val="continue"/>
            <w:tcBorders>
              <w:top w:val="single" w:color="000000" w:sz="4" w:space="0"/>
              <w:left w:val="single" w:color="000000" w:sz="4" w:space="0"/>
              <w:bottom w:val="nil"/>
              <w:right w:val="single" w:color="000000" w:sz="4" w:space="0"/>
            </w:tcBorders>
            <w:shd w:val="clear" w:color="auto" w:fill="BFBFBF"/>
            <w:vAlign w:val="center"/>
          </w:tcPr>
          <w:p w14:paraId="534A3A33">
            <w:pPr>
              <w:jc w:val="center"/>
              <w:rPr>
                <w:rFonts w:eastAsia="黑体"/>
                <w:sz w:val="22"/>
                <w:szCs w:val="22"/>
              </w:rPr>
            </w:pPr>
          </w:p>
        </w:tc>
        <w:tc>
          <w:tcPr>
            <w:tcW w:w="602" w:type="dxa"/>
            <w:vMerge w:val="restart"/>
            <w:tcBorders>
              <w:top w:val="single" w:color="000000" w:sz="4" w:space="0"/>
              <w:left w:val="single" w:color="000000" w:sz="4" w:space="0"/>
              <w:right w:val="single" w:color="000000" w:sz="4" w:space="0"/>
            </w:tcBorders>
            <w:vAlign w:val="center"/>
          </w:tcPr>
          <w:p w14:paraId="48D4232B">
            <w:pPr>
              <w:jc w:val="center"/>
              <w:rPr>
                <w:rFonts w:hint="eastAsia" w:eastAsia="黑体"/>
                <w:sz w:val="18"/>
                <w:szCs w:val="18"/>
                <w:lang w:val="en-US" w:eastAsia="zh-CN"/>
              </w:rPr>
            </w:pPr>
            <w:r>
              <w:rPr>
                <w:rFonts w:hint="eastAsia" w:eastAsia="黑体"/>
                <w:sz w:val="18"/>
                <w:szCs w:val="18"/>
                <w:lang w:val="en-US" w:eastAsia="zh-CN"/>
              </w:rPr>
              <w:t>1</w:t>
            </w:r>
          </w:p>
        </w:tc>
        <w:tc>
          <w:tcPr>
            <w:tcW w:w="1144" w:type="dxa"/>
            <w:vMerge w:val="restart"/>
            <w:tcBorders>
              <w:top w:val="single" w:color="000000" w:sz="4" w:space="0"/>
              <w:left w:val="single" w:color="000000" w:sz="4" w:space="0"/>
              <w:right w:val="single" w:color="000000" w:sz="4" w:space="0"/>
            </w:tcBorders>
            <w:vAlign w:val="center"/>
          </w:tcPr>
          <w:p w14:paraId="3F9B8ED0">
            <w:pPr>
              <w:jc w:val="center"/>
              <w:rPr>
                <w:rFonts w:hint="default" w:eastAsia="黑体"/>
                <w:sz w:val="18"/>
                <w:szCs w:val="18"/>
                <w:lang w:val="en-US" w:eastAsia="zh-CN"/>
              </w:rPr>
            </w:pPr>
            <w:r>
              <w:rPr>
                <w:rFonts w:hint="eastAsia" w:eastAsia="黑体"/>
                <w:sz w:val="18"/>
                <w:szCs w:val="18"/>
                <w:lang w:val="en-US" w:eastAsia="zh-CN"/>
              </w:rPr>
              <w:t>全厂总排扣</w:t>
            </w:r>
          </w:p>
        </w:tc>
        <w:tc>
          <w:tcPr>
            <w:tcW w:w="4513" w:type="dxa"/>
            <w:gridSpan w:val="3"/>
            <w:vMerge w:val="restart"/>
            <w:tcBorders>
              <w:top w:val="single" w:color="000000" w:sz="4" w:space="0"/>
              <w:left w:val="single" w:color="000000" w:sz="4" w:space="0"/>
              <w:right w:val="single" w:color="000000" w:sz="4" w:space="0"/>
            </w:tcBorders>
            <w:vAlign w:val="center"/>
          </w:tcPr>
          <w:p w14:paraId="4586BC1D">
            <w:pPr>
              <w:jc w:val="center"/>
              <w:rPr>
                <w:rFonts w:hint="eastAsia" w:eastAsia="黑体"/>
                <w:sz w:val="18"/>
                <w:szCs w:val="18"/>
              </w:rPr>
            </w:pPr>
            <w:r>
              <w:rPr>
                <w:rFonts w:hint="eastAsia" w:eastAsia="黑体"/>
                <w:sz w:val="18"/>
                <w:szCs w:val="18"/>
              </w:rPr>
              <w:t>SPIC厌氧+生物接触氧化+</w:t>
            </w:r>
            <w:r>
              <w:rPr>
                <w:rFonts w:hint="eastAsia" w:eastAsia="黑体"/>
                <w:sz w:val="18"/>
                <w:szCs w:val="18"/>
                <w:lang w:val="en-US" w:eastAsia="zh-CN"/>
              </w:rPr>
              <w:t>活性砂滤</w:t>
            </w:r>
          </w:p>
        </w:tc>
        <w:tc>
          <w:tcPr>
            <w:tcW w:w="3159" w:type="dxa"/>
            <w:gridSpan w:val="2"/>
            <w:vMerge w:val="restart"/>
            <w:tcBorders>
              <w:top w:val="single" w:color="000000" w:sz="4" w:space="0"/>
              <w:left w:val="single" w:color="000000" w:sz="4" w:space="0"/>
              <w:right w:val="single" w:color="000000" w:sz="4" w:space="0"/>
            </w:tcBorders>
            <w:vAlign w:val="center"/>
          </w:tcPr>
          <w:p w14:paraId="3CDD20AC">
            <w:pPr>
              <w:jc w:val="center"/>
              <w:rPr>
                <w:rFonts w:hint="default" w:eastAsia="黑体"/>
                <w:sz w:val="18"/>
                <w:szCs w:val="18"/>
                <w:lang w:val="en-US" w:eastAsia="zh-CN"/>
              </w:rPr>
            </w:pPr>
            <w:r>
              <w:rPr>
                <w:rFonts w:hint="eastAsia" w:eastAsia="黑体"/>
                <w:sz w:val="18"/>
                <w:szCs w:val="18"/>
                <w:lang w:val="en-US" w:eastAsia="zh-CN"/>
              </w:rPr>
              <w:t>250</w:t>
            </w:r>
          </w:p>
        </w:tc>
        <w:tc>
          <w:tcPr>
            <w:tcW w:w="1836" w:type="dxa"/>
            <w:vMerge w:val="restart"/>
            <w:tcBorders>
              <w:top w:val="single" w:color="000000" w:sz="4" w:space="0"/>
              <w:left w:val="nil"/>
              <w:right w:val="single" w:color="000000" w:sz="4" w:space="0"/>
            </w:tcBorders>
            <w:vAlign w:val="center"/>
          </w:tcPr>
          <w:p w14:paraId="2AD4F700">
            <w:pPr>
              <w:jc w:val="center"/>
              <w:rPr>
                <w:rFonts w:hint="default" w:eastAsia="黑体"/>
                <w:sz w:val="18"/>
                <w:szCs w:val="18"/>
                <w:lang w:val="en-US" w:eastAsia="zh-CN"/>
              </w:rPr>
            </w:pPr>
            <w:r>
              <w:rPr>
                <w:rFonts w:hint="eastAsia" w:eastAsia="黑体"/>
                <w:sz w:val="18"/>
                <w:szCs w:val="18"/>
                <w:lang w:val="en-US" w:eastAsia="zh-CN"/>
              </w:rPr>
              <w:t>嫩江</w:t>
            </w:r>
          </w:p>
        </w:tc>
        <w:tc>
          <w:tcPr>
            <w:tcW w:w="1519" w:type="dxa"/>
            <w:vMerge w:val="restart"/>
            <w:tcBorders>
              <w:top w:val="single" w:color="000000" w:sz="4" w:space="0"/>
              <w:left w:val="single" w:color="000000" w:sz="4" w:space="0"/>
              <w:right w:val="single" w:color="000000" w:sz="4" w:space="0"/>
            </w:tcBorders>
            <w:vAlign w:val="center"/>
          </w:tcPr>
          <w:p w14:paraId="6B99B500">
            <w:pPr>
              <w:jc w:val="center"/>
              <w:rPr>
                <w:rFonts w:hint="eastAsia" w:eastAsia="黑体"/>
                <w:sz w:val="18"/>
                <w:szCs w:val="18"/>
              </w:rPr>
            </w:pPr>
            <w:r>
              <w:rPr>
                <w:rFonts w:hint="eastAsia" w:eastAsia="黑体"/>
                <w:sz w:val="18"/>
                <w:szCs w:val="18"/>
              </w:rPr>
              <w:fldChar w:fldCharType="begin"/>
            </w:r>
            <w:r>
              <w:rPr>
                <w:rFonts w:hint="eastAsia" w:eastAsia="黑体"/>
                <w:sz w:val="18"/>
                <w:szCs w:val="18"/>
              </w:rPr>
              <w:instrText xml:space="preserve"> = 3 \* ROMAN \* MERGEFORMAT </w:instrText>
            </w:r>
            <w:r>
              <w:rPr>
                <w:rFonts w:hint="eastAsia" w:eastAsia="黑体"/>
                <w:sz w:val="18"/>
                <w:szCs w:val="18"/>
              </w:rPr>
              <w:fldChar w:fldCharType="separate"/>
            </w:r>
            <w:r>
              <w:rPr>
                <w:rFonts w:hint="eastAsia" w:eastAsia="黑体"/>
                <w:sz w:val="18"/>
                <w:szCs w:val="18"/>
              </w:rPr>
              <w:t>III</w:t>
            </w:r>
            <w:r>
              <w:rPr>
                <w:rFonts w:hint="eastAsia" w:eastAsia="黑体"/>
                <w:sz w:val="18"/>
                <w:szCs w:val="18"/>
              </w:rPr>
              <w:fldChar w:fldCharType="end"/>
            </w:r>
          </w:p>
        </w:tc>
        <w:tc>
          <w:tcPr>
            <w:tcW w:w="1547" w:type="dxa"/>
            <w:tcBorders>
              <w:top w:val="single" w:color="000000" w:sz="4" w:space="0"/>
              <w:left w:val="single" w:color="000000" w:sz="4" w:space="0"/>
              <w:bottom w:val="single" w:color="000000" w:sz="4" w:space="0"/>
              <w:right w:val="single" w:color="000000" w:sz="4" w:space="0"/>
            </w:tcBorders>
            <w:vAlign w:val="center"/>
          </w:tcPr>
          <w:p w14:paraId="33324863">
            <w:pPr>
              <w:jc w:val="center"/>
              <w:rPr>
                <w:rFonts w:hint="eastAsia" w:eastAsia="黑体"/>
                <w:sz w:val="18"/>
                <w:szCs w:val="18"/>
              </w:rPr>
            </w:pPr>
            <w:r>
              <w:rPr>
                <w:rFonts w:hint="eastAsia" w:eastAsia="黑体"/>
                <w:sz w:val="18"/>
                <w:szCs w:val="18"/>
                <w:lang w:val="en-US" w:eastAsia="zh-CN"/>
              </w:rPr>
              <w:t>COD</w:t>
            </w: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787A60FA">
            <w:pPr>
              <w:jc w:val="center"/>
              <w:rPr>
                <w:rFonts w:hint="default" w:eastAsia="黑体"/>
                <w:sz w:val="18"/>
                <w:szCs w:val="18"/>
                <w:lang w:val="en-US" w:eastAsia="zh-CN"/>
              </w:rPr>
            </w:pPr>
            <w:r>
              <w:rPr>
                <w:rFonts w:hint="eastAsia" w:eastAsia="黑体"/>
                <w:sz w:val="18"/>
                <w:szCs w:val="18"/>
                <w:lang w:val="en-US" w:eastAsia="zh-CN"/>
              </w:rPr>
              <w:t>50</w:t>
            </w:r>
          </w:p>
        </w:tc>
        <w:tc>
          <w:tcPr>
            <w:tcW w:w="1462" w:type="dxa"/>
            <w:tcBorders>
              <w:top w:val="single" w:color="000000" w:sz="4" w:space="0"/>
              <w:left w:val="single" w:color="000000" w:sz="4" w:space="0"/>
              <w:bottom w:val="single" w:color="000000" w:sz="4" w:space="0"/>
              <w:right w:val="single" w:color="000000" w:sz="4" w:space="0"/>
            </w:tcBorders>
            <w:vAlign w:val="center"/>
          </w:tcPr>
          <w:p w14:paraId="271A4201">
            <w:pPr>
              <w:jc w:val="center"/>
              <w:rPr>
                <w:rFonts w:hint="default" w:eastAsia="黑体"/>
                <w:sz w:val="18"/>
                <w:szCs w:val="18"/>
                <w:lang w:val="en-US" w:eastAsia="zh-CN"/>
              </w:rPr>
            </w:pPr>
            <w:r>
              <w:rPr>
                <w:rFonts w:hint="eastAsia" w:eastAsia="黑体"/>
                <w:sz w:val="18"/>
                <w:szCs w:val="18"/>
                <w:lang w:val="en-US" w:eastAsia="zh-CN"/>
              </w:rPr>
              <w:t>109.5</w:t>
            </w:r>
          </w:p>
        </w:tc>
        <w:tc>
          <w:tcPr>
            <w:tcW w:w="2728" w:type="dxa"/>
            <w:gridSpan w:val="4"/>
            <w:vMerge w:val="restart"/>
            <w:tcBorders>
              <w:top w:val="single" w:color="000000" w:sz="4" w:space="0"/>
              <w:left w:val="single" w:color="000000" w:sz="4" w:space="0"/>
              <w:right w:val="single" w:color="000000" w:sz="4" w:space="0"/>
            </w:tcBorders>
            <w:vAlign w:val="center"/>
          </w:tcPr>
          <w:p w14:paraId="6DF16B71">
            <w:pPr>
              <w:jc w:val="center"/>
              <w:rPr>
                <w:rFonts w:hint="eastAsia" w:eastAsia="黑体"/>
                <w:sz w:val="18"/>
                <w:szCs w:val="18"/>
              </w:rPr>
            </w:pPr>
            <w:r>
              <w:rPr>
                <w:rFonts w:hint="eastAsia" w:eastAsia="黑体"/>
                <w:sz w:val="18"/>
                <w:szCs w:val="18"/>
              </w:rPr>
              <w:t>城镇污水处理厂污染物排放标准》（GB18918-2002）中的一级A标准</w:t>
            </w:r>
          </w:p>
        </w:tc>
      </w:tr>
      <w:tr w14:paraId="138D42BF">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0995AFA">
            <w:pPr>
              <w:jc w:val="center"/>
              <w:rPr>
                <w:rFonts w:eastAsia="黑体"/>
                <w:sz w:val="22"/>
                <w:szCs w:val="22"/>
              </w:rPr>
            </w:pPr>
          </w:p>
        </w:tc>
        <w:tc>
          <w:tcPr>
            <w:tcW w:w="656" w:type="dxa"/>
            <w:vMerge w:val="continue"/>
            <w:tcBorders>
              <w:top w:val="single" w:color="000000" w:sz="4" w:space="0"/>
              <w:left w:val="single" w:color="000000" w:sz="4" w:space="0"/>
              <w:bottom w:val="nil"/>
              <w:right w:val="single" w:color="000000" w:sz="4" w:space="0"/>
            </w:tcBorders>
            <w:shd w:val="clear" w:color="auto" w:fill="BFBFBF"/>
            <w:vAlign w:val="center"/>
          </w:tcPr>
          <w:p w14:paraId="482A6C66">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2EB06427">
            <w:pPr>
              <w:jc w:val="center"/>
              <w:rPr>
                <w:rFonts w:eastAsia="黑体"/>
                <w:sz w:val="18"/>
                <w:szCs w:val="18"/>
              </w:rPr>
            </w:pPr>
          </w:p>
        </w:tc>
        <w:tc>
          <w:tcPr>
            <w:tcW w:w="1144" w:type="dxa"/>
            <w:vMerge w:val="continue"/>
            <w:tcBorders>
              <w:left w:val="single" w:color="000000" w:sz="4" w:space="0"/>
              <w:right w:val="single" w:color="000000" w:sz="4" w:space="0"/>
            </w:tcBorders>
            <w:vAlign w:val="center"/>
          </w:tcPr>
          <w:p w14:paraId="68522111">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1E19A89E">
            <w:pPr>
              <w:jc w:val="center"/>
              <w:rPr>
                <w:rFonts w:eastAsia="黑体"/>
                <w:sz w:val="18"/>
                <w:szCs w:val="18"/>
              </w:rPr>
            </w:pPr>
          </w:p>
        </w:tc>
        <w:tc>
          <w:tcPr>
            <w:tcW w:w="3159" w:type="dxa"/>
            <w:gridSpan w:val="2"/>
            <w:vMerge w:val="continue"/>
            <w:tcBorders>
              <w:left w:val="single" w:color="000000" w:sz="4" w:space="0"/>
              <w:right w:val="single" w:color="000000" w:sz="4" w:space="0"/>
            </w:tcBorders>
            <w:vAlign w:val="center"/>
          </w:tcPr>
          <w:p w14:paraId="76A2A605">
            <w:pPr>
              <w:jc w:val="center"/>
              <w:rPr>
                <w:rFonts w:eastAsia="黑体"/>
                <w:sz w:val="18"/>
                <w:szCs w:val="18"/>
              </w:rPr>
            </w:pPr>
          </w:p>
        </w:tc>
        <w:tc>
          <w:tcPr>
            <w:tcW w:w="1836" w:type="dxa"/>
            <w:vMerge w:val="continue"/>
            <w:tcBorders>
              <w:left w:val="nil"/>
              <w:right w:val="single" w:color="000000" w:sz="4" w:space="0"/>
            </w:tcBorders>
            <w:vAlign w:val="center"/>
          </w:tcPr>
          <w:p w14:paraId="57CAF2C3">
            <w:pPr>
              <w:rPr>
                <w:rFonts w:eastAsia="黑体"/>
                <w:sz w:val="18"/>
                <w:szCs w:val="18"/>
              </w:rPr>
            </w:pPr>
          </w:p>
        </w:tc>
        <w:tc>
          <w:tcPr>
            <w:tcW w:w="1519" w:type="dxa"/>
            <w:vMerge w:val="continue"/>
            <w:tcBorders>
              <w:left w:val="single" w:color="000000" w:sz="4" w:space="0"/>
              <w:right w:val="single" w:color="000000" w:sz="4" w:space="0"/>
            </w:tcBorders>
            <w:vAlign w:val="center"/>
          </w:tcPr>
          <w:p w14:paraId="0950F8D2">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38E0ADCD">
            <w:pPr>
              <w:jc w:val="center"/>
              <w:rPr>
                <w:rFonts w:hint="eastAsia" w:eastAsia="黑体"/>
                <w:sz w:val="18"/>
                <w:szCs w:val="18"/>
              </w:rPr>
            </w:pPr>
            <w:r>
              <w:rPr>
                <w:rFonts w:hint="eastAsia" w:eastAsia="黑体"/>
                <w:sz w:val="18"/>
                <w:szCs w:val="18"/>
                <w:lang w:val="en-US" w:eastAsia="zh-CN"/>
              </w:rPr>
              <w:t>BOD5</w:t>
            </w: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67ACE1FE">
            <w:pPr>
              <w:jc w:val="center"/>
              <w:rPr>
                <w:rFonts w:hint="default" w:eastAsia="黑体"/>
                <w:sz w:val="18"/>
                <w:szCs w:val="18"/>
                <w:lang w:val="en-US" w:eastAsia="zh-CN"/>
              </w:rPr>
            </w:pPr>
            <w:r>
              <w:rPr>
                <w:rFonts w:hint="eastAsia" w:eastAsia="黑体"/>
                <w:sz w:val="18"/>
                <w:szCs w:val="18"/>
                <w:lang w:val="en-US" w:eastAsia="zh-CN"/>
              </w:rPr>
              <w:t>10</w:t>
            </w:r>
          </w:p>
        </w:tc>
        <w:tc>
          <w:tcPr>
            <w:tcW w:w="1462" w:type="dxa"/>
            <w:tcBorders>
              <w:top w:val="single" w:color="000000" w:sz="4" w:space="0"/>
              <w:left w:val="single" w:color="000000" w:sz="4" w:space="0"/>
              <w:bottom w:val="single" w:color="000000" w:sz="4" w:space="0"/>
              <w:right w:val="single" w:color="000000" w:sz="4" w:space="0"/>
            </w:tcBorders>
            <w:vAlign w:val="center"/>
          </w:tcPr>
          <w:p w14:paraId="316640CC">
            <w:pPr>
              <w:jc w:val="center"/>
              <w:rPr>
                <w:rFonts w:hint="default" w:eastAsia="黑体"/>
                <w:sz w:val="18"/>
                <w:szCs w:val="18"/>
                <w:lang w:val="en-US" w:eastAsia="zh-CN"/>
              </w:rPr>
            </w:pPr>
            <w:r>
              <w:rPr>
                <w:rFonts w:hint="eastAsia" w:eastAsia="黑体"/>
                <w:sz w:val="18"/>
                <w:szCs w:val="18"/>
                <w:lang w:val="en-US" w:eastAsia="zh-CN"/>
              </w:rPr>
              <w:t>21.9</w:t>
            </w:r>
          </w:p>
        </w:tc>
        <w:tc>
          <w:tcPr>
            <w:tcW w:w="2728" w:type="dxa"/>
            <w:gridSpan w:val="4"/>
            <w:vMerge w:val="continue"/>
            <w:tcBorders>
              <w:left w:val="single" w:color="000000" w:sz="4" w:space="0"/>
              <w:right w:val="single" w:color="000000" w:sz="4" w:space="0"/>
            </w:tcBorders>
            <w:vAlign w:val="center"/>
          </w:tcPr>
          <w:p w14:paraId="16F9BA55">
            <w:pPr>
              <w:jc w:val="center"/>
            </w:pPr>
          </w:p>
        </w:tc>
      </w:tr>
      <w:tr w14:paraId="3A3C0561">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7566C578">
            <w:pPr>
              <w:jc w:val="center"/>
              <w:rPr>
                <w:rFonts w:eastAsia="黑体"/>
                <w:sz w:val="22"/>
                <w:szCs w:val="22"/>
              </w:rPr>
            </w:pPr>
          </w:p>
        </w:tc>
        <w:tc>
          <w:tcPr>
            <w:tcW w:w="656" w:type="dxa"/>
            <w:vMerge w:val="continue"/>
            <w:tcBorders>
              <w:top w:val="single" w:color="000000" w:sz="4" w:space="0"/>
              <w:left w:val="single" w:color="000000" w:sz="4" w:space="0"/>
              <w:bottom w:val="nil"/>
              <w:right w:val="single" w:color="000000" w:sz="4" w:space="0"/>
            </w:tcBorders>
            <w:shd w:val="clear" w:color="auto" w:fill="BFBFBF"/>
            <w:vAlign w:val="center"/>
          </w:tcPr>
          <w:p w14:paraId="4F6B71C4">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54B526B5">
            <w:pPr>
              <w:jc w:val="center"/>
              <w:rPr>
                <w:rFonts w:eastAsia="黑体"/>
                <w:sz w:val="18"/>
                <w:szCs w:val="18"/>
              </w:rPr>
            </w:pPr>
          </w:p>
        </w:tc>
        <w:tc>
          <w:tcPr>
            <w:tcW w:w="1144" w:type="dxa"/>
            <w:vMerge w:val="continue"/>
            <w:tcBorders>
              <w:left w:val="single" w:color="000000" w:sz="4" w:space="0"/>
              <w:right w:val="single" w:color="000000" w:sz="4" w:space="0"/>
            </w:tcBorders>
            <w:vAlign w:val="center"/>
          </w:tcPr>
          <w:p w14:paraId="2B171703">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090A7A41">
            <w:pPr>
              <w:jc w:val="center"/>
              <w:rPr>
                <w:rFonts w:eastAsia="黑体"/>
                <w:sz w:val="18"/>
                <w:szCs w:val="18"/>
              </w:rPr>
            </w:pPr>
          </w:p>
        </w:tc>
        <w:tc>
          <w:tcPr>
            <w:tcW w:w="3159" w:type="dxa"/>
            <w:gridSpan w:val="2"/>
            <w:vMerge w:val="continue"/>
            <w:tcBorders>
              <w:left w:val="single" w:color="000000" w:sz="4" w:space="0"/>
              <w:right w:val="single" w:color="000000" w:sz="4" w:space="0"/>
            </w:tcBorders>
            <w:vAlign w:val="center"/>
          </w:tcPr>
          <w:p w14:paraId="0C0FFF20">
            <w:pPr>
              <w:jc w:val="center"/>
              <w:rPr>
                <w:rFonts w:eastAsia="黑体"/>
                <w:sz w:val="18"/>
                <w:szCs w:val="18"/>
              </w:rPr>
            </w:pPr>
          </w:p>
        </w:tc>
        <w:tc>
          <w:tcPr>
            <w:tcW w:w="1836" w:type="dxa"/>
            <w:vMerge w:val="continue"/>
            <w:tcBorders>
              <w:left w:val="nil"/>
              <w:right w:val="single" w:color="000000" w:sz="4" w:space="0"/>
            </w:tcBorders>
            <w:vAlign w:val="center"/>
          </w:tcPr>
          <w:p w14:paraId="2E327A50">
            <w:pPr>
              <w:rPr>
                <w:rFonts w:eastAsia="黑体"/>
                <w:sz w:val="18"/>
                <w:szCs w:val="18"/>
              </w:rPr>
            </w:pPr>
          </w:p>
        </w:tc>
        <w:tc>
          <w:tcPr>
            <w:tcW w:w="1519" w:type="dxa"/>
            <w:vMerge w:val="continue"/>
            <w:tcBorders>
              <w:left w:val="single" w:color="000000" w:sz="4" w:space="0"/>
              <w:right w:val="single" w:color="000000" w:sz="4" w:space="0"/>
            </w:tcBorders>
            <w:vAlign w:val="center"/>
          </w:tcPr>
          <w:p w14:paraId="39EA8F61">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1714349A">
            <w:pPr>
              <w:jc w:val="center"/>
              <w:rPr>
                <w:rFonts w:hint="eastAsia" w:eastAsia="黑体"/>
                <w:sz w:val="18"/>
                <w:szCs w:val="18"/>
              </w:rPr>
            </w:pPr>
            <w:r>
              <w:rPr>
                <w:rFonts w:hint="eastAsia" w:eastAsia="黑体"/>
                <w:sz w:val="18"/>
                <w:szCs w:val="18"/>
                <w:lang w:val="en-US" w:eastAsia="zh-CN"/>
              </w:rPr>
              <w:t>SS</w:t>
            </w: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36431DF8">
            <w:pPr>
              <w:jc w:val="center"/>
              <w:rPr>
                <w:rFonts w:hint="default" w:eastAsia="黑体"/>
                <w:sz w:val="18"/>
                <w:szCs w:val="18"/>
                <w:lang w:val="en-US" w:eastAsia="zh-CN"/>
              </w:rPr>
            </w:pPr>
            <w:r>
              <w:rPr>
                <w:rFonts w:hint="eastAsia" w:eastAsia="黑体"/>
                <w:sz w:val="18"/>
                <w:szCs w:val="18"/>
                <w:lang w:val="en-US" w:eastAsia="zh-CN"/>
              </w:rPr>
              <w:t>10</w:t>
            </w:r>
          </w:p>
        </w:tc>
        <w:tc>
          <w:tcPr>
            <w:tcW w:w="1462" w:type="dxa"/>
            <w:tcBorders>
              <w:top w:val="single" w:color="000000" w:sz="4" w:space="0"/>
              <w:left w:val="single" w:color="000000" w:sz="4" w:space="0"/>
              <w:bottom w:val="single" w:color="000000" w:sz="4" w:space="0"/>
              <w:right w:val="single" w:color="000000" w:sz="4" w:space="0"/>
            </w:tcBorders>
            <w:vAlign w:val="center"/>
          </w:tcPr>
          <w:p w14:paraId="057EB32F">
            <w:pPr>
              <w:jc w:val="center"/>
              <w:rPr>
                <w:rFonts w:hint="default" w:eastAsia="黑体"/>
                <w:sz w:val="18"/>
                <w:szCs w:val="18"/>
                <w:lang w:val="en-US" w:eastAsia="zh-CN"/>
              </w:rPr>
            </w:pPr>
            <w:r>
              <w:rPr>
                <w:rFonts w:hint="eastAsia" w:eastAsia="黑体"/>
                <w:sz w:val="18"/>
                <w:szCs w:val="18"/>
                <w:lang w:val="en-US" w:eastAsia="zh-CN"/>
              </w:rPr>
              <w:t>21.9</w:t>
            </w:r>
          </w:p>
        </w:tc>
        <w:tc>
          <w:tcPr>
            <w:tcW w:w="2728" w:type="dxa"/>
            <w:gridSpan w:val="4"/>
            <w:vMerge w:val="continue"/>
            <w:tcBorders>
              <w:left w:val="single" w:color="000000" w:sz="4" w:space="0"/>
              <w:right w:val="single" w:color="000000" w:sz="4" w:space="0"/>
            </w:tcBorders>
            <w:vAlign w:val="center"/>
          </w:tcPr>
          <w:p w14:paraId="0611427C">
            <w:pPr>
              <w:jc w:val="center"/>
            </w:pPr>
          </w:p>
        </w:tc>
      </w:tr>
      <w:tr w14:paraId="7B01B42A">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5D67532E">
            <w:pPr>
              <w:jc w:val="center"/>
              <w:rPr>
                <w:rFonts w:eastAsia="黑体"/>
                <w:sz w:val="22"/>
                <w:szCs w:val="22"/>
              </w:rPr>
            </w:pPr>
          </w:p>
        </w:tc>
        <w:tc>
          <w:tcPr>
            <w:tcW w:w="656" w:type="dxa"/>
            <w:vMerge w:val="continue"/>
            <w:tcBorders>
              <w:top w:val="single" w:color="000000" w:sz="4" w:space="0"/>
              <w:left w:val="single" w:color="000000" w:sz="4" w:space="0"/>
              <w:bottom w:val="nil"/>
              <w:right w:val="single" w:color="000000" w:sz="4" w:space="0"/>
            </w:tcBorders>
            <w:shd w:val="clear" w:color="auto" w:fill="BFBFBF"/>
            <w:vAlign w:val="center"/>
          </w:tcPr>
          <w:p w14:paraId="74CE318B">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6BA3FE78">
            <w:pPr>
              <w:jc w:val="center"/>
              <w:rPr>
                <w:rFonts w:eastAsia="黑体"/>
                <w:sz w:val="18"/>
                <w:szCs w:val="18"/>
              </w:rPr>
            </w:pPr>
          </w:p>
        </w:tc>
        <w:tc>
          <w:tcPr>
            <w:tcW w:w="1144" w:type="dxa"/>
            <w:vMerge w:val="continue"/>
            <w:tcBorders>
              <w:left w:val="single" w:color="000000" w:sz="4" w:space="0"/>
              <w:right w:val="single" w:color="000000" w:sz="4" w:space="0"/>
            </w:tcBorders>
            <w:vAlign w:val="center"/>
          </w:tcPr>
          <w:p w14:paraId="1528074C">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60B9695D">
            <w:pPr>
              <w:jc w:val="center"/>
              <w:rPr>
                <w:rFonts w:eastAsia="黑体"/>
                <w:sz w:val="18"/>
                <w:szCs w:val="18"/>
              </w:rPr>
            </w:pPr>
          </w:p>
        </w:tc>
        <w:tc>
          <w:tcPr>
            <w:tcW w:w="3159" w:type="dxa"/>
            <w:gridSpan w:val="2"/>
            <w:vMerge w:val="continue"/>
            <w:tcBorders>
              <w:left w:val="single" w:color="000000" w:sz="4" w:space="0"/>
              <w:right w:val="single" w:color="000000" w:sz="4" w:space="0"/>
            </w:tcBorders>
            <w:vAlign w:val="center"/>
          </w:tcPr>
          <w:p w14:paraId="0E141285">
            <w:pPr>
              <w:jc w:val="center"/>
              <w:rPr>
                <w:rFonts w:eastAsia="黑体"/>
                <w:sz w:val="18"/>
                <w:szCs w:val="18"/>
              </w:rPr>
            </w:pPr>
          </w:p>
        </w:tc>
        <w:tc>
          <w:tcPr>
            <w:tcW w:w="1836" w:type="dxa"/>
            <w:vMerge w:val="continue"/>
            <w:tcBorders>
              <w:left w:val="nil"/>
              <w:right w:val="single" w:color="000000" w:sz="4" w:space="0"/>
            </w:tcBorders>
            <w:vAlign w:val="center"/>
          </w:tcPr>
          <w:p w14:paraId="652693B4">
            <w:pPr>
              <w:rPr>
                <w:rFonts w:eastAsia="黑体"/>
                <w:sz w:val="18"/>
                <w:szCs w:val="18"/>
              </w:rPr>
            </w:pPr>
          </w:p>
        </w:tc>
        <w:tc>
          <w:tcPr>
            <w:tcW w:w="1519" w:type="dxa"/>
            <w:vMerge w:val="continue"/>
            <w:tcBorders>
              <w:left w:val="single" w:color="000000" w:sz="4" w:space="0"/>
              <w:right w:val="single" w:color="000000" w:sz="4" w:space="0"/>
            </w:tcBorders>
            <w:vAlign w:val="center"/>
          </w:tcPr>
          <w:p w14:paraId="5C7B44B6">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65F3CD49">
            <w:pPr>
              <w:jc w:val="center"/>
              <w:rPr>
                <w:rFonts w:hint="eastAsia" w:eastAsia="黑体"/>
                <w:sz w:val="18"/>
                <w:szCs w:val="18"/>
              </w:rPr>
            </w:pPr>
            <w:r>
              <w:rPr>
                <w:rFonts w:hint="eastAsia" w:eastAsia="黑体"/>
                <w:sz w:val="18"/>
                <w:szCs w:val="18"/>
                <w:lang w:val="en-US" w:eastAsia="zh-CN"/>
              </w:rPr>
              <w:t>NH</w:t>
            </w:r>
            <w:r>
              <w:rPr>
                <w:rFonts w:hint="eastAsia" w:eastAsia="黑体"/>
                <w:sz w:val="18"/>
                <w:szCs w:val="18"/>
                <w:vertAlign w:val="subscript"/>
                <w:lang w:val="en-US" w:eastAsia="zh-CN"/>
              </w:rPr>
              <w:t>3</w:t>
            </w:r>
            <w:r>
              <w:rPr>
                <w:rFonts w:hint="eastAsia" w:eastAsia="黑体"/>
                <w:sz w:val="18"/>
                <w:szCs w:val="18"/>
                <w:lang w:val="en-US" w:eastAsia="zh-CN"/>
              </w:rPr>
              <w:t>-N</w:t>
            </w: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6D14467E">
            <w:pPr>
              <w:jc w:val="center"/>
              <w:rPr>
                <w:rFonts w:hint="eastAsia" w:eastAsia="黑体"/>
                <w:sz w:val="18"/>
                <w:szCs w:val="18"/>
                <w:lang w:val="en-US" w:eastAsia="zh-CN"/>
              </w:rPr>
            </w:pPr>
            <w:r>
              <w:rPr>
                <w:rFonts w:hint="eastAsia" w:eastAsia="黑体"/>
                <w:sz w:val="18"/>
                <w:szCs w:val="18"/>
                <w:lang w:val="en-US" w:eastAsia="zh-CN"/>
              </w:rPr>
              <w:t>5</w:t>
            </w:r>
          </w:p>
        </w:tc>
        <w:tc>
          <w:tcPr>
            <w:tcW w:w="1462" w:type="dxa"/>
            <w:tcBorders>
              <w:top w:val="single" w:color="000000" w:sz="4" w:space="0"/>
              <w:left w:val="single" w:color="000000" w:sz="4" w:space="0"/>
              <w:bottom w:val="single" w:color="000000" w:sz="4" w:space="0"/>
              <w:right w:val="single" w:color="000000" w:sz="4" w:space="0"/>
            </w:tcBorders>
            <w:vAlign w:val="center"/>
          </w:tcPr>
          <w:p w14:paraId="05BFD1D0">
            <w:pPr>
              <w:jc w:val="center"/>
              <w:rPr>
                <w:rFonts w:hint="default" w:eastAsia="黑体"/>
                <w:sz w:val="18"/>
                <w:szCs w:val="18"/>
                <w:lang w:val="en-US" w:eastAsia="zh-CN"/>
              </w:rPr>
            </w:pPr>
            <w:r>
              <w:rPr>
                <w:rFonts w:hint="eastAsia" w:eastAsia="黑体"/>
                <w:sz w:val="18"/>
                <w:szCs w:val="18"/>
                <w:lang w:val="en-US" w:eastAsia="zh-CN"/>
              </w:rPr>
              <w:t>10.95</w:t>
            </w:r>
          </w:p>
        </w:tc>
        <w:tc>
          <w:tcPr>
            <w:tcW w:w="2728" w:type="dxa"/>
            <w:gridSpan w:val="4"/>
            <w:vMerge w:val="continue"/>
            <w:tcBorders>
              <w:left w:val="single" w:color="000000" w:sz="4" w:space="0"/>
              <w:right w:val="single" w:color="000000" w:sz="4" w:space="0"/>
            </w:tcBorders>
            <w:vAlign w:val="center"/>
          </w:tcPr>
          <w:p w14:paraId="182EAFDA">
            <w:pPr>
              <w:jc w:val="center"/>
            </w:pPr>
          </w:p>
        </w:tc>
      </w:tr>
      <w:tr w14:paraId="0BF0EE11">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8AAC531">
            <w:pPr>
              <w:jc w:val="center"/>
              <w:rPr>
                <w:rFonts w:eastAsia="黑体"/>
                <w:sz w:val="22"/>
                <w:szCs w:val="22"/>
              </w:rPr>
            </w:pPr>
          </w:p>
        </w:tc>
        <w:tc>
          <w:tcPr>
            <w:tcW w:w="656" w:type="dxa"/>
            <w:vMerge w:val="continue"/>
            <w:tcBorders>
              <w:top w:val="single" w:color="000000" w:sz="4" w:space="0"/>
              <w:left w:val="single" w:color="000000" w:sz="4" w:space="0"/>
              <w:bottom w:val="nil"/>
              <w:right w:val="single" w:color="000000" w:sz="4" w:space="0"/>
            </w:tcBorders>
            <w:shd w:val="clear" w:color="auto" w:fill="BFBFBF"/>
            <w:vAlign w:val="center"/>
          </w:tcPr>
          <w:p w14:paraId="3B772CB8">
            <w:pPr>
              <w:jc w:val="center"/>
              <w:rPr>
                <w:rFonts w:eastAsia="黑体"/>
                <w:sz w:val="22"/>
                <w:szCs w:val="22"/>
              </w:rPr>
            </w:pPr>
          </w:p>
        </w:tc>
        <w:tc>
          <w:tcPr>
            <w:tcW w:w="602" w:type="dxa"/>
            <w:vMerge w:val="continue"/>
            <w:tcBorders>
              <w:left w:val="single" w:color="000000" w:sz="4" w:space="0"/>
              <w:right w:val="single" w:color="000000" w:sz="4" w:space="0"/>
            </w:tcBorders>
            <w:vAlign w:val="center"/>
          </w:tcPr>
          <w:p w14:paraId="083BE3D6">
            <w:pPr>
              <w:jc w:val="center"/>
              <w:rPr>
                <w:rFonts w:eastAsia="黑体"/>
                <w:sz w:val="18"/>
                <w:szCs w:val="18"/>
              </w:rPr>
            </w:pPr>
          </w:p>
        </w:tc>
        <w:tc>
          <w:tcPr>
            <w:tcW w:w="1144" w:type="dxa"/>
            <w:vMerge w:val="continue"/>
            <w:tcBorders>
              <w:left w:val="single" w:color="000000" w:sz="4" w:space="0"/>
              <w:right w:val="single" w:color="000000" w:sz="4" w:space="0"/>
            </w:tcBorders>
            <w:vAlign w:val="center"/>
          </w:tcPr>
          <w:p w14:paraId="3F5FC0A0">
            <w:pPr>
              <w:rPr>
                <w:rFonts w:eastAsia="黑体"/>
                <w:sz w:val="18"/>
                <w:szCs w:val="18"/>
              </w:rPr>
            </w:pPr>
          </w:p>
        </w:tc>
        <w:tc>
          <w:tcPr>
            <w:tcW w:w="4513" w:type="dxa"/>
            <w:gridSpan w:val="3"/>
            <w:vMerge w:val="continue"/>
            <w:tcBorders>
              <w:left w:val="single" w:color="000000" w:sz="4" w:space="0"/>
              <w:right w:val="single" w:color="000000" w:sz="4" w:space="0"/>
            </w:tcBorders>
            <w:vAlign w:val="center"/>
          </w:tcPr>
          <w:p w14:paraId="667442E5">
            <w:pPr>
              <w:jc w:val="center"/>
              <w:rPr>
                <w:rFonts w:eastAsia="黑体"/>
                <w:sz w:val="18"/>
                <w:szCs w:val="18"/>
              </w:rPr>
            </w:pPr>
          </w:p>
        </w:tc>
        <w:tc>
          <w:tcPr>
            <w:tcW w:w="3159" w:type="dxa"/>
            <w:gridSpan w:val="2"/>
            <w:vMerge w:val="continue"/>
            <w:tcBorders>
              <w:left w:val="single" w:color="000000" w:sz="4" w:space="0"/>
              <w:right w:val="single" w:color="000000" w:sz="4" w:space="0"/>
            </w:tcBorders>
            <w:vAlign w:val="center"/>
          </w:tcPr>
          <w:p w14:paraId="4CD6ACD4">
            <w:pPr>
              <w:jc w:val="center"/>
              <w:rPr>
                <w:rFonts w:eastAsia="黑体"/>
                <w:sz w:val="18"/>
                <w:szCs w:val="18"/>
              </w:rPr>
            </w:pPr>
          </w:p>
        </w:tc>
        <w:tc>
          <w:tcPr>
            <w:tcW w:w="1836" w:type="dxa"/>
            <w:vMerge w:val="continue"/>
            <w:tcBorders>
              <w:left w:val="nil"/>
              <w:right w:val="single" w:color="000000" w:sz="4" w:space="0"/>
            </w:tcBorders>
            <w:vAlign w:val="center"/>
          </w:tcPr>
          <w:p w14:paraId="4F976EB2">
            <w:pPr>
              <w:rPr>
                <w:rFonts w:eastAsia="黑体"/>
                <w:sz w:val="18"/>
                <w:szCs w:val="18"/>
              </w:rPr>
            </w:pPr>
          </w:p>
        </w:tc>
        <w:tc>
          <w:tcPr>
            <w:tcW w:w="1519" w:type="dxa"/>
            <w:vMerge w:val="continue"/>
            <w:tcBorders>
              <w:left w:val="single" w:color="000000" w:sz="4" w:space="0"/>
              <w:right w:val="single" w:color="000000" w:sz="4" w:space="0"/>
            </w:tcBorders>
            <w:vAlign w:val="center"/>
          </w:tcPr>
          <w:p w14:paraId="30410B2C">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493C2ABC">
            <w:pPr>
              <w:jc w:val="center"/>
              <w:rPr>
                <w:rFonts w:hint="eastAsia" w:eastAsia="黑体"/>
                <w:sz w:val="18"/>
                <w:szCs w:val="18"/>
              </w:rPr>
            </w:pPr>
            <w:r>
              <w:rPr>
                <w:rFonts w:hint="eastAsia" w:eastAsia="黑体"/>
                <w:sz w:val="18"/>
                <w:szCs w:val="18"/>
                <w:lang w:val="en-US" w:eastAsia="zh-CN"/>
              </w:rPr>
              <w:t>TN</w:t>
            </w: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1226C3A8">
            <w:pPr>
              <w:jc w:val="center"/>
              <w:rPr>
                <w:rFonts w:hint="default" w:eastAsia="黑体"/>
                <w:sz w:val="18"/>
                <w:szCs w:val="18"/>
                <w:lang w:val="en-US" w:eastAsia="zh-CN"/>
              </w:rPr>
            </w:pPr>
            <w:r>
              <w:rPr>
                <w:rFonts w:hint="eastAsia" w:eastAsia="黑体"/>
                <w:sz w:val="18"/>
                <w:szCs w:val="18"/>
                <w:lang w:val="en-US" w:eastAsia="zh-CN"/>
              </w:rPr>
              <w:t>15</w:t>
            </w:r>
          </w:p>
        </w:tc>
        <w:tc>
          <w:tcPr>
            <w:tcW w:w="1462" w:type="dxa"/>
            <w:tcBorders>
              <w:top w:val="single" w:color="000000" w:sz="4" w:space="0"/>
              <w:left w:val="single" w:color="000000" w:sz="4" w:space="0"/>
              <w:bottom w:val="single" w:color="000000" w:sz="4" w:space="0"/>
              <w:right w:val="single" w:color="000000" w:sz="4" w:space="0"/>
            </w:tcBorders>
            <w:vAlign w:val="center"/>
          </w:tcPr>
          <w:p w14:paraId="23901869">
            <w:pPr>
              <w:jc w:val="center"/>
              <w:rPr>
                <w:rFonts w:hint="default" w:eastAsia="黑体"/>
                <w:sz w:val="18"/>
                <w:szCs w:val="18"/>
                <w:lang w:val="en-US" w:eastAsia="zh-CN"/>
              </w:rPr>
            </w:pPr>
            <w:r>
              <w:rPr>
                <w:rFonts w:hint="eastAsia" w:eastAsia="黑体"/>
                <w:sz w:val="18"/>
                <w:szCs w:val="18"/>
                <w:lang w:val="en-US" w:eastAsia="zh-CN"/>
              </w:rPr>
              <w:t>32.85</w:t>
            </w:r>
          </w:p>
        </w:tc>
        <w:tc>
          <w:tcPr>
            <w:tcW w:w="2728" w:type="dxa"/>
            <w:gridSpan w:val="4"/>
            <w:vMerge w:val="continue"/>
            <w:tcBorders>
              <w:left w:val="single" w:color="000000" w:sz="4" w:space="0"/>
              <w:right w:val="single" w:color="000000" w:sz="4" w:space="0"/>
            </w:tcBorders>
            <w:vAlign w:val="center"/>
          </w:tcPr>
          <w:p w14:paraId="7BB3AC7D">
            <w:pPr>
              <w:jc w:val="center"/>
            </w:pPr>
          </w:p>
        </w:tc>
      </w:tr>
      <w:tr w14:paraId="06E41B3D">
        <w:tblPrEx>
          <w:tblCellMar>
            <w:top w:w="0" w:type="dxa"/>
            <w:left w:w="108" w:type="dxa"/>
            <w:bottom w:w="0" w:type="dxa"/>
            <w:right w:w="108" w:type="dxa"/>
          </w:tblCellMar>
        </w:tblPrEx>
        <w:trPr>
          <w:trHeight w:val="285" w:hRule="atLeast"/>
          <w:jc w:val="center"/>
        </w:trPr>
        <w:tc>
          <w:tcPr>
            <w:tcW w:w="888" w:type="dxa"/>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14:paraId="24A9977F">
            <w:pPr>
              <w:jc w:val="center"/>
              <w:rPr>
                <w:rFonts w:eastAsia="黑体"/>
                <w:sz w:val="22"/>
                <w:szCs w:val="22"/>
              </w:rPr>
            </w:pPr>
          </w:p>
        </w:tc>
        <w:tc>
          <w:tcPr>
            <w:tcW w:w="656" w:type="dxa"/>
            <w:vMerge w:val="continue"/>
            <w:tcBorders>
              <w:top w:val="single" w:color="000000" w:sz="4" w:space="0"/>
              <w:left w:val="single" w:color="000000" w:sz="4" w:space="0"/>
              <w:bottom w:val="nil"/>
              <w:right w:val="single" w:color="000000" w:sz="4" w:space="0"/>
            </w:tcBorders>
            <w:shd w:val="clear" w:color="auto" w:fill="BFBFBF"/>
            <w:vAlign w:val="center"/>
          </w:tcPr>
          <w:p w14:paraId="2E4E74AE">
            <w:pPr>
              <w:jc w:val="center"/>
              <w:rPr>
                <w:rFonts w:eastAsia="黑体"/>
                <w:sz w:val="22"/>
                <w:szCs w:val="22"/>
              </w:rPr>
            </w:pPr>
          </w:p>
        </w:tc>
        <w:tc>
          <w:tcPr>
            <w:tcW w:w="602" w:type="dxa"/>
            <w:vMerge w:val="continue"/>
            <w:tcBorders>
              <w:left w:val="single" w:color="000000" w:sz="4" w:space="0"/>
              <w:bottom w:val="single" w:color="000000" w:sz="4" w:space="0"/>
              <w:right w:val="single" w:color="000000" w:sz="4" w:space="0"/>
            </w:tcBorders>
            <w:vAlign w:val="center"/>
          </w:tcPr>
          <w:p w14:paraId="28B586EA">
            <w:pPr>
              <w:jc w:val="center"/>
              <w:rPr>
                <w:rFonts w:eastAsia="黑体"/>
                <w:sz w:val="18"/>
                <w:szCs w:val="18"/>
              </w:rPr>
            </w:pPr>
          </w:p>
        </w:tc>
        <w:tc>
          <w:tcPr>
            <w:tcW w:w="1144" w:type="dxa"/>
            <w:vMerge w:val="continue"/>
            <w:tcBorders>
              <w:left w:val="single" w:color="000000" w:sz="4" w:space="0"/>
              <w:bottom w:val="single" w:color="000000" w:sz="4" w:space="0"/>
              <w:right w:val="single" w:color="000000" w:sz="4" w:space="0"/>
            </w:tcBorders>
            <w:vAlign w:val="center"/>
          </w:tcPr>
          <w:p w14:paraId="35DEF644">
            <w:pPr>
              <w:rPr>
                <w:rFonts w:eastAsia="黑体"/>
                <w:sz w:val="18"/>
                <w:szCs w:val="18"/>
              </w:rPr>
            </w:pPr>
          </w:p>
        </w:tc>
        <w:tc>
          <w:tcPr>
            <w:tcW w:w="4513" w:type="dxa"/>
            <w:gridSpan w:val="3"/>
            <w:vMerge w:val="continue"/>
            <w:tcBorders>
              <w:left w:val="single" w:color="000000" w:sz="4" w:space="0"/>
              <w:bottom w:val="single" w:color="000000" w:sz="4" w:space="0"/>
              <w:right w:val="single" w:color="000000" w:sz="4" w:space="0"/>
            </w:tcBorders>
            <w:vAlign w:val="center"/>
          </w:tcPr>
          <w:p w14:paraId="445F5697">
            <w:pPr>
              <w:jc w:val="center"/>
              <w:rPr>
                <w:rFonts w:eastAsia="黑体"/>
                <w:sz w:val="18"/>
                <w:szCs w:val="18"/>
              </w:rPr>
            </w:pPr>
          </w:p>
        </w:tc>
        <w:tc>
          <w:tcPr>
            <w:tcW w:w="3159" w:type="dxa"/>
            <w:gridSpan w:val="2"/>
            <w:vMerge w:val="continue"/>
            <w:tcBorders>
              <w:left w:val="single" w:color="000000" w:sz="4" w:space="0"/>
              <w:bottom w:val="single" w:color="000000" w:sz="4" w:space="0"/>
              <w:right w:val="single" w:color="000000" w:sz="4" w:space="0"/>
            </w:tcBorders>
            <w:vAlign w:val="center"/>
          </w:tcPr>
          <w:p w14:paraId="3CC3B8D8">
            <w:pPr>
              <w:jc w:val="center"/>
              <w:rPr>
                <w:rFonts w:eastAsia="黑体"/>
                <w:sz w:val="18"/>
                <w:szCs w:val="18"/>
              </w:rPr>
            </w:pPr>
          </w:p>
        </w:tc>
        <w:tc>
          <w:tcPr>
            <w:tcW w:w="1836" w:type="dxa"/>
            <w:vMerge w:val="continue"/>
            <w:tcBorders>
              <w:left w:val="nil"/>
              <w:bottom w:val="single" w:color="000000" w:sz="4" w:space="0"/>
              <w:right w:val="single" w:color="000000" w:sz="4" w:space="0"/>
            </w:tcBorders>
            <w:vAlign w:val="center"/>
          </w:tcPr>
          <w:p w14:paraId="6F758A5D">
            <w:pPr>
              <w:rPr>
                <w:rFonts w:eastAsia="黑体"/>
                <w:sz w:val="18"/>
                <w:szCs w:val="18"/>
              </w:rPr>
            </w:pPr>
          </w:p>
        </w:tc>
        <w:tc>
          <w:tcPr>
            <w:tcW w:w="1519" w:type="dxa"/>
            <w:vMerge w:val="continue"/>
            <w:tcBorders>
              <w:left w:val="single" w:color="000000" w:sz="4" w:space="0"/>
              <w:bottom w:val="single" w:color="000000" w:sz="4" w:space="0"/>
              <w:right w:val="single" w:color="000000" w:sz="4" w:space="0"/>
            </w:tcBorders>
            <w:vAlign w:val="center"/>
          </w:tcPr>
          <w:p w14:paraId="22E5EB55">
            <w:pPr>
              <w:rPr>
                <w:rFonts w:eastAsia="黑体"/>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2E85568E">
            <w:pPr>
              <w:jc w:val="center"/>
              <w:rPr>
                <w:rFonts w:hint="eastAsia" w:eastAsia="黑体"/>
                <w:sz w:val="18"/>
                <w:szCs w:val="18"/>
              </w:rPr>
            </w:pPr>
            <w:r>
              <w:rPr>
                <w:rFonts w:hint="eastAsia" w:eastAsia="黑体"/>
                <w:sz w:val="18"/>
                <w:szCs w:val="18"/>
                <w:lang w:val="en-US" w:eastAsia="zh-CN"/>
              </w:rPr>
              <w:t>TP</w:t>
            </w:r>
          </w:p>
        </w:tc>
        <w:tc>
          <w:tcPr>
            <w:tcW w:w="1567" w:type="dxa"/>
            <w:gridSpan w:val="2"/>
            <w:tcBorders>
              <w:top w:val="single" w:color="000000" w:sz="4" w:space="0"/>
              <w:left w:val="single" w:color="000000" w:sz="4" w:space="0"/>
              <w:bottom w:val="single" w:color="000000" w:sz="4" w:space="0"/>
              <w:right w:val="single" w:color="000000" w:sz="4" w:space="0"/>
            </w:tcBorders>
            <w:vAlign w:val="center"/>
          </w:tcPr>
          <w:p w14:paraId="1AE9DA0A">
            <w:pPr>
              <w:jc w:val="center"/>
              <w:rPr>
                <w:rFonts w:hint="default" w:eastAsia="黑体"/>
                <w:sz w:val="18"/>
                <w:szCs w:val="18"/>
                <w:lang w:val="en-US" w:eastAsia="zh-CN"/>
              </w:rPr>
            </w:pPr>
            <w:r>
              <w:rPr>
                <w:rFonts w:hint="eastAsia" w:eastAsia="黑体"/>
                <w:sz w:val="18"/>
                <w:szCs w:val="18"/>
                <w:lang w:val="en-US" w:eastAsia="zh-CN"/>
              </w:rPr>
              <w:t>0.5</w:t>
            </w:r>
          </w:p>
        </w:tc>
        <w:tc>
          <w:tcPr>
            <w:tcW w:w="1462" w:type="dxa"/>
            <w:tcBorders>
              <w:top w:val="single" w:color="000000" w:sz="4" w:space="0"/>
              <w:left w:val="single" w:color="000000" w:sz="4" w:space="0"/>
              <w:bottom w:val="single" w:color="000000" w:sz="4" w:space="0"/>
              <w:right w:val="single" w:color="000000" w:sz="4" w:space="0"/>
            </w:tcBorders>
            <w:vAlign w:val="center"/>
          </w:tcPr>
          <w:p w14:paraId="28F92A52">
            <w:pPr>
              <w:jc w:val="center"/>
              <w:rPr>
                <w:rFonts w:hint="default" w:eastAsia="黑体"/>
                <w:sz w:val="18"/>
                <w:szCs w:val="18"/>
                <w:lang w:val="en-US" w:eastAsia="zh-CN"/>
              </w:rPr>
            </w:pPr>
            <w:r>
              <w:rPr>
                <w:rFonts w:hint="eastAsia" w:eastAsia="黑体"/>
                <w:sz w:val="18"/>
                <w:szCs w:val="18"/>
                <w:lang w:val="en-US" w:eastAsia="zh-CN"/>
              </w:rPr>
              <w:t>1.095</w:t>
            </w:r>
          </w:p>
        </w:tc>
        <w:tc>
          <w:tcPr>
            <w:tcW w:w="2728" w:type="dxa"/>
            <w:gridSpan w:val="4"/>
            <w:vMerge w:val="continue"/>
            <w:tcBorders>
              <w:left w:val="single" w:color="000000" w:sz="4" w:space="0"/>
              <w:bottom w:val="single" w:color="000000" w:sz="4" w:space="0"/>
              <w:right w:val="single" w:color="000000" w:sz="4" w:space="0"/>
            </w:tcBorders>
            <w:vAlign w:val="center"/>
          </w:tcPr>
          <w:p w14:paraId="5742BB3D">
            <w:pPr>
              <w:jc w:val="center"/>
            </w:pPr>
          </w:p>
        </w:tc>
      </w:tr>
      <w:tr w14:paraId="7A49A7EF">
        <w:tblPrEx>
          <w:tblCellMar>
            <w:top w:w="0" w:type="dxa"/>
            <w:left w:w="108" w:type="dxa"/>
            <w:bottom w:w="0" w:type="dxa"/>
            <w:right w:w="108" w:type="dxa"/>
          </w:tblCellMar>
        </w:tblPrEx>
        <w:trPr>
          <w:trHeight w:val="540" w:hRule="atLeast"/>
          <w:jc w:val="center"/>
        </w:trPr>
        <w:tc>
          <w:tcPr>
            <w:tcW w:w="888" w:type="dxa"/>
            <w:vMerge w:val="restart"/>
            <w:tcBorders>
              <w:top w:val="single" w:color="000000" w:sz="4" w:space="0"/>
              <w:left w:val="single" w:color="000000" w:sz="4" w:space="0"/>
              <w:right w:val="single" w:color="000000" w:sz="4" w:space="0"/>
            </w:tcBorders>
            <w:shd w:val="clear" w:color="auto" w:fill="BFBFBF"/>
            <w:vAlign w:val="center"/>
          </w:tcPr>
          <w:p w14:paraId="4E5AAEDB">
            <w:pPr>
              <w:jc w:val="center"/>
              <w:textAlignment w:val="center"/>
              <w:rPr>
                <w:rFonts w:eastAsia="黑体"/>
                <w:sz w:val="22"/>
                <w:szCs w:val="22"/>
              </w:rPr>
            </w:pPr>
            <w:r>
              <w:rPr>
                <w:rFonts w:eastAsia="黑体"/>
                <w:sz w:val="22"/>
                <w:szCs w:val="22"/>
                <w:lang w:bidi="ar"/>
              </w:rPr>
              <w:t>固体废物信息</w:t>
            </w:r>
          </w:p>
        </w:tc>
        <w:tc>
          <w:tcPr>
            <w:tcW w:w="65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11A8B968">
            <w:pPr>
              <w:jc w:val="center"/>
              <w:textAlignment w:val="center"/>
              <w:rPr>
                <w:rFonts w:eastAsia="黑体"/>
                <w:sz w:val="22"/>
                <w:szCs w:val="22"/>
              </w:rPr>
            </w:pPr>
            <w:r>
              <w:rPr>
                <w:rFonts w:eastAsia="黑体"/>
                <w:sz w:val="22"/>
                <w:szCs w:val="22"/>
                <w:lang w:bidi="ar"/>
              </w:rPr>
              <w:t>废物类型</w:t>
            </w:r>
          </w:p>
        </w:tc>
        <w:tc>
          <w:tcPr>
            <w:tcW w:w="1746"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34C28915">
            <w:pPr>
              <w:jc w:val="center"/>
              <w:textAlignment w:val="center"/>
              <w:rPr>
                <w:rFonts w:eastAsia="黑体"/>
                <w:sz w:val="18"/>
                <w:szCs w:val="18"/>
              </w:rPr>
            </w:pPr>
            <w:r>
              <w:rPr>
                <w:rFonts w:eastAsia="黑体"/>
                <w:sz w:val="18"/>
                <w:szCs w:val="18"/>
                <w:lang w:bidi="ar"/>
              </w:rPr>
              <w:t>序号</w:t>
            </w:r>
          </w:p>
        </w:tc>
        <w:tc>
          <w:tcPr>
            <w:tcW w:w="1661"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4997160">
            <w:pPr>
              <w:jc w:val="center"/>
              <w:textAlignment w:val="center"/>
              <w:rPr>
                <w:rFonts w:eastAsia="黑体"/>
                <w:sz w:val="18"/>
                <w:szCs w:val="18"/>
              </w:rPr>
            </w:pPr>
            <w:r>
              <w:rPr>
                <w:rFonts w:eastAsia="黑体"/>
                <w:sz w:val="18"/>
                <w:szCs w:val="18"/>
                <w:lang w:bidi="ar"/>
              </w:rPr>
              <w:t>名称</w:t>
            </w:r>
          </w:p>
        </w:tc>
        <w:tc>
          <w:tcPr>
            <w:tcW w:w="2852"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73203FD7">
            <w:pPr>
              <w:jc w:val="center"/>
              <w:textAlignment w:val="center"/>
              <w:rPr>
                <w:rFonts w:eastAsia="黑体"/>
                <w:sz w:val="18"/>
                <w:szCs w:val="18"/>
              </w:rPr>
            </w:pPr>
            <w:r>
              <w:rPr>
                <w:rFonts w:eastAsia="黑体"/>
                <w:sz w:val="18"/>
                <w:szCs w:val="18"/>
                <w:lang w:bidi="ar"/>
              </w:rPr>
              <w:t>产生环节及装置</w:t>
            </w:r>
          </w:p>
        </w:tc>
        <w:tc>
          <w:tcPr>
            <w:tcW w:w="3159" w:type="dxa"/>
            <w:gridSpan w:val="2"/>
            <w:tcBorders>
              <w:top w:val="single" w:color="000000" w:sz="4" w:space="0"/>
              <w:left w:val="single" w:color="000000" w:sz="4" w:space="0"/>
              <w:bottom w:val="single" w:color="000000" w:sz="4" w:space="0"/>
              <w:right w:val="single" w:color="000000" w:sz="4" w:space="0"/>
            </w:tcBorders>
            <w:shd w:val="clear" w:color="auto" w:fill="BFBFBF"/>
            <w:vAlign w:val="center"/>
          </w:tcPr>
          <w:p w14:paraId="1B95C542">
            <w:pPr>
              <w:jc w:val="center"/>
              <w:textAlignment w:val="center"/>
              <w:rPr>
                <w:rFonts w:eastAsia="黑体"/>
                <w:sz w:val="18"/>
                <w:szCs w:val="18"/>
              </w:rPr>
            </w:pPr>
            <w:r>
              <w:rPr>
                <w:rFonts w:eastAsia="黑体"/>
                <w:sz w:val="18"/>
                <w:szCs w:val="18"/>
                <w:lang w:bidi="ar"/>
              </w:rPr>
              <w:t>危险废物特性</w:t>
            </w:r>
          </w:p>
        </w:tc>
        <w:tc>
          <w:tcPr>
            <w:tcW w:w="183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2A3E0201">
            <w:pPr>
              <w:jc w:val="center"/>
              <w:textAlignment w:val="center"/>
              <w:rPr>
                <w:rFonts w:eastAsia="黑体"/>
                <w:sz w:val="18"/>
                <w:szCs w:val="18"/>
              </w:rPr>
            </w:pPr>
            <w:r>
              <w:rPr>
                <w:rFonts w:eastAsia="黑体"/>
                <w:sz w:val="18"/>
                <w:szCs w:val="18"/>
                <w:lang w:bidi="ar"/>
              </w:rPr>
              <w:t>危险废物代码</w:t>
            </w:r>
          </w:p>
        </w:tc>
        <w:tc>
          <w:tcPr>
            <w:tcW w:w="1519"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344755A6">
            <w:pPr>
              <w:jc w:val="center"/>
              <w:textAlignment w:val="center"/>
              <w:rPr>
                <w:rFonts w:eastAsia="黑体"/>
                <w:sz w:val="18"/>
                <w:szCs w:val="18"/>
                <w:lang w:bidi="ar"/>
              </w:rPr>
            </w:pPr>
            <w:r>
              <w:rPr>
                <w:rFonts w:eastAsia="黑体"/>
                <w:sz w:val="18"/>
                <w:szCs w:val="18"/>
                <w:lang w:bidi="ar"/>
              </w:rPr>
              <w:t>产生量</w:t>
            </w:r>
          </w:p>
          <w:p w14:paraId="7D6F7BE2">
            <w:pPr>
              <w:jc w:val="center"/>
              <w:textAlignment w:val="center"/>
              <w:rPr>
                <w:rFonts w:eastAsia="黑体"/>
                <w:sz w:val="18"/>
                <w:szCs w:val="18"/>
              </w:rPr>
            </w:pPr>
            <w:r>
              <w:rPr>
                <w:rFonts w:eastAsia="黑体"/>
                <w:sz w:val="18"/>
                <w:szCs w:val="18"/>
                <w:lang w:bidi="ar"/>
              </w:rPr>
              <w:t>（吨/年）</w:t>
            </w:r>
          </w:p>
        </w:tc>
        <w:tc>
          <w:tcPr>
            <w:tcW w:w="1547"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0929ACE0">
            <w:pPr>
              <w:jc w:val="center"/>
              <w:textAlignment w:val="center"/>
              <w:rPr>
                <w:rFonts w:eastAsia="黑体"/>
                <w:sz w:val="18"/>
                <w:szCs w:val="18"/>
              </w:rPr>
            </w:pPr>
            <w:r>
              <w:rPr>
                <w:rFonts w:eastAsia="黑体"/>
                <w:sz w:val="18"/>
                <w:szCs w:val="18"/>
                <w:lang w:bidi="ar"/>
              </w:rPr>
              <w:t>贮存设施名称</w:t>
            </w:r>
          </w:p>
        </w:tc>
        <w:tc>
          <w:tcPr>
            <w:tcW w:w="1021"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4D37B799">
            <w:pPr>
              <w:jc w:val="center"/>
              <w:textAlignment w:val="center"/>
              <w:rPr>
                <w:rFonts w:eastAsia="黑体"/>
                <w:sz w:val="18"/>
                <w:szCs w:val="18"/>
              </w:rPr>
            </w:pPr>
            <w:r>
              <w:rPr>
                <w:rFonts w:eastAsia="黑体"/>
                <w:sz w:val="18"/>
                <w:szCs w:val="18"/>
                <w:lang w:bidi="ar"/>
              </w:rPr>
              <w:t>贮存能力</w:t>
            </w:r>
          </w:p>
        </w:tc>
        <w:tc>
          <w:tcPr>
            <w:tcW w:w="546"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19C40F6D">
            <w:pPr>
              <w:jc w:val="center"/>
              <w:textAlignment w:val="center"/>
              <w:rPr>
                <w:rFonts w:eastAsia="黑体"/>
                <w:sz w:val="18"/>
                <w:szCs w:val="18"/>
                <w:lang w:bidi="ar"/>
              </w:rPr>
            </w:pPr>
            <w:r>
              <w:rPr>
                <w:rFonts w:eastAsia="黑体"/>
                <w:sz w:val="18"/>
                <w:szCs w:val="18"/>
                <w:lang w:bidi="ar"/>
              </w:rPr>
              <w:t>自行利用</w:t>
            </w:r>
          </w:p>
          <w:p w14:paraId="74F29F53">
            <w:pPr>
              <w:jc w:val="center"/>
              <w:textAlignment w:val="center"/>
              <w:rPr>
                <w:rFonts w:eastAsia="黑体"/>
                <w:sz w:val="18"/>
                <w:szCs w:val="18"/>
              </w:rPr>
            </w:pPr>
            <w:r>
              <w:rPr>
                <w:rFonts w:eastAsia="黑体"/>
                <w:sz w:val="18"/>
                <w:szCs w:val="18"/>
                <w:lang w:bidi="ar"/>
              </w:rPr>
              <w:t>工艺</w:t>
            </w:r>
          </w:p>
        </w:tc>
        <w:tc>
          <w:tcPr>
            <w:tcW w:w="3275" w:type="dxa"/>
            <w:gridSpan w:val="4"/>
            <w:tcBorders>
              <w:top w:val="single" w:color="000000" w:sz="4" w:space="0"/>
              <w:left w:val="single" w:color="000000" w:sz="4" w:space="0"/>
              <w:bottom w:val="single" w:color="000000" w:sz="4" w:space="0"/>
              <w:right w:val="single" w:color="000000" w:sz="4" w:space="0"/>
            </w:tcBorders>
            <w:shd w:val="clear" w:color="auto" w:fill="BFBFBF"/>
            <w:vAlign w:val="center"/>
          </w:tcPr>
          <w:p w14:paraId="695987B1">
            <w:pPr>
              <w:jc w:val="center"/>
              <w:textAlignment w:val="center"/>
              <w:rPr>
                <w:rFonts w:eastAsia="黑体"/>
                <w:sz w:val="18"/>
                <w:szCs w:val="18"/>
                <w:lang w:bidi="ar"/>
              </w:rPr>
            </w:pPr>
            <w:r>
              <w:rPr>
                <w:rFonts w:eastAsia="黑体"/>
                <w:sz w:val="18"/>
                <w:szCs w:val="18"/>
                <w:lang w:bidi="ar"/>
              </w:rPr>
              <w:t>自行处置</w:t>
            </w:r>
          </w:p>
          <w:p w14:paraId="2F6C3DC0">
            <w:pPr>
              <w:jc w:val="center"/>
              <w:textAlignment w:val="center"/>
              <w:rPr>
                <w:rFonts w:eastAsia="黑体"/>
                <w:sz w:val="18"/>
                <w:szCs w:val="18"/>
              </w:rPr>
            </w:pPr>
            <w:r>
              <w:rPr>
                <w:rFonts w:eastAsia="黑体"/>
                <w:sz w:val="18"/>
                <w:szCs w:val="18"/>
                <w:lang w:bidi="ar"/>
              </w:rPr>
              <w:t>工艺</w:t>
            </w:r>
          </w:p>
        </w:tc>
        <w:tc>
          <w:tcPr>
            <w:tcW w:w="915" w:type="dxa"/>
            <w:tcBorders>
              <w:top w:val="single" w:color="000000" w:sz="4" w:space="0"/>
              <w:left w:val="single" w:color="000000" w:sz="4" w:space="0"/>
              <w:bottom w:val="single" w:color="000000" w:sz="4" w:space="0"/>
              <w:right w:val="single" w:color="000000" w:sz="4" w:space="0"/>
            </w:tcBorders>
            <w:shd w:val="clear" w:color="auto" w:fill="BFBFBF"/>
            <w:vAlign w:val="center"/>
          </w:tcPr>
          <w:p w14:paraId="7F99126D">
            <w:pPr>
              <w:jc w:val="center"/>
              <w:textAlignment w:val="center"/>
              <w:rPr>
                <w:rFonts w:eastAsia="黑体"/>
                <w:sz w:val="18"/>
                <w:szCs w:val="18"/>
              </w:rPr>
            </w:pPr>
            <w:r>
              <w:rPr>
                <w:rFonts w:eastAsia="黑体"/>
                <w:sz w:val="18"/>
                <w:szCs w:val="18"/>
                <w:lang w:bidi="ar"/>
              </w:rPr>
              <w:t>是否外委处置</w:t>
            </w:r>
          </w:p>
        </w:tc>
      </w:tr>
      <w:tr w14:paraId="0663A2AA">
        <w:tblPrEx>
          <w:tblCellMar>
            <w:top w:w="0" w:type="dxa"/>
            <w:left w:w="108" w:type="dxa"/>
            <w:bottom w:w="0" w:type="dxa"/>
            <w:right w:w="108" w:type="dxa"/>
          </w:tblCellMar>
        </w:tblPrEx>
        <w:trPr>
          <w:trHeight w:val="641" w:hRule="atLeast"/>
          <w:jc w:val="center"/>
        </w:trPr>
        <w:tc>
          <w:tcPr>
            <w:tcW w:w="888" w:type="dxa"/>
            <w:vMerge w:val="continue"/>
            <w:tcBorders>
              <w:left w:val="single" w:color="000000" w:sz="4" w:space="0"/>
              <w:right w:val="single" w:color="000000" w:sz="4" w:space="0"/>
            </w:tcBorders>
            <w:shd w:val="clear" w:color="auto" w:fill="BFBFBF"/>
            <w:vAlign w:val="center"/>
          </w:tcPr>
          <w:p w14:paraId="4604A0F8">
            <w:pPr>
              <w:jc w:val="center"/>
              <w:rPr>
                <w:rFonts w:eastAsia="黑体"/>
                <w:sz w:val="22"/>
                <w:szCs w:val="22"/>
              </w:rPr>
            </w:pPr>
          </w:p>
        </w:tc>
        <w:tc>
          <w:tcPr>
            <w:tcW w:w="656" w:type="dxa"/>
            <w:vMerge w:val="restart"/>
            <w:tcBorders>
              <w:top w:val="single" w:color="000000" w:sz="4" w:space="0"/>
              <w:left w:val="single" w:color="000000" w:sz="4" w:space="0"/>
              <w:right w:val="single" w:color="000000" w:sz="4" w:space="0"/>
            </w:tcBorders>
            <w:shd w:val="clear" w:color="auto" w:fill="BFBFBF"/>
            <w:vAlign w:val="center"/>
          </w:tcPr>
          <w:p w14:paraId="51E68FA2">
            <w:pPr>
              <w:jc w:val="center"/>
              <w:textAlignment w:val="center"/>
              <w:rPr>
                <w:rFonts w:eastAsia="黑体"/>
                <w:sz w:val="22"/>
                <w:szCs w:val="22"/>
              </w:rPr>
            </w:pPr>
            <w:r>
              <w:rPr>
                <w:rFonts w:eastAsia="黑体"/>
                <w:sz w:val="22"/>
                <w:szCs w:val="22"/>
                <w:lang w:bidi="ar"/>
              </w:rPr>
              <w:t>一般工业固体废物</w:t>
            </w:r>
          </w:p>
        </w:tc>
        <w:tc>
          <w:tcPr>
            <w:tcW w:w="1746" w:type="dxa"/>
            <w:gridSpan w:val="2"/>
            <w:tcBorders>
              <w:top w:val="single" w:color="000000" w:sz="4" w:space="0"/>
              <w:left w:val="single" w:color="000000" w:sz="4" w:space="0"/>
              <w:bottom w:val="single" w:color="000000" w:sz="4" w:space="0"/>
              <w:right w:val="single" w:color="000000" w:sz="4" w:space="0"/>
            </w:tcBorders>
            <w:vAlign w:val="center"/>
          </w:tcPr>
          <w:p w14:paraId="1E8B00FE">
            <w:pPr>
              <w:jc w:val="center"/>
              <w:rPr>
                <w:rFonts w:eastAsia="黑体"/>
                <w:sz w:val="18"/>
                <w:szCs w:val="18"/>
              </w:rPr>
            </w:pPr>
            <w:r>
              <w:rPr>
                <w:rFonts w:eastAsia="黑体"/>
                <w:sz w:val="18"/>
                <w:szCs w:val="18"/>
              </w:rPr>
              <w:t>1</w:t>
            </w:r>
          </w:p>
        </w:tc>
        <w:tc>
          <w:tcPr>
            <w:tcW w:w="1661" w:type="dxa"/>
            <w:tcBorders>
              <w:top w:val="single" w:color="000000" w:sz="4" w:space="0"/>
              <w:left w:val="single" w:color="000000" w:sz="4" w:space="0"/>
              <w:bottom w:val="single" w:color="000000" w:sz="4" w:space="0"/>
              <w:right w:val="single" w:color="000000" w:sz="4" w:space="0"/>
            </w:tcBorders>
            <w:vAlign w:val="center"/>
          </w:tcPr>
          <w:p w14:paraId="1F8E9DCA">
            <w:pPr>
              <w:jc w:val="center"/>
              <w:rPr>
                <w:rFonts w:hint="eastAsia" w:eastAsia="黑体"/>
                <w:sz w:val="18"/>
                <w:szCs w:val="18"/>
              </w:rPr>
            </w:pPr>
            <w:r>
              <w:rPr>
                <w:rFonts w:hint="eastAsia" w:eastAsia="黑体"/>
                <w:sz w:val="18"/>
                <w:szCs w:val="18"/>
                <w:lang w:val="en-US" w:eastAsia="zh-CN"/>
              </w:rPr>
              <w:t>污泥</w:t>
            </w: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2FA8FBB2">
            <w:pPr>
              <w:jc w:val="center"/>
              <w:rPr>
                <w:rFonts w:hint="eastAsia" w:eastAsia="黑体"/>
                <w:sz w:val="18"/>
                <w:szCs w:val="18"/>
              </w:rPr>
            </w:pPr>
            <w:r>
              <w:rPr>
                <w:rFonts w:hint="eastAsia" w:eastAsia="黑体"/>
                <w:sz w:val="18"/>
                <w:szCs w:val="18"/>
                <w:lang w:val="en-US" w:eastAsia="zh-CN"/>
              </w:rPr>
              <w:t>污水处理站</w:t>
            </w: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36962D6F">
            <w:pPr>
              <w:jc w:val="center"/>
              <w:rPr>
                <w:rFonts w:hint="eastAsia" w:eastAsia="黑体"/>
                <w:sz w:val="18"/>
                <w:szCs w:val="18"/>
              </w:rPr>
            </w:pPr>
            <w:r>
              <w:rPr>
                <w:rFonts w:hint="eastAsia" w:eastAsia="黑体"/>
                <w:sz w:val="18"/>
                <w:szCs w:val="18"/>
              </w:rPr>
              <w:t>/</w:t>
            </w:r>
          </w:p>
        </w:tc>
        <w:tc>
          <w:tcPr>
            <w:tcW w:w="1836" w:type="dxa"/>
            <w:tcBorders>
              <w:top w:val="single" w:color="000000" w:sz="4" w:space="0"/>
              <w:left w:val="single" w:color="000000" w:sz="4" w:space="0"/>
              <w:bottom w:val="single" w:color="000000" w:sz="4" w:space="0"/>
              <w:right w:val="single" w:color="000000" w:sz="4" w:space="0"/>
            </w:tcBorders>
            <w:vAlign w:val="center"/>
          </w:tcPr>
          <w:p w14:paraId="519FB70E">
            <w:pPr>
              <w:jc w:val="center"/>
              <w:rPr>
                <w:rFonts w:hint="eastAsia" w:eastAsia="黑体"/>
                <w:sz w:val="18"/>
                <w:szCs w:val="18"/>
              </w:rPr>
            </w:pPr>
            <w:r>
              <w:rPr>
                <w:rFonts w:hint="eastAsia" w:eastAsia="黑体"/>
                <w:sz w:val="18"/>
                <w:szCs w:val="18"/>
              </w:rPr>
              <w:t>/</w:t>
            </w:r>
          </w:p>
        </w:tc>
        <w:tc>
          <w:tcPr>
            <w:tcW w:w="1519" w:type="dxa"/>
            <w:tcBorders>
              <w:top w:val="single" w:color="000000" w:sz="4" w:space="0"/>
              <w:left w:val="single" w:color="000000" w:sz="4" w:space="0"/>
              <w:bottom w:val="single" w:color="000000" w:sz="4" w:space="0"/>
              <w:right w:val="single" w:color="000000" w:sz="4" w:space="0"/>
            </w:tcBorders>
            <w:vAlign w:val="center"/>
          </w:tcPr>
          <w:p w14:paraId="7E46A06D">
            <w:pPr>
              <w:jc w:val="center"/>
              <w:rPr>
                <w:rFonts w:hint="eastAsia" w:eastAsia="黑体"/>
                <w:sz w:val="18"/>
                <w:szCs w:val="18"/>
                <w:lang w:eastAsia="zh-CN"/>
              </w:rPr>
            </w:pPr>
            <w:r>
              <w:rPr>
                <w:rFonts w:hint="eastAsia" w:eastAsia="黑体"/>
                <w:sz w:val="18"/>
                <w:szCs w:val="18"/>
                <w:lang w:val="en-US" w:eastAsia="zh-CN"/>
              </w:rPr>
              <w:t>390.9</w:t>
            </w:r>
          </w:p>
        </w:tc>
        <w:tc>
          <w:tcPr>
            <w:tcW w:w="1547" w:type="dxa"/>
            <w:tcBorders>
              <w:top w:val="single" w:color="000000" w:sz="4" w:space="0"/>
              <w:left w:val="single" w:color="000000" w:sz="4" w:space="0"/>
              <w:right w:val="single" w:color="000000" w:sz="4" w:space="0"/>
            </w:tcBorders>
            <w:vAlign w:val="center"/>
          </w:tcPr>
          <w:p w14:paraId="68AF6040">
            <w:pPr>
              <w:jc w:val="center"/>
              <w:rPr>
                <w:rFonts w:hint="eastAsia" w:eastAsia="黑体"/>
                <w:sz w:val="18"/>
                <w:szCs w:val="18"/>
              </w:rPr>
            </w:pPr>
            <w:r>
              <w:rPr>
                <w:rFonts w:hint="eastAsia" w:ascii="Times New Roman" w:hAnsi="Times New Roman" w:eastAsia="黑体" w:cs="Times New Roman"/>
                <w:sz w:val="18"/>
                <w:szCs w:val="18"/>
                <w:lang w:val="en-US" w:eastAsia="zh-CN"/>
              </w:rPr>
              <w:t>掺混入燃煤进入锅炉燃烧</w:t>
            </w:r>
          </w:p>
        </w:tc>
        <w:tc>
          <w:tcPr>
            <w:tcW w:w="1021" w:type="dxa"/>
            <w:tcBorders>
              <w:top w:val="single" w:color="000000" w:sz="4" w:space="0"/>
              <w:left w:val="single" w:color="000000" w:sz="4" w:space="0"/>
              <w:bottom w:val="single" w:color="000000" w:sz="4" w:space="0"/>
              <w:right w:val="single" w:color="000000" w:sz="4" w:space="0"/>
            </w:tcBorders>
            <w:vAlign w:val="center"/>
          </w:tcPr>
          <w:p w14:paraId="48B3EE18">
            <w:pPr>
              <w:jc w:val="center"/>
              <w:textAlignment w:val="center"/>
              <w:rPr>
                <w:rFonts w:eastAsia="黑体"/>
                <w:sz w:val="18"/>
                <w:szCs w:val="18"/>
              </w:rPr>
            </w:pPr>
          </w:p>
        </w:tc>
        <w:tc>
          <w:tcPr>
            <w:tcW w:w="546" w:type="dxa"/>
            <w:tcBorders>
              <w:top w:val="single" w:color="000000" w:sz="4" w:space="0"/>
              <w:left w:val="single" w:color="000000" w:sz="4" w:space="0"/>
              <w:bottom w:val="single" w:color="000000" w:sz="4" w:space="0"/>
              <w:right w:val="single" w:color="000000" w:sz="4" w:space="0"/>
            </w:tcBorders>
            <w:vAlign w:val="center"/>
          </w:tcPr>
          <w:p w14:paraId="7A571A1B">
            <w:pPr>
              <w:jc w:val="center"/>
              <w:textAlignment w:val="center"/>
              <w:rPr>
                <w:rFonts w:eastAsia="黑体"/>
                <w:sz w:val="18"/>
                <w:szCs w:val="18"/>
              </w:rPr>
            </w:pPr>
          </w:p>
        </w:tc>
        <w:tc>
          <w:tcPr>
            <w:tcW w:w="3275" w:type="dxa"/>
            <w:gridSpan w:val="4"/>
            <w:tcBorders>
              <w:top w:val="single" w:color="000000" w:sz="4" w:space="0"/>
              <w:left w:val="single" w:color="000000" w:sz="4" w:space="0"/>
              <w:bottom w:val="single" w:color="000000" w:sz="4" w:space="0"/>
              <w:right w:val="single" w:color="000000" w:sz="4" w:space="0"/>
            </w:tcBorders>
            <w:vAlign w:val="center"/>
          </w:tcPr>
          <w:p w14:paraId="170E46DC">
            <w:pPr>
              <w:jc w:val="center"/>
              <w:textAlignment w:val="center"/>
              <w:rPr>
                <w:rFonts w:eastAsia="黑体"/>
                <w:sz w:val="18"/>
                <w:szCs w:val="18"/>
              </w:rPr>
            </w:pPr>
          </w:p>
        </w:tc>
        <w:tc>
          <w:tcPr>
            <w:tcW w:w="915" w:type="dxa"/>
            <w:tcBorders>
              <w:top w:val="single" w:color="000000" w:sz="4" w:space="0"/>
              <w:left w:val="single" w:color="000000" w:sz="4" w:space="0"/>
              <w:bottom w:val="single" w:color="000000" w:sz="4" w:space="0"/>
              <w:right w:val="single" w:color="000000" w:sz="4" w:space="0"/>
            </w:tcBorders>
            <w:vAlign w:val="center"/>
          </w:tcPr>
          <w:p w14:paraId="5CAE0A56">
            <w:pPr>
              <w:jc w:val="center"/>
              <w:rPr>
                <w:rFonts w:eastAsia="黑体"/>
                <w:sz w:val="18"/>
                <w:szCs w:val="18"/>
              </w:rPr>
            </w:pPr>
            <w:r>
              <w:rPr>
                <w:rFonts w:hint="eastAsia" w:eastAsia="黑体"/>
                <w:sz w:val="18"/>
                <w:szCs w:val="18"/>
              </w:rPr>
              <w:t>是</w:t>
            </w:r>
          </w:p>
        </w:tc>
      </w:tr>
      <w:tr w14:paraId="678B25FB">
        <w:tblPrEx>
          <w:tblCellMar>
            <w:top w:w="0" w:type="dxa"/>
            <w:left w:w="108" w:type="dxa"/>
            <w:bottom w:w="0" w:type="dxa"/>
            <w:right w:w="108" w:type="dxa"/>
          </w:tblCellMar>
        </w:tblPrEx>
        <w:trPr>
          <w:trHeight w:val="285" w:hRule="atLeast"/>
          <w:jc w:val="center"/>
        </w:trPr>
        <w:tc>
          <w:tcPr>
            <w:tcW w:w="888" w:type="dxa"/>
            <w:vMerge w:val="continue"/>
            <w:tcBorders>
              <w:left w:val="single" w:color="000000" w:sz="4" w:space="0"/>
              <w:right w:val="single" w:color="000000" w:sz="4" w:space="0"/>
            </w:tcBorders>
            <w:shd w:val="clear" w:color="auto" w:fill="BFBFBF"/>
            <w:vAlign w:val="center"/>
          </w:tcPr>
          <w:p w14:paraId="02CF53B4">
            <w:pPr>
              <w:jc w:val="center"/>
              <w:rPr>
                <w:rFonts w:eastAsia="黑体"/>
                <w:sz w:val="22"/>
                <w:szCs w:val="22"/>
              </w:rPr>
            </w:pPr>
          </w:p>
        </w:tc>
        <w:tc>
          <w:tcPr>
            <w:tcW w:w="656" w:type="dxa"/>
            <w:vMerge w:val="continue"/>
            <w:tcBorders>
              <w:left w:val="single" w:color="000000" w:sz="4" w:space="0"/>
              <w:right w:val="single" w:color="000000" w:sz="4" w:space="0"/>
            </w:tcBorders>
            <w:shd w:val="clear" w:color="auto" w:fill="BFBFBF"/>
            <w:vAlign w:val="center"/>
          </w:tcPr>
          <w:p w14:paraId="3BAA77E9">
            <w:pPr>
              <w:jc w:val="center"/>
              <w:textAlignment w:val="center"/>
              <w:rPr>
                <w:rFonts w:eastAsia="黑体"/>
                <w:sz w:val="22"/>
                <w:szCs w:val="22"/>
                <w:lang w:bidi="ar"/>
              </w:rPr>
            </w:pPr>
          </w:p>
        </w:tc>
        <w:tc>
          <w:tcPr>
            <w:tcW w:w="1746" w:type="dxa"/>
            <w:gridSpan w:val="2"/>
            <w:tcBorders>
              <w:top w:val="single" w:color="000000" w:sz="4" w:space="0"/>
              <w:left w:val="single" w:color="000000" w:sz="4" w:space="0"/>
              <w:bottom w:val="single" w:color="000000" w:sz="4" w:space="0"/>
              <w:right w:val="single" w:color="000000" w:sz="4" w:space="0"/>
            </w:tcBorders>
            <w:vAlign w:val="center"/>
          </w:tcPr>
          <w:p w14:paraId="145FD7AE">
            <w:pPr>
              <w:jc w:val="center"/>
              <w:rPr>
                <w:rFonts w:hint="eastAsia" w:eastAsia="黑体"/>
                <w:sz w:val="18"/>
                <w:szCs w:val="18"/>
                <w:lang w:eastAsia="zh-CN"/>
              </w:rPr>
            </w:pPr>
            <w:r>
              <w:rPr>
                <w:rFonts w:hint="eastAsia" w:eastAsia="黑体"/>
                <w:sz w:val="18"/>
                <w:szCs w:val="18"/>
                <w:lang w:val="en-US" w:eastAsia="zh-CN"/>
              </w:rPr>
              <w:t>2</w:t>
            </w:r>
          </w:p>
        </w:tc>
        <w:tc>
          <w:tcPr>
            <w:tcW w:w="1661" w:type="dxa"/>
            <w:tcBorders>
              <w:top w:val="single" w:color="000000" w:sz="4" w:space="0"/>
              <w:left w:val="single" w:color="000000" w:sz="4" w:space="0"/>
              <w:bottom w:val="single" w:color="000000" w:sz="4" w:space="0"/>
              <w:right w:val="single" w:color="000000" w:sz="4" w:space="0"/>
            </w:tcBorders>
            <w:vAlign w:val="center"/>
          </w:tcPr>
          <w:p w14:paraId="30A6F822">
            <w:pPr>
              <w:jc w:val="center"/>
              <w:rPr>
                <w:rFonts w:hint="eastAsia" w:eastAsia="黑体"/>
                <w:sz w:val="18"/>
                <w:szCs w:val="18"/>
              </w:rPr>
            </w:pPr>
            <w:r>
              <w:rPr>
                <w:rFonts w:hint="eastAsia" w:eastAsia="黑体"/>
                <w:sz w:val="18"/>
                <w:szCs w:val="18"/>
              </w:rPr>
              <w:t>废</w:t>
            </w:r>
            <w:r>
              <w:rPr>
                <w:rFonts w:hint="eastAsia" w:eastAsia="黑体"/>
                <w:sz w:val="18"/>
                <w:szCs w:val="18"/>
                <w:lang w:val="en-US" w:eastAsia="zh-CN"/>
              </w:rPr>
              <w:t>活性炭</w:t>
            </w: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533D661F">
            <w:pPr>
              <w:jc w:val="center"/>
              <w:rPr>
                <w:rFonts w:hint="eastAsia" w:eastAsia="黑体"/>
                <w:sz w:val="18"/>
                <w:szCs w:val="18"/>
              </w:rPr>
            </w:pPr>
            <w:r>
              <w:rPr>
                <w:rFonts w:hint="eastAsia" w:eastAsia="黑体"/>
                <w:sz w:val="18"/>
                <w:szCs w:val="18"/>
                <w:lang w:val="en-US" w:eastAsia="zh-CN"/>
              </w:rPr>
              <w:t>废气处理</w:t>
            </w:r>
            <w:r>
              <w:rPr>
                <w:rFonts w:hint="eastAsia" w:eastAsia="黑体"/>
                <w:sz w:val="18"/>
                <w:szCs w:val="18"/>
              </w:rPr>
              <w:t>系统</w:t>
            </w: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71F39199">
            <w:pPr>
              <w:jc w:val="center"/>
              <w:rPr>
                <w:rFonts w:hint="eastAsia" w:eastAsia="黑体"/>
                <w:sz w:val="18"/>
                <w:szCs w:val="18"/>
              </w:rPr>
            </w:pPr>
            <w:r>
              <w:rPr>
                <w:rFonts w:hint="eastAsia" w:eastAsia="黑体"/>
                <w:sz w:val="18"/>
                <w:szCs w:val="18"/>
              </w:rPr>
              <w:t>/</w:t>
            </w:r>
          </w:p>
        </w:tc>
        <w:tc>
          <w:tcPr>
            <w:tcW w:w="1836" w:type="dxa"/>
            <w:tcBorders>
              <w:top w:val="single" w:color="000000" w:sz="4" w:space="0"/>
              <w:left w:val="single" w:color="000000" w:sz="4" w:space="0"/>
              <w:bottom w:val="single" w:color="000000" w:sz="4" w:space="0"/>
              <w:right w:val="single" w:color="000000" w:sz="4" w:space="0"/>
            </w:tcBorders>
            <w:vAlign w:val="center"/>
          </w:tcPr>
          <w:p w14:paraId="33AA0E92">
            <w:pPr>
              <w:jc w:val="center"/>
              <w:rPr>
                <w:rFonts w:hint="eastAsia" w:eastAsia="黑体"/>
                <w:sz w:val="18"/>
                <w:szCs w:val="18"/>
              </w:rPr>
            </w:pPr>
            <w:r>
              <w:rPr>
                <w:rFonts w:hint="eastAsia" w:eastAsia="黑体"/>
                <w:sz w:val="18"/>
                <w:szCs w:val="18"/>
              </w:rPr>
              <w:t>/</w:t>
            </w:r>
          </w:p>
        </w:tc>
        <w:tc>
          <w:tcPr>
            <w:tcW w:w="1519" w:type="dxa"/>
            <w:tcBorders>
              <w:top w:val="single" w:color="000000" w:sz="4" w:space="0"/>
              <w:left w:val="single" w:color="000000" w:sz="4" w:space="0"/>
              <w:bottom w:val="single" w:color="000000" w:sz="4" w:space="0"/>
              <w:right w:val="single" w:color="000000" w:sz="4" w:space="0"/>
            </w:tcBorders>
            <w:vAlign w:val="center"/>
          </w:tcPr>
          <w:p w14:paraId="73CA05A5">
            <w:pPr>
              <w:jc w:val="center"/>
              <w:rPr>
                <w:rFonts w:hint="eastAsia" w:eastAsia="黑体"/>
                <w:sz w:val="18"/>
                <w:szCs w:val="18"/>
              </w:rPr>
            </w:pPr>
            <w:r>
              <w:rPr>
                <w:rFonts w:hint="eastAsia" w:eastAsia="黑体"/>
                <w:sz w:val="18"/>
                <w:szCs w:val="18"/>
              </w:rPr>
              <w:t>1</w:t>
            </w:r>
          </w:p>
        </w:tc>
        <w:tc>
          <w:tcPr>
            <w:tcW w:w="1547" w:type="dxa"/>
            <w:tcBorders>
              <w:top w:val="single" w:color="000000" w:sz="4" w:space="0"/>
              <w:left w:val="single" w:color="000000" w:sz="4" w:space="0"/>
              <w:bottom w:val="single" w:color="000000" w:sz="4" w:space="0"/>
              <w:right w:val="single" w:color="000000" w:sz="4" w:space="0"/>
            </w:tcBorders>
            <w:vAlign w:val="center"/>
          </w:tcPr>
          <w:p w14:paraId="039B7251">
            <w:pPr>
              <w:jc w:val="center"/>
              <w:rPr>
                <w:rFonts w:hint="eastAsia" w:eastAsia="黑体"/>
                <w:sz w:val="18"/>
                <w:szCs w:val="18"/>
              </w:rPr>
            </w:pPr>
            <w:r>
              <w:rPr>
                <w:rFonts w:hint="eastAsia" w:eastAsia="黑体"/>
                <w:sz w:val="18"/>
                <w:szCs w:val="18"/>
              </w:rPr>
              <w:t>由厂家回收</w:t>
            </w:r>
          </w:p>
        </w:tc>
        <w:tc>
          <w:tcPr>
            <w:tcW w:w="1021" w:type="dxa"/>
            <w:tcBorders>
              <w:top w:val="single" w:color="000000" w:sz="4" w:space="0"/>
              <w:left w:val="single" w:color="000000" w:sz="4" w:space="0"/>
              <w:bottom w:val="single" w:color="000000" w:sz="4" w:space="0"/>
              <w:right w:val="single" w:color="000000" w:sz="4" w:space="0"/>
            </w:tcBorders>
            <w:vAlign w:val="center"/>
          </w:tcPr>
          <w:p w14:paraId="3AF547EB">
            <w:pPr>
              <w:jc w:val="center"/>
              <w:textAlignment w:val="center"/>
              <w:rPr>
                <w:rFonts w:eastAsia="黑体"/>
                <w:sz w:val="18"/>
                <w:szCs w:val="18"/>
              </w:rPr>
            </w:pPr>
          </w:p>
        </w:tc>
        <w:tc>
          <w:tcPr>
            <w:tcW w:w="546" w:type="dxa"/>
            <w:tcBorders>
              <w:top w:val="single" w:color="000000" w:sz="4" w:space="0"/>
              <w:left w:val="single" w:color="000000" w:sz="4" w:space="0"/>
              <w:bottom w:val="single" w:color="000000" w:sz="4" w:space="0"/>
              <w:right w:val="single" w:color="000000" w:sz="4" w:space="0"/>
            </w:tcBorders>
            <w:vAlign w:val="center"/>
          </w:tcPr>
          <w:p w14:paraId="621C71C8">
            <w:pPr>
              <w:jc w:val="center"/>
              <w:textAlignment w:val="center"/>
              <w:rPr>
                <w:rFonts w:eastAsia="黑体"/>
                <w:sz w:val="18"/>
                <w:szCs w:val="18"/>
              </w:rPr>
            </w:pPr>
          </w:p>
        </w:tc>
        <w:tc>
          <w:tcPr>
            <w:tcW w:w="3275" w:type="dxa"/>
            <w:gridSpan w:val="4"/>
            <w:tcBorders>
              <w:top w:val="single" w:color="000000" w:sz="4" w:space="0"/>
              <w:left w:val="single" w:color="000000" w:sz="4" w:space="0"/>
              <w:bottom w:val="single" w:color="000000" w:sz="4" w:space="0"/>
              <w:right w:val="single" w:color="000000" w:sz="4" w:space="0"/>
            </w:tcBorders>
            <w:vAlign w:val="center"/>
          </w:tcPr>
          <w:p w14:paraId="212DF09A">
            <w:pPr>
              <w:jc w:val="center"/>
              <w:textAlignment w:val="center"/>
              <w:rPr>
                <w:rFonts w:eastAsia="黑体"/>
                <w:sz w:val="18"/>
                <w:szCs w:val="18"/>
              </w:rPr>
            </w:pPr>
          </w:p>
        </w:tc>
        <w:tc>
          <w:tcPr>
            <w:tcW w:w="915" w:type="dxa"/>
            <w:tcBorders>
              <w:top w:val="single" w:color="000000" w:sz="4" w:space="0"/>
              <w:left w:val="single" w:color="000000" w:sz="4" w:space="0"/>
              <w:bottom w:val="single" w:color="000000" w:sz="4" w:space="0"/>
              <w:right w:val="single" w:color="000000" w:sz="4" w:space="0"/>
            </w:tcBorders>
            <w:vAlign w:val="center"/>
          </w:tcPr>
          <w:p w14:paraId="63F37A02">
            <w:pPr>
              <w:jc w:val="center"/>
              <w:rPr>
                <w:rFonts w:eastAsia="黑体"/>
                <w:sz w:val="18"/>
                <w:szCs w:val="18"/>
              </w:rPr>
            </w:pPr>
            <w:r>
              <w:rPr>
                <w:rFonts w:hint="eastAsia" w:eastAsia="黑体"/>
                <w:sz w:val="18"/>
                <w:szCs w:val="18"/>
              </w:rPr>
              <w:t>是</w:t>
            </w:r>
          </w:p>
        </w:tc>
      </w:tr>
      <w:tr w14:paraId="4654AD74">
        <w:tblPrEx>
          <w:tblCellMar>
            <w:top w:w="0" w:type="dxa"/>
            <w:left w:w="108" w:type="dxa"/>
            <w:bottom w:w="0" w:type="dxa"/>
            <w:right w:w="108" w:type="dxa"/>
          </w:tblCellMar>
        </w:tblPrEx>
        <w:trPr>
          <w:trHeight w:val="285" w:hRule="atLeast"/>
          <w:jc w:val="center"/>
        </w:trPr>
        <w:tc>
          <w:tcPr>
            <w:tcW w:w="888" w:type="dxa"/>
            <w:vMerge w:val="continue"/>
            <w:tcBorders>
              <w:left w:val="single" w:color="000000" w:sz="4" w:space="0"/>
              <w:right w:val="single" w:color="000000" w:sz="4" w:space="0"/>
            </w:tcBorders>
            <w:shd w:val="clear" w:color="auto" w:fill="BFBFBF"/>
            <w:vAlign w:val="center"/>
          </w:tcPr>
          <w:p w14:paraId="40260ADB">
            <w:pPr>
              <w:jc w:val="center"/>
              <w:rPr>
                <w:rFonts w:eastAsia="黑体"/>
                <w:sz w:val="22"/>
                <w:szCs w:val="22"/>
              </w:rPr>
            </w:pPr>
          </w:p>
        </w:tc>
        <w:tc>
          <w:tcPr>
            <w:tcW w:w="656" w:type="dxa"/>
            <w:vMerge w:val="restart"/>
            <w:tcBorders>
              <w:top w:val="single" w:color="000000" w:sz="4" w:space="0"/>
              <w:left w:val="single" w:color="000000" w:sz="4" w:space="0"/>
              <w:right w:val="single" w:color="000000" w:sz="4" w:space="0"/>
            </w:tcBorders>
            <w:shd w:val="clear" w:color="auto" w:fill="BFBFBF"/>
            <w:vAlign w:val="center"/>
          </w:tcPr>
          <w:p w14:paraId="7E26CE4D">
            <w:pPr>
              <w:jc w:val="center"/>
              <w:textAlignment w:val="center"/>
              <w:rPr>
                <w:rFonts w:eastAsia="黑体"/>
                <w:sz w:val="22"/>
                <w:szCs w:val="22"/>
                <w:lang w:bidi="ar"/>
              </w:rPr>
            </w:pPr>
            <w:r>
              <w:rPr>
                <w:rFonts w:eastAsia="黑体"/>
                <w:sz w:val="22"/>
                <w:szCs w:val="22"/>
                <w:lang w:bidi="ar"/>
              </w:rPr>
              <w:t>危险废物</w:t>
            </w:r>
          </w:p>
        </w:tc>
        <w:tc>
          <w:tcPr>
            <w:tcW w:w="1746" w:type="dxa"/>
            <w:gridSpan w:val="2"/>
            <w:tcBorders>
              <w:top w:val="single" w:color="000000" w:sz="4" w:space="0"/>
              <w:left w:val="single" w:color="000000" w:sz="4" w:space="0"/>
              <w:bottom w:val="single" w:color="000000" w:sz="4" w:space="0"/>
              <w:right w:val="single" w:color="000000" w:sz="4" w:space="0"/>
            </w:tcBorders>
            <w:vAlign w:val="center"/>
          </w:tcPr>
          <w:p w14:paraId="1B8EE68A">
            <w:pPr>
              <w:jc w:val="center"/>
              <w:rPr>
                <w:rFonts w:eastAsia="黑体"/>
                <w:sz w:val="18"/>
                <w:szCs w:val="18"/>
              </w:rPr>
            </w:pPr>
          </w:p>
        </w:tc>
        <w:tc>
          <w:tcPr>
            <w:tcW w:w="1661" w:type="dxa"/>
            <w:tcBorders>
              <w:top w:val="single" w:color="000000" w:sz="4" w:space="0"/>
              <w:left w:val="single" w:color="000000" w:sz="4" w:space="0"/>
              <w:bottom w:val="single" w:color="000000" w:sz="4" w:space="0"/>
              <w:right w:val="single" w:color="000000" w:sz="4" w:space="0"/>
            </w:tcBorders>
            <w:vAlign w:val="center"/>
          </w:tcPr>
          <w:p w14:paraId="2BDA893A">
            <w:pPr>
              <w:adjustRightInd w:val="0"/>
              <w:snapToGrid w:val="0"/>
              <w:jc w:val="center"/>
              <w:rPr>
                <w:rFonts w:eastAsia="黑体"/>
                <w:sz w:val="18"/>
                <w:szCs w:val="18"/>
              </w:rPr>
            </w:pP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11321395">
            <w:pPr>
              <w:adjustRightInd w:val="0"/>
              <w:snapToGrid w:val="0"/>
              <w:jc w:val="center"/>
              <w:rPr>
                <w:rFonts w:eastAsia="黑体"/>
                <w:sz w:val="18"/>
                <w:szCs w:val="18"/>
              </w:rPr>
            </w:pP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17B818E4">
            <w:pPr>
              <w:jc w:val="center"/>
              <w:textAlignment w:val="center"/>
              <w:rPr>
                <w:rFonts w:eastAsia="黑体"/>
                <w:sz w:val="18"/>
                <w:szCs w:val="18"/>
                <w:lang w:bidi="ar"/>
              </w:rPr>
            </w:pPr>
          </w:p>
        </w:tc>
        <w:tc>
          <w:tcPr>
            <w:tcW w:w="1836" w:type="dxa"/>
            <w:tcBorders>
              <w:top w:val="single" w:color="000000" w:sz="4" w:space="0"/>
              <w:left w:val="single" w:color="000000" w:sz="4" w:space="0"/>
              <w:bottom w:val="single" w:color="000000" w:sz="4" w:space="0"/>
              <w:right w:val="single" w:color="000000" w:sz="4" w:space="0"/>
            </w:tcBorders>
            <w:vAlign w:val="center"/>
          </w:tcPr>
          <w:p w14:paraId="3209C98B">
            <w:pPr>
              <w:jc w:val="center"/>
              <w:textAlignment w:val="center"/>
              <w:rPr>
                <w:rFonts w:eastAsia="黑体"/>
                <w:sz w:val="18"/>
                <w:szCs w:val="18"/>
                <w:lang w:bidi="ar"/>
              </w:rPr>
            </w:pPr>
          </w:p>
        </w:tc>
        <w:tc>
          <w:tcPr>
            <w:tcW w:w="1519" w:type="dxa"/>
            <w:tcBorders>
              <w:top w:val="single" w:color="000000" w:sz="4" w:space="0"/>
              <w:left w:val="single" w:color="000000" w:sz="4" w:space="0"/>
              <w:bottom w:val="single" w:color="000000" w:sz="4" w:space="0"/>
              <w:right w:val="single" w:color="000000" w:sz="4" w:space="0"/>
            </w:tcBorders>
            <w:vAlign w:val="center"/>
          </w:tcPr>
          <w:p w14:paraId="15B05BF7">
            <w:pPr>
              <w:adjustRightInd w:val="0"/>
              <w:snapToGrid w:val="0"/>
              <w:jc w:val="center"/>
              <w:rPr>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0FA52983">
            <w:pPr>
              <w:adjustRightInd w:val="0"/>
              <w:snapToGrid w:val="0"/>
              <w:jc w:val="center"/>
              <w:rPr>
                <w:rFonts w:eastAsia="黑体"/>
                <w:sz w:val="18"/>
                <w:szCs w:val="18"/>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3037E03D">
            <w:pPr>
              <w:jc w:val="center"/>
              <w:textAlignment w:val="center"/>
              <w:rPr>
                <w:rFonts w:eastAsia="黑体"/>
                <w:sz w:val="18"/>
                <w:szCs w:val="18"/>
                <w:lang w:bidi="ar"/>
              </w:rPr>
            </w:pPr>
          </w:p>
        </w:tc>
        <w:tc>
          <w:tcPr>
            <w:tcW w:w="546" w:type="dxa"/>
            <w:tcBorders>
              <w:top w:val="single" w:color="000000" w:sz="4" w:space="0"/>
              <w:left w:val="single" w:color="000000" w:sz="4" w:space="0"/>
              <w:bottom w:val="single" w:color="000000" w:sz="4" w:space="0"/>
              <w:right w:val="single" w:color="000000" w:sz="4" w:space="0"/>
            </w:tcBorders>
            <w:vAlign w:val="center"/>
          </w:tcPr>
          <w:p w14:paraId="7C441C8B">
            <w:pPr>
              <w:jc w:val="center"/>
              <w:textAlignment w:val="center"/>
              <w:rPr>
                <w:rFonts w:eastAsia="黑体"/>
                <w:sz w:val="18"/>
                <w:szCs w:val="18"/>
                <w:lang w:bidi="ar"/>
              </w:rPr>
            </w:pPr>
          </w:p>
        </w:tc>
        <w:tc>
          <w:tcPr>
            <w:tcW w:w="3275" w:type="dxa"/>
            <w:gridSpan w:val="4"/>
            <w:tcBorders>
              <w:top w:val="single" w:color="000000" w:sz="4" w:space="0"/>
              <w:left w:val="single" w:color="000000" w:sz="4" w:space="0"/>
              <w:bottom w:val="single" w:color="000000" w:sz="4" w:space="0"/>
              <w:right w:val="single" w:color="000000" w:sz="4" w:space="0"/>
            </w:tcBorders>
            <w:vAlign w:val="center"/>
          </w:tcPr>
          <w:p w14:paraId="4F6120B7">
            <w:pPr>
              <w:jc w:val="center"/>
              <w:textAlignment w:val="center"/>
              <w:rPr>
                <w:rFonts w:eastAsia="黑体"/>
                <w:sz w:val="18"/>
                <w:szCs w:val="18"/>
                <w:lang w:bidi="ar"/>
              </w:rPr>
            </w:pPr>
          </w:p>
        </w:tc>
        <w:tc>
          <w:tcPr>
            <w:tcW w:w="915" w:type="dxa"/>
            <w:tcBorders>
              <w:top w:val="single" w:color="000000" w:sz="4" w:space="0"/>
              <w:left w:val="single" w:color="000000" w:sz="4" w:space="0"/>
              <w:bottom w:val="single" w:color="000000" w:sz="4" w:space="0"/>
              <w:right w:val="single" w:color="000000" w:sz="4" w:space="0"/>
            </w:tcBorders>
            <w:vAlign w:val="center"/>
          </w:tcPr>
          <w:p w14:paraId="4E56DBC3">
            <w:pPr>
              <w:jc w:val="center"/>
              <w:rPr>
                <w:sz w:val="18"/>
                <w:szCs w:val="18"/>
              </w:rPr>
            </w:pPr>
          </w:p>
        </w:tc>
      </w:tr>
      <w:tr w14:paraId="5F293937">
        <w:tblPrEx>
          <w:tblCellMar>
            <w:top w:w="0" w:type="dxa"/>
            <w:left w:w="108" w:type="dxa"/>
            <w:bottom w:w="0" w:type="dxa"/>
            <w:right w:w="108" w:type="dxa"/>
          </w:tblCellMar>
        </w:tblPrEx>
        <w:trPr>
          <w:trHeight w:val="285" w:hRule="atLeast"/>
          <w:jc w:val="center"/>
        </w:trPr>
        <w:tc>
          <w:tcPr>
            <w:tcW w:w="888" w:type="dxa"/>
            <w:vMerge w:val="continue"/>
            <w:tcBorders>
              <w:left w:val="single" w:color="000000" w:sz="4" w:space="0"/>
              <w:bottom w:val="single" w:color="000000" w:sz="4" w:space="0"/>
              <w:right w:val="single" w:color="000000" w:sz="4" w:space="0"/>
            </w:tcBorders>
            <w:shd w:val="clear" w:color="auto" w:fill="BFBFBF"/>
            <w:vAlign w:val="center"/>
          </w:tcPr>
          <w:p w14:paraId="7E5F6952">
            <w:pPr>
              <w:jc w:val="center"/>
              <w:rPr>
                <w:rFonts w:eastAsia="黑体"/>
                <w:sz w:val="22"/>
                <w:szCs w:val="22"/>
              </w:rPr>
            </w:pPr>
          </w:p>
        </w:tc>
        <w:tc>
          <w:tcPr>
            <w:tcW w:w="656" w:type="dxa"/>
            <w:vMerge w:val="continue"/>
            <w:tcBorders>
              <w:left w:val="single" w:color="000000" w:sz="4" w:space="0"/>
              <w:bottom w:val="single" w:color="000000" w:sz="4" w:space="0"/>
              <w:right w:val="single" w:color="000000" w:sz="4" w:space="0"/>
            </w:tcBorders>
            <w:shd w:val="clear" w:color="auto" w:fill="BFBFBF"/>
            <w:vAlign w:val="center"/>
          </w:tcPr>
          <w:p w14:paraId="10FFCA8D">
            <w:pPr>
              <w:jc w:val="center"/>
              <w:textAlignment w:val="center"/>
              <w:rPr>
                <w:rFonts w:eastAsia="黑体"/>
                <w:sz w:val="22"/>
                <w:szCs w:val="22"/>
                <w:lang w:bidi="ar"/>
              </w:rPr>
            </w:pPr>
          </w:p>
        </w:tc>
        <w:tc>
          <w:tcPr>
            <w:tcW w:w="1746" w:type="dxa"/>
            <w:gridSpan w:val="2"/>
            <w:tcBorders>
              <w:top w:val="single" w:color="000000" w:sz="4" w:space="0"/>
              <w:left w:val="single" w:color="000000" w:sz="4" w:space="0"/>
              <w:bottom w:val="single" w:color="000000" w:sz="4" w:space="0"/>
              <w:right w:val="single" w:color="000000" w:sz="4" w:space="0"/>
            </w:tcBorders>
            <w:vAlign w:val="center"/>
          </w:tcPr>
          <w:p w14:paraId="64F27E9A">
            <w:pPr>
              <w:jc w:val="center"/>
              <w:rPr>
                <w:rFonts w:eastAsia="黑体"/>
                <w:sz w:val="18"/>
                <w:szCs w:val="18"/>
              </w:rPr>
            </w:pPr>
          </w:p>
        </w:tc>
        <w:tc>
          <w:tcPr>
            <w:tcW w:w="1661" w:type="dxa"/>
            <w:tcBorders>
              <w:top w:val="single" w:color="000000" w:sz="4" w:space="0"/>
              <w:left w:val="single" w:color="000000" w:sz="4" w:space="0"/>
              <w:bottom w:val="single" w:color="000000" w:sz="4" w:space="0"/>
              <w:right w:val="single" w:color="000000" w:sz="4" w:space="0"/>
            </w:tcBorders>
            <w:vAlign w:val="center"/>
          </w:tcPr>
          <w:p w14:paraId="44961DCA">
            <w:pPr>
              <w:adjustRightInd w:val="0"/>
              <w:snapToGrid w:val="0"/>
              <w:jc w:val="center"/>
              <w:rPr>
                <w:rFonts w:eastAsia="黑体"/>
                <w:sz w:val="18"/>
                <w:szCs w:val="18"/>
              </w:rPr>
            </w:pPr>
          </w:p>
        </w:tc>
        <w:tc>
          <w:tcPr>
            <w:tcW w:w="2852" w:type="dxa"/>
            <w:gridSpan w:val="2"/>
            <w:tcBorders>
              <w:top w:val="single" w:color="000000" w:sz="4" w:space="0"/>
              <w:left w:val="single" w:color="000000" w:sz="4" w:space="0"/>
              <w:bottom w:val="single" w:color="000000" w:sz="4" w:space="0"/>
              <w:right w:val="single" w:color="000000" w:sz="4" w:space="0"/>
            </w:tcBorders>
            <w:vAlign w:val="center"/>
          </w:tcPr>
          <w:p w14:paraId="55E8AF1D">
            <w:pPr>
              <w:adjustRightInd w:val="0"/>
              <w:snapToGrid w:val="0"/>
              <w:jc w:val="center"/>
              <w:rPr>
                <w:rFonts w:eastAsia="黑体"/>
                <w:sz w:val="18"/>
                <w:szCs w:val="18"/>
              </w:rPr>
            </w:pPr>
          </w:p>
        </w:tc>
        <w:tc>
          <w:tcPr>
            <w:tcW w:w="3159" w:type="dxa"/>
            <w:gridSpan w:val="2"/>
            <w:tcBorders>
              <w:top w:val="single" w:color="000000" w:sz="4" w:space="0"/>
              <w:left w:val="single" w:color="000000" w:sz="4" w:space="0"/>
              <w:bottom w:val="single" w:color="000000" w:sz="4" w:space="0"/>
              <w:right w:val="single" w:color="000000" w:sz="4" w:space="0"/>
            </w:tcBorders>
            <w:vAlign w:val="center"/>
          </w:tcPr>
          <w:p w14:paraId="5FBFF5C9">
            <w:pPr>
              <w:jc w:val="center"/>
              <w:textAlignment w:val="center"/>
              <w:rPr>
                <w:rFonts w:eastAsia="黑体"/>
                <w:sz w:val="18"/>
                <w:szCs w:val="18"/>
                <w:lang w:bidi="ar"/>
              </w:rPr>
            </w:pPr>
          </w:p>
        </w:tc>
        <w:tc>
          <w:tcPr>
            <w:tcW w:w="1836" w:type="dxa"/>
            <w:tcBorders>
              <w:top w:val="single" w:color="000000" w:sz="4" w:space="0"/>
              <w:left w:val="single" w:color="000000" w:sz="4" w:space="0"/>
              <w:bottom w:val="single" w:color="000000" w:sz="4" w:space="0"/>
              <w:right w:val="single" w:color="000000" w:sz="4" w:space="0"/>
            </w:tcBorders>
            <w:vAlign w:val="center"/>
          </w:tcPr>
          <w:p w14:paraId="14EE9741">
            <w:pPr>
              <w:jc w:val="center"/>
              <w:textAlignment w:val="center"/>
              <w:rPr>
                <w:rFonts w:eastAsia="黑体"/>
                <w:sz w:val="18"/>
                <w:szCs w:val="18"/>
                <w:lang w:bidi="ar"/>
              </w:rPr>
            </w:pPr>
          </w:p>
        </w:tc>
        <w:tc>
          <w:tcPr>
            <w:tcW w:w="1519" w:type="dxa"/>
            <w:tcBorders>
              <w:top w:val="single" w:color="000000" w:sz="4" w:space="0"/>
              <w:left w:val="single" w:color="000000" w:sz="4" w:space="0"/>
              <w:bottom w:val="single" w:color="000000" w:sz="4" w:space="0"/>
              <w:right w:val="single" w:color="000000" w:sz="4" w:space="0"/>
            </w:tcBorders>
            <w:vAlign w:val="center"/>
          </w:tcPr>
          <w:p w14:paraId="04A9E6B3">
            <w:pPr>
              <w:adjustRightInd w:val="0"/>
              <w:snapToGrid w:val="0"/>
              <w:jc w:val="center"/>
              <w:rPr>
                <w:sz w:val="18"/>
                <w:szCs w:val="18"/>
              </w:rPr>
            </w:pPr>
          </w:p>
        </w:tc>
        <w:tc>
          <w:tcPr>
            <w:tcW w:w="1547" w:type="dxa"/>
            <w:tcBorders>
              <w:top w:val="single" w:color="000000" w:sz="4" w:space="0"/>
              <w:left w:val="single" w:color="000000" w:sz="4" w:space="0"/>
              <w:bottom w:val="single" w:color="000000" w:sz="4" w:space="0"/>
              <w:right w:val="single" w:color="000000" w:sz="4" w:space="0"/>
            </w:tcBorders>
            <w:vAlign w:val="center"/>
          </w:tcPr>
          <w:p w14:paraId="32C8D4A6">
            <w:pPr>
              <w:adjustRightInd w:val="0"/>
              <w:snapToGrid w:val="0"/>
              <w:jc w:val="center"/>
              <w:rPr>
                <w:rFonts w:eastAsia="黑体"/>
                <w:sz w:val="18"/>
                <w:szCs w:val="18"/>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3254E363">
            <w:pPr>
              <w:jc w:val="center"/>
              <w:textAlignment w:val="center"/>
              <w:rPr>
                <w:rFonts w:eastAsia="黑体"/>
                <w:sz w:val="18"/>
                <w:szCs w:val="18"/>
                <w:lang w:bidi="ar"/>
              </w:rPr>
            </w:pPr>
          </w:p>
        </w:tc>
        <w:tc>
          <w:tcPr>
            <w:tcW w:w="546" w:type="dxa"/>
            <w:tcBorders>
              <w:top w:val="single" w:color="000000" w:sz="4" w:space="0"/>
              <w:left w:val="single" w:color="000000" w:sz="4" w:space="0"/>
              <w:bottom w:val="single" w:color="000000" w:sz="4" w:space="0"/>
              <w:right w:val="single" w:color="000000" w:sz="4" w:space="0"/>
            </w:tcBorders>
            <w:vAlign w:val="center"/>
          </w:tcPr>
          <w:p w14:paraId="4EEB2894">
            <w:pPr>
              <w:jc w:val="center"/>
              <w:textAlignment w:val="center"/>
              <w:rPr>
                <w:rFonts w:eastAsia="黑体"/>
                <w:sz w:val="18"/>
                <w:szCs w:val="18"/>
                <w:lang w:bidi="ar"/>
              </w:rPr>
            </w:pPr>
          </w:p>
        </w:tc>
        <w:tc>
          <w:tcPr>
            <w:tcW w:w="3275" w:type="dxa"/>
            <w:gridSpan w:val="4"/>
            <w:tcBorders>
              <w:top w:val="single" w:color="000000" w:sz="4" w:space="0"/>
              <w:left w:val="single" w:color="000000" w:sz="4" w:space="0"/>
              <w:bottom w:val="single" w:color="000000" w:sz="4" w:space="0"/>
              <w:right w:val="single" w:color="000000" w:sz="4" w:space="0"/>
            </w:tcBorders>
            <w:vAlign w:val="center"/>
          </w:tcPr>
          <w:p w14:paraId="0D6A00F3">
            <w:pPr>
              <w:jc w:val="center"/>
              <w:textAlignment w:val="center"/>
              <w:rPr>
                <w:rFonts w:eastAsia="黑体"/>
                <w:sz w:val="18"/>
                <w:szCs w:val="18"/>
                <w:lang w:bidi="ar"/>
              </w:rPr>
            </w:pPr>
          </w:p>
        </w:tc>
        <w:tc>
          <w:tcPr>
            <w:tcW w:w="915" w:type="dxa"/>
            <w:tcBorders>
              <w:top w:val="single" w:color="000000" w:sz="4" w:space="0"/>
              <w:left w:val="single" w:color="000000" w:sz="4" w:space="0"/>
              <w:bottom w:val="single" w:color="000000" w:sz="4" w:space="0"/>
              <w:right w:val="single" w:color="000000" w:sz="4" w:space="0"/>
            </w:tcBorders>
            <w:vAlign w:val="center"/>
          </w:tcPr>
          <w:p w14:paraId="19FCBA1C">
            <w:pPr>
              <w:jc w:val="center"/>
              <w:rPr>
                <w:sz w:val="18"/>
                <w:szCs w:val="18"/>
              </w:rPr>
            </w:pPr>
          </w:p>
        </w:tc>
      </w:tr>
    </w:tbl>
    <w:p w14:paraId="6D528CA9">
      <w:pPr>
        <w:pStyle w:val="42"/>
      </w:pPr>
    </w:p>
    <w:sectPr>
      <w:footerReference r:id="rId19" w:type="default"/>
      <w:pgSz w:w="23757" w:h="16783"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昆仑细圆">
    <w:altName w:val="黑体"/>
    <w:panose1 w:val="00000000000000000000"/>
    <w:charset w:val="86"/>
    <w:family w:val="swiss"/>
    <w:pitch w:val="default"/>
    <w:sig w:usb0="00000000" w:usb1="00000000" w:usb2="00000010" w:usb3="00000000" w:csb0="00040000" w:csb1="00000000"/>
  </w:font>
  <w:font w:name="Impact">
    <w:panose1 w:val="020B0806030902050204"/>
    <w:charset w:val="00"/>
    <w:family w:val="swiss"/>
    <w:pitch w:val="default"/>
    <w:sig w:usb0="00000287" w:usb1="00000000" w:usb2="00000000" w:usb3="00000000" w:csb0="2000009F" w:csb1="DFD70000"/>
  </w:font>
  <w:font w:name="SymbolMT">
    <w:altName w:val="Times New Roman"/>
    <w:panose1 w:val="00000000000000000000"/>
    <w:charset w:val="00"/>
    <w:family w:val="roman"/>
    <w:pitch w:val="default"/>
    <w:sig w:usb0="00000000" w:usb1="00000000" w:usb2="00000000" w:usb3="00000000" w:csb0="00040001" w:csb1="00000000"/>
  </w:font>
  <w:font w:name="Tahoma">
    <w:panose1 w:val="020B0604030504040204"/>
    <w:charset w:val="00"/>
    <w:family w:val="swiss"/>
    <w:pitch w:val="default"/>
    <w:sig w:usb0="E1002EFF" w:usb1="C000605B" w:usb2="00000029" w:usb3="00000000" w:csb0="200101FF" w:csb1="20280000"/>
  </w:font>
  <w:font w:name="TimesNewRomanPSMT">
    <w:altName w:val="Times New Roman"/>
    <w:panose1 w:val="00000000000000000000"/>
    <w:charset w:val="00"/>
    <w:family w:val="roman"/>
    <w:pitch w:val="default"/>
    <w:sig w:usb0="00000000" w:usb1="00000000" w:usb2="00000000" w:usb3="00000000" w:csb0="00000001" w:csb1="00000000"/>
  </w:font>
  <w:font w:name="Hei">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Arial Unicode MS">
    <w:panose1 w:val="020B0604020202020204"/>
    <w:charset w:val="86"/>
    <w:family w:val="swiss"/>
    <w:pitch w:val="default"/>
    <w:sig w:usb0="F7FFAEFF" w:usb1="F9DFFFFF" w:usb2="0000007F" w:usb3="00000000" w:csb0="203F01FF" w:csb1="DFFF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BankGothic Lt BT">
    <w:altName w:val="Segoe Print"/>
    <w:panose1 w:val="020B0607020203060204"/>
    <w:charset w:val="00"/>
    <w:family w:val="swiss"/>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algun Gothic">
    <w:panose1 w:val="020B0503020000020004"/>
    <w:charset w:val="81"/>
    <w:family w:val="auto"/>
    <w:pitch w:val="default"/>
    <w:sig w:usb0="9000002F" w:usb1="29D77CFB" w:usb2="00000012" w:usb3="00000000" w:csb0="00080001" w:csb1="00000000"/>
  </w:font>
  <w:font w:name="Cambria Math">
    <w:panose1 w:val="02040503050406030204"/>
    <w:charset w:val="00"/>
    <w:family w:val="auto"/>
    <w:pitch w:val="default"/>
    <w:sig w:usb0="E00006FF" w:usb1="420024FF" w:usb2="02000000" w:usb3="00000000" w:csb0="2000019F" w:csb1="00000000"/>
  </w:font>
  <w:font w:name="新宋体">
    <w:panose1 w:val="02010609030101010101"/>
    <w:charset w:val="86"/>
    <w:family w:val="modern"/>
    <w:pitch w:val="default"/>
    <w:sig w:usb0="00000203" w:usb1="288F0000" w:usb2="00000006" w:usb3="00000000" w:csb0="00040001" w:csb1="00000000"/>
  </w:font>
  <w:font w:name="方正小标宋简体">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68C78">
    <w:pPr>
      <w:pStyle w:val="28"/>
      <w:tabs>
        <w:tab w:val="center" w:pos="4393"/>
      </w:tabs>
    </w:pPr>
    <w:r>
      <w:rPr>
        <w:rFonts w:hint="eastAsia"/>
      </w:rP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3032DF">
    <w:pPr>
      <w:spacing w:line="230" w:lineRule="auto"/>
      <w:ind w:left="3769"/>
      <w:rPr>
        <w:rFonts w:ascii="宋体" w:hAnsi="宋体" w:eastAsia="宋体" w:cs="宋体"/>
        <w:sz w:val="17"/>
        <w:szCs w:val="17"/>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A09AB1">
    <w:pPr>
      <w:spacing w:line="230" w:lineRule="auto"/>
      <w:ind w:left="3769"/>
      <w:rPr>
        <w:rFonts w:ascii="宋体" w:hAnsi="宋体" w:eastAsia="宋体" w:cs="宋体"/>
        <w:sz w:val="17"/>
        <w:szCs w:val="17"/>
      </w:rPr>
    </w:pPr>
    <w:r>
      <w:rPr>
        <w:sz w:val="17"/>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C1F742">
                          <w:pPr>
                            <w:pStyle w:val="30"/>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f3qKA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GhTdMo+SnH99P&#10;Px9Ov76RdAiJGhdmiLx3iI3tO9uicYbzgMPEvK28Tl9wIvBD4ONFYNFGwtOl6WQ6zeHi8A0b4GeP&#10;150P8b2wmiSjoB4V7IRlh02IfegQkrIZu5ZKdVVUhjQFvXr9N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396igNAIAAGUEAAAOAAAAAAAAAAEAIAAAAB8BAABkcnMvZTJvRG9jLnhtbFBL&#10;BQYAAAAABgAGAFkBAADFBQAAAAA=&#10;">
              <v:fill on="f" focussize="0,0"/>
              <v:stroke on="f" weight="0.5pt"/>
              <v:imagedata o:title=""/>
              <o:lock v:ext="edit" aspectratio="f"/>
              <v:textbox inset="0mm,0mm,0mm,0mm" style="mso-fit-shape-to-text:t;">
                <w:txbxContent>
                  <w:p w14:paraId="72C1F742">
                    <w:pPr>
                      <w:pStyle w:val="30"/>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A1FF4D">
    <w:pPr>
      <w:pStyle w:val="20"/>
      <w:spacing w:line="14" w:lineRule="auto"/>
      <w:rPr>
        <w:sz w:val="20"/>
      </w:rPr>
    </w:pPr>
    <w:r>
      <mc:AlternateContent>
        <mc:Choice Requires="wps">
          <w:drawing>
            <wp:anchor distT="0" distB="0" distL="114300" distR="114300" simplePos="0" relativeHeight="2516858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B03DA5">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170</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58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dDzXstAgAAWQQAAA4AAAAAAAAAAQAgAAAAHwEAAGRycy9lMm9Eb2MueG1sUEsFBgAAAAAG&#10;AAYAWQEAAL4FAAAAAA==&#10;">
              <v:fill on="f" focussize="0,0"/>
              <v:stroke on="f" weight="0.5pt"/>
              <v:imagedata o:title=""/>
              <o:lock v:ext="edit" aspectratio="f"/>
              <v:textbox inset="0mm,0mm,0mm,0mm" style="mso-fit-shape-to-text:t;">
                <w:txbxContent>
                  <w:p w14:paraId="79B03DA5">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170</w:t>
                    </w:r>
                    <w:r>
                      <w:rPr>
                        <w:rFonts w:hint="eastAsia"/>
                      </w:rPr>
                      <w:fldChar w:fldCharType="end"/>
                    </w:r>
                    <w:r>
                      <w:rPr>
                        <w:rFonts w:hint="eastAsia"/>
                      </w:rPr>
                      <w:t xml:space="preserve">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9ECA4B">
    <w:pPr>
      <w:pStyle w:val="30"/>
    </w:pPr>
    <w:r>
      <mc:AlternateContent>
        <mc:Choice Requires="wps">
          <w:drawing>
            <wp:anchor distT="0" distB="0" distL="114300" distR="114300" simplePos="0" relativeHeight="2516869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43A038">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186</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69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laO5nCwCAABZBAAADgAAAAAAAAABACAAAAAfAQAAZHJzL2Uyb0RvYy54bWxQSwUGAAAAAAYA&#10;BgBZAQAAvQUAAAAA&#10;">
              <v:fill on="f" focussize="0,0"/>
              <v:stroke on="f" weight="0.5pt"/>
              <v:imagedata o:title=""/>
              <o:lock v:ext="edit" aspectratio="f"/>
              <v:textbox inset="0mm,0mm,0mm,0mm" style="mso-fit-shape-to-text:t;">
                <w:txbxContent>
                  <w:p w14:paraId="2243A038">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186</w:t>
                    </w:r>
                    <w:r>
                      <w:rPr>
                        <w:rFonts w:hint="eastAsia"/>
                      </w:rPr>
                      <w:fldChar w:fldCharType="end"/>
                    </w:r>
                    <w:r>
                      <w:rPr>
                        <w:rFonts w:hint="eastAsia"/>
                      </w:rPr>
                      <w:t xml:space="preserve"> —</w:t>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200153">
    <w:pPr>
      <w:pStyle w:val="30"/>
    </w:pPr>
    <w:r>
      <mc:AlternateContent>
        <mc:Choice Requires="wps">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7" name="文本框 10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D4D230">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190</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79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v8lcEt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v8lcEtAgAAWQQAAA4AAAAAAAAAAQAgAAAAHwEAAGRycy9lMm9Eb2MueG1sUEsFBgAAAAAG&#10;AAYAWQEAAL4FAAAAAA==&#10;">
              <v:fill on="f" focussize="0,0"/>
              <v:stroke on="f" weight="0.5pt"/>
              <v:imagedata o:title=""/>
              <o:lock v:ext="edit" aspectratio="f"/>
              <v:textbox inset="0mm,0mm,0mm,0mm" style="mso-fit-shape-to-text:t;">
                <w:txbxContent>
                  <w:p w14:paraId="2CD4D230">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190</w:t>
                    </w:r>
                    <w:r>
                      <w:rPr>
                        <w:rFonts w:hint="eastAsia"/>
                      </w:rPr>
                      <w:fldChar w:fldCharType="end"/>
                    </w:r>
                    <w:r>
                      <w:rPr>
                        <w:rFonts w:hint="eastAsia"/>
                      </w:rP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D0D4E">
    <w:pPr>
      <w:pStyle w:val="30"/>
      <w:ind w:right="360"/>
    </w:pPr>
    <w:r>
      <mc:AlternateContent>
        <mc:Choice Requires="wps">
          <w:drawing>
            <wp:anchor distT="0" distB="0" distL="114300" distR="114300" simplePos="0" relativeHeight="2516889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B2C52C">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234</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89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OQ0A0sAgAAW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A5DQDSwCAABZBAAADgAAAAAAAAABACAAAAAfAQAAZHJzL2Uyb0RvYy54bWxQSwUGAAAAAAYA&#10;BgBZAQAAvQUAAAAA&#10;">
              <v:fill on="f" focussize="0,0"/>
              <v:stroke on="f" weight="0.5pt"/>
              <v:imagedata o:title=""/>
              <o:lock v:ext="edit" aspectratio="f"/>
              <v:textbox inset="0mm,0mm,0mm,0mm" style="mso-fit-shape-to-text:t;">
                <w:txbxContent>
                  <w:p w14:paraId="02B2C52C">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234</w:t>
                    </w:r>
                    <w:r>
                      <w:rPr>
                        <w:rFonts w:hint="eastAsia"/>
                      </w:rPr>
                      <w:fldChar w:fldCharType="end"/>
                    </w:r>
                    <w:r>
                      <w:rPr>
                        <w:rFonts w:hint="eastAsia"/>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44C67">
    <w:pPr>
      <w:pStyle w:val="28"/>
      <w:tabs>
        <w:tab w:val="center" w:pos="4393"/>
      </w:tabs>
    </w:pPr>
    <w:r>
      <mc:AlternateContent>
        <mc:Choice Requires="wps">
          <w:drawing>
            <wp:anchor distT="0" distB="0" distL="114300" distR="114300" simplePos="0" relativeHeight="251703296"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42984E">
                          <w:pPr>
                            <w:pStyle w:val="30"/>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32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qthBktAgAAVwQAAA4AAABkcnMvZTJvRG9jLnhtbK1UzY7TMBC+I/EO&#10;lu80aYGlqp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JqthBktAgAAVwQAAA4AAAAAAAAAAQAgAAAAHwEAAGRycy9lMm9Eb2MueG1sUEsFBgAAAAAG&#10;AAYAWQEAAL4FAAAAAA==&#10;">
              <v:fill on="f" focussize="0,0"/>
              <v:stroke on="f" weight="0.5pt"/>
              <v:imagedata o:title=""/>
              <o:lock v:ext="edit" aspectratio="f"/>
              <v:textbox inset="0mm,0mm,0mm,0mm" style="mso-fit-shape-to-text:t;">
                <w:txbxContent>
                  <w:p w14:paraId="4C42984E">
                    <w:pPr>
                      <w:pStyle w:val="30"/>
                    </w:pPr>
                    <w:r>
                      <w:fldChar w:fldCharType="begin"/>
                    </w:r>
                    <w:r>
                      <w:instrText xml:space="preserve"> PAGE  \* MERGEFORMAT </w:instrText>
                    </w:r>
                    <w:r>
                      <w:fldChar w:fldCharType="separate"/>
                    </w:r>
                    <w:r>
                      <w:t>II</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03896B">
    <w:pPr>
      <w:widowControl w:val="0"/>
    </w:pPr>
    <w: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C41FDC">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20</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XByfI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6DbLwlY/WB6h&#10;o3jerg4BAiZdoyidEr1W6LdUmX42YkP/uU9RT/+D5S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pcHJ8iwCAABXBAAADgAAAAAAAAABACAAAAAfAQAAZHJzL2Uyb0RvYy54bWxQSwUGAAAAAAYA&#10;BgBZAQAAvQUAAAAA&#10;">
              <v:fill on="f" focussize="0,0"/>
              <v:stroke on="f" weight="0.5pt"/>
              <v:imagedata o:title=""/>
              <o:lock v:ext="edit" aspectratio="f"/>
              <v:textbox inset="0mm,0mm,0mm,0mm" style="mso-fit-shape-to-text:t;">
                <w:txbxContent>
                  <w:p w14:paraId="50C41FDC">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20</w:t>
                    </w:r>
                    <w:r>
                      <w:rPr>
                        <w:rFonts w:hint="eastAsia"/>
                      </w:rPr>
                      <w:fldChar w:fldCharType="end"/>
                    </w:r>
                    <w:r>
                      <w:rPr>
                        <w:rFonts w:hint="eastAsia"/>
                      </w:rP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73505C">
    <w:pPr>
      <w:pStyle w:val="30"/>
    </w:pPr>
    <w: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FA11E0">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46</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sU1ctAgAAVw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wsU1ctAgAAVwQAAA4AAAAAAAAAAQAgAAAAHwEAAGRycy9lMm9Eb2MueG1sUEsFBgAAAAAG&#10;AAYAWQEAAL4FAAAAAA==&#10;">
              <v:fill on="f" focussize="0,0"/>
              <v:stroke on="f" weight="0.5pt"/>
              <v:imagedata o:title=""/>
              <o:lock v:ext="edit" aspectratio="f"/>
              <v:textbox inset="0mm,0mm,0mm,0mm" style="mso-fit-shape-to-text:t;">
                <w:txbxContent>
                  <w:p w14:paraId="51FA11E0">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46</w:t>
                    </w:r>
                    <w:r>
                      <w:rPr>
                        <w:rFonts w:hint="eastAsia"/>
                      </w:rPr>
                      <w:fldChar w:fldCharType="end"/>
                    </w:r>
                    <w:r>
                      <w:rPr>
                        <w:rFonts w:hint="eastAsia"/>
                      </w:rP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1B9A08">
    <w:pPr>
      <w:pStyle w:val="20"/>
      <w:spacing w:line="14" w:lineRule="auto"/>
      <w:rPr>
        <w:sz w:val="20"/>
      </w:rPr>
    </w:pPr>
    <w:r>
      <w:rPr>
        <w:sz w:val="20"/>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CA4E7C">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78</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XjoN1CwCAABZBAAADgAAAAAAAAABACAAAAAfAQAAZHJzL2Uyb0RvYy54bWxQSwUGAAAAAAYA&#10;BgBZAQAAvQUAAAAA&#10;">
              <v:fill on="f" focussize="0,0"/>
              <v:stroke on="f" weight="0.5pt"/>
              <v:imagedata o:title=""/>
              <o:lock v:ext="edit" aspectratio="f"/>
              <v:textbox inset="0mm,0mm,0mm,0mm" style="mso-fit-shape-to-text:t;">
                <w:txbxContent>
                  <w:p w14:paraId="6FCA4E7C">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78</w:t>
                    </w:r>
                    <w:r>
                      <w:rPr>
                        <w:rFonts w:hint="eastAsia"/>
                      </w:rPr>
                      <w:fldChar w:fldCharType="end"/>
                    </w:r>
                    <w:r>
                      <w:rPr>
                        <w:rFonts w:hint="eastAsia"/>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33CFD5">
    <w:pPr>
      <w:widowControl w:val="0"/>
    </w:pPr>
    <w: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ED49F1">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79</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bNp5MywCAABZBAAADgAAAAAAAAABACAAAAAfAQAAZHJzL2Uyb0RvYy54bWxQSwUGAAAAAAYA&#10;BgBZAQAAvQUAAAAA&#10;">
              <v:fill on="f" focussize="0,0"/>
              <v:stroke on="f" weight="0.5pt"/>
              <v:imagedata o:title=""/>
              <o:lock v:ext="edit" aspectratio="f"/>
              <v:textbox inset="0mm,0mm,0mm,0mm" style="mso-fit-shape-to-text:t;">
                <w:txbxContent>
                  <w:p w14:paraId="40ED49F1">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79</w:t>
                    </w:r>
                    <w:r>
                      <w:rPr>
                        <w:rFonts w:hint="eastAsia"/>
                      </w:rPr>
                      <w:fldChar w:fldCharType="end"/>
                    </w:r>
                    <w:r>
                      <w:rPr>
                        <w:rFonts w:hint="eastAsia"/>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E0AAF5">
    <w:pPr>
      <w:spacing w:after="47" w:line="49" w:lineRule="exact"/>
      <w:ind w:firstLine="11"/>
      <w:textAlignment w:val="center"/>
    </w:pPr>
    <w:r>
      <w:rPr>
        <w:sz w:val="24"/>
      </w:rPr>
      <mc:AlternateContent>
        <mc:Choice Requires="wps">
          <w:drawing>
            <wp:anchor distT="0" distB="0" distL="114300" distR="114300" simplePos="0" relativeHeight="2516910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4516B0">
                          <w:pPr>
                            <w:pStyle w:val="30"/>
                          </w:pPr>
                          <w:r>
                            <w:fldChar w:fldCharType="begin"/>
                          </w:r>
                          <w:r>
                            <w:instrText xml:space="preserve"> PAGE  \* MERGEFORMAT </w:instrText>
                          </w:r>
                          <w:r>
                            <w:fldChar w:fldCharType="separate"/>
                          </w:r>
                          <w:r>
                            <w:t>90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10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3BJ5c1AgAAZQ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dHL1hhLDNEp++v7t&#10;9OPX6edXkg4hUePCDJEPDrGxfWtbNM5wHnCYmLeV1+kLTgR+CHy8CCzaSHi6NJ1MpzlcHL5hA/zs&#10;8brzIb4TVpNkFNSjgp2w7LAJsQ8dQlI2Y9dSqa6KypCmoNdXr/P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vcEnlzUCAABlBAAADgAAAAAAAAABACAAAAAfAQAAZHJzL2Uyb0RvYy54bWxQ&#10;SwUGAAAAAAYABgBZAQAAxgUAAAAA&#10;">
              <v:fill on="f" focussize="0,0"/>
              <v:stroke on="f" weight="0.5pt"/>
              <v:imagedata o:title=""/>
              <o:lock v:ext="edit" aspectratio="f"/>
              <v:textbox inset="0mm,0mm,0mm,0mm" style="mso-fit-shape-to-text:t;">
                <w:txbxContent>
                  <w:p w14:paraId="154516B0">
                    <w:pPr>
                      <w:pStyle w:val="30"/>
                    </w:pPr>
                    <w:r>
                      <w:fldChar w:fldCharType="begin"/>
                    </w:r>
                    <w:r>
                      <w:instrText xml:space="preserve"> PAGE  \* MERGEFORMAT </w:instrText>
                    </w:r>
                    <w:r>
                      <w:fldChar w:fldCharType="separate"/>
                    </w:r>
                    <w:r>
                      <w:t>90</w:t>
                    </w:r>
                    <w:r>
                      <w:fldChar w:fldCharType="end"/>
                    </w:r>
                  </w:p>
                </w:txbxContent>
              </v:textbox>
            </v:shape>
          </w:pict>
        </mc:Fallback>
      </mc:AlternateContent>
    </w:r>
  </w:p>
  <w:p w14:paraId="0D007263">
    <w:pPr>
      <w:spacing w:line="230" w:lineRule="auto"/>
      <w:ind w:left="3707"/>
      <w:rPr>
        <w:rFonts w:ascii="宋体" w:hAnsi="宋体" w:eastAsia="宋体" w:cs="宋体"/>
        <w:sz w:val="17"/>
        <w:szCs w:val="17"/>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473014">
    <w:pPr>
      <w:pStyle w:val="30"/>
    </w:pPr>
    <w:r>
      <w:rPr>
        <w:sz w:val="18"/>
      </w:rPr>
      <mc:AlternateContent>
        <mc:Choice Requires="wps">
          <w:drawing>
            <wp:anchor distT="0" distB="0" distL="114300" distR="114300" simplePos="0" relativeHeight="2517207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348F0C0">
                          <w:pPr>
                            <w:pStyle w:val="30"/>
                          </w:pPr>
                          <w:r>
                            <w:fldChar w:fldCharType="begin"/>
                          </w:r>
                          <w:r>
                            <w:instrText xml:space="preserve"> PAGE  \* MERGEFORMAT </w:instrText>
                          </w:r>
                          <w:r>
                            <w:fldChar w:fldCharType="separate"/>
                          </w:r>
                          <w:r>
                            <w:t>- 139 -</w:t>
                          </w:r>
                          <w:r>
                            <w:fldChar w:fldCharType="end"/>
                          </w:r>
                        </w:p>
                      </w:txbxContent>
                    </wps:txbx>
                    <wps:bodyPr vert="horz" wrap="none" lIns="0" tIns="0" rIns="0" bIns="0" anchor="t" anchorCtr="0" upright="0">
                      <a:spAutoFit/>
                    </wps:bodyPr>
                  </wps:wsp>
                </a:graphicData>
              </a:graphic>
            </wp:anchor>
          </w:drawing>
        </mc:Choice>
        <mc:Fallback>
          <w:pict>
            <v:shape id="文本框 25" o:spid="_x0000_s1026" o:spt="202" type="#_x0000_t202" style="position:absolute;left:0pt;margin-top:0pt;height:144pt;width:144pt;mso-position-horizontal:center;mso-position-horizontal-relative:margin;mso-wrap-style:none;z-index:2517207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s0lY7tAAAAAFAQAA&#10;DwAAAAAAAAABACAAAAAiAAAAZHJzL2Rvd25yZXYueG1sUEsBAhQAFAAAAAgAh07iQJl1/ZfoAQAA&#10;yQMAAA4AAAAAAAAAAQAgAAAAHwEAAGRycy9lMm9Eb2MueG1sUEsFBgAAAAAGAAYAWQEAAHkFAAAA&#10;AA==&#10;">
              <v:fill on="f" focussize="0,0"/>
              <v:stroke on="f" weight="0.5pt"/>
              <v:imagedata o:title=""/>
              <o:lock v:ext="edit" aspectratio="f"/>
              <v:textbox inset="0mm,0mm,0mm,0mm" style="mso-fit-shape-to-text:t;">
                <w:txbxContent>
                  <w:p w14:paraId="3348F0C0">
                    <w:pPr>
                      <w:pStyle w:val="30"/>
                    </w:pPr>
                    <w:r>
                      <w:fldChar w:fldCharType="begin"/>
                    </w:r>
                    <w:r>
                      <w:instrText xml:space="preserve"> PAGE  \* MERGEFORMAT </w:instrText>
                    </w:r>
                    <w:r>
                      <w:fldChar w:fldCharType="separate"/>
                    </w:r>
                    <w:r>
                      <w:t>- 139 -</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FB0C2">
    <w:pPr>
      <w:widowControl w:val="0"/>
    </w:pPr>
    <w:r>
      <mc:AlternateContent>
        <mc:Choice Requires="wps">
          <w:drawing>
            <wp:anchor distT="0" distB="0" distL="114300" distR="114300" simplePos="0" relativeHeight="2516930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54" name="文本框 2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1C4AB9">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79</w:t>
                          </w:r>
                          <w:r>
                            <w:rPr>
                              <w:rFonts w:hint="eastAsia"/>
                            </w:rPr>
                            <w:fldChar w:fldCharType="end"/>
                          </w:r>
                          <w:r>
                            <w:rPr>
                              <w:rFonts w:hint="eastAsia"/>
                            </w:rP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30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kuuguAgAAW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6u3lCimULJT9+/&#10;nX78Ov38SuIhJGqtnyHywSI2dG9Nh8YZzj0OI/Oucip+wYnAD4GPF4FFFwiPl6aT6TSHi8M3bICf&#10;PV63zod3wigSjYI6VDAJyw4bH/rQISRm02bdSJmqKDVpC3r9+i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VJLroLgIAAFkEAAAOAAAAAAAAAAEAIAAAAB8BAABkcnMvZTJvRG9jLnhtbFBLBQYAAAAA&#10;BgAGAFkBAAC/BQAAAAA=&#10;">
              <v:fill on="f" focussize="0,0"/>
              <v:stroke on="f" weight="0.5pt"/>
              <v:imagedata o:title=""/>
              <o:lock v:ext="edit" aspectratio="f"/>
              <v:textbox inset="0mm,0mm,0mm,0mm" style="mso-fit-shape-to-text:t;">
                <w:txbxContent>
                  <w:p w14:paraId="271C4AB9">
                    <w:pPr>
                      <w:pStyle w:val="30"/>
                    </w:pPr>
                    <w:r>
                      <w:rPr>
                        <w:rFonts w:hint="eastAsia"/>
                      </w:rPr>
                      <w:t xml:space="preserve">— </w:t>
                    </w:r>
                    <w:r>
                      <w:rPr>
                        <w:rFonts w:hint="eastAsia"/>
                      </w:rPr>
                      <w:fldChar w:fldCharType="begin"/>
                    </w:r>
                    <w:r>
                      <w:rPr>
                        <w:rFonts w:hint="eastAsia"/>
                      </w:rPr>
                      <w:instrText xml:space="preserve"> PAGE  \* MERGEFORMAT </w:instrText>
                    </w:r>
                    <w:r>
                      <w:rPr>
                        <w:rFonts w:hint="eastAsia"/>
                      </w:rPr>
                      <w:fldChar w:fldCharType="separate"/>
                    </w:r>
                    <w:r>
                      <w:t>79</w:t>
                    </w:r>
                    <w:r>
                      <w:rPr>
                        <w:rFonts w:hint="eastAsia"/>
                      </w:rPr>
                      <w:fldChar w:fldCharType="end"/>
                    </w:r>
                    <w:r>
                      <w:rPr>
                        <w:rFonts w:hint="eastAsia"/>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283851">
    <w:pPr>
      <w:pStyle w:val="31"/>
      <w:pBdr>
        <w:bottom w:val="single" w:color="000000" w:sz="6" w:space="0"/>
      </w:pBdr>
      <w:snapToGrid w:val="0"/>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9C8AF">
    <w:pPr>
      <w:pStyle w:val="31"/>
      <w:pBdr>
        <w:bottom w:val="single" w:color="auto" w:sz="4" w:space="0"/>
      </w:pBdr>
      <w:snapToGrid w:val="0"/>
      <w:jc w:val="both"/>
    </w:pPr>
    <w:r>
      <w:rPr>
        <w:rFonts w:hint="eastAsia" w:ascii="宋体" w:eastAsia="宋体"/>
        <w:lang w:eastAsia="zh-CN"/>
      </w:rPr>
      <w:t>黑龙江鸿展生物科技股份有限公司年产70万吨医用酒精技术改造项目</w:t>
    </w:r>
    <w:r>
      <w:rPr>
        <w:rFonts w:ascii="宋体" w:eastAsia="Times New Roman"/>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726A73"/>
    <w:multiLevelType w:val="singleLevel"/>
    <w:tmpl w:val="80726A73"/>
    <w:lvl w:ilvl="0" w:tentative="0">
      <w:start w:val="2"/>
      <w:numFmt w:val="chineseCounting"/>
      <w:suff w:val="nothing"/>
      <w:lvlText w:val="%1、"/>
      <w:lvlJc w:val="left"/>
      <w:rPr>
        <w:rFonts w:hint="eastAsia"/>
      </w:rPr>
    </w:lvl>
  </w:abstractNum>
  <w:abstractNum w:abstractNumId="1">
    <w:nsid w:val="C1188B75"/>
    <w:multiLevelType w:val="singleLevel"/>
    <w:tmpl w:val="C1188B75"/>
    <w:lvl w:ilvl="0" w:tentative="0">
      <w:start w:val="3"/>
      <w:numFmt w:val="chineseCounting"/>
      <w:suff w:val="nothing"/>
      <w:lvlText w:val="%1、"/>
      <w:lvlJc w:val="left"/>
      <w:rPr>
        <w:rFonts w:hint="eastAsia"/>
      </w:rPr>
    </w:lvl>
  </w:abstractNum>
  <w:abstractNum w:abstractNumId="2">
    <w:nsid w:val="1B3C13E1"/>
    <w:multiLevelType w:val="singleLevel"/>
    <w:tmpl w:val="1B3C13E1"/>
    <w:lvl w:ilvl="0" w:tentative="0">
      <w:start w:val="1"/>
      <w:numFmt w:val="decimal"/>
      <w:suff w:val="nothing"/>
      <w:lvlText w:val="（%1）"/>
      <w:lvlJc w:val="left"/>
    </w:lvl>
  </w:abstractNum>
  <w:abstractNum w:abstractNumId="3">
    <w:nsid w:val="3996945E"/>
    <w:multiLevelType w:val="singleLevel"/>
    <w:tmpl w:val="3996945E"/>
    <w:lvl w:ilvl="0" w:tentative="0">
      <w:start w:val="4"/>
      <w:numFmt w:val="decimal"/>
      <w:suff w:val="nothing"/>
      <w:lvlText w:val="（%1）"/>
      <w:lvlJc w:val="left"/>
    </w:lvl>
  </w:abstractNum>
  <w:abstractNum w:abstractNumId="4">
    <w:nsid w:val="3BE59446"/>
    <w:multiLevelType w:val="singleLevel"/>
    <w:tmpl w:val="3BE59446"/>
    <w:lvl w:ilvl="0" w:tentative="0">
      <w:start w:val="2"/>
      <w:numFmt w:val="decimal"/>
      <w:suff w:val="nothing"/>
      <w:lvlText w:val="（%1）"/>
      <w:lvlJc w:val="left"/>
    </w:lvl>
  </w:abstractNum>
  <w:abstractNum w:abstractNumId="5">
    <w:nsid w:val="3F998C72"/>
    <w:multiLevelType w:val="singleLevel"/>
    <w:tmpl w:val="3F998C72"/>
    <w:lvl w:ilvl="0" w:tentative="0">
      <w:start w:val="1"/>
      <w:numFmt w:val="decimal"/>
      <w:suff w:val="nothing"/>
      <w:lvlText w:val="%1、"/>
      <w:lvlJc w:val="left"/>
    </w:lvl>
  </w:abstractNum>
  <w:abstractNum w:abstractNumId="6">
    <w:nsid w:val="4F7A4688"/>
    <w:multiLevelType w:val="singleLevel"/>
    <w:tmpl w:val="4F7A4688"/>
    <w:lvl w:ilvl="0" w:tentative="0">
      <w:start w:val="2"/>
      <w:numFmt w:val="decimal"/>
      <w:suff w:val="nothing"/>
      <w:lvlText w:val="%1、"/>
      <w:lvlJc w:val="left"/>
    </w:lvl>
  </w:abstractNum>
  <w:abstractNum w:abstractNumId="7">
    <w:nsid w:val="74DB6557"/>
    <w:multiLevelType w:val="singleLevel"/>
    <w:tmpl w:val="74DB6557"/>
    <w:lvl w:ilvl="0" w:tentative="0">
      <w:start w:val="1"/>
      <w:numFmt w:val="decimal"/>
      <w:suff w:val="nothing"/>
      <w:lvlText w:val="%1、"/>
      <w:lvlJc w:val="left"/>
    </w:lvl>
  </w:abstractNum>
  <w:abstractNum w:abstractNumId="8">
    <w:nsid w:val="79B6328A"/>
    <w:multiLevelType w:val="singleLevel"/>
    <w:tmpl w:val="79B6328A"/>
    <w:lvl w:ilvl="0" w:tentative="0">
      <w:start w:val="1"/>
      <w:numFmt w:val="chineseCounting"/>
      <w:suff w:val="nothing"/>
      <w:lvlText w:val="%1、"/>
      <w:lvlJc w:val="left"/>
      <w:rPr>
        <w:rFonts w:hint="eastAsia"/>
      </w:rPr>
    </w:lvl>
  </w:abstractNum>
  <w:num w:numId="1">
    <w:abstractNumId w:val="0"/>
  </w:num>
  <w:num w:numId="2">
    <w:abstractNumId w:val="8"/>
  </w:num>
  <w:num w:numId="3">
    <w:abstractNumId w:val="3"/>
  </w:num>
  <w:num w:numId="4">
    <w:abstractNumId w:val="4"/>
  </w:num>
  <w:num w:numId="5">
    <w:abstractNumId w:val="5"/>
  </w:num>
  <w:num w:numId="6">
    <w:abstractNumId w:val="2"/>
  </w:num>
  <w:num w:numId="7">
    <w:abstractNumId w:val="6"/>
  </w:num>
  <w:num w:numId="8">
    <w:abstractNumId w:val="1"/>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isplayHorizontalDrawingGridEvery w:val="1"/>
  <w:displayVerticalDrawingGridEvery w:val="1"/>
  <w:noPunctuationKerning w:val="1"/>
  <w:characterSpacingControl w:val="compressPunctuation"/>
  <w:compat>
    <w:balanceSingleByteDoubleByteWidth/>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
  <w:docVars>
    <w:docVar w:name="commondata" w:val="eyJoZGlkIjoiNzdhOGE3MGRhODQ0ZjJkNjg4N2Y3ZDA0NTJmZjgyZmYifQ=="/>
  </w:docVars>
  <w:rsids>
    <w:rsidRoot w:val="007B17E8"/>
    <w:rsid w:val="000156A7"/>
    <w:rsid w:val="00051ACB"/>
    <w:rsid w:val="0007518E"/>
    <w:rsid w:val="000A25E6"/>
    <w:rsid w:val="000D7843"/>
    <w:rsid w:val="001772CD"/>
    <w:rsid w:val="00183698"/>
    <w:rsid w:val="001C6CB6"/>
    <w:rsid w:val="001D1D42"/>
    <w:rsid w:val="001D5937"/>
    <w:rsid w:val="001E4B60"/>
    <w:rsid w:val="001E6EB7"/>
    <w:rsid w:val="00213FF9"/>
    <w:rsid w:val="00231984"/>
    <w:rsid w:val="00326B11"/>
    <w:rsid w:val="00331596"/>
    <w:rsid w:val="00343ACB"/>
    <w:rsid w:val="003778ED"/>
    <w:rsid w:val="003D5844"/>
    <w:rsid w:val="003F2737"/>
    <w:rsid w:val="003F57FC"/>
    <w:rsid w:val="004202B1"/>
    <w:rsid w:val="004445DA"/>
    <w:rsid w:val="00477FE3"/>
    <w:rsid w:val="00491C25"/>
    <w:rsid w:val="004A55B0"/>
    <w:rsid w:val="004C5455"/>
    <w:rsid w:val="00502D97"/>
    <w:rsid w:val="00515B86"/>
    <w:rsid w:val="00590583"/>
    <w:rsid w:val="00595FF0"/>
    <w:rsid w:val="005D0EAF"/>
    <w:rsid w:val="00603464"/>
    <w:rsid w:val="006140A4"/>
    <w:rsid w:val="006276B5"/>
    <w:rsid w:val="00627F0F"/>
    <w:rsid w:val="00634092"/>
    <w:rsid w:val="006871B6"/>
    <w:rsid w:val="00695946"/>
    <w:rsid w:val="0069661F"/>
    <w:rsid w:val="006F571F"/>
    <w:rsid w:val="00715343"/>
    <w:rsid w:val="00732A81"/>
    <w:rsid w:val="00736954"/>
    <w:rsid w:val="007459FC"/>
    <w:rsid w:val="0075272D"/>
    <w:rsid w:val="007632B3"/>
    <w:rsid w:val="007776D5"/>
    <w:rsid w:val="007B17E8"/>
    <w:rsid w:val="007B3993"/>
    <w:rsid w:val="007B6013"/>
    <w:rsid w:val="007F3A25"/>
    <w:rsid w:val="00803EF7"/>
    <w:rsid w:val="008157C0"/>
    <w:rsid w:val="00820C20"/>
    <w:rsid w:val="00831955"/>
    <w:rsid w:val="008710C1"/>
    <w:rsid w:val="00896AE4"/>
    <w:rsid w:val="008C7628"/>
    <w:rsid w:val="0093564E"/>
    <w:rsid w:val="009735C9"/>
    <w:rsid w:val="00A10E06"/>
    <w:rsid w:val="00A63771"/>
    <w:rsid w:val="00A953E8"/>
    <w:rsid w:val="00AA3713"/>
    <w:rsid w:val="00AA63EE"/>
    <w:rsid w:val="00AC4DE6"/>
    <w:rsid w:val="00AE52D9"/>
    <w:rsid w:val="00B044E8"/>
    <w:rsid w:val="00B15565"/>
    <w:rsid w:val="00B63A18"/>
    <w:rsid w:val="00B84F54"/>
    <w:rsid w:val="00BD06BA"/>
    <w:rsid w:val="00CB1191"/>
    <w:rsid w:val="00CC1DCC"/>
    <w:rsid w:val="00CE704E"/>
    <w:rsid w:val="00D45CF1"/>
    <w:rsid w:val="00D55CBC"/>
    <w:rsid w:val="00E05DA1"/>
    <w:rsid w:val="00E0751D"/>
    <w:rsid w:val="00E20254"/>
    <w:rsid w:val="00E41A70"/>
    <w:rsid w:val="00EC78D3"/>
    <w:rsid w:val="00ED5A26"/>
    <w:rsid w:val="00F16D16"/>
    <w:rsid w:val="00F40051"/>
    <w:rsid w:val="00F753E4"/>
    <w:rsid w:val="00FA23B3"/>
    <w:rsid w:val="00FC50C2"/>
    <w:rsid w:val="00FF0170"/>
    <w:rsid w:val="010672BE"/>
    <w:rsid w:val="014C5851"/>
    <w:rsid w:val="019148A0"/>
    <w:rsid w:val="01A352D5"/>
    <w:rsid w:val="01CB598E"/>
    <w:rsid w:val="01F75E4A"/>
    <w:rsid w:val="02004D4A"/>
    <w:rsid w:val="021F5F88"/>
    <w:rsid w:val="02215E71"/>
    <w:rsid w:val="022D1382"/>
    <w:rsid w:val="02337EF8"/>
    <w:rsid w:val="02393C39"/>
    <w:rsid w:val="023C34F5"/>
    <w:rsid w:val="023E3A22"/>
    <w:rsid w:val="024E6576"/>
    <w:rsid w:val="026C3137"/>
    <w:rsid w:val="02744822"/>
    <w:rsid w:val="02916FE6"/>
    <w:rsid w:val="02976D3A"/>
    <w:rsid w:val="02AC16F1"/>
    <w:rsid w:val="02B73E4A"/>
    <w:rsid w:val="02BF233F"/>
    <w:rsid w:val="02CB19A4"/>
    <w:rsid w:val="02F55DC0"/>
    <w:rsid w:val="0322230D"/>
    <w:rsid w:val="032444F2"/>
    <w:rsid w:val="034342A4"/>
    <w:rsid w:val="03446B1E"/>
    <w:rsid w:val="035A7729"/>
    <w:rsid w:val="03713C18"/>
    <w:rsid w:val="037427A3"/>
    <w:rsid w:val="037875D9"/>
    <w:rsid w:val="039E10D3"/>
    <w:rsid w:val="03A674C0"/>
    <w:rsid w:val="03B23E24"/>
    <w:rsid w:val="03CC6D13"/>
    <w:rsid w:val="03E82E4D"/>
    <w:rsid w:val="03EA2F09"/>
    <w:rsid w:val="03EA37FE"/>
    <w:rsid w:val="03EC5908"/>
    <w:rsid w:val="040250D0"/>
    <w:rsid w:val="040547E4"/>
    <w:rsid w:val="043B6740"/>
    <w:rsid w:val="043C761A"/>
    <w:rsid w:val="044C0FD0"/>
    <w:rsid w:val="04557C1C"/>
    <w:rsid w:val="045D2E65"/>
    <w:rsid w:val="046A3FD1"/>
    <w:rsid w:val="04761A44"/>
    <w:rsid w:val="04976EA5"/>
    <w:rsid w:val="04A84FCF"/>
    <w:rsid w:val="04B665A9"/>
    <w:rsid w:val="04C224C7"/>
    <w:rsid w:val="04C950D8"/>
    <w:rsid w:val="04DC07AF"/>
    <w:rsid w:val="050122BA"/>
    <w:rsid w:val="050D3319"/>
    <w:rsid w:val="051B076B"/>
    <w:rsid w:val="05560B44"/>
    <w:rsid w:val="05586133"/>
    <w:rsid w:val="05877477"/>
    <w:rsid w:val="05942121"/>
    <w:rsid w:val="05BF146D"/>
    <w:rsid w:val="05C62D03"/>
    <w:rsid w:val="05C846BE"/>
    <w:rsid w:val="05D53CA2"/>
    <w:rsid w:val="05FE6CE1"/>
    <w:rsid w:val="0603698E"/>
    <w:rsid w:val="061C0173"/>
    <w:rsid w:val="06492432"/>
    <w:rsid w:val="065E2A0B"/>
    <w:rsid w:val="06700F42"/>
    <w:rsid w:val="06796446"/>
    <w:rsid w:val="06A65B69"/>
    <w:rsid w:val="06E11DF7"/>
    <w:rsid w:val="06E653AF"/>
    <w:rsid w:val="07065B11"/>
    <w:rsid w:val="070F4AC5"/>
    <w:rsid w:val="072D3A1A"/>
    <w:rsid w:val="074E4180"/>
    <w:rsid w:val="078D7379"/>
    <w:rsid w:val="0792076B"/>
    <w:rsid w:val="079B659B"/>
    <w:rsid w:val="07B857F2"/>
    <w:rsid w:val="07DF23B9"/>
    <w:rsid w:val="07E437F5"/>
    <w:rsid w:val="07E84E0C"/>
    <w:rsid w:val="07F312D1"/>
    <w:rsid w:val="08094BFA"/>
    <w:rsid w:val="080D38FB"/>
    <w:rsid w:val="0813191A"/>
    <w:rsid w:val="081C54CA"/>
    <w:rsid w:val="08354F47"/>
    <w:rsid w:val="0836148D"/>
    <w:rsid w:val="08657AD4"/>
    <w:rsid w:val="087001A7"/>
    <w:rsid w:val="08713CE4"/>
    <w:rsid w:val="08872C52"/>
    <w:rsid w:val="089D7411"/>
    <w:rsid w:val="08A45397"/>
    <w:rsid w:val="08B55B08"/>
    <w:rsid w:val="08BB31AF"/>
    <w:rsid w:val="08C06D9D"/>
    <w:rsid w:val="08C65AEA"/>
    <w:rsid w:val="08E26BA5"/>
    <w:rsid w:val="08E26C19"/>
    <w:rsid w:val="08F62814"/>
    <w:rsid w:val="08F810EB"/>
    <w:rsid w:val="090746A7"/>
    <w:rsid w:val="09154715"/>
    <w:rsid w:val="091A1F48"/>
    <w:rsid w:val="091E0822"/>
    <w:rsid w:val="092C5072"/>
    <w:rsid w:val="09355ABE"/>
    <w:rsid w:val="093919E1"/>
    <w:rsid w:val="093F33A7"/>
    <w:rsid w:val="093F7140"/>
    <w:rsid w:val="094F67E7"/>
    <w:rsid w:val="09587A70"/>
    <w:rsid w:val="095C2214"/>
    <w:rsid w:val="09624F6A"/>
    <w:rsid w:val="099129E2"/>
    <w:rsid w:val="099239FA"/>
    <w:rsid w:val="09A30F6A"/>
    <w:rsid w:val="09A5514C"/>
    <w:rsid w:val="09B55DAF"/>
    <w:rsid w:val="09BC1DBF"/>
    <w:rsid w:val="09BD66D5"/>
    <w:rsid w:val="09C82EFC"/>
    <w:rsid w:val="09C86C66"/>
    <w:rsid w:val="09CA0221"/>
    <w:rsid w:val="09E50B67"/>
    <w:rsid w:val="09EC6A8B"/>
    <w:rsid w:val="09EE5520"/>
    <w:rsid w:val="09F14E44"/>
    <w:rsid w:val="0A0F040C"/>
    <w:rsid w:val="0A2543E3"/>
    <w:rsid w:val="0A2B68D6"/>
    <w:rsid w:val="0A2E648B"/>
    <w:rsid w:val="0A32703E"/>
    <w:rsid w:val="0A4A74FF"/>
    <w:rsid w:val="0A7947E6"/>
    <w:rsid w:val="0AA822A6"/>
    <w:rsid w:val="0ABA5285"/>
    <w:rsid w:val="0ADD1B75"/>
    <w:rsid w:val="0AE55209"/>
    <w:rsid w:val="0B106B94"/>
    <w:rsid w:val="0B451243"/>
    <w:rsid w:val="0B46647A"/>
    <w:rsid w:val="0B4C6166"/>
    <w:rsid w:val="0B526F65"/>
    <w:rsid w:val="0B6121B6"/>
    <w:rsid w:val="0B8421EE"/>
    <w:rsid w:val="0B8B0DE1"/>
    <w:rsid w:val="0B941AF9"/>
    <w:rsid w:val="0B9B2BB5"/>
    <w:rsid w:val="0BA16476"/>
    <w:rsid w:val="0BAA2F45"/>
    <w:rsid w:val="0BBA730B"/>
    <w:rsid w:val="0BBE5B85"/>
    <w:rsid w:val="0BC24EFC"/>
    <w:rsid w:val="0BCA1342"/>
    <w:rsid w:val="0BD067DD"/>
    <w:rsid w:val="0BD515C6"/>
    <w:rsid w:val="0BD80DC1"/>
    <w:rsid w:val="0BE072BD"/>
    <w:rsid w:val="0BE1059D"/>
    <w:rsid w:val="0C2864AA"/>
    <w:rsid w:val="0C3C12E0"/>
    <w:rsid w:val="0C3C4DA6"/>
    <w:rsid w:val="0C6528DF"/>
    <w:rsid w:val="0C767012"/>
    <w:rsid w:val="0C777D9E"/>
    <w:rsid w:val="0C7C70FB"/>
    <w:rsid w:val="0C8D7B88"/>
    <w:rsid w:val="0C956EBE"/>
    <w:rsid w:val="0CA20241"/>
    <w:rsid w:val="0CAA465B"/>
    <w:rsid w:val="0CAB579D"/>
    <w:rsid w:val="0CBA5601"/>
    <w:rsid w:val="0CE81679"/>
    <w:rsid w:val="0CF35AD7"/>
    <w:rsid w:val="0D001AC3"/>
    <w:rsid w:val="0D001BB8"/>
    <w:rsid w:val="0D036983"/>
    <w:rsid w:val="0D144BB8"/>
    <w:rsid w:val="0D234EF8"/>
    <w:rsid w:val="0D2A5888"/>
    <w:rsid w:val="0D2C4137"/>
    <w:rsid w:val="0D3E40C3"/>
    <w:rsid w:val="0D4150FF"/>
    <w:rsid w:val="0D4D3E15"/>
    <w:rsid w:val="0D5813C4"/>
    <w:rsid w:val="0D653B26"/>
    <w:rsid w:val="0D6A7722"/>
    <w:rsid w:val="0D6B2889"/>
    <w:rsid w:val="0D70783F"/>
    <w:rsid w:val="0D736B6D"/>
    <w:rsid w:val="0D756765"/>
    <w:rsid w:val="0D7A1C74"/>
    <w:rsid w:val="0D812645"/>
    <w:rsid w:val="0D995CBC"/>
    <w:rsid w:val="0DA33B6D"/>
    <w:rsid w:val="0DC3256E"/>
    <w:rsid w:val="0DC8099E"/>
    <w:rsid w:val="0DD77C02"/>
    <w:rsid w:val="0DDF04D2"/>
    <w:rsid w:val="0DF75008"/>
    <w:rsid w:val="0E2D50B6"/>
    <w:rsid w:val="0E2F6C5C"/>
    <w:rsid w:val="0E4943CE"/>
    <w:rsid w:val="0E5056C9"/>
    <w:rsid w:val="0E525BA1"/>
    <w:rsid w:val="0E5E2F0F"/>
    <w:rsid w:val="0E60452B"/>
    <w:rsid w:val="0E673081"/>
    <w:rsid w:val="0EA2560B"/>
    <w:rsid w:val="0EA35F44"/>
    <w:rsid w:val="0EA76E71"/>
    <w:rsid w:val="0EEF4877"/>
    <w:rsid w:val="0F291102"/>
    <w:rsid w:val="0F2938AE"/>
    <w:rsid w:val="0F2971CC"/>
    <w:rsid w:val="0F392FB4"/>
    <w:rsid w:val="0F562089"/>
    <w:rsid w:val="0F6E056A"/>
    <w:rsid w:val="0F7A383B"/>
    <w:rsid w:val="0F9C30D7"/>
    <w:rsid w:val="0FB33DAA"/>
    <w:rsid w:val="0FB852C1"/>
    <w:rsid w:val="0FB95C12"/>
    <w:rsid w:val="0FC73552"/>
    <w:rsid w:val="10042B6A"/>
    <w:rsid w:val="103172D5"/>
    <w:rsid w:val="103F2EFC"/>
    <w:rsid w:val="10474734"/>
    <w:rsid w:val="104D510B"/>
    <w:rsid w:val="105600DD"/>
    <w:rsid w:val="105A7A81"/>
    <w:rsid w:val="107F3EE3"/>
    <w:rsid w:val="10CA4955"/>
    <w:rsid w:val="10CA5CE4"/>
    <w:rsid w:val="10D16E3D"/>
    <w:rsid w:val="10F61F30"/>
    <w:rsid w:val="11337AAE"/>
    <w:rsid w:val="113621DA"/>
    <w:rsid w:val="113A476B"/>
    <w:rsid w:val="11653183"/>
    <w:rsid w:val="116B4CFE"/>
    <w:rsid w:val="11745AFA"/>
    <w:rsid w:val="11857FDE"/>
    <w:rsid w:val="11A33844"/>
    <w:rsid w:val="11A81844"/>
    <w:rsid w:val="11AB6B65"/>
    <w:rsid w:val="11AC1EAB"/>
    <w:rsid w:val="11B54B13"/>
    <w:rsid w:val="11DD2F1D"/>
    <w:rsid w:val="11F439DF"/>
    <w:rsid w:val="121E147B"/>
    <w:rsid w:val="122A12EF"/>
    <w:rsid w:val="1244229A"/>
    <w:rsid w:val="124B62BB"/>
    <w:rsid w:val="124C4776"/>
    <w:rsid w:val="12683639"/>
    <w:rsid w:val="126E3195"/>
    <w:rsid w:val="12734D43"/>
    <w:rsid w:val="127B038B"/>
    <w:rsid w:val="12AA1F00"/>
    <w:rsid w:val="12AE1373"/>
    <w:rsid w:val="12B46779"/>
    <w:rsid w:val="12C11F62"/>
    <w:rsid w:val="12C1654E"/>
    <w:rsid w:val="12CA05EB"/>
    <w:rsid w:val="12CA234C"/>
    <w:rsid w:val="12D21370"/>
    <w:rsid w:val="13012FFB"/>
    <w:rsid w:val="13197F22"/>
    <w:rsid w:val="13210A91"/>
    <w:rsid w:val="13294F44"/>
    <w:rsid w:val="133C4268"/>
    <w:rsid w:val="13632A80"/>
    <w:rsid w:val="13633166"/>
    <w:rsid w:val="136B7D8A"/>
    <w:rsid w:val="1377047E"/>
    <w:rsid w:val="138805EE"/>
    <w:rsid w:val="13982FDF"/>
    <w:rsid w:val="13B02B8E"/>
    <w:rsid w:val="13B83436"/>
    <w:rsid w:val="13D3130C"/>
    <w:rsid w:val="13DF6B52"/>
    <w:rsid w:val="13E70B31"/>
    <w:rsid w:val="13E74570"/>
    <w:rsid w:val="1414774F"/>
    <w:rsid w:val="14166013"/>
    <w:rsid w:val="14333E9E"/>
    <w:rsid w:val="1444632C"/>
    <w:rsid w:val="146A2A14"/>
    <w:rsid w:val="147B0999"/>
    <w:rsid w:val="1487463F"/>
    <w:rsid w:val="148A5505"/>
    <w:rsid w:val="148E559C"/>
    <w:rsid w:val="149063AA"/>
    <w:rsid w:val="149129EC"/>
    <w:rsid w:val="149C3F95"/>
    <w:rsid w:val="14AE3BB1"/>
    <w:rsid w:val="14B315BA"/>
    <w:rsid w:val="14B74700"/>
    <w:rsid w:val="14BF154E"/>
    <w:rsid w:val="14D537E7"/>
    <w:rsid w:val="151E57B7"/>
    <w:rsid w:val="15287089"/>
    <w:rsid w:val="15320AFD"/>
    <w:rsid w:val="153460FA"/>
    <w:rsid w:val="153758E8"/>
    <w:rsid w:val="153A7B19"/>
    <w:rsid w:val="154B68D7"/>
    <w:rsid w:val="155D7B40"/>
    <w:rsid w:val="156A10F0"/>
    <w:rsid w:val="15704D98"/>
    <w:rsid w:val="15982123"/>
    <w:rsid w:val="15AB77D9"/>
    <w:rsid w:val="15B0050C"/>
    <w:rsid w:val="15BF4B3D"/>
    <w:rsid w:val="15C51F0E"/>
    <w:rsid w:val="15E30783"/>
    <w:rsid w:val="15E93067"/>
    <w:rsid w:val="15EE1265"/>
    <w:rsid w:val="15FA3D5B"/>
    <w:rsid w:val="16000FEA"/>
    <w:rsid w:val="161775CA"/>
    <w:rsid w:val="16285D9C"/>
    <w:rsid w:val="16372E16"/>
    <w:rsid w:val="16397468"/>
    <w:rsid w:val="164002E0"/>
    <w:rsid w:val="16587E80"/>
    <w:rsid w:val="165C6A05"/>
    <w:rsid w:val="16605815"/>
    <w:rsid w:val="166B0A31"/>
    <w:rsid w:val="1673188D"/>
    <w:rsid w:val="16776F29"/>
    <w:rsid w:val="16846B1E"/>
    <w:rsid w:val="168C59DC"/>
    <w:rsid w:val="169E19B4"/>
    <w:rsid w:val="16A11ECE"/>
    <w:rsid w:val="16A6065A"/>
    <w:rsid w:val="16A77334"/>
    <w:rsid w:val="16BE2CF1"/>
    <w:rsid w:val="16CA4BDC"/>
    <w:rsid w:val="16D04C82"/>
    <w:rsid w:val="16E107C5"/>
    <w:rsid w:val="16F73438"/>
    <w:rsid w:val="17011D6D"/>
    <w:rsid w:val="17076469"/>
    <w:rsid w:val="17264BAB"/>
    <w:rsid w:val="1749149F"/>
    <w:rsid w:val="174B3562"/>
    <w:rsid w:val="17532A24"/>
    <w:rsid w:val="175D6576"/>
    <w:rsid w:val="17796A77"/>
    <w:rsid w:val="178F69E8"/>
    <w:rsid w:val="179D1634"/>
    <w:rsid w:val="17AF35AF"/>
    <w:rsid w:val="17B0153A"/>
    <w:rsid w:val="17BE408D"/>
    <w:rsid w:val="17D05BC1"/>
    <w:rsid w:val="17D81432"/>
    <w:rsid w:val="17DB3BE1"/>
    <w:rsid w:val="17FC438F"/>
    <w:rsid w:val="17FE0C91"/>
    <w:rsid w:val="1803674D"/>
    <w:rsid w:val="18066778"/>
    <w:rsid w:val="183A535E"/>
    <w:rsid w:val="18756B59"/>
    <w:rsid w:val="187C22DA"/>
    <w:rsid w:val="18D07619"/>
    <w:rsid w:val="18D37372"/>
    <w:rsid w:val="18E343DB"/>
    <w:rsid w:val="18EC6EA9"/>
    <w:rsid w:val="18F70B22"/>
    <w:rsid w:val="18FC7CA4"/>
    <w:rsid w:val="190E6554"/>
    <w:rsid w:val="19157A66"/>
    <w:rsid w:val="19180C9F"/>
    <w:rsid w:val="19232CAB"/>
    <w:rsid w:val="19243B60"/>
    <w:rsid w:val="193E1A35"/>
    <w:rsid w:val="1952146B"/>
    <w:rsid w:val="195720DF"/>
    <w:rsid w:val="195724CF"/>
    <w:rsid w:val="196A0C5D"/>
    <w:rsid w:val="196F5894"/>
    <w:rsid w:val="19746954"/>
    <w:rsid w:val="19893FC4"/>
    <w:rsid w:val="19A46015"/>
    <w:rsid w:val="19AE496C"/>
    <w:rsid w:val="19BD29A0"/>
    <w:rsid w:val="19CC0AA8"/>
    <w:rsid w:val="19F011A7"/>
    <w:rsid w:val="19F64CA0"/>
    <w:rsid w:val="1A0D2C0B"/>
    <w:rsid w:val="1A0F6298"/>
    <w:rsid w:val="1A2138E8"/>
    <w:rsid w:val="1A35176E"/>
    <w:rsid w:val="1A356D2C"/>
    <w:rsid w:val="1A362A24"/>
    <w:rsid w:val="1A546D5C"/>
    <w:rsid w:val="1A611F63"/>
    <w:rsid w:val="1A7A48BC"/>
    <w:rsid w:val="1A8E1370"/>
    <w:rsid w:val="1AA55948"/>
    <w:rsid w:val="1AAA44CF"/>
    <w:rsid w:val="1AC77655"/>
    <w:rsid w:val="1AD34952"/>
    <w:rsid w:val="1ADA6B0C"/>
    <w:rsid w:val="1AE96786"/>
    <w:rsid w:val="1AF16299"/>
    <w:rsid w:val="1B063B9D"/>
    <w:rsid w:val="1B0C0AB1"/>
    <w:rsid w:val="1B1D1356"/>
    <w:rsid w:val="1B237AA1"/>
    <w:rsid w:val="1B2B71FD"/>
    <w:rsid w:val="1B303C46"/>
    <w:rsid w:val="1B495F3F"/>
    <w:rsid w:val="1B4A0A4E"/>
    <w:rsid w:val="1B506B82"/>
    <w:rsid w:val="1B762636"/>
    <w:rsid w:val="1B8F683E"/>
    <w:rsid w:val="1BA774E5"/>
    <w:rsid w:val="1BA825A3"/>
    <w:rsid w:val="1BB01681"/>
    <w:rsid w:val="1BB84213"/>
    <w:rsid w:val="1BCD17B7"/>
    <w:rsid w:val="1BEA7ECC"/>
    <w:rsid w:val="1BFF4BCD"/>
    <w:rsid w:val="1C111CEE"/>
    <w:rsid w:val="1C251529"/>
    <w:rsid w:val="1C273D56"/>
    <w:rsid w:val="1C437559"/>
    <w:rsid w:val="1C555A6B"/>
    <w:rsid w:val="1C764C06"/>
    <w:rsid w:val="1CB006F6"/>
    <w:rsid w:val="1CE0737F"/>
    <w:rsid w:val="1CE37A03"/>
    <w:rsid w:val="1CE974A7"/>
    <w:rsid w:val="1CF540E9"/>
    <w:rsid w:val="1D033BA9"/>
    <w:rsid w:val="1D1065C7"/>
    <w:rsid w:val="1D147754"/>
    <w:rsid w:val="1D222813"/>
    <w:rsid w:val="1D253A35"/>
    <w:rsid w:val="1D267E43"/>
    <w:rsid w:val="1D380017"/>
    <w:rsid w:val="1D3B4DBC"/>
    <w:rsid w:val="1D416259"/>
    <w:rsid w:val="1D742FCB"/>
    <w:rsid w:val="1D891E22"/>
    <w:rsid w:val="1DAD2C2F"/>
    <w:rsid w:val="1DB74705"/>
    <w:rsid w:val="1DBC2920"/>
    <w:rsid w:val="1DBC5A49"/>
    <w:rsid w:val="1DBF48B7"/>
    <w:rsid w:val="1DC1425E"/>
    <w:rsid w:val="1E1C0773"/>
    <w:rsid w:val="1E211F58"/>
    <w:rsid w:val="1E2831FD"/>
    <w:rsid w:val="1E2A1E45"/>
    <w:rsid w:val="1E325887"/>
    <w:rsid w:val="1E4531B6"/>
    <w:rsid w:val="1E463569"/>
    <w:rsid w:val="1E4C39FC"/>
    <w:rsid w:val="1E54284F"/>
    <w:rsid w:val="1E645F61"/>
    <w:rsid w:val="1E73054C"/>
    <w:rsid w:val="1E7449E2"/>
    <w:rsid w:val="1E7D4FC2"/>
    <w:rsid w:val="1E891572"/>
    <w:rsid w:val="1E995713"/>
    <w:rsid w:val="1E9B056B"/>
    <w:rsid w:val="1E9E0BA2"/>
    <w:rsid w:val="1EA01F44"/>
    <w:rsid w:val="1EEC0748"/>
    <w:rsid w:val="1EF30D00"/>
    <w:rsid w:val="1F01007F"/>
    <w:rsid w:val="1F0D3AB7"/>
    <w:rsid w:val="1F1938A9"/>
    <w:rsid w:val="1F1A1404"/>
    <w:rsid w:val="1F241D47"/>
    <w:rsid w:val="1F2B2DE5"/>
    <w:rsid w:val="1F49337E"/>
    <w:rsid w:val="1F494522"/>
    <w:rsid w:val="1F5D31EA"/>
    <w:rsid w:val="1F6055AF"/>
    <w:rsid w:val="1F7A3668"/>
    <w:rsid w:val="1F815FB7"/>
    <w:rsid w:val="1F9574BD"/>
    <w:rsid w:val="1FA10F58"/>
    <w:rsid w:val="1FA368DD"/>
    <w:rsid w:val="1FA64F8F"/>
    <w:rsid w:val="1FB04C5C"/>
    <w:rsid w:val="1FB71059"/>
    <w:rsid w:val="1FBA085A"/>
    <w:rsid w:val="1FD81440"/>
    <w:rsid w:val="20050CBC"/>
    <w:rsid w:val="200B57B6"/>
    <w:rsid w:val="20132893"/>
    <w:rsid w:val="204D07BA"/>
    <w:rsid w:val="205256CF"/>
    <w:rsid w:val="20596087"/>
    <w:rsid w:val="207A56CF"/>
    <w:rsid w:val="207B3407"/>
    <w:rsid w:val="207E1DE2"/>
    <w:rsid w:val="20931C3F"/>
    <w:rsid w:val="20B057B1"/>
    <w:rsid w:val="20B07E80"/>
    <w:rsid w:val="20C54201"/>
    <w:rsid w:val="20D313DE"/>
    <w:rsid w:val="20FA7813"/>
    <w:rsid w:val="21086D2B"/>
    <w:rsid w:val="21104D80"/>
    <w:rsid w:val="21234E9A"/>
    <w:rsid w:val="213B11C4"/>
    <w:rsid w:val="214345C0"/>
    <w:rsid w:val="214B5CA4"/>
    <w:rsid w:val="214F245F"/>
    <w:rsid w:val="21520351"/>
    <w:rsid w:val="219169EB"/>
    <w:rsid w:val="21A1654B"/>
    <w:rsid w:val="21B97B72"/>
    <w:rsid w:val="21BA1FF0"/>
    <w:rsid w:val="21C3376F"/>
    <w:rsid w:val="21D639B4"/>
    <w:rsid w:val="21DD6065"/>
    <w:rsid w:val="21E47394"/>
    <w:rsid w:val="21E933EC"/>
    <w:rsid w:val="21F13FCA"/>
    <w:rsid w:val="22106E53"/>
    <w:rsid w:val="22300AF0"/>
    <w:rsid w:val="224D1CF5"/>
    <w:rsid w:val="22542086"/>
    <w:rsid w:val="225E4833"/>
    <w:rsid w:val="22671933"/>
    <w:rsid w:val="22A655BD"/>
    <w:rsid w:val="22BA1F76"/>
    <w:rsid w:val="22BD50C5"/>
    <w:rsid w:val="22BE23E3"/>
    <w:rsid w:val="22C7252C"/>
    <w:rsid w:val="22ED73E0"/>
    <w:rsid w:val="23080AC5"/>
    <w:rsid w:val="2319306A"/>
    <w:rsid w:val="232C66A8"/>
    <w:rsid w:val="232F68F4"/>
    <w:rsid w:val="23345819"/>
    <w:rsid w:val="23346CAC"/>
    <w:rsid w:val="23366C76"/>
    <w:rsid w:val="23574BEA"/>
    <w:rsid w:val="237B138A"/>
    <w:rsid w:val="237D339D"/>
    <w:rsid w:val="238251A9"/>
    <w:rsid w:val="238600D2"/>
    <w:rsid w:val="238E3333"/>
    <w:rsid w:val="23982948"/>
    <w:rsid w:val="23A81A87"/>
    <w:rsid w:val="23CB5840"/>
    <w:rsid w:val="23CD68C5"/>
    <w:rsid w:val="23D93A77"/>
    <w:rsid w:val="240B77D5"/>
    <w:rsid w:val="24240DD3"/>
    <w:rsid w:val="24257F37"/>
    <w:rsid w:val="244B3D14"/>
    <w:rsid w:val="244B6D3D"/>
    <w:rsid w:val="24577217"/>
    <w:rsid w:val="245D1838"/>
    <w:rsid w:val="249100D7"/>
    <w:rsid w:val="24A016BF"/>
    <w:rsid w:val="24A17E02"/>
    <w:rsid w:val="24AA1D7A"/>
    <w:rsid w:val="24CE32FD"/>
    <w:rsid w:val="24D67343"/>
    <w:rsid w:val="24F87DB0"/>
    <w:rsid w:val="25235041"/>
    <w:rsid w:val="2549375E"/>
    <w:rsid w:val="254A00D9"/>
    <w:rsid w:val="25615849"/>
    <w:rsid w:val="2564004E"/>
    <w:rsid w:val="25662F87"/>
    <w:rsid w:val="256A12CB"/>
    <w:rsid w:val="256D331F"/>
    <w:rsid w:val="25777375"/>
    <w:rsid w:val="25925E03"/>
    <w:rsid w:val="25A87F99"/>
    <w:rsid w:val="25CC233F"/>
    <w:rsid w:val="25D81D45"/>
    <w:rsid w:val="25EA1201"/>
    <w:rsid w:val="25EE5E37"/>
    <w:rsid w:val="25F95B85"/>
    <w:rsid w:val="26035806"/>
    <w:rsid w:val="2605498B"/>
    <w:rsid w:val="26173090"/>
    <w:rsid w:val="26193980"/>
    <w:rsid w:val="262B6D62"/>
    <w:rsid w:val="263550DC"/>
    <w:rsid w:val="26443696"/>
    <w:rsid w:val="26532436"/>
    <w:rsid w:val="265E2E03"/>
    <w:rsid w:val="26614FB7"/>
    <w:rsid w:val="266405C3"/>
    <w:rsid w:val="2664093B"/>
    <w:rsid w:val="266C7B85"/>
    <w:rsid w:val="26A26B9B"/>
    <w:rsid w:val="26E955CF"/>
    <w:rsid w:val="26F54EFB"/>
    <w:rsid w:val="27066171"/>
    <w:rsid w:val="271F500A"/>
    <w:rsid w:val="2728296C"/>
    <w:rsid w:val="27401B3B"/>
    <w:rsid w:val="27412E07"/>
    <w:rsid w:val="27541F22"/>
    <w:rsid w:val="277138E3"/>
    <w:rsid w:val="277161FB"/>
    <w:rsid w:val="277E7B1B"/>
    <w:rsid w:val="27802C54"/>
    <w:rsid w:val="27822BEA"/>
    <w:rsid w:val="278956D4"/>
    <w:rsid w:val="27923417"/>
    <w:rsid w:val="279355F9"/>
    <w:rsid w:val="279F4701"/>
    <w:rsid w:val="27BB0708"/>
    <w:rsid w:val="27CB4F8C"/>
    <w:rsid w:val="27EE7ED7"/>
    <w:rsid w:val="27F7705F"/>
    <w:rsid w:val="28274668"/>
    <w:rsid w:val="288F3E00"/>
    <w:rsid w:val="28927BE2"/>
    <w:rsid w:val="28BA46A5"/>
    <w:rsid w:val="28D31AB0"/>
    <w:rsid w:val="28D8549B"/>
    <w:rsid w:val="28FA3A29"/>
    <w:rsid w:val="2905404A"/>
    <w:rsid w:val="2908189E"/>
    <w:rsid w:val="292461D5"/>
    <w:rsid w:val="292A05BB"/>
    <w:rsid w:val="292C166C"/>
    <w:rsid w:val="29340540"/>
    <w:rsid w:val="29365740"/>
    <w:rsid w:val="29447909"/>
    <w:rsid w:val="294C158F"/>
    <w:rsid w:val="294C4E29"/>
    <w:rsid w:val="29512D5F"/>
    <w:rsid w:val="295C667F"/>
    <w:rsid w:val="295E174C"/>
    <w:rsid w:val="296B2A27"/>
    <w:rsid w:val="29914B93"/>
    <w:rsid w:val="29B66F6F"/>
    <w:rsid w:val="29ED269F"/>
    <w:rsid w:val="2A23116D"/>
    <w:rsid w:val="2A272F97"/>
    <w:rsid w:val="2A324111"/>
    <w:rsid w:val="2A4C5132"/>
    <w:rsid w:val="2A57117F"/>
    <w:rsid w:val="2A8E3071"/>
    <w:rsid w:val="2A8F435F"/>
    <w:rsid w:val="2AA24F35"/>
    <w:rsid w:val="2AAA5A01"/>
    <w:rsid w:val="2AB45DCD"/>
    <w:rsid w:val="2AD22E89"/>
    <w:rsid w:val="2AE25D7F"/>
    <w:rsid w:val="2AF16E8B"/>
    <w:rsid w:val="2B10795D"/>
    <w:rsid w:val="2B322C98"/>
    <w:rsid w:val="2B456ABF"/>
    <w:rsid w:val="2B533B4A"/>
    <w:rsid w:val="2B5C3AA4"/>
    <w:rsid w:val="2B731FF1"/>
    <w:rsid w:val="2B8934CD"/>
    <w:rsid w:val="2B8E0586"/>
    <w:rsid w:val="2B9E6662"/>
    <w:rsid w:val="2BCE7B82"/>
    <w:rsid w:val="2BEE0681"/>
    <w:rsid w:val="2BF650EF"/>
    <w:rsid w:val="2C0F4EFC"/>
    <w:rsid w:val="2C206893"/>
    <w:rsid w:val="2C2D0C36"/>
    <w:rsid w:val="2C3D68AA"/>
    <w:rsid w:val="2C504AB9"/>
    <w:rsid w:val="2C827311"/>
    <w:rsid w:val="2C8724F7"/>
    <w:rsid w:val="2C970C4E"/>
    <w:rsid w:val="2CAC3C39"/>
    <w:rsid w:val="2CAE2D60"/>
    <w:rsid w:val="2CB40F53"/>
    <w:rsid w:val="2CB8708F"/>
    <w:rsid w:val="2D033BC1"/>
    <w:rsid w:val="2D0565A2"/>
    <w:rsid w:val="2D10164A"/>
    <w:rsid w:val="2D30183B"/>
    <w:rsid w:val="2D546F5E"/>
    <w:rsid w:val="2D671367"/>
    <w:rsid w:val="2D6F1B0D"/>
    <w:rsid w:val="2D8671F6"/>
    <w:rsid w:val="2DA84203"/>
    <w:rsid w:val="2DB12D8F"/>
    <w:rsid w:val="2DB133A0"/>
    <w:rsid w:val="2DBD668A"/>
    <w:rsid w:val="2DE7341F"/>
    <w:rsid w:val="2DF20939"/>
    <w:rsid w:val="2DF948AF"/>
    <w:rsid w:val="2E0337A0"/>
    <w:rsid w:val="2E0456E2"/>
    <w:rsid w:val="2E1712A1"/>
    <w:rsid w:val="2E4E5713"/>
    <w:rsid w:val="2E555949"/>
    <w:rsid w:val="2E623005"/>
    <w:rsid w:val="2E67222E"/>
    <w:rsid w:val="2E81443F"/>
    <w:rsid w:val="2EA65581"/>
    <w:rsid w:val="2EAD28AD"/>
    <w:rsid w:val="2EB004A5"/>
    <w:rsid w:val="2EB564CF"/>
    <w:rsid w:val="2EB83496"/>
    <w:rsid w:val="2EC84DCB"/>
    <w:rsid w:val="2EF24E19"/>
    <w:rsid w:val="2EF85040"/>
    <w:rsid w:val="2F0D00B1"/>
    <w:rsid w:val="2F0F3B3E"/>
    <w:rsid w:val="2F111092"/>
    <w:rsid w:val="2F1A551D"/>
    <w:rsid w:val="2F1D0FB5"/>
    <w:rsid w:val="2F3E58A7"/>
    <w:rsid w:val="2F4A2C5B"/>
    <w:rsid w:val="2F853D91"/>
    <w:rsid w:val="2F962402"/>
    <w:rsid w:val="2F966915"/>
    <w:rsid w:val="2FA40DF2"/>
    <w:rsid w:val="2FBA4F84"/>
    <w:rsid w:val="2FBE1424"/>
    <w:rsid w:val="2FC23CA3"/>
    <w:rsid w:val="30114A21"/>
    <w:rsid w:val="302B24A7"/>
    <w:rsid w:val="307070C7"/>
    <w:rsid w:val="307F1083"/>
    <w:rsid w:val="308525A2"/>
    <w:rsid w:val="30933719"/>
    <w:rsid w:val="3096185A"/>
    <w:rsid w:val="30A66ABE"/>
    <w:rsid w:val="30B63ACD"/>
    <w:rsid w:val="31066CBB"/>
    <w:rsid w:val="310B3A83"/>
    <w:rsid w:val="311B57CF"/>
    <w:rsid w:val="311C2F5B"/>
    <w:rsid w:val="312676D3"/>
    <w:rsid w:val="312A2080"/>
    <w:rsid w:val="31363392"/>
    <w:rsid w:val="31482CE3"/>
    <w:rsid w:val="314A3AFD"/>
    <w:rsid w:val="316354BF"/>
    <w:rsid w:val="31793710"/>
    <w:rsid w:val="31893300"/>
    <w:rsid w:val="31D97573"/>
    <w:rsid w:val="31DB30B6"/>
    <w:rsid w:val="31F74532"/>
    <w:rsid w:val="31FA1532"/>
    <w:rsid w:val="31FB3CDF"/>
    <w:rsid w:val="32065272"/>
    <w:rsid w:val="32241731"/>
    <w:rsid w:val="322C596A"/>
    <w:rsid w:val="32307319"/>
    <w:rsid w:val="32321837"/>
    <w:rsid w:val="32404C2E"/>
    <w:rsid w:val="324830B2"/>
    <w:rsid w:val="32573819"/>
    <w:rsid w:val="32622C8C"/>
    <w:rsid w:val="32695621"/>
    <w:rsid w:val="326E2691"/>
    <w:rsid w:val="326E48FF"/>
    <w:rsid w:val="327C415F"/>
    <w:rsid w:val="32B60796"/>
    <w:rsid w:val="32C358FF"/>
    <w:rsid w:val="32CD44BF"/>
    <w:rsid w:val="32D32B41"/>
    <w:rsid w:val="32DE1551"/>
    <w:rsid w:val="32E85A46"/>
    <w:rsid w:val="32F534C3"/>
    <w:rsid w:val="330A5960"/>
    <w:rsid w:val="334168AB"/>
    <w:rsid w:val="335376BD"/>
    <w:rsid w:val="337716AF"/>
    <w:rsid w:val="339C28F1"/>
    <w:rsid w:val="33B27831"/>
    <w:rsid w:val="33B70D79"/>
    <w:rsid w:val="33C04503"/>
    <w:rsid w:val="33D44600"/>
    <w:rsid w:val="33DE0C24"/>
    <w:rsid w:val="33E03CF5"/>
    <w:rsid w:val="33F10AB2"/>
    <w:rsid w:val="33FD5D78"/>
    <w:rsid w:val="340D5E06"/>
    <w:rsid w:val="341F2B0A"/>
    <w:rsid w:val="34301247"/>
    <w:rsid w:val="345E4E9D"/>
    <w:rsid w:val="346411FB"/>
    <w:rsid w:val="3464130A"/>
    <w:rsid w:val="34686AD6"/>
    <w:rsid w:val="34814357"/>
    <w:rsid w:val="34947C26"/>
    <w:rsid w:val="349D0CB2"/>
    <w:rsid w:val="34A25581"/>
    <w:rsid w:val="34AF2BE7"/>
    <w:rsid w:val="34B34C2A"/>
    <w:rsid w:val="34C54EC6"/>
    <w:rsid w:val="34D937B3"/>
    <w:rsid w:val="34F6379B"/>
    <w:rsid w:val="34F8091E"/>
    <w:rsid w:val="34FB729D"/>
    <w:rsid w:val="35013830"/>
    <w:rsid w:val="350C3AEA"/>
    <w:rsid w:val="352E66D5"/>
    <w:rsid w:val="3545675A"/>
    <w:rsid w:val="354E1013"/>
    <w:rsid w:val="356B193D"/>
    <w:rsid w:val="357A1328"/>
    <w:rsid w:val="3582682A"/>
    <w:rsid w:val="35931BF4"/>
    <w:rsid w:val="35950D37"/>
    <w:rsid w:val="35CE1413"/>
    <w:rsid w:val="35E768EA"/>
    <w:rsid w:val="3602555D"/>
    <w:rsid w:val="36070FBB"/>
    <w:rsid w:val="36437A14"/>
    <w:rsid w:val="36455C5A"/>
    <w:rsid w:val="366D26AC"/>
    <w:rsid w:val="3671001F"/>
    <w:rsid w:val="36715D41"/>
    <w:rsid w:val="36792EF6"/>
    <w:rsid w:val="36A70C33"/>
    <w:rsid w:val="36B679E3"/>
    <w:rsid w:val="36BA66F0"/>
    <w:rsid w:val="36BF4F3B"/>
    <w:rsid w:val="36F505A7"/>
    <w:rsid w:val="36FB7E51"/>
    <w:rsid w:val="3702322A"/>
    <w:rsid w:val="371E41CB"/>
    <w:rsid w:val="37463AF6"/>
    <w:rsid w:val="37466CE8"/>
    <w:rsid w:val="37680197"/>
    <w:rsid w:val="37957932"/>
    <w:rsid w:val="379738DF"/>
    <w:rsid w:val="37982218"/>
    <w:rsid w:val="37A125EF"/>
    <w:rsid w:val="37A84316"/>
    <w:rsid w:val="37B7691C"/>
    <w:rsid w:val="37C84212"/>
    <w:rsid w:val="38107766"/>
    <w:rsid w:val="38131975"/>
    <w:rsid w:val="381B0296"/>
    <w:rsid w:val="381F6C45"/>
    <w:rsid w:val="38241A14"/>
    <w:rsid w:val="38410AB0"/>
    <w:rsid w:val="386B4EE6"/>
    <w:rsid w:val="38B317E3"/>
    <w:rsid w:val="38CA667B"/>
    <w:rsid w:val="38D35E8A"/>
    <w:rsid w:val="38D37ECB"/>
    <w:rsid w:val="38E213CD"/>
    <w:rsid w:val="38E300EF"/>
    <w:rsid w:val="38E3255A"/>
    <w:rsid w:val="38F120B8"/>
    <w:rsid w:val="38F37678"/>
    <w:rsid w:val="39246EB9"/>
    <w:rsid w:val="39317DFF"/>
    <w:rsid w:val="394521F6"/>
    <w:rsid w:val="39527956"/>
    <w:rsid w:val="395B7FD3"/>
    <w:rsid w:val="39752E19"/>
    <w:rsid w:val="397845E9"/>
    <w:rsid w:val="39806689"/>
    <w:rsid w:val="399C084C"/>
    <w:rsid w:val="39A11517"/>
    <w:rsid w:val="39B34665"/>
    <w:rsid w:val="39D96ABF"/>
    <w:rsid w:val="39ED5498"/>
    <w:rsid w:val="3A121BD3"/>
    <w:rsid w:val="3A1E01FB"/>
    <w:rsid w:val="3A281459"/>
    <w:rsid w:val="3A2C74CD"/>
    <w:rsid w:val="3A3F35A9"/>
    <w:rsid w:val="3A4A11BF"/>
    <w:rsid w:val="3A4A18D4"/>
    <w:rsid w:val="3A516B35"/>
    <w:rsid w:val="3A666280"/>
    <w:rsid w:val="3A697672"/>
    <w:rsid w:val="3A8F70A8"/>
    <w:rsid w:val="3A9532EB"/>
    <w:rsid w:val="3AA018EE"/>
    <w:rsid w:val="3AAF64D4"/>
    <w:rsid w:val="3AC83E98"/>
    <w:rsid w:val="3AD017E3"/>
    <w:rsid w:val="3AD7717A"/>
    <w:rsid w:val="3AE63D7F"/>
    <w:rsid w:val="3B2A5173"/>
    <w:rsid w:val="3B2F3D63"/>
    <w:rsid w:val="3B3C7E0D"/>
    <w:rsid w:val="3B4449E1"/>
    <w:rsid w:val="3B4B6AEA"/>
    <w:rsid w:val="3B4E321B"/>
    <w:rsid w:val="3B5F72E6"/>
    <w:rsid w:val="3B8C7AA0"/>
    <w:rsid w:val="3B9B3F8A"/>
    <w:rsid w:val="3BA01218"/>
    <w:rsid w:val="3BA45DC6"/>
    <w:rsid w:val="3BA63B00"/>
    <w:rsid w:val="3BA930DB"/>
    <w:rsid w:val="3BE8171D"/>
    <w:rsid w:val="3BEF64EA"/>
    <w:rsid w:val="3C1F5320"/>
    <w:rsid w:val="3C303857"/>
    <w:rsid w:val="3C370A09"/>
    <w:rsid w:val="3C3C59E4"/>
    <w:rsid w:val="3C3F327D"/>
    <w:rsid w:val="3C427601"/>
    <w:rsid w:val="3C62526E"/>
    <w:rsid w:val="3C6F22F9"/>
    <w:rsid w:val="3C8C4814"/>
    <w:rsid w:val="3C9D49C9"/>
    <w:rsid w:val="3CBD1A37"/>
    <w:rsid w:val="3CC10BF3"/>
    <w:rsid w:val="3CC63217"/>
    <w:rsid w:val="3CC72264"/>
    <w:rsid w:val="3CE43A54"/>
    <w:rsid w:val="3CF732D7"/>
    <w:rsid w:val="3D0403E7"/>
    <w:rsid w:val="3D305AEE"/>
    <w:rsid w:val="3D43220F"/>
    <w:rsid w:val="3D490B3C"/>
    <w:rsid w:val="3D6A0A2B"/>
    <w:rsid w:val="3D6A247C"/>
    <w:rsid w:val="3D7A5123"/>
    <w:rsid w:val="3D826C0A"/>
    <w:rsid w:val="3D95123D"/>
    <w:rsid w:val="3D9F1080"/>
    <w:rsid w:val="3DA30B15"/>
    <w:rsid w:val="3DA44191"/>
    <w:rsid w:val="3DAB2C73"/>
    <w:rsid w:val="3DC5222C"/>
    <w:rsid w:val="3DC75F88"/>
    <w:rsid w:val="3DCA0793"/>
    <w:rsid w:val="3DF54056"/>
    <w:rsid w:val="3DF77A50"/>
    <w:rsid w:val="3DFE67A9"/>
    <w:rsid w:val="3DFE7E11"/>
    <w:rsid w:val="3E072B40"/>
    <w:rsid w:val="3E1205F8"/>
    <w:rsid w:val="3E1A62E7"/>
    <w:rsid w:val="3E1C0BA5"/>
    <w:rsid w:val="3E354126"/>
    <w:rsid w:val="3E3C25B6"/>
    <w:rsid w:val="3E71020A"/>
    <w:rsid w:val="3E712BF1"/>
    <w:rsid w:val="3E7A306B"/>
    <w:rsid w:val="3E80397C"/>
    <w:rsid w:val="3E8C4BBF"/>
    <w:rsid w:val="3EAC443C"/>
    <w:rsid w:val="3EB527F3"/>
    <w:rsid w:val="3EBA790C"/>
    <w:rsid w:val="3EC768F4"/>
    <w:rsid w:val="3ED33A47"/>
    <w:rsid w:val="3EEF716D"/>
    <w:rsid w:val="3EF11551"/>
    <w:rsid w:val="3F0B6E22"/>
    <w:rsid w:val="3F360BC1"/>
    <w:rsid w:val="3F3C1619"/>
    <w:rsid w:val="3F57666C"/>
    <w:rsid w:val="3F7E5D33"/>
    <w:rsid w:val="3F8923D2"/>
    <w:rsid w:val="3F912A08"/>
    <w:rsid w:val="3F92659F"/>
    <w:rsid w:val="3FA46E33"/>
    <w:rsid w:val="3FE01C1F"/>
    <w:rsid w:val="40040F0A"/>
    <w:rsid w:val="400B6800"/>
    <w:rsid w:val="4019423C"/>
    <w:rsid w:val="40371020"/>
    <w:rsid w:val="40464A55"/>
    <w:rsid w:val="40805CE3"/>
    <w:rsid w:val="408E273B"/>
    <w:rsid w:val="40C30F2E"/>
    <w:rsid w:val="40CD7104"/>
    <w:rsid w:val="40D04F6C"/>
    <w:rsid w:val="40DD3FA4"/>
    <w:rsid w:val="40DF2787"/>
    <w:rsid w:val="40E801A2"/>
    <w:rsid w:val="40EE5829"/>
    <w:rsid w:val="4122577D"/>
    <w:rsid w:val="41396DE4"/>
    <w:rsid w:val="41477502"/>
    <w:rsid w:val="4161450C"/>
    <w:rsid w:val="41636C3E"/>
    <w:rsid w:val="416456B6"/>
    <w:rsid w:val="416A3870"/>
    <w:rsid w:val="41961225"/>
    <w:rsid w:val="419B0566"/>
    <w:rsid w:val="41A62040"/>
    <w:rsid w:val="41C87E21"/>
    <w:rsid w:val="41D36912"/>
    <w:rsid w:val="41ED3705"/>
    <w:rsid w:val="41F95322"/>
    <w:rsid w:val="41FA653C"/>
    <w:rsid w:val="41FD7FD2"/>
    <w:rsid w:val="42031703"/>
    <w:rsid w:val="420B3649"/>
    <w:rsid w:val="420E4CB7"/>
    <w:rsid w:val="420F71D2"/>
    <w:rsid w:val="42202C3D"/>
    <w:rsid w:val="423E3214"/>
    <w:rsid w:val="425E5017"/>
    <w:rsid w:val="42616F34"/>
    <w:rsid w:val="426B0CF7"/>
    <w:rsid w:val="426E4D3E"/>
    <w:rsid w:val="42881182"/>
    <w:rsid w:val="428F017F"/>
    <w:rsid w:val="42B43D5B"/>
    <w:rsid w:val="42DF62EA"/>
    <w:rsid w:val="42FF05DF"/>
    <w:rsid w:val="43030A5E"/>
    <w:rsid w:val="43073613"/>
    <w:rsid w:val="430F7BC0"/>
    <w:rsid w:val="431621B6"/>
    <w:rsid w:val="43234EFE"/>
    <w:rsid w:val="43425B8B"/>
    <w:rsid w:val="435C1BBA"/>
    <w:rsid w:val="43622804"/>
    <w:rsid w:val="436831C5"/>
    <w:rsid w:val="4372716C"/>
    <w:rsid w:val="43CC1410"/>
    <w:rsid w:val="43D77524"/>
    <w:rsid w:val="43D907ED"/>
    <w:rsid w:val="43DB2A92"/>
    <w:rsid w:val="43E22047"/>
    <w:rsid w:val="43F73B64"/>
    <w:rsid w:val="440A156F"/>
    <w:rsid w:val="442A4E55"/>
    <w:rsid w:val="44554EE6"/>
    <w:rsid w:val="4459123B"/>
    <w:rsid w:val="44712D14"/>
    <w:rsid w:val="44844393"/>
    <w:rsid w:val="44AB41CC"/>
    <w:rsid w:val="44BB2039"/>
    <w:rsid w:val="44C74494"/>
    <w:rsid w:val="44D06ED6"/>
    <w:rsid w:val="44D748E8"/>
    <w:rsid w:val="44F44788"/>
    <w:rsid w:val="44FB2329"/>
    <w:rsid w:val="451B3D67"/>
    <w:rsid w:val="4520372E"/>
    <w:rsid w:val="45355776"/>
    <w:rsid w:val="455D44E2"/>
    <w:rsid w:val="45694B87"/>
    <w:rsid w:val="45753391"/>
    <w:rsid w:val="45813CCF"/>
    <w:rsid w:val="45AA349B"/>
    <w:rsid w:val="45B34502"/>
    <w:rsid w:val="45BE4BE2"/>
    <w:rsid w:val="45C64813"/>
    <w:rsid w:val="45C84BAF"/>
    <w:rsid w:val="461160B8"/>
    <w:rsid w:val="462F2A46"/>
    <w:rsid w:val="46552FBD"/>
    <w:rsid w:val="46820066"/>
    <w:rsid w:val="4688584A"/>
    <w:rsid w:val="468B7596"/>
    <w:rsid w:val="46955142"/>
    <w:rsid w:val="46B15F25"/>
    <w:rsid w:val="46B53108"/>
    <w:rsid w:val="46B853A2"/>
    <w:rsid w:val="46C71DA3"/>
    <w:rsid w:val="46DB3D80"/>
    <w:rsid w:val="46E117C8"/>
    <w:rsid w:val="46F02C1E"/>
    <w:rsid w:val="46FE1423"/>
    <w:rsid w:val="470828F5"/>
    <w:rsid w:val="470D459E"/>
    <w:rsid w:val="470D5CE6"/>
    <w:rsid w:val="470F68C4"/>
    <w:rsid w:val="471C20EE"/>
    <w:rsid w:val="4750619F"/>
    <w:rsid w:val="47556293"/>
    <w:rsid w:val="475D29A9"/>
    <w:rsid w:val="475E613F"/>
    <w:rsid w:val="478B2DD0"/>
    <w:rsid w:val="47B64048"/>
    <w:rsid w:val="47B65628"/>
    <w:rsid w:val="47B75579"/>
    <w:rsid w:val="47EB1F75"/>
    <w:rsid w:val="47F346F0"/>
    <w:rsid w:val="48100BB5"/>
    <w:rsid w:val="484B1D9B"/>
    <w:rsid w:val="485B0314"/>
    <w:rsid w:val="485D1BA9"/>
    <w:rsid w:val="487B2B27"/>
    <w:rsid w:val="487E26D9"/>
    <w:rsid w:val="48AA0DAE"/>
    <w:rsid w:val="48AB2A61"/>
    <w:rsid w:val="48AC33DF"/>
    <w:rsid w:val="48C070F6"/>
    <w:rsid w:val="48C71EB2"/>
    <w:rsid w:val="48E137EB"/>
    <w:rsid w:val="48EB7CD2"/>
    <w:rsid w:val="49036EAB"/>
    <w:rsid w:val="491169A1"/>
    <w:rsid w:val="49161226"/>
    <w:rsid w:val="49342DA6"/>
    <w:rsid w:val="49380D33"/>
    <w:rsid w:val="4944592C"/>
    <w:rsid w:val="49495F8A"/>
    <w:rsid w:val="495B74D0"/>
    <w:rsid w:val="498A268F"/>
    <w:rsid w:val="49907D2D"/>
    <w:rsid w:val="49912C91"/>
    <w:rsid w:val="49A366FB"/>
    <w:rsid w:val="49B75671"/>
    <w:rsid w:val="49B877CF"/>
    <w:rsid w:val="49BE6EE3"/>
    <w:rsid w:val="49E01E27"/>
    <w:rsid w:val="49E778CF"/>
    <w:rsid w:val="49FC23CF"/>
    <w:rsid w:val="4A2A65D0"/>
    <w:rsid w:val="4A335A21"/>
    <w:rsid w:val="4A36695A"/>
    <w:rsid w:val="4A534717"/>
    <w:rsid w:val="4A722BE5"/>
    <w:rsid w:val="4A8A688B"/>
    <w:rsid w:val="4A8C2732"/>
    <w:rsid w:val="4AB30AC5"/>
    <w:rsid w:val="4AC31A42"/>
    <w:rsid w:val="4AC76957"/>
    <w:rsid w:val="4AD100EE"/>
    <w:rsid w:val="4AD772EF"/>
    <w:rsid w:val="4AE822EA"/>
    <w:rsid w:val="4AF30017"/>
    <w:rsid w:val="4B127E15"/>
    <w:rsid w:val="4B21374C"/>
    <w:rsid w:val="4B394F24"/>
    <w:rsid w:val="4B4C5BF1"/>
    <w:rsid w:val="4B5B2CBA"/>
    <w:rsid w:val="4B5E3FD0"/>
    <w:rsid w:val="4B66717E"/>
    <w:rsid w:val="4BA448AD"/>
    <w:rsid w:val="4BA85DC1"/>
    <w:rsid w:val="4BD97519"/>
    <w:rsid w:val="4BEA27BB"/>
    <w:rsid w:val="4BF86E59"/>
    <w:rsid w:val="4C222FF3"/>
    <w:rsid w:val="4C382724"/>
    <w:rsid w:val="4C4A3E11"/>
    <w:rsid w:val="4C6A23C8"/>
    <w:rsid w:val="4C74211E"/>
    <w:rsid w:val="4C7F788D"/>
    <w:rsid w:val="4C842821"/>
    <w:rsid w:val="4C8A3128"/>
    <w:rsid w:val="4CA947D3"/>
    <w:rsid w:val="4CB43947"/>
    <w:rsid w:val="4CB72322"/>
    <w:rsid w:val="4CD222D8"/>
    <w:rsid w:val="4CDF38A9"/>
    <w:rsid w:val="4D177DB0"/>
    <w:rsid w:val="4D3F6823"/>
    <w:rsid w:val="4D421B50"/>
    <w:rsid w:val="4D7910DC"/>
    <w:rsid w:val="4DCB2916"/>
    <w:rsid w:val="4DE3320C"/>
    <w:rsid w:val="4DF32235"/>
    <w:rsid w:val="4E113781"/>
    <w:rsid w:val="4E13485F"/>
    <w:rsid w:val="4E240E33"/>
    <w:rsid w:val="4E2D4934"/>
    <w:rsid w:val="4E3518E6"/>
    <w:rsid w:val="4E502139"/>
    <w:rsid w:val="4E697373"/>
    <w:rsid w:val="4E6C4333"/>
    <w:rsid w:val="4E7732C6"/>
    <w:rsid w:val="4E867B44"/>
    <w:rsid w:val="4E8F4188"/>
    <w:rsid w:val="4ED61CC9"/>
    <w:rsid w:val="4EDF126D"/>
    <w:rsid w:val="4EE3271B"/>
    <w:rsid w:val="4EEF1501"/>
    <w:rsid w:val="4EF2597D"/>
    <w:rsid w:val="4F04592D"/>
    <w:rsid w:val="4F07662F"/>
    <w:rsid w:val="4F2141C6"/>
    <w:rsid w:val="4F233651"/>
    <w:rsid w:val="4F37460B"/>
    <w:rsid w:val="4F614B9F"/>
    <w:rsid w:val="4F6335C8"/>
    <w:rsid w:val="4F665888"/>
    <w:rsid w:val="4F82545B"/>
    <w:rsid w:val="4F9132DA"/>
    <w:rsid w:val="4FB05ACA"/>
    <w:rsid w:val="4FB70F10"/>
    <w:rsid w:val="4FBC3046"/>
    <w:rsid w:val="4FC96225"/>
    <w:rsid w:val="4FD30144"/>
    <w:rsid w:val="4FD72262"/>
    <w:rsid w:val="4FDF1259"/>
    <w:rsid w:val="4FDF7CBD"/>
    <w:rsid w:val="4FE007D3"/>
    <w:rsid w:val="501F2138"/>
    <w:rsid w:val="50375DD7"/>
    <w:rsid w:val="50417989"/>
    <w:rsid w:val="505A0D30"/>
    <w:rsid w:val="506428E0"/>
    <w:rsid w:val="5072455E"/>
    <w:rsid w:val="508826B7"/>
    <w:rsid w:val="508E5FCE"/>
    <w:rsid w:val="50A13836"/>
    <w:rsid w:val="50B31D77"/>
    <w:rsid w:val="50C625B3"/>
    <w:rsid w:val="50D33602"/>
    <w:rsid w:val="50DC4460"/>
    <w:rsid w:val="50E16CE8"/>
    <w:rsid w:val="511D13C4"/>
    <w:rsid w:val="512F1148"/>
    <w:rsid w:val="515B7CB5"/>
    <w:rsid w:val="518F6812"/>
    <w:rsid w:val="51983A38"/>
    <w:rsid w:val="51D01ACE"/>
    <w:rsid w:val="51E24A36"/>
    <w:rsid w:val="51E57ECB"/>
    <w:rsid w:val="51EA207B"/>
    <w:rsid w:val="51F74A6D"/>
    <w:rsid w:val="521B7E9A"/>
    <w:rsid w:val="522160B4"/>
    <w:rsid w:val="522619AF"/>
    <w:rsid w:val="52534009"/>
    <w:rsid w:val="52646C1C"/>
    <w:rsid w:val="526E0951"/>
    <w:rsid w:val="52786A7C"/>
    <w:rsid w:val="52C54026"/>
    <w:rsid w:val="52C67BD4"/>
    <w:rsid w:val="52D2016E"/>
    <w:rsid w:val="53075376"/>
    <w:rsid w:val="531038AA"/>
    <w:rsid w:val="53283BC9"/>
    <w:rsid w:val="53290F2E"/>
    <w:rsid w:val="53326247"/>
    <w:rsid w:val="53411599"/>
    <w:rsid w:val="53436643"/>
    <w:rsid w:val="53523DC1"/>
    <w:rsid w:val="538D119A"/>
    <w:rsid w:val="539B1D09"/>
    <w:rsid w:val="53A27E59"/>
    <w:rsid w:val="53E10F55"/>
    <w:rsid w:val="53E40135"/>
    <w:rsid w:val="53EE4FEC"/>
    <w:rsid w:val="53F35354"/>
    <w:rsid w:val="53F97306"/>
    <w:rsid w:val="54043A3E"/>
    <w:rsid w:val="540F538F"/>
    <w:rsid w:val="54112B2C"/>
    <w:rsid w:val="541213A9"/>
    <w:rsid w:val="542C67A1"/>
    <w:rsid w:val="543669C0"/>
    <w:rsid w:val="544C7335"/>
    <w:rsid w:val="54533FFA"/>
    <w:rsid w:val="545F6D86"/>
    <w:rsid w:val="54887516"/>
    <w:rsid w:val="54E5158A"/>
    <w:rsid w:val="54EE2B72"/>
    <w:rsid w:val="54FC4928"/>
    <w:rsid w:val="550C7575"/>
    <w:rsid w:val="551751DE"/>
    <w:rsid w:val="551760D2"/>
    <w:rsid w:val="553234B9"/>
    <w:rsid w:val="55371114"/>
    <w:rsid w:val="554B0EF3"/>
    <w:rsid w:val="555806B8"/>
    <w:rsid w:val="555C102C"/>
    <w:rsid w:val="558374C4"/>
    <w:rsid w:val="558D1C43"/>
    <w:rsid w:val="559C258C"/>
    <w:rsid w:val="55A50977"/>
    <w:rsid w:val="55A63EE8"/>
    <w:rsid w:val="55DC0B32"/>
    <w:rsid w:val="55FD447E"/>
    <w:rsid w:val="560F4A3F"/>
    <w:rsid w:val="56101BBB"/>
    <w:rsid w:val="56450371"/>
    <w:rsid w:val="564775A5"/>
    <w:rsid w:val="565A7393"/>
    <w:rsid w:val="56630B1B"/>
    <w:rsid w:val="566E2467"/>
    <w:rsid w:val="569E3AC8"/>
    <w:rsid w:val="56B654BF"/>
    <w:rsid w:val="56B96971"/>
    <w:rsid w:val="56CA5BBB"/>
    <w:rsid w:val="56F0129D"/>
    <w:rsid w:val="57041C74"/>
    <w:rsid w:val="57140ABA"/>
    <w:rsid w:val="571669E0"/>
    <w:rsid w:val="571842E8"/>
    <w:rsid w:val="57294B07"/>
    <w:rsid w:val="57327783"/>
    <w:rsid w:val="57372EA4"/>
    <w:rsid w:val="5738667A"/>
    <w:rsid w:val="57556D94"/>
    <w:rsid w:val="577005F3"/>
    <w:rsid w:val="57771C8E"/>
    <w:rsid w:val="578838B2"/>
    <w:rsid w:val="57955723"/>
    <w:rsid w:val="57A3480A"/>
    <w:rsid w:val="57A637FC"/>
    <w:rsid w:val="57AD2BD8"/>
    <w:rsid w:val="57CC2EB9"/>
    <w:rsid w:val="57D949B4"/>
    <w:rsid w:val="57E07BD7"/>
    <w:rsid w:val="57F136E5"/>
    <w:rsid w:val="58155539"/>
    <w:rsid w:val="5859476F"/>
    <w:rsid w:val="5862703A"/>
    <w:rsid w:val="58735320"/>
    <w:rsid w:val="587B46A7"/>
    <w:rsid w:val="587D2F2C"/>
    <w:rsid w:val="58825FF6"/>
    <w:rsid w:val="5884708C"/>
    <w:rsid w:val="58855F9B"/>
    <w:rsid w:val="58857F38"/>
    <w:rsid w:val="589607A5"/>
    <w:rsid w:val="58CB1C4C"/>
    <w:rsid w:val="58E339BA"/>
    <w:rsid w:val="58ED02CB"/>
    <w:rsid w:val="58EF1998"/>
    <w:rsid w:val="58F61ADC"/>
    <w:rsid w:val="591246B2"/>
    <w:rsid w:val="591E12DA"/>
    <w:rsid w:val="594D593A"/>
    <w:rsid w:val="59503FAA"/>
    <w:rsid w:val="59AE2DBB"/>
    <w:rsid w:val="59BA1DA1"/>
    <w:rsid w:val="59C52D48"/>
    <w:rsid w:val="59C544E9"/>
    <w:rsid w:val="59C97A55"/>
    <w:rsid w:val="59CB7901"/>
    <w:rsid w:val="59D54535"/>
    <w:rsid w:val="59E5123D"/>
    <w:rsid w:val="5A2A2B36"/>
    <w:rsid w:val="5A363AE5"/>
    <w:rsid w:val="5A407B48"/>
    <w:rsid w:val="5A5213D3"/>
    <w:rsid w:val="5A663878"/>
    <w:rsid w:val="5A6C6ACB"/>
    <w:rsid w:val="5A6D7D91"/>
    <w:rsid w:val="5A71092E"/>
    <w:rsid w:val="5A717333"/>
    <w:rsid w:val="5A8D3AE6"/>
    <w:rsid w:val="5AAE2097"/>
    <w:rsid w:val="5AAE262D"/>
    <w:rsid w:val="5AC326A6"/>
    <w:rsid w:val="5AF4515D"/>
    <w:rsid w:val="5AF768F3"/>
    <w:rsid w:val="5AF93247"/>
    <w:rsid w:val="5AFC006F"/>
    <w:rsid w:val="5AFF62BB"/>
    <w:rsid w:val="5B03486D"/>
    <w:rsid w:val="5B1E34B2"/>
    <w:rsid w:val="5B293D2F"/>
    <w:rsid w:val="5B366B49"/>
    <w:rsid w:val="5B403149"/>
    <w:rsid w:val="5B6A4DCE"/>
    <w:rsid w:val="5B961E9E"/>
    <w:rsid w:val="5BB56B53"/>
    <w:rsid w:val="5BDC5B52"/>
    <w:rsid w:val="5C3A62D7"/>
    <w:rsid w:val="5C415D49"/>
    <w:rsid w:val="5C460FE0"/>
    <w:rsid w:val="5C48354D"/>
    <w:rsid w:val="5C5B6ACE"/>
    <w:rsid w:val="5C8E76AE"/>
    <w:rsid w:val="5CCE46AF"/>
    <w:rsid w:val="5CE000DB"/>
    <w:rsid w:val="5CE60263"/>
    <w:rsid w:val="5CFC3C79"/>
    <w:rsid w:val="5D0170CF"/>
    <w:rsid w:val="5D074F85"/>
    <w:rsid w:val="5D0E092B"/>
    <w:rsid w:val="5D286F4E"/>
    <w:rsid w:val="5D350E90"/>
    <w:rsid w:val="5D3951B0"/>
    <w:rsid w:val="5D82034E"/>
    <w:rsid w:val="5D89347F"/>
    <w:rsid w:val="5D8E2A6C"/>
    <w:rsid w:val="5D8E5303"/>
    <w:rsid w:val="5D913ECE"/>
    <w:rsid w:val="5DA30A1C"/>
    <w:rsid w:val="5DA75CD3"/>
    <w:rsid w:val="5DA81692"/>
    <w:rsid w:val="5DD10875"/>
    <w:rsid w:val="5DDE02C4"/>
    <w:rsid w:val="5E007771"/>
    <w:rsid w:val="5E244240"/>
    <w:rsid w:val="5E2E7D42"/>
    <w:rsid w:val="5E4D1379"/>
    <w:rsid w:val="5E505E53"/>
    <w:rsid w:val="5E602B8C"/>
    <w:rsid w:val="5E9C1B8E"/>
    <w:rsid w:val="5EC7537A"/>
    <w:rsid w:val="5ED3194E"/>
    <w:rsid w:val="5EDE5D08"/>
    <w:rsid w:val="5F00769C"/>
    <w:rsid w:val="5F051B59"/>
    <w:rsid w:val="5F111D9A"/>
    <w:rsid w:val="5F1B66E2"/>
    <w:rsid w:val="5F235EDC"/>
    <w:rsid w:val="5F2B3423"/>
    <w:rsid w:val="5F764036"/>
    <w:rsid w:val="5F767DA3"/>
    <w:rsid w:val="5F946E43"/>
    <w:rsid w:val="5F9E0889"/>
    <w:rsid w:val="5FA43722"/>
    <w:rsid w:val="5FA81E87"/>
    <w:rsid w:val="5FB57CC1"/>
    <w:rsid w:val="5FBF45E6"/>
    <w:rsid w:val="5FFC1968"/>
    <w:rsid w:val="5FFD73E8"/>
    <w:rsid w:val="60147D87"/>
    <w:rsid w:val="6020687F"/>
    <w:rsid w:val="602211FD"/>
    <w:rsid w:val="605877B7"/>
    <w:rsid w:val="606B24E5"/>
    <w:rsid w:val="6074630D"/>
    <w:rsid w:val="60751E8B"/>
    <w:rsid w:val="607F7A0C"/>
    <w:rsid w:val="608607C6"/>
    <w:rsid w:val="60951639"/>
    <w:rsid w:val="609C47B4"/>
    <w:rsid w:val="60B75C74"/>
    <w:rsid w:val="60C6075A"/>
    <w:rsid w:val="60D44B5D"/>
    <w:rsid w:val="60D63B14"/>
    <w:rsid w:val="60F91D7E"/>
    <w:rsid w:val="611D7F4A"/>
    <w:rsid w:val="61790566"/>
    <w:rsid w:val="61827BF7"/>
    <w:rsid w:val="619C0645"/>
    <w:rsid w:val="61A862D9"/>
    <w:rsid w:val="61B33C7A"/>
    <w:rsid w:val="61CE266A"/>
    <w:rsid w:val="61D725ED"/>
    <w:rsid w:val="61DF3F90"/>
    <w:rsid w:val="61E05284"/>
    <w:rsid w:val="62007FD1"/>
    <w:rsid w:val="62083118"/>
    <w:rsid w:val="620F44EF"/>
    <w:rsid w:val="623E3402"/>
    <w:rsid w:val="623E4F57"/>
    <w:rsid w:val="6243200F"/>
    <w:rsid w:val="625B2183"/>
    <w:rsid w:val="627177C2"/>
    <w:rsid w:val="629378D4"/>
    <w:rsid w:val="62A57310"/>
    <w:rsid w:val="62AA7BE3"/>
    <w:rsid w:val="62AB651B"/>
    <w:rsid w:val="62B029E1"/>
    <w:rsid w:val="62B20CC6"/>
    <w:rsid w:val="62DB7656"/>
    <w:rsid w:val="62DE1325"/>
    <w:rsid w:val="62FD4581"/>
    <w:rsid w:val="630339CC"/>
    <w:rsid w:val="631168DD"/>
    <w:rsid w:val="63277E9F"/>
    <w:rsid w:val="632D367F"/>
    <w:rsid w:val="63393AB4"/>
    <w:rsid w:val="633F6CB2"/>
    <w:rsid w:val="639064B5"/>
    <w:rsid w:val="63B258FF"/>
    <w:rsid w:val="63B3405D"/>
    <w:rsid w:val="63CB0CFC"/>
    <w:rsid w:val="63FF6B23"/>
    <w:rsid w:val="64043B29"/>
    <w:rsid w:val="64380D2D"/>
    <w:rsid w:val="64535A7E"/>
    <w:rsid w:val="646D6083"/>
    <w:rsid w:val="647A09A1"/>
    <w:rsid w:val="647D1F0A"/>
    <w:rsid w:val="648B2B8D"/>
    <w:rsid w:val="6497606D"/>
    <w:rsid w:val="64A009E1"/>
    <w:rsid w:val="64A359B3"/>
    <w:rsid w:val="64B66121"/>
    <w:rsid w:val="64C44D5A"/>
    <w:rsid w:val="64C572A4"/>
    <w:rsid w:val="64E75694"/>
    <w:rsid w:val="64EA6F98"/>
    <w:rsid w:val="64F06D58"/>
    <w:rsid w:val="64F51653"/>
    <w:rsid w:val="64F556CE"/>
    <w:rsid w:val="65285244"/>
    <w:rsid w:val="65286470"/>
    <w:rsid w:val="652C1902"/>
    <w:rsid w:val="658D5A77"/>
    <w:rsid w:val="65C84588"/>
    <w:rsid w:val="66044333"/>
    <w:rsid w:val="66105003"/>
    <w:rsid w:val="66111522"/>
    <w:rsid w:val="661A7D55"/>
    <w:rsid w:val="662B24E7"/>
    <w:rsid w:val="663435F8"/>
    <w:rsid w:val="663A3881"/>
    <w:rsid w:val="663C0F88"/>
    <w:rsid w:val="664C55A5"/>
    <w:rsid w:val="66500D70"/>
    <w:rsid w:val="665A11A4"/>
    <w:rsid w:val="665E341C"/>
    <w:rsid w:val="668C4743"/>
    <w:rsid w:val="66A35470"/>
    <w:rsid w:val="66AB5E0E"/>
    <w:rsid w:val="66B477A1"/>
    <w:rsid w:val="66BA60D5"/>
    <w:rsid w:val="66CA240A"/>
    <w:rsid w:val="66CC71D5"/>
    <w:rsid w:val="66DA406B"/>
    <w:rsid w:val="66F03CA0"/>
    <w:rsid w:val="66F96406"/>
    <w:rsid w:val="67036066"/>
    <w:rsid w:val="67194ACF"/>
    <w:rsid w:val="67207BFB"/>
    <w:rsid w:val="672E318A"/>
    <w:rsid w:val="675D13F0"/>
    <w:rsid w:val="675D1E1C"/>
    <w:rsid w:val="67663DC7"/>
    <w:rsid w:val="676D61B9"/>
    <w:rsid w:val="677151BA"/>
    <w:rsid w:val="677E5AF2"/>
    <w:rsid w:val="677E666D"/>
    <w:rsid w:val="678446F4"/>
    <w:rsid w:val="67A41532"/>
    <w:rsid w:val="67AB0C71"/>
    <w:rsid w:val="67BA31DA"/>
    <w:rsid w:val="67BF1B35"/>
    <w:rsid w:val="67F37581"/>
    <w:rsid w:val="67F9777D"/>
    <w:rsid w:val="6801169D"/>
    <w:rsid w:val="68163A8B"/>
    <w:rsid w:val="681E40A2"/>
    <w:rsid w:val="68386160"/>
    <w:rsid w:val="685322AA"/>
    <w:rsid w:val="6855743B"/>
    <w:rsid w:val="685A469C"/>
    <w:rsid w:val="685B3A7F"/>
    <w:rsid w:val="68652ED3"/>
    <w:rsid w:val="68775725"/>
    <w:rsid w:val="68834618"/>
    <w:rsid w:val="6898124E"/>
    <w:rsid w:val="68AE5E40"/>
    <w:rsid w:val="68D23AD1"/>
    <w:rsid w:val="68D766DA"/>
    <w:rsid w:val="69144F91"/>
    <w:rsid w:val="69385006"/>
    <w:rsid w:val="69387649"/>
    <w:rsid w:val="69514790"/>
    <w:rsid w:val="696C6C36"/>
    <w:rsid w:val="696C76BE"/>
    <w:rsid w:val="697340A4"/>
    <w:rsid w:val="69736020"/>
    <w:rsid w:val="697E11D4"/>
    <w:rsid w:val="699371F7"/>
    <w:rsid w:val="69B467BB"/>
    <w:rsid w:val="69B814E9"/>
    <w:rsid w:val="69BC7E12"/>
    <w:rsid w:val="69C87F5C"/>
    <w:rsid w:val="69CE5A98"/>
    <w:rsid w:val="69D51D7F"/>
    <w:rsid w:val="69FE10F8"/>
    <w:rsid w:val="6A346D7D"/>
    <w:rsid w:val="6A5241A1"/>
    <w:rsid w:val="6A5E5EE8"/>
    <w:rsid w:val="6A6E58C7"/>
    <w:rsid w:val="6A74718A"/>
    <w:rsid w:val="6A7B077C"/>
    <w:rsid w:val="6A8E2774"/>
    <w:rsid w:val="6AA87F8A"/>
    <w:rsid w:val="6AB059A8"/>
    <w:rsid w:val="6AB75811"/>
    <w:rsid w:val="6AC04E97"/>
    <w:rsid w:val="6AFF5B20"/>
    <w:rsid w:val="6B00496F"/>
    <w:rsid w:val="6B0A2445"/>
    <w:rsid w:val="6B246FCD"/>
    <w:rsid w:val="6B2B7B9A"/>
    <w:rsid w:val="6B3B2717"/>
    <w:rsid w:val="6B484AAC"/>
    <w:rsid w:val="6B695B37"/>
    <w:rsid w:val="6B746837"/>
    <w:rsid w:val="6B7A4C74"/>
    <w:rsid w:val="6B883AF7"/>
    <w:rsid w:val="6BC81CD2"/>
    <w:rsid w:val="6BCC0099"/>
    <w:rsid w:val="6BD63C95"/>
    <w:rsid w:val="6BD7491D"/>
    <w:rsid w:val="6C101E0B"/>
    <w:rsid w:val="6C104ED9"/>
    <w:rsid w:val="6C1D5DA8"/>
    <w:rsid w:val="6C2543A9"/>
    <w:rsid w:val="6C2D3A05"/>
    <w:rsid w:val="6C632D22"/>
    <w:rsid w:val="6C785494"/>
    <w:rsid w:val="6CB96A95"/>
    <w:rsid w:val="6CC961C2"/>
    <w:rsid w:val="6CED3820"/>
    <w:rsid w:val="6D1A5896"/>
    <w:rsid w:val="6D272A05"/>
    <w:rsid w:val="6D2A2815"/>
    <w:rsid w:val="6D5071C6"/>
    <w:rsid w:val="6D696F64"/>
    <w:rsid w:val="6D735DA5"/>
    <w:rsid w:val="6D7B7697"/>
    <w:rsid w:val="6D8E245C"/>
    <w:rsid w:val="6D9E442E"/>
    <w:rsid w:val="6DA26138"/>
    <w:rsid w:val="6DA26BAB"/>
    <w:rsid w:val="6DA35A78"/>
    <w:rsid w:val="6DAB7C31"/>
    <w:rsid w:val="6DB61FA8"/>
    <w:rsid w:val="6DCA4D29"/>
    <w:rsid w:val="6DFE60EE"/>
    <w:rsid w:val="6E076281"/>
    <w:rsid w:val="6E314278"/>
    <w:rsid w:val="6E436D2D"/>
    <w:rsid w:val="6E754DA0"/>
    <w:rsid w:val="6E79308C"/>
    <w:rsid w:val="6E8F398F"/>
    <w:rsid w:val="6EA03EB2"/>
    <w:rsid w:val="6EBB7D19"/>
    <w:rsid w:val="6EC025A1"/>
    <w:rsid w:val="6EC270BB"/>
    <w:rsid w:val="6ED45FDF"/>
    <w:rsid w:val="6EF0315B"/>
    <w:rsid w:val="6EFB2EB1"/>
    <w:rsid w:val="6F0626F7"/>
    <w:rsid w:val="6F0C5C72"/>
    <w:rsid w:val="6F11075C"/>
    <w:rsid w:val="6F426219"/>
    <w:rsid w:val="6F606913"/>
    <w:rsid w:val="6F625FDD"/>
    <w:rsid w:val="6F892D95"/>
    <w:rsid w:val="6FBB0B49"/>
    <w:rsid w:val="6FBD3BBF"/>
    <w:rsid w:val="6FCE0B6D"/>
    <w:rsid w:val="6FDD03F4"/>
    <w:rsid w:val="6FF27988"/>
    <w:rsid w:val="70027906"/>
    <w:rsid w:val="703700C0"/>
    <w:rsid w:val="705C3CD3"/>
    <w:rsid w:val="705F7C2C"/>
    <w:rsid w:val="7089672E"/>
    <w:rsid w:val="709211CD"/>
    <w:rsid w:val="709520BF"/>
    <w:rsid w:val="70A850FE"/>
    <w:rsid w:val="70CB37C2"/>
    <w:rsid w:val="70F06D03"/>
    <w:rsid w:val="70F12064"/>
    <w:rsid w:val="70F92DB3"/>
    <w:rsid w:val="71034699"/>
    <w:rsid w:val="71037176"/>
    <w:rsid w:val="710C3A1E"/>
    <w:rsid w:val="711167A6"/>
    <w:rsid w:val="71164120"/>
    <w:rsid w:val="711C7A4F"/>
    <w:rsid w:val="713D462D"/>
    <w:rsid w:val="71505FC9"/>
    <w:rsid w:val="717D675B"/>
    <w:rsid w:val="71A75032"/>
    <w:rsid w:val="71B20863"/>
    <w:rsid w:val="71B65F42"/>
    <w:rsid w:val="71BA4B36"/>
    <w:rsid w:val="71BE4913"/>
    <w:rsid w:val="71C011D0"/>
    <w:rsid w:val="71CA2535"/>
    <w:rsid w:val="71E219C1"/>
    <w:rsid w:val="71EF7925"/>
    <w:rsid w:val="71FC79D9"/>
    <w:rsid w:val="722D22B7"/>
    <w:rsid w:val="723217C0"/>
    <w:rsid w:val="723D1449"/>
    <w:rsid w:val="724072BA"/>
    <w:rsid w:val="727D37C6"/>
    <w:rsid w:val="7288155E"/>
    <w:rsid w:val="728D3989"/>
    <w:rsid w:val="72DF6D33"/>
    <w:rsid w:val="72FB08D3"/>
    <w:rsid w:val="7301400F"/>
    <w:rsid w:val="733537BC"/>
    <w:rsid w:val="733D1AD6"/>
    <w:rsid w:val="733E765C"/>
    <w:rsid w:val="735063A7"/>
    <w:rsid w:val="73542733"/>
    <w:rsid w:val="735E3DEE"/>
    <w:rsid w:val="736355D4"/>
    <w:rsid w:val="73645F16"/>
    <w:rsid w:val="737B6C2C"/>
    <w:rsid w:val="738E261E"/>
    <w:rsid w:val="7392185D"/>
    <w:rsid w:val="739A52F8"/>
    <w:rsid w:val="73A050B9"/>
    <w:rsid w:val="73BA24F6"/>
    <w:rsid w:val="73DE3859"/>
    <w:rsid w:val="73DE682D"/>
    <w:rsid w:val="73EE31D5"/>
    <w:rsid w:val="73FD658E"/>
    <w:rsid w:val="74043F9B"/>
    <w:rsid w:val="740C4EC5"/>
    <w:rsid w:val="741B5E2A"/>
    <w:rsid w:val="7443088B"/>
    <w:rsid w:val="745B3105"/>
    <w:rsid w:val="74FB336F"/>
    <w:rsid w:val="750136ED"/>
    <w:rsid w:val="752521BA"/>
    <w:rsid w:val="75416F03"/>
    <w:rsid w:val="758C1550"/>
    <w:rsid w:val="759202C3"/>
    <w:rsid w:val="75956478"/>
    <w:rsid w:val="75BD04BC"/>
    <w:rsid w:val="75C302FF"/>
    <w:rsid w:val="761C7810"/>
    <w:rsid w:val="764849C7"/>
    <w:rsid w:val="764B4B47"/>
    <w:rsid w:val="76857E42"/>
    <w:rsid w:val="769C138A"/>
    <w:rsid w:val="76AB5AE8"/>
    <w:rsid w:val="76CE734D"/>
    <w:rsid w:val="76D04511"/>
    <w:rsid w:val="76D84FCF"/>
    <w:rsid w:val="76DD134C"/>
    <w:rsid w:val="76E31805"/>
    <w:rsid w:val="76F15A8B"/>
    <w:rsid w:val="76F66C15"/>
    <w:rsid w:val="76F71769"/>
    <w:rsid w:val="76FA5E33"/>
    <w:rsid w:val="770F676F"/>
    <w:rsid w:val="77330466"/>
    <w:rsid w:val="77467C61"/>
    <w:rsid w:val="77603116"/>
    <w:rsid w:val="778667EE"/>
    <w:rsid w:val="778C7CA4"/>
    <w:rsid w:val="77982587"/>
    <w:rsid w:val="77A2146A"/>
    <w:rsid w:val="77A921BA"/>
    <w:rsid w:val="77AF69EF"/>
    <w:rsid w:val="77B7129E"/>
    <w:rsid w:val="77C263B2"/>
    <w:rsid w:val="77C5465B"/>
    <w:rsid w:val="77FF52AE"/>
    <w:rsid w:val="78006A7D"/>
    <w:rsid w:val="780A69E8"/>
    <w:rsid w:val="78162504"/>
    <w:rsid w:val="78286C77"/>
    <w:rsid w:val="785C584B"/>
    <w:rsid w:val="78614BA0"/>
    <w:rsid w:val="78665DF5"/>
    <w:rsid w:val="78777464"/>
    <w:rsid w:val="788024C8"/>
    <w:rsid w:val="789F11AB"/>
    <w:rsid w:val="78A5000C"/>
    <w:rsid w:val="78AB70E1"/>
    <w:rsid w:val="78B900A1"/>
    <w:rsid w:val="78D84366"/>
    <w:rsid w:val="78EE1F91"/>
    <w:rsid w:val="79036CBD"/>
    <w:rsid w:val="790E6015"/>
    <w:rsid w:val="79277966"/>
    <w:rsid w:val="792A6906"/>
    <w:rsid w:val="793022CC"/>
    <w:rsid w:val="793C5C4E"/>
    <w:rsid w:val="794403DD"/>
    <w:rsid w:val="79490646"/>
    <w:rsid w:val="798243DC"/>
    <w:rsid w:val="79976EDD"/>
    <w:rsid w:val="79AC7309"/>
    <w:rsid w:val="79AD0119"/>
    <w:rsid w:val="79AD42A3"/>
    <w:rsid w:val="79B726C3"/>
    <w:rsid w:val="79CE0310"/>
    <w:rsid w:val="79D43F90"/>
    <w:rsid w:val="79F050E8"/>
    <w:rsid w:val="79F330D3"/>
    <w:rsid w:val="79FA30C4"/>
    <w:rsid w:val="7A1B04E6"/>
    <w:rsid w:val="7A1F7720"/>
    <w:rsid w:val="7A21036B"/>
    <w:rsid w:val="7A253591"/>
    <w:rsid w:val="7A2B6F7D"/>
    <w:rsid w:val="7A2D1941"/>
    <w:rsid w:val="7A343F18"/>
    <w:rsid w:val="7A8C589E"/>
    <w:rsid w:val="7A9D36D5"/>
    <w:rsid w:val="7A9E7097"/>
    <w:rsid w:val="7AA07F21"/>
    <w:rsid w:val="7AA34C70"/>
    <w:rsid w:val="7AAE1211"/>
    <w:rsid w:val="7AAE1A2F"/>
    <w:rsid w:val="7AE14105"/>
    <w:rsid w:val="7B1C0A4B"/>
    <w:rsid w:val="7B270C9F"/>
    <w:rsid w:val="7B370FC7"/>
    <w:rsid w:val="7B3F02E6"/>
    <w:rsid w:val="7B41257B"/>
    <w:rsid w:val="7B543C4D"/>
    <w:rsid w:val="7B585FA0"/>
    <w:rsid w:val="7B5A336B"/>
    <w:rsid w:val="7B6026CF"/>
    <w:rsid w:val="7BAE3451"/>
    <w:rsid w:val="7BB51D24"/>
    <w:rsid w:val="7BC32BF1"/>
    <w:rsid w:val="7BF31A63"/>
    <w:rsid w:val="7C0039B7"/>
    <w:rsid w:val="7C187FFC"/>
    <w:rsid w:val="7C1E125B"/>
    <w:rsid w:val="7C296138"/>
    <w:rsid w:val="7C412D61"/>
    <w:rsid w:val="7C441D14"/>
    <w:rsid w:val="7C510BAF"/>
    <w:rsid w:val="7C5A58BA"/>
    <w:rsid w:val="7C634394"/>
    <w:rsid w:val="7C712076"/>
    <w:rsid w:val="7C7A0C3C"/>
    <w:rsid w:val="7C9D2CCF"/>
    <w:rsid w:val="7CBC2AD6"/>
    <w:rsid w:val="7CC30CBD"/>
    <w:rsid w:val="7CCA1EF2"/>
    <w:rsid w:val="7CE4475D"/>
    <w:rsid w:val="7D137828"/>
    <w:rsid w:val="7D1B7496"/>
    <w:rsid w:val="7D471D86"/>
    <w:rsid w:val="7D657C05"/>
    <w:rsid w:val="7D8E1239"/>
    <w:rsid w:val="7DAE0009"/>
    <w:rsid w:val="7DBF0423"/>
    <w:rsid w:val="7DF5474A"/>
    <w:rsid w:val="7E0818AF"/>
    <w:rsid w:val="7E117B46"/>
    <w:rsid w:val="7E1F13CA"/>
    <w:rsid w:val="7E210D72"/>
    <w:rsid w:val="7E353124"/>
    <w:rsid w:val="7E356B8C"/>
    <w:rsid w:val="7E455620"/>
    <w:rsid w:val="7E790AC6"/>
    <w:rsid w:val="7E9D448B"/>
    <w:rsid w:val="7EA242CE"/>
    <w:rsid w:val="7EA656B1"/>
    <w:rsid w:val="7EAD0B0B"/>
    <w:rsid w:val="7ED513D7"/>
    <w:rsid w:val="7ED900C9"/>
    <w:rsid w:val="7EE45602"/>
    <w:rsid w:val="7F0456DF"/>
    <w:rsid w:val="7F0C21B2"/>
    <w:rsid w:val="7F1D1B68"/>
    <w:rsid w:val="7F237830"/>
    <w:rsid w:val="7F290B13"/>
    <w:rsid w:val="7F2F7D36"/>
    <w:rsid w:val="7F4C7D80"/>
    <w:rsid w:val="7F5D1976"/>
    <w:rsid w:val="7F902C13"/>
    <w:rsid w:val="7FA22D51"/>
    <w:rsid w:val="7FAB0396"/>
    <w:rsid w:val="7FB1038D"/>
    <w:rsid w:val="7FCA3F44"/>
  </w:rsids>
  <m:mathPr>
    <m:mathFont m:val="Cambria Math"/>
    <m:brkBin m:val="before"/>
    <m:brkBinSub m:val="--"/>
    <m:smallFrac m:val="1"/>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7" w:semiHidden="0" w:name="heading 1"/>
    <w:lsdException w:qFormat="1" w:uiPriority="8" w:semiHidden="0" w:name="heading 2"/>
    <w:lsdException w:qFormat="1" w:uiPriority="9" w:semiHidden="0" w:name="heading 3"/>
    <w:lsdException w:qFormat="1" w:uiPriority="10" w:semiHidden="0" w:name="heading 4"/>
    <w:lsdException w:qFormat="1" w:uiPriority="11" w:name="heading 5"/>
    <w:lsdException w:qFormat="1" w:unhideWhenUsed="0" w:uiPriority="12" w:semiHidden="0" w:name="heading 6"/>
    <w:lsdException w:qFormat="1" w:unhideWhenUsed="0" w:uiPriority="13" w:semiHidden="0" w:name="heading 7"/>
    <w:lsdException w:qFormat="1" w:unhideWhenUsed="0" w:uiPriority="14" w:semiHidden="0" w:name="heading 8"/>
    <w:lsdException w:qFormat="1" w:unhideWhenUsed="0" w:uiPriority="15" w:semiHidden="0" w:name="heading 9"/>
    <w:lsdException w:qFormat="1"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2" w:semiHidden="0" w:name="toc 5"/>
    <w:lsdException w:qFormat="1" w:unhideWhenUsed="0" w:uiPriority="33" w:semiHidden="0" w:name="toc 6"/>
    <w:lsdException w:qFormat="1" w:unhideWhenUsed="0" w:uiPriority="34" w:semiHidden="0" w:name="toc 7"/>
    <w:lsdException w:qFormat="1" w:unhideWhenUsed="0" w:uiPriority="35" w:semiHidden="0" w:name="toc 8"/>
    <w:lsdException w:qFormat="1" w:unhideWhenUsed="0" w:uiPriority="36"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iPriority="99"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qFormat="1" w:unhideWhenUsed="0" w:uiPriority="0" w:semiHidden="0" w:name="List"/>
    <w:lsdException w:uiPriority="99" w:name="List Bullet"/>
    <w:lsdException w:uiPriority="99" w:name="List Number"/>
    <w:lsdException w:qFormat="1" w:unhideWhenUsed="0" w:uiPriority="0" w:semiHidden="0" w:name="List 2"/>
    <w:lsdException w:qFormat="1" w:unhideWhenUsed="0" w:uiPriority="0"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6" w:semiHidden="0" w:name="Title"/>
    <w:lsdException w:uiPriority="99" w:name="Closing"/>
    <w:lsdException w:qFormat="1"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qFormat="1" w:unhideWhenUsed="0" w:uiPriority="0" w:semiHidden="0" w:name="List Continue 2"/>
    <w:lsdException w:uiPriority="99" w:name="List Continue 3"/>
    <w:lsdException w:uiPriority="99" w:name="List Continue 4"/>
    <w:lsdException w:uiPriority="99" w:name="List Continue 5"/>
    <w:lsdException w:qFormat="1" w:unhideWhenUsed="0" w:uiPriority="0" w:name="Message Header"/>
    <w:lsdException w:qFormat="1" w:unhideWhenUsed="0" w:uiPriority="16"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0" w:semiHidden="0" w:name="Strong"/>
    <w:lsdException w:qFormat="1" w:unhideWhenUsed="0" w:uiPriority="18"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8" w:semiHidden="0" w:name="Table Grid"/>
    <w:lsdException w:uiPriority="99" w:name="Table Theme"/>
    <w:lsdException w:qFormat="1" w:unhideWhenUsed="0" w:uiPriority="5"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26" w:semiHidden="0" w:name="List Paragraph"/>
    <w:lsdException w:qFormat="1" w:unhideWhenUsed="0" w:uiPriority="21" w:semiHidden="0" w:name="Quote"/>
    <w:lsdException w:qFormat="1" w:unhideWhenUsed="0" w:uiPriority="22"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jc w:val="both"/>
    </w:pPr>
    <w:rPr>
      <w:rFonts w:ascii="Times New Roman" w:hAnsi="Times New Roman" w:eastAsia="宋体" w:cs="Times New Roman"/>
      <w:sz w:val="24"/>
      <w:szCs w:val="24"/>
      <w:lang w:val="en-US" w:eastAsia="zh-CN" w:bidi="ar-SA"/>
    </w:rPr>
  </w:style>
  <w:style w:type="paragraph" w:styleId="2">
    <w:name w:val="heading 1"/>
    <w:basedOn w:val="1"/>
    <w:next w:val="1"/>
    <w:link w:val="212"/>
    <w:qFormat/>
    <w:uiPriority w:val="7"/>
    <w:pPr>
      <w:spacing w:line="360" w:lineRule="auto"/>
      <w:jc w:val="left"/>
      <w:outlineLvl w:val="0"/>
    </w:pPr>
    <w:rPr>
      <w:b/>
      <w:sz w:val="32"/>
      <w:szCs w:val="32"/>
    </w:rPr>
  </w:style>
  <w:style w:type="paragraph" w:styleId="3">
    <w:name w:val="heading 2"/>
    <w:basedOn w:val="1"/>
    <w:next w:val="1"/>
    <w:link w:val="246"/>
    <w:unhideWhenUsed/>
    <w:qFormat/>
    <w:uiPriority w:val="8"/>
    <w:pPr>
      <w:spacing w:line="360" w:lineRule="auto"/>
      <w:jc w:val="left"/>
      <w:outlineLvl w:val="1"/>
    </w:pPr>
    <w:rPr>
      <w:b/>
      <w:sz w:val="30"/>
      <w:szCs w:val="28"/>
    </w:rPr>
  </w:style>
  <w:style w:type="paragraph" w:styleId="4">
    <w:name w:val="heading 3"/>
    <w:basedOn w:val="1"/>
    <w:next w:val="1"/>
    <w:link w:val="79"/>
    <w:unhideWhenUsed/>
    <w:qFormat/>
    <w:uiPriority w:val="9"/>
    <w:pPr>
      <w:spacing w:line="360" w:lineRule="auto"/>
      <w:jc w:val="left"/>
      <w:outlineLvl w:val="2"/>
    </w:pPr>
    <w:rPr>
      <w:b/>
      <w:sz w:val="28"/>
      <w:szCs w:val="20"/>
    </w:rPr>
  </w:style>
  <w:style w:type="paragraph" w:styleId="5">
    <w:name w:val="heading 4"/>
    <w:basedOn w:val="1"/>
    <w:next w:val="1"/>
    <w:link w:val="470"/>
    <w:unhideWhenUsed/>
    <w:qFormat/>
    <w:uiPriority w:val="10"/>
    <w:pPr>
      <w:spacing w:line="360" w:lineRule="auto"/>
      <w:jc w:val="left"/>
      <w:outlineLvl w:val="3"/>
    </w:pPr>
    <w:rPr>
      <w:rFonts w:eastAsia="Times New Roman"/>
      <w:b/>
    </w:rPr>
  </w:style>
  <w:style w:type="paragraph" w:styleId="6">
    <w:name w:val="heading 5"/>
    <w:basedOn w:val="1"/>
    <w:next w:val="1"/>
    <w:link w:val="143"/>
    <w:semiHidden/>
    <w:unhideWhenUsed/>
    <w:qFormat/>
    <w:uiPriority w:val="11"/>
    <w:pPr>
      <w:keepNext/>
      <w:keepLines/>
      <w:outlineLvl w:val="4"/>
    </w:pPr>
    <w:rPr>
      <w:b/>
      <w:sz w:val="28"/>
      <w:szCs w:val="28"/>
    </w:rPr>
  </w:style>
  <w:style w:type="paragraph" w:styleId="7">
    <w:name w:val="heading 6"/>
    <w:basedOn w:val="1"/>
    <w:next w:val="1"/>
    <w:link w:val="144"/>
    <w:qFormat/>
    <w:uiPriority w:val="12"/>
    <w:pPr>
      <w:keepNext/>
      <w:keepLines/>
      <w:textAlignment w:val="baseline"/>
      <w:outlineLvl w:val="5"/>
    </w:pPr>
    <w:rPr>
      <w:rFonts w:ascii="Arial" w:hAnsi="Arial" w:eastAsia="黑体"/>
      <w:b/>
      <w:sz w:val="20"/>
      <w:szCs w:val="20"/>
    </w:rPr>
  </w:style>
  <w:style w:type="paragraph" w:styleId="8">
    <w:name w:val="heading 7"/>
    <w:basedOn w:val="1"/>
    <w:next w:val="1"/>
    <w:link w:val="145"/>
    <w:qFormat/>
    <w:uiPriority w:val="13"/>
    <w:pPr>
      <w:keepNext/>
      <w:keepLines/>
      <w:textAlignment w:val="baseline"/>
      <w:outlineLvl w:val="6"/>
    </w:pPr>
    <w:rPr>
      <w:b/>
      <w:sz w:val="20"/>
      <w:szCs w:val="20"/>
    </w:rPr>
  </w:style>
  <w:style w:type="paragraph" w:styleId="9">
    <w:name w:val="heading 8"/>
    <w:basedOn w:val="1"/>
    <w:next w:val="1"/>
    <w:link w:val="146"/>
    <w:qFormat/>
    <w:uiPriority w:val="14"/>
    <w:pPr>
      <w:keepNext/>
      <w:keepLines/>
      <w:textAlignment w:val="baseline"/>
      <w:outlineLvl w:val="7"/>
    </w:pPr>
    <w:rPr>
      <w:rFonts w:ascii="Arial" w:hAnsi="Arial" w:eastAsia="黑体"/>
      <w:sz w:val="20"/>
      <w:szCs w:val="20"/>
    </w:rPr>
  </w:style>
  <w:style w:type="paragraph" w:styleId="10">
    <w:name w:val="heading 9"/>
    <w:basedOn w:val="1"/>
    <w:next w:val="1"/>
    <w:link w:val="147"/>
    <w:qFormat/>
    <w:uiPriority w:val="15"/>
    <w:pPr>
      <w:keepNext/>
      <w:keepLines/>
      <w:textAlignment w:val="baseline"/>
      <w:outlineLvl w:val="8"/>
    </w:pPr>
    <w:rPr>
      <w:rFonts w:ascii="Arial" w:hAnsi="Arial" w:eastAsia="黑体"/>
      <w:sz w:val="21"/>
      <w:szCs w:val="21"/>
    </w:rPr>
  </w:style>
  <w:style w:type="character" w:default="1" w:styleId="55">
    <w:name w:val="Default Paragraph Font"/>
    <w:unhideWhenUsed/>
    <w:qFormat/>
    <w:uiPriority w:val="1"/>
  </w:style>
  <w:style w:type="table" w:default="1" w:styleId="53">
    <w:name w:val="Normal Table"/>
    <w:semiHidden/>
    <w:unhideWhenUsed/>
    <w:qFormat/>
    <w:uiPriority w:val="99"/>
    <w:tblPr>
      <w:tblCellMar>
        <w:top w:w="0" w:type="dxa"/>
        <w:left w:w="108" w:type="dxa"/>
        <w:bottom w:w="0" w:type="dxa"/>
        <w:right w:w="108" w:type="dxa"/>
      </w:tblCellMar>
    </w:tblPr>
  </w:style>
  <w:style w:type="paragraph" w:styleId="11">
    <w:name w:val="List 3"/>
    <w:basedOn w:val="1"/>
    <w:qFormat/>
    <w:uiPriority w:val="0"/>
    <w:pPr>
      <w:spacing w:line="480" w:lineRule="exact"/>
      <w:jc w:val="center"/>
    </w:pPr>
    <w:rPr>
      <w:rFonts w:cs="宋体"/>
      <w:b/>
      <w:bCs/>
    </w:rPr>
  </w:style>
  <w:style w:type="paragraph" w:styleId="12">
    <w:name w:val="toc 7"/>
    <w:basedOn w:val="1"/>
    <w:next w:val="1"/>
    <w:qFormat/>
    <w:uiPriority w:val="34"/>
    <w:pPr>
      <w:ind w:left="1260"/>
    </w:pPr>
    <w:rPr>
      <w:sz w:val="18"/>
      <w:szCs w:val="18"/>
    </w:rPr>
  </w:style>
  <w:style w:type="paragraph" w:styleId="13">
    <w:name w:val="index 8"/>
    <w:basedOn w:val="1"/>
    <w:next w:val="1"/>
    <w:qFormat/>
    <w:uiPriority w:val="0"/>
    <w:pPr>
      <w:tabs>
        <w:tab w:val="left" w:pos="540"/>
        <w:tab w:val="left" w:pos="900"/>
      </w:tabs>
      <w:jc w:val="center"/>
    </w:pPr>
    <w:rPr>
      <w:rFonts w:ascii="宋体" w:hAnsi="宋体" w:cs="宋体"/>
      <w:color w:val="000000"/>
      <w:sz w:val="32"/>
      <w:szCs w:val="32"/>
    </w:rPr>
  </w:style>
  <w:style w:type="paragraph" w:styleId="14">
    <w:name w:val="Normal Indent"/>
    <w:basedOn w:val="1"/>
    <w:link w:val="217"/>
    <w:qFormat/>
    <w:uiPriority w:val="0"/>
    <w:pPr>
      <w:ind w:firstLine="420"/>
    </w:pPr>
    <w:rPr>
      <w:sz w:val="21"/>
      <w:szCs w:val="21"/>
    </w:rPr>
  </w:style>
  <w:style w:type="paragraph" w:styleId="15">
    <w:name w:val="caption"/>
    <w:basedOn w:val="1"/>
    <w:next w:val="1"/>
    <w:link w:val="455"/>
    <w:qFormat/>
    <w:uiPriority w:val="0"/>
    <w:pPr>
      <w:jc w:val="center"/>
    </w:pPr>
    <w:rPr>
      <w:rFonts w:ascii="黑体" w:hAnsi="黑体" w:eastAsia="黑体"/>
      <w:sz w:val="20"/>
      <w:szCs w:val="20"/>
    </w:rPr>
  </w:style>
  <w:style w:type="paragraph" w:styleId="16">
    <w:name w:val="Document Map"/>
    <w:basedOn w:val="1"/>
    <w:link w:val="191"/>
    <w:qFormat/>
    <w:uiPriority w:val="0"/>
    <w:pPr>
      <w:shd w:val="clear" w:color="000000" w:fill="000080"/>
    </w:pPr>
    <w:rPr>
      <w:sz w:val="21"/>
      <w:szCs w:val="21"/>
    </w:rPr>
  </w:style>
  <w:style w:type="paragraph" w:styleId="17">
    <w:name w:val="toa heading"/>
    <w:basedOn w:val="1"/>
    <w:next w:val="1"/>
    <w:semiHidden/>
    <w:qFormat/>
    <w:uiPriority w:val="0"/>
    <w:pPr>
      <w:spacing w:before="120"/>
    </w:pPr>
    <w:rPr>
      <w:rFonts w:ascii="Arial" w:hAnsi="Arial"/>
      <w:sz w:val="24"/>
    </w:rPr>
  </w:style>
  <w:style w:type="paragraph" w:styleId="18">
    <w:name w:val="annotation text"/>
    <w:basedOn w:val="1"/>
    <w:link w:val="140"/>
    <w:qFormat/>
    <w:uiPriority w:val="0"/>
    <w:rPr>
      <w:sz w:val="21"/>
      <w:szCs w:val="21"/>
    </w:rPr>
  </w:style>
  <w:style w:type="paragraph" w:styleId="19">
    <w:name w:val="Body Text 3"/>
    <w:basedOn w:val="1"/>
    <w:link w:val="304"/>
    <w:qFormat/>
    <w:uiPriority w:val="0"/>
    <w:rPr>
      <w:rFonts w:ascii="宋体" w:hAnsi="宋体"/>
      <w:sz w:val="28"/>
      <w:szCs w:val="28"/>
    </w:rPr>
  </w:style>
  <w:style w:type="paragraph" w:styleId="20">
    <w:name w:val="Body Text"/>
    <w:basedOn w:val="1"/>
    <w:link w:val="141"/>
    <w:qFormat/>
    <w:uiPriority w:val="0"/>
    <w:rPr>
      <w:sz w:val="21"/>
      <w:szCs w:val="21"/>
    </w:rPr>
  </w:style>
  <w:style w:type="paragraph" w:styleId="21">
    <w:name w:val="Body Text Indent"/>
    <w:basedOn w:val="1"/>
    <w:link w:val="142"/>
    <w:qFormat/>
    <w:uiPriority w:val="0"/>
    <w:pPr>
      <w:ind w:left="420"/>
    </w:pPr>
    <w:rPr>
      <w:rFonts w:ascii="Calibri" w:hAnsi="Calibri" w:eastAsia="Calibri"/>
      <w:sz w:val="21"/>
      <w:szCs w:val="21"/>
    </w:rPr>
  </w:style>
  <w:style w:type="paragraph" w:styleId="22">
    <w:name w:val="List 2"/>
    <w:basedOn w:val="1"/>
    <w:qFormat/>
    <w:uiPriority w:val="0"/>
    <w:pPr>
      <w:ind w:left="100" w:hanging="200"/>
    </w:pPr>
    <w:rPr>
      <w:sz w:val="21"/>
      <w:szCs w:val="21"/>
    </w:rPr>
  </w:style>
  <w:style w:type="paragraph" w:styleId="23">
    <w:name w:val="toc 5"/>
    <w:basedOn w:val="1"/>
    <w:next w:val="1"/>
    <w:qFormat/>
    <w:uiPriority w:val="32"/>
    <w:pPr>
      <w:ind w:left="840"/>
    </w:pPr>
    <w:rPr>
      <w:sz w:val="18"/>
      <w:szCs w:val="18"/>
    </w:rPr>
  </w:style>
  <w:style w:type="paragraph" w:styleId="24">
    <w:name w:val="toc 3"/>
    <w:basedOn w:val="1"/>
    <w:next w:val="1"/>
    <w:qFormat/>
    <w:uiPriority w:val="39"/>
    <w:pPr>
      <w:ind w:left="420"/>
    </w:pPr>
    <w:rPr>
      <w:i/>
      <w:sz w:val="20"/>
      <w:szCs w:val="20"/>
    </w:rPr>
  </w:style>
  <w:style w:type="paragraph" w:styleId="25">
    <w:name w:val="Plain Text"/>
    <w:basedOn w:val="1"/>
    <w:link w:val="245"/>
    <w:qFormat/>
    <w:uiPriority w:val="0"/>
    <w:rPr>
      <w:rFonts w:ascii="宋体" w:hAnsi="宋体" w:eastAsia="Courier New"/>
      <w:sz w:val="21"/>
      <w:szCs w:val="21"/>
    </w:rPr>
  </w:style>
  <w:style w:type="paragraph" w:styleId="26">
    <w:name w:val="toc 8"/>
    <w:basedOn w:val="1"/>
    <w:next w:val="1"/>
    <w:qFormat/>
    <w:uiPriority w:val="35"/>
    <w:pPr>
      <w:ind w:left="1470"/>
    </w:pPr>
    <w:rPr>
      <w:sz w:val="18"/>
      <w:szCs w:val="18"/>
    </w:rPr>
  </w:style>
  <w:style w:type="paragraph" w:styleId="27">
    <w:name w:val="Date"/>
    <w:basedOn w:val="1"/>
    <w:next w:val="1"/>
    <w:link w:val="266"/>
    <w:qFormat/>
    <w:uiPriority w:val="0"/>
    <w:rPr>
      <w:sz w:val="28"/>
      <w:szCs w:val="28"/>
    </w:rPr>
  </w:style>
  <w:style w:type="paragraph" w:styleId="28">
    <w:name w:val="Body Text Indent 2"/>
    <w:basedOn w:val="1"/>
    <w:next w:val="1"/>
    <w:link w:val="416"/>
    <w:qFormat/>
    <w:uiPriority w:val="0"/>
    <w:pPr>
      <w:ind w:firstLine="480"/>
    </w:pPr>
    <w:rPr>
      <w:rFonts w:ascii="仿宋_GB2312" w:hAnsi="仿宋_GB2312" w:eastAsia="仿宋_GB2312"/>
      <w:sz w:val="20"/>
      <w:szCs w:val="20"/>
    </w:rPr>
  </w:style>
  <w:style w:type="paragraph" w:styleId="29">
    <w:name w:val="Balloon Text"/>
    <w:basedOn w:val="1"/>
    <w:link w:val="135"/>
    <w:qFormat/>
    <w:uiPriority w:val="0"/>
    <w:rPr>
      <w:sz w:val="18"/>
      <w:szCs w:val="18"/>
    </w:rPr>
  </w:style>
  <w:style w:type="paragraph" w:styleId="30">
    <w:name w:val="footer"/>
    <w:basedOn w:val="1"/>
    <w:link w:val="151"/>
    <w:qFormat/>
    <w:uiPriority w:val="0"/>
    <w:pPr>
      <w:tabs>
        <w:tab w:val="center" w:pos="4153"/>
        <w:tab w:val="right" w:pos="8306"/>
      </w:tabs>
    </w:pPr>
    <w:rPr>
      <w:sz w:val="18"/>
      <w:szCs w:val="18"/>
    </w:rPr>
  </w:style>
  <w:style w:type="paragraph" w:styleId="31">
    <w:name w:val="header"/>
    <w:basedOn w:val="1"/>
    <w:link w:val="208"/>
    <w:qFormat/>
    <w:uiPriority w:val="0"/>
    <w:pPr>
      <w:tabs>
        <w:tab w:val="center" w:pos="4153"/>
        <w:tab w:val="right" w:pos="8306"/>
      </w:tabs>
      <w:jc w:val="center"/>
    </w:pPr>
    <w:rPr>
      <w:sz w:val="18"/>
      <w:szCs w:val="18"/>
    </w:rPr>
  </w:style>
  <w:style w:type="paragraph" w:styleId="32">
    <w:name w:val="Signature"/>
    <w:basedOn w:val="1"/>
    <w:link w:val="288"/>
    <w:qFormat/>
    <w:uiPriority w:val="0"/>
    <w:pPr>
      <w:ind w:left="100"/>
    </w:pPr>
    <w:rPr>
      <w:sz w:val="20"/>
      <w:szCs w:val="20"/>
    </w:rPr>
  </w:style>
  <w:style w:type="paragraph" w:styleId="33">
    <w:name w:val="toc 1"/>
    <w:basedOn w:val="1"/>
    <w:next w:val="1"/>
    <w:qFormat/>
    <w:uiPriority w:val="39"/>
  </w:style>
  <w:style w:type="paragraph" w:styleId="34">
    <w:name w:val="toc 4"/>
    <w:basedOn w:val="1"/>
    <w:next w:val="1"/>
    <w:qFormat/>
    <w:uiPriority w:val="39"/>
    <w:pPr>
      <w:ind w:left="630"/>
    </w:pPr>
    <w:rPr>
      <w:sz w:val="18"/>
      <w:szCs w:val="18"/>
    </w:rPr>
  </w:style>
  <w:style w:type="paragraph" w:styleId="35">
    <w:name w:val="index heading"/>
    <w:basedOn w:val="1"/>
    <w:next w:val="36"/>
    <w:qFormat/>
    <w:uiPriority w:val="0"/>
    <w:pPr>
      <w:textAlignment w:val="baseline"/>
    </w:pPr>
    <w:rPr>
      <w:sz w:val="28"/>
      <w:szCs w:val="28"/>
    </w:rPr>
  </w:style>
  <w:style w:type="paragraph" w:styleId="36">
    <w:name w:val="index 1"/>
    <w:basedOn w:val="1"/>
    <w:next w:val="1"/>
    <w:unhideWhenUsed/>
    <w:qFormat/>
    <w:uiPriority w:val="0"/>
  </w:style>
  <w:style w:type="paragraph" w:styleId="37">
    <w:name w:val="Subtitle"/>
    <w:basedOn w:val="1"/>
    <w:next w:val="1"/>
    <w:link w:val="201"/>
    <w:qFormat/>
    <w:uiPriority w:val="16"/>
    <w:pPr>
      <w:ind w:firstLine="560"/>
    </w:pPr>
    <w:rPr>
      <w:rFonts w:ascii="Cambria" w:hAnsi="Cambria" w:eastAsia="黑体"/>
      <w:sz w:val="28"/>
      <w:szCs w:val="28"/>
    </w:rPr>
  </w:style>
  <w:style w:type="paragraph" w:styleId="38">
    <w:name w:val="List"/>
    <w:basedOn w:val="1"/>
    <w:qFormat/>
    <w:uiPriority w:val="0"/>
    <w:pPr>
      <w:jc w:val="center"/>
    </w:pPr>
    <w:rPr>
      <w:rFonts w:ascii="仿宋_GB2312" w:hAnsi="仿宋_GB2312" w:eastAsia="仿宋_GB2312"/>
      <w:sz w:val="28"/>
      <w:szCs w:val="28"/>
    </w:rPr>
  </w:style>
  <w:style w:type="paragraph" w:styleId="39">
    <w:name w:val="toc 6"/>
    <w:basedOn w:val="1"/>
    <w:next w:val="1"/>
    <w:qFormat/>
    <w:uiPriority w:val="33"/>
    <w:pPr>
      <w:ind w:left="1050"/>
    </w:pPr>
    <w:rPr>
      <w:sz w:val="18"/>
      <w:szCs w:val="18"/>
    </w:rPr>
  </w:style>
  <w:style w:type="paragraph" w:styleId="40">
    <w:name w:val="Body Text Indent 3"/>
    <w:basedOn w:val="1"/>
    <w:link w:val="227"/>
    <w:qFormat/>
    <w:uiPriority w:val="0"/>
    <w:pPr>
      <w:ind w:left="420"/>
    </w:pPr>
    <w:rPr>
      <w:sz w:val="16"/>
      <w:szCs w:val="16"/>
    </w:rPr>
  </w:style>
  <w:style w:type="paragraph" w:styleId="41">
    <w:name w:val="table of figures"/>
    <w:basedOn w:val="1"/>
    <w:next w:val="1"/>
    <w:unhideWhenUsed/>
    <w:qFormat/>
    <w:uiPriority w:val="99"/>
    <w:pPr>
      <w:ind w:left="200" w:leftChars="200" w:hanging="200" w:hangingChars="200"/>
    </w:pPr>
    <w:rPr>
      <w:szCs w:val="20"/>
    </w:rPr>
  </w:style>
  <w:style w:type="paragraph" w:styleId="42">
    <w:name w:val="toc 2"/>
    <w:basedOn w:val="1"/>
    <w:next w:val="1"/>
    <w:qFormat/>
    <w:uiPriority w:val="39"/>
    <w:pPr>
      <w:ind w:left="420"/>
    </w:pPr>
  </w:style>
  <w:style w:type="paragraph" w:styleId="43">
    <w:name w:val="toc 9"/>
    <w:basedOn w:val="1"/>
    <w:next w:val="1"/>
    <w:qFormat/>
    <w:uiPriority w:val="36"/>
    <w:pPr>
      <w:ind w:left="1680"/>
    </w:pPr>
    <w:rPr>
      <w:sz w:val="18"/>
      <w:szCs w:val="18"/>
    </w:rPr>
  </w:style>
  <w:style w:type="paragraph" w:styleId="44">
    <w:name w:val="Body Text 2"/>
    <w:basedOn w:val="1"/>
    <w:link w:val="300"/>
    <w:qFormat/>
    <w:uiPriority w:val="0"/>
    <w:pPr>
      <w:textAlignment w:val="baseline"/>
    </w:pPr>
    <w:rPr>
      <w:rFonts w:ascii="宋体" w:hAnsi="宋体"/>
      <w:sz w:val="18"/>
      <w:szCs w:val="18"/>
    </w:rPr>
  </w:style>
  <w:style w:type="paragraph" w:styleId="45">
    <w:name w:val="List Continue 2"/>
    <w:basedOn w:val="1"/>
    <w:qFormat/>
    <w:uiPriority w:val="0"/>
    <w:pPr>
      <w:ind w:left="840"/>
    </w:pPr>
    <w:rPr>
      <w:sz w:val="21"/>
      <w:szCs w:val="21"/>
    </w:rPr>
  </w:style>
  <w:style w:type="paragraph" w:styleId="46">
    <w:name w:val="Message Header"/>
    <w:basedOn w:val="1"/>
    <w:semiHidden/>
    <w:qFormat/>
    <w:uiPriority w:val="0"/>
    <w:pPr>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rPr>
  </w:style>
  <w:style w:type="paragraph" w:styleId="47">
    <w:name w:val="HTML Preformatted"/>
    <w:basedOn w:val="1"/>
    <w:link w:val="255"/>
    <w:qFormat/>
    <w:uiPriority w:val="0"/>
    <w:pPr>
      <w:tabs>
        <w:tab w:val="left" w:pos="916"/>
        <w:tab w:val="left" w:pos="1832"/>
        <w:tab w:val="left" w:pos="2748"/>
        <w:tab w:val="left" w:pos="3664"/>
        <w:tab w:val="left" w:pos="4580"/>
        <w:tab w:val="left" w:pos="5496"/>
        <w:tab w:val="left" w:pos="6412"/>
        <w:tab w:val="left" w:pos="7328"/>
        <w:tab w:val="left" w:pos="8244"/>
        <w:tab w:val="left" w:pos="9160"/>
      </w:tabs>
    </w:pPr>
    <w:rPr>
      <w:rFonts w:ascii="Arial" w:hAnsi="Arial" w:eastAsia="Arial"/>
      <w:sz w:val="14"/>
      <w:szCs w:val="14"/>
    </w:rPr>
  </w:style>
  <w:style w:type="paragraph" w:styleId="48">
    <w:name w:val="Normal (Web)"/>
    <w:basedOn w:val="1"/>
    <w:qFormat/>
    <w:uiPriority w:val="0"/>
    <w:rPr>
      <w:sz w:val="20"/>
      <w:szCs w:val="20"/>
    </w:rPr>
  </w:style>
  <w:style w:type="paragraph" w:styleId="49">
    <w:name w:val="Title"/>
    <w:basedOn w:val="1"/>
    <w:next w:val="1"/>
    <w:link w:val="173"/>
    <w:qFormat/>
    <w:uiPriority w:val="6"/>
    <w:pPr>
      <w:jc w:val="center"/>
    </w:pPr>
    <w:rPr>
      <w:sz w:val="21"/>
      <w:szCs w:val="21"/>
    </w:rPr>
  </w:style>
  <w:style w:type="paragraph" w:styleId="50">
    <w:name w:val="annotation subject"/>
    <w:next w:val="18"/>
    <w:link w:val="291"/>
    <w:qFormat/>
    <w:uiPriority w:val="0"/>
    <w:rPr>
      <w:rFonts w:ascii="Times New Roman" w:hAnsi="Times New Roman" w:eastAsia="宋体" w:cs="Times New Roman"/>
      <w:b/>
      <w:lang w:val="en-US" w:eastAsia="zh-CN" w:bidi="ar-SA"/>
    </w:rPr>
  </w:style>
  <w:style w:type="paragraph" w:styleId="51">
    <w:name w:val="Body Text First Indent"/>
    <w:basedOn w:val="20"/>
    <w:link w:val="271"/>
    <w:qFormat/>
    <w:uiPriority w:val="0"/>
    <w:pPr>
      <w:ind w:left="1080" w:firstLine="420"/>
    </w:pPr>
  </w:style>
  <w:style w:type="paragraph" w:styleId="52">
    <w:name w:val="Body Text First Indent 2"/>
    <w:basedOn w:val="21"/>
    <w:qFormat/>
    <w:uiPriority w:val="0"/>
    <w:pPr>
      <w:ind w:firstLine="420" w:firstLineChars="200"/>
    </w:pPr>
    <w:rPr>
      <w:szCs w:val="20"/>
    </w:rPr>
  </w:style>
  <w:style w:type="table" w:styleId="54">
    <w:name w:val="Table Grid"/>
    <w:basedOn w:val="53"/>
    <w:qFormat/>
    <w:uiPriority w:val="38"/>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56">
    <w:name w:val="Strong"/>
    <w:basedOn w:val="55"/>
    <w:qFormat/>
    <w:uiPriority w:val="20"/>
    <w:rPr>
      <w:b/>
      <w:w w:val="100"/>
      <w:sz w:val="20"/>
      <w:szCs w:val="20"/>
      <w:shd w:val="clear" w:color="auto" w:fill="auto"/>
    </w:rPr>
  </w:style>
  <w:style w:type="character" w:styleId="57">
    <w:name w:val="page number"/>
    <w:basedOn w:val="55"/>
    <w:qFormat/>
    <w:uiPriority w:val="0"/>
  </w:style>
  <w:style w:type="character" w:styleId="58">
    <w:name w:val="FollowedHyperlink"/>
    <w:basedOn w:val="55"/>
    <w:qFormat/>
    <w:uiPriority w:val="0"/>
    <w:rPr>
      <w:color w:val="000000"/>
      <w:w w:val="100"/>
      <w:sz w:val="20"/>
      <w:szCs w:val="20"/>
      <w:u w:val="none"/>
      <w:shd w:val="clear" w:color="auto" w:fill="auto"/>
    </w:rPr>
  </w:style>
  <w:style w:type="character" w:styleId="59">
    <w:name w:val="Emphasis"/>
    <w:basedOn w:val="55"/>
    <w:qFormat/>
    <w:uiPriority w:val="18"/>
  </w:style>
  <w:style w:type="character" w:styleId="60">
    <w:name w:val="Hyperlink"/>
    <w:basedOn w:val="55"/>
    <w:qFormat/>
    <w:uiPriority w:val="0"/>
    <w:rPr>
      <w:color w:val="000000"/>
      <w:w w:val="100"/>
      <w:sz w:val="20"/>
      <w:szCs w:val="20"/>
      <w:u w:val="none"/>
      <w:shd w:val="clear" w:color="auto" w:fill="auto"/>
    </w:rPr>
  </w:style>
  <w:style w:type="character" w:styleId="61">
    <w:name w:val="annotation reference"/>
    <w:basedOn w:val="55"/>
    <w:qFormat/>
    <w:uiPriority w:val="0"/>
    <w:rPr>
      <w:w w:val="100"/>
      <w:sz w:val="21"/>
      <w:szCs w:val="21"/>
      <w:shd w:val="clear" w:color="auto" w:fill="auto"/>
    </w:rPr>
  </w:style>
  <w:style w:type="paragraph" w:customStyle="1" w:styleId="62">
    <w:name w:val="样式 正文文本缩进 + 行距: 1.5 倍行距"/>
    <w:basedOn w:val="1"/>
    <w:qFormat/>
    <w:uiPriority w:val="0"/>
    <w:pPr>
      <w:spacing w:after="120" w:line="360" w:lineRule="auto"/>
      <w:ind w:left="90" w:leftChars="32" w:firstLine="560" w:firstLineChars="200"/>
    </w:pPr>
    <w:rPr>
      <w:rFonts w:cs="宋体"/>
    </w:rPr>
  </w:style>
  <w:style w:type="paragraph" w:customStyle="1" w:styleId="63">
    <w:name w:val="11111"/>
    <w:basedOn w:val="1"/>
    <w:next w:val="1"/>
    <w:qFormat/>
    <w:uiPriority w:val="0"/>
    <w:pPr>
      <w:spacing w:line="360" w:lineRule="auto"/>
      <w:ind w:firstLine="200" w:firstLineChars="200"/>
    </w:pPr>
    <w:rPr>
      <w:rFonts w:hAnsi="宋体" w:cs="宋体"/>
      <w:kern w:val="2"/>
    </w:rPr>
  </w:style>
  <w:style w:type="paragraph" w:customStyle="1" w:styleId="64">
    <w:name w:val="正文 + 首行缩进:  2 字符"/>
    <w:basedOn w:val="1"/>
    <w:qFormat/>
    <w:uiPriority w:val="0"/>
    <w:pPr>
      <w:spacing w:line="480" w:lineRule="exact"/>
      <w:ind w:firstLine="200" w:firstLineChars="200"/>
      <w:jc w:val="left"/>
    </w:pPr>
    <w:rPr>
      <w:snapToGrid w:val="0"/>
    </w:rPr>
  </w:style>
  <w:style w:type="paragraph" w:customStyle="1" w:styleId="65">
    <w:name w:val="Default"/>
    <w:basedOn w:val="66"/>
    <w:next w:val="1"/>
    <w:qFormat/>
    <w:uiPriority w:val="0"/>
    <w:pPr>
      <w:autoSpaceDE w:val="0"/>
      <w:autoSpaceDN w:val="0"/>
    </w:pPr>
    <w:rPr>
      <w:rFonts w:ascii="黑体" w:hAnsi="黑体" w:eastAsia="黑体" w:cs="Times New Roman"/>
      <w:color w:val="000000"/>
      <w:sz w:val="24"/>
      <w:szCs w:val="24"/>
      <w:lang w:val="en-US" w:eastAsia="zh-CN" w:bidi="ar-SA"/>
    </w:rPr>
  </w:style>
  <w:style w:type="paragraph" w:customStyle="1" w:styleId="66">
    <w:name w:val="纯文本1"/>
    <w:basedOn w:val="1"/>
    <w:qFormat/>
    <w:uiPriority w:val="0"/>
    <w:rPr>
      <w:rFonts w:ascii="宋体" w:hAnsi="Courier New"/>
    </w:rPr>
  </w:style>
  <w:style w:type="paragraph" w:styleId="67">
    <w:name w:val="No Spacing"/>
    <w:basedOn w:val="1"/>
    <w:link w:val="199"/>
    <w:qFormat/>
    <w:uiPriority w:val="5"/>
    <w:pPr>
      <w:jc w:val="center"/>
    </w:pPr>
    <w:rPr>
      <w:rFonts w:ascii="Calibri" w:hAnsi="Calibri" w:eastAsia="Calibri"/>
      <w:sz w:val="22"/>
      <w:szCs w:val="22"/>
    </w:rPr>
  </w:style>
  <w:style w:type="character" w:customStyle="1" w:styleId="68">
    <w:name w:val="不明显强调1"/>
    <w:qFormat/>
    <w:uiPriority w:val="17"/>
    <w:rPr>
      <w:i/>
      <w:color w:val="404040"/>
      <w:w w:val="100"/>
      <w:sz w:val="21"/>
      <w:szCs w:val="21"/>
      <w:shd w:val="clear" w:color="auto" w:fill="auto"/>
    </w:rPr>
  </w:style>
  <w:style w:type="character" w:customStyle="1" w:styleId="69">
    <w:name w:val="明显强调1"/>
    <w:qFormat/>
    <w:uiPriority w:val="19"/>
    <w:rPr>
      <w:i/>
      <w:color w:val="5B9BD5"/>
      <w:w w:val="100"/>
      <w:sz w:val="21"/>
      <w:szCs w:val="21"/>
      <w:shd w:val="clear" w:color="auto" w:fill="auto"/>
    </w:rPr>
  </w:style>
  <w:style w:type="paragraph" w:styleId="70">
    <w:name w:val="Quote"/>
    <w:qFormat/>
    <w:uiPriority w:val="21"/>
    <w:pPr>
      <w:ind w:left="864" w:right="864"/>
      <w:jc w:val="center"/>
    </w:pPr>
    <w:rPr>
      <w:rFonts w:ascii="Times New Roman" w:hAnsi="Times New Roman" w:eastAsia="宋体" w:cs="Times New Roman"/>
      <w:i/>
      <w:color w:val="404040"/>
      <w:sz w:val="21"/>
      <w:szCs w:val="21"/>
      <w:lang w:val="en-US" w:eastAsia="zh-CN" w:bidi="ar-SA"/>
    </w:rPr>
  </w:style>
  <w:style w:type="paragraph" w:styleId="71">
    <w:name w:val="Intense Quote"/>
    <w:qFormat/>
    <w:uiPriority w:val="22"/>
    <w:pPr>
      <w:ind w:left="950" w:right="950"/>
      <w:jc w:val="center"/>
    </w:pPr>
    <w:rPr>
      <w:rFonts w:ascii="Times New Roman" w:hAnsi="Times New Roman" w:eastAsia="宋体" w:cs="Times New Roman"/>
      <w:i/>
      <w:color w:val="5B9BD5"/>
      <w:sz w:val="21"/>
      <w:szCs w:val="21"/>
      <w:lang w:val="en-US" w:eastAsia="zh-CN" w:bidi="ar-SA"/>
    </w:rPr>
  </w:style>
  <w:style w:type="character" w:customStyle="1" w:styleId="72">
    <w:name w:val="不明显参考1"/>
    <w:qFormat/>
    <w:uiPriority w:val="23"/>
    <w:rPr>
      <w:smallCaps/>
      <w:color w:val="5A5A5A"/>
      <w:w w:val="100"/>
      <w:sz w:val="21"/>
      <w:szCs w:val="21"/>
      <w:shd w:val="clear" w:color="auto" w:fill="auto"/>
    </w:rPr>
  </w:style>
  <w:style w:type="character" w:customStyle="1" w:styleId="73">
    <w:name w:val="明显参考1"/>
    <w:qFormat/>
    <w:uiPriority w:val="24"/>
    <w:rPr>
      <w:b/>
      <w:smallCaps/>
      <w:color w:val="5B9BD5"/>
      <w:w w:val="100"/>
      <w:sz w:val="21"/>
      <w:szCs w:val="21"/>
      <w:shd w:val="clear" w:color="auto" w:fill="auto"/>
    </w:rPr>
  </w:style>
  <w:style w:type="character" w:customStyle="1" w:styleId="74">
    <w:name w:val="书籍标题1"/>
    <w:qFormat/>
    <w:uiPriority w:val="25"/>
    <w:rPr>
      <w:b/>
      <w:i/>
      <w:w w:val="100"/>
      <w:sz w:val="21"/>
      <w:szCs w:val="21"/>
      <w:shd w:val="clear" w:color="auto" w:fill="auto"/>
    </w:rPr>
  </w:style>
  <w:style w:type="paragraph" w:styleId="75">
    <w:name w:val="List Paragraph"/>
    <w:basedOn w:val="1"/>
    <w:qFormat/>
    <w:uiPriority w:val="26"/>
    <w:pPr>
      <w:ind w:firstLine="420"/>
    </w:pPr>
  </w:style>
  <w:style w:type="paragraph" w:customStyle="1" w:styleId="76">
    <w:name w:val="TOC 标题1"/>
    <w:unhideWhenUsed/>
    <w:qFormat/>
    <w:uiPriority w:val="27"/>
    <w:rPr>
      <w:rFonts w:ascii="Times New Roman" w:hAnsi="Times New Roman" w:eastAsia="宋体" w:cs="Times New Roman"/>
      <w:color w:val="2E74B5"/>
      <w:sz w:val="32"/>
      <w:szCs w:val="32"/>
      <w:lang w:val="en-US" w:eastAsia="zh-CN" w:bidi="ar-SA"/>
    </w:rPr>
  </w:style>
  <w:style w:type="paragraph" w:customStyle="1" w:styleId="77">
    <w:name w:val="【正文】"/>
    <w:basedOn w:val="1"/>
    <w:next w:val="46"/>
    <w:link w:val="424"/>
    <w:qFormat/>
    <w:uiPriority w:val="0"/>
    <w:pPr>
      <w:ind w:firstLine="200"/>
    </w:pPr>
    <w:rPr>
      <w:sz w:val="20"/>
      <w:szCs w:val="20"/>
    </w:rPr>
  </w:style>
  <w:style w:type="paragraph" w:customStyle="1" w:styleId="78">
    <w:name w:val="Char Char Char Char"/>
    <w:basedOn w:val="1"/>
    <w:link w:val="400"/>
    <w:qFormat/>
    <w:uiPriority w:val="0"/>
    <w:pPr>
      <w:ind w:firstLine="200"/>
    </w:pPr>
    <w:rPr>
      <w:rFonts w:ascii="宋体" w:hAnsi="宋体"/>
      <w:sz w:val="20"/>
      <w:szCs w:val="20"/>
    </w:rPr>
  </w:style>
  <w:style w:type="character" w:customStyle="1" w:styleId="79">
    <w:name w:val="标题 3 Char"/>
    <w:link w:val="4"/>
    <w:qFormat/>
    <w:uiPriority w:val="0"/>
    <w:rPr>
      <w:rFonts w:ascii="Times New Roman" w:hAnsi="Times New Roman" w:eastAsia="宋体"/>
      <w:b/>
      <w:w w:val="100"/>
      <w:sz w:val="28"/>
      <w:szCs w:val="20"/>
      <w:shd w:val="clear" w:color="auto" w:fill="auto"/>
    </w:rPr>
  </w:style>
  <w:style w:type="paragraph" w:customStyle="1" w:styleId="80">
    <w:name w:val="报告书正文"/>
    <w:basedOn w:val="28"/>
    <w:qFormat/>
    <w:uiPriority w:val="0"/>
    <w:pPr>
      <w:tabs>
        <w:tab w:val="left" w:pos="6300"/>
      </w:tabs>
    </w:pPr>
    <w:rPr>
      <w:rFonts w:ascii="宋体" w:hAnsi="宋体" w:eastAsia="宋体"/>
    </w:rPr>
  </w:style>
  <w:style w:type="paragraph" w:customStyle="1" w:styleId="81">
    <w:name w:val="样式 首行缩进:  2 字符1"/>
    <w:basedOn w:val="1"/>
    <w:qFormat/>
    <w:uiPriority w:val="0"/>
    <w:pPr>
      <w:ind w:firstLine="480"/>
    </w:pPr>
    <w:rPr>
      <w:sz w:val="20"/>
      <w:szCs w:val="20"/>
    </w:rPr>
  </w:style>
  <w:style w:type="paragraph" w:customStyle="1" w:styleId="82">
    <w:name w:val="表头-"/>
    <w:basedOn w:val="1"/>
    <w:qFormat/>
    <w:uiPriority w:val="0"/>
    <w:pPr>
      <w:jc w:val="center"/>
    </w:pPr>
    <w:rPr>
      <w:rFonts w:ascii="宋体" w:hAnsi="宋体" w:eastAsia="黑体"/>
      <w:b/>
      <w:sz w:val="20"/>
      <w:szCs w:val="20"/>
    </w:rPr>
  </w:style>
  <w:style w:type="paragraph" w:customStyle="1" w:styleId="83">
    <w:name w:val="样式 四号 行距: 1.5 倍行距"/>
    <w:basedOn w:val="1"/>
    <w:qFormat/>
    <w:uiPriority w:val="0"/>
    <w:pPr>
      <w:ind w:firstLine="560"/>
    </w:pPr>
    <w:rPr>
      <w:rFonts w:ascii="宋体" w:hAnsi="宋体"/>
      <w:sz w:val="20"/>
      <w:szCs w:val="20"/>
    </w:rPr>
  </w:style>
  <w:style w:type="paragraph" w:customStyle="1" w:styleId="84">
    <w:name w:val="表格文字"/>
    <w:basedOn w:val="1"/>
    <w:qFormat/>
    <w:uiPriority w:val="0"/>
    <w:pPr>
      <w:jc w:val="center"/>
    </w:pPr>
    <w:rPr>
      <w:rFonts w:ascii="宋体" w:hAnsi="宋体" w:eastAsia="仿宋_GB2312"/>
      <w:sz w:val="20"/>
      <w:szCs w:val="20"/>
    </w:rPr>
  </w:style>
  <w:style w:type="paragraph" w:customStyle="1" w:styleId="85">
    <w:name w:val="样式 四号 行距: 1.5 倍行距3"/>
    <w:basedOn w:val="1"/>
    <w:qFormat/>
    <w:uiPriority w:val="0"/>
    <w:pPr>
      <w:ind w:firstLine="1260"/>
    </w:pPr>
    <w:rPr>
      <w:rFonts w:ascii="宋体" w:hAnsi="宋体"/>
      <w:sz w:val="20"/>
      <w:szCs w:val="20"/>
    </w:rPr>
  </w:style>
  <w:style w:type="paragraph" w:customStyle="1" w:styleId="86">
    <w:name w:val="Char Char Char Char Char Char Char"/>
    <w:basedOn w:val="1"/>
    <w:qFormat/>
    <w:uiPriority w:val="0"/>
    <w:pPr>
      <w:ind w:firstLine="200"/>
    </w:pPr>
    <w:rPr>
      <w:rFonts w:ascii="宋体" w:hAnsi="宋体"/>
      <w:sz w:val="20"/>
      <w:szCs w:val="20"/>
    </w:rPr>
  </w:style>
  <w:style w:type="paragraph" w:customStyle="1" w:styleId="87">
    <w:name w:val="报告书"/>
    <w:basedOn w:val="1"/>
    <w:qFormat/>
    <w:uiPriority w:val="0"/>
    <w:pPr>
      <w:autoSpaceDE w:val="0"/>
      <w:autoSpaceDN w:val="0"/>
      <w:ind w:firstLine="480"/>
      <w:textAlignment w:val="bottom"/>
    </w:pPr>
    <w:rPr>
      <w:rFonts w:ascii="宋体" w:hAnsi="宋体"/>
      <w:sz w:val="20"/>
      <w:szCs w:val="20"/>
    </w:rPr>
  </w:style>
  <w:style w:type="paragraph" w:customStyle="1" w:styleId="88">
    <w:name w:val="【表中文字】"/>
    <w:basedOn w:val="1"/>
    <w:link w:val="425"/>
    <w:qFormat/>
    <w:uiPriority w:val="0"/>
    <w:pPr>
      <w:jc w:val="center"/>
    </w:pPr>
    <w:rPr>
      <w:sz w:val="20"/>
      <w:szCs w:val="20"/>
    </w:rPr>
  </w:style>
  <w:style w:type="paragraph" w:customStyle="1" w:styleId="89">
    <w:name w:val="正文(首行缩进)"/>
    <w:basedOn w:val="1"/>
    <w:link w:val="181"/>
    <w:qFormat/>
    <w:uiPriority w:val="0"/>
    <w:pPr>
      <w:ind w:firstLine="200"/>
    </w:pPr>
    <w:rPr>
      <w:sz w:val="20"/>
      <w:szCs w:val="20"/>
    </w:rPr>
  </w:style>
  <w:style w:type="paragraph" w:customStyle="1" w:styleId="90">
    <w:name w:val="环科院正文"/>
    <w:basedOn w:val="1"/>
    <w:semiHidden/>
    <w:qFormat/>
    <w:uiPriority w:val="0"/>
    <w:pPr>
      <w:tabs>
        <w:tab w:val="left" w:pos="5760"/>
      </w:tabs>
      <w:ind w:firstLine="560"/>
    </w:pPr>
    <w:rPr>
      <w:color w:val="0000FF"/>
      <w:sz w:val="28"/>
      <w:szCs w:val="28"/>
    </w:rPr>
  </w:style>
  <w:style w:type="paragraph" w:customStyle="1" w:styleId="91">
    <w:name w:val="表格内正文"/>
    <w:basedOn w:val="1"/>
    <w:qFormat/>
    <w:uiPriority w:val="0"/>
    <w:pPr>
      <w:ind w:firstLine="493"/>
    </w:pPr>
    <w:rPr>
      <w:rFonts w:ascii="宋体" w:hAnsi="宋体"/>
      <w:spacing w:val="4"/>
      <w:sz w:val="20"/>
      <w:szCs w:val="20"/>
    </w:rPr>
  </w:style>
  <w:style w:type="paragraph" w:customStyle="1" w:styleId="92">
    <w:name w:val="表格表头"/>
    <w:basedOn w:val="1"/>
    <w:qFormat/>
    <w:uiPriority w:val="0"/>
    <w:pPr>
      <w:jc w:val="center"/>
    </w:pPr>
    <w:rPr>
      <w:b/>
      <w:sz w:val="20"/>
      <w:szCs w:val="20"/>
    </w:rPr>
  </w:style>
  <w:style w:type="paragraph" w:customStyle="1" w:styleId="93">
    <w:name w:val="图"/>
    <w:basedOn w:val="1"/>
    <w:qFormat/>
    <w:uiPriority w:val="0"/>
    <w:pPr>
      <w:jc w:val="center"/>
    </w:pPr>
    <w:rPr>
      <w:rFonts w:ascii="宋体" w:hAnsi="宋体"/>
      <w:sz w:val="20"/>
      <w:szCs w:val="20"/>
    </w:rPr>
  </w:style>
  <w:style w:type="paragraph" w:customStyle="1" w:styleId="94">
    <w:name w:val="环保表头"/>
    <w:qFormat/>
    <w:uiPriority w:val="0"/>
    <w:pPr>
      <w:ind w:firstLine="480"/>
      <w:jc w:val="center"/>
    </w:pPr>
    <w:rPr>
      <w:rFonts w:ascii="宋体" w:hAnsi="宋体" w:eastAsia="黑体" w:cs="Times New Roman"/>
      <w:sz w:val="24"/>
      <w:szCs w:val="24"/>
      <w:lang w:val="en-US" w:eastAsia="zh-CN" w:bidi="ar-SA"/>
    </w:rPr>
  </w:style>
  <w:style w:type="paragraph" w:customStyle="1" w:styleId="95">
    <w:name w:val="正文3"/>
    <w:qFormat/>
    <w:uiPriority w:val="0"/>
    <w:pPr>
      <w:textAlignment w:val="baseline"/>
    </w:pPr>
    <w:rPr>
      <w:rFonts w:ascii="宋体" w:hAnsi="宋体" w:eastAsia="宋体" w:cs="Times New Roman"/>
      <w:sz w:val="24"/>
      <w:szCs w:val="24"/>
      <w:lang w:val="en-US" w:eastAsia="zh-CN" w:bidi="ar-SA"/>
    </w:rPr>
  </w:style>
  <w:style w:type="character" w:customStyle="1" w:styleId="96">
    <w:name w:val="标题 4 Char"/>
    <w:qFormat/>
    <w:uiPriority w:val="0"/>
    <w:rPr>
      <w:rFonts w:ascii="Times New Roman" w:hAnsi="Times New Roman" w:eastAsia="Times New Roman"/>
      <w:b/>
      <w:w w:val="100"/>
      <w:sz w:val="24"/>
      <w:szCs w:val="24"/>
      <w:shd w:val="clear" w:color="auto" w:fill="auto"/>
    </w:rPr>
  </w:style>
  <w:style w:type="paragraph" w:customStyle="1" w:styleId="97">
    <w:name w:val="付正文"/>
    <w:basedOn w:val="1"/>
    <w:semiHidden/>
    <w:qFormat/>
    <w:uiPriority w:val="0"/>
    <w:pPr>
      <w:ind w:firstLine="200"/>
    </w:pPr>
    <w:rPr>
      <w:rFonts w:ascii="宋体" w:hAnsi="宋体"/>
      <w:color w:val="000000"/>
      <w:sz w:val="20"/>
      <w:szCs w:val="20"/>
    </w:rPr>
  </w:style>
  <w:style w:type="paragraph" w:customStyle="1" w:styleId="98">
    <w:name w:val="表格15"/>
    <w:basedOn w:val="1"/>
    <w:semiHidden/>
    <w:qFormat/>
    <w:uiPriority w:val="0"/>
    <w:pPr>
      <w:jc w:val="center"/>
    </w:pPr>
    <w:rPr>
      <w:rFonts w:ascii="宋体" w:hAnsi="宋体"/>
      <w:color w:val="000000"/>
      <w:sz w:val="20"/>
      <w:szCs w:val="20"/>
    </w:rPr>
  </w:style>
  <w:style w:type="paragraph" w:customStyle="1" w:styleId="99">
    <w:name w:val="12Z1H08KX"/>
    <w:basedOn w:val="1"/>
    <w:qFormat/>
    <w:uiPriority w:val="0"/>
    <w:pPr>
      <w:textAlignment w:val="baseline"/>
    </w:pPr>
    <w:rPr>
      <w:rFonts w:ascii="昆仑细圆" w:hAnsi="昆仑细圆" w:eastAsia="昆仑细圆"/>
      <w:spacing w:val="20"/>
      <w:sz w:val="20"/>
      <w:szCs w:val="20"/>
    </w:rPr>
  </w:style>
  <w:style w:type="paragraph" w:customStyle="1" w:styleId="100">
    <w:name w:val="a-文本缩2"/>
    <w:qFormat/>
    <w:uiPriority w:val="0"/>
    <w:pPr>
      <w:ind w:firstLine="480"/>
      <w:jc w:val="both"/>
    </w:pPr>
    <w:rPr>
      <w:rFonts w:ascii="Times New Roman" w:hAnsi="Times New Roman" w:eastAsia="宋体" w:cs="Times New Roman"/>
      <w:sz w:val="24"/>
      <w:szCs w:val="24"/>
      <w:lang w:val="en-US" w:eastAsia="zh-CN" w:bidi="ar-SA"/>
    </w:rPr>
  </w:style>
  <w:style w:type="character" w:customStyle="1" w:styleId="101">
    <w:name w:val="on2"/>
    <w:basedOn w:val="55"/>
    <w:qFormat/>
    <w:uiPriority w:val="0"/>
  </w:style>
  <w:style w:type="character" w:customStyle="1" w:styleId="102">
    <w:name w:val="current"/>
    <w:basedOn w:val="55"/>
    <w:qFormat/>
    <w:uiPriority w:val="0"/>
    <w:rPr>
      <w:w w:val="100"/>
      <w:sz w:val="20"/>
      <w:szCs w:val="20"/>
      <w:shd w:val="clear" w:color="000000" w:fill="D43334"/>
    </w:rPr>
  </w:style>
  <w:style w:type="table" w:customStyle="1" w:styleId="103">
    <w:name w:val="[表格样式]"/>
    <w:basedOn w:val="53"/>
    <w:qFormat/>
    <w:uiPriority w:val="0"/>
    <w:pPr>
      <w:jc w:val="center"/>
    </w:pPr>
    <w:tblPr>
      <w:tblBorders>
        <w:top w:val="single" w:color="auto" w:sz="12" w:space="0"/>
        <w:bottom w:val="single" w:color="auto" w:sz="12" w:space="0"/>
        <w:insideH w:val="single" w:color="auto" w:sz="4" w:space="0"/>
        <w:insideV w:val="single" w:color="auto" w:sz="4" w:space="0"/>
      </w:tblBorders>
    </w:tblPr>
  </w:style>
  <w:style w:type="paragraph" w:customStyle="1" w:styleId="104">
    <w:name w:val="【表头】"/>
    <w:basedOn w:val="1"/>
    <w:link w:val="157"/>
    <w:qFormat/>
    <w:uiPriority w:val="0"/>
    <w:pPr>
      <w:jc w:val="center"/>
    </w:pPr>
    <w:rPr>
      <w:rFonts w:ascii="宋体" w:hAnsi="宋体" w:eastAsia="黑体"/>
      <w:sz w:val="20"/>
      <w:szCs w:val="20"/>
    </w:rPr>
  </w:style>
  <w:style w:type="paragraph" w:customStyle="1" w:styleId="105">
    <w:name w:val="正文4"/>
    <w:qFormat/>
    <w:uiPriority w:val="0"/>
    <w:pPr>
      <w:textAlignment w:val="baseline"/>
    </w:pPr>
    <w:rPr>
      <w:rFonts w:ascii="宋体" w:hAnsi="宋体" w:eastAsia="宋体" w:cs="Times New Roman"/>
      <w:sz w:val="24"/>
      <w:szCs w:val="24"/>
      <w:lang w:val="en-US" w:eastAsia="zh-CN" w:bidi="ar-SA"/>
    </w:rPr>
  </w:style>
  <w:style w:type="paragraph" w:customStyle="1" w:styleId="106">
    <w:name w:val="Normal1"/>
    <w:qFormat/>
    <w:uiPriority w:val="0"/>
    <w:rPr>
      <w:rFonts w:ascii="宋体" w:hAnsi="宋体" w:eastAsia="Calibri" w:cs="Times New Roman"/>
      <w:sz w:val="24"/>
      <w:szCs w:val="24"/>
      <w:lang w:val="en-US" w:eastAsia="zh-CN" w:bidi="ar-SA"/>
    </w:rPr>
  </w:style>
  <w:style w:type="character" w:customStyle="1" w:styleId="107">
    <w:name w:val="font241"/>
    <w:basedOn w:val="55"/>
    <w:qFormat/>
    <w:uiPriority w:val="0"/>
    <w:rPr>
      <w:rFonts w:ascii="Times New Roman" w:hAnsi="Times New Roman" w:eastAsia="Times New Roman"/>
      <w:b/>
      <w:color w:val="000000"/>
      <w:w w:val="100"/>
      <w:sz w:val="22"/>
      <w:szCs w:val="22"/>
      <w:u w:val="none"/>
      <w:shd w:val="clear" w:color="auto" w:fill="auto"/>
    </w:rPr>
  </w:style>
  <w:style w:type="character" w:customStyle="1" w:styleId="108">
    <w:name w:val="font101"/>
    <w:basedOn w:val="55"/>
    <w:qFormat/>
    <w:uiPriority w:val="0"/>
    <w:rPr>
      <w:rFonts w:ascii="宋体" w:hAnsi="宋体" w:eastAsia="宋体"/>
      <w:b/>
      <w:color w:val="000000"/>
      <w:w w:val="100"/>
      <w:sz w:val="22"/>
      <w:szCs w:val="22"/>
      <w:u w:val="none"/>
      <w:shd w:val="clear" w:color="auto" w:fill="auto"/>
    </w:rPr>
  </w:style>
  <w:style w:type="character" w:customStyle="1" w:styleId="109">
    <w:name w:val="font121"/>
    <w:basedOn w:val="55"/>
    <w:qFormat/>
    <w:uiPriority w:val="0"/>
    <w:rPr>
      <w:rFonts w:ascii="宋体" w:hAnsi="宋体" w:eastAsia="宋体"/>
      <w:b/>
      <w:color w:val="000000"/>
      <w:w w:val="100"/>
      <w:sz w:val="18"/>
      <w:szCs w:val="18"/>
      <w:u w:val="none"/>
      <w:shd w:val="clear" w:color="auto" w:fill="auto"/>
    </w:rPr>
  </w:style>
  <w:style w:type="character" w:customStyle="1" w:styleId="110">
    <w:name w:val="font51"/>
    <w:basedOn w:val="55"/>
    <w:qFormat/>
    <w:uiPriority w:val="0"/>
    <w:rPr>
      <w:rFonts w:ascii="Times New Roman" w:hAnsi="Times New Roman" w:eastAsia="Times New Roman"/>
      <w:color w:val="339966"/>
      <w:w w:val="100"/>
      <w:sz w:val="18"/>
      <w:szCs w:val="18"/>
      <w:u w:val="none"/>
      <w:shd w:val="clear" w:color="auto" w:fill="auto"/>
    </w:rPr>
  </w:style>
  <w:style w:type="character" w:customStyle="1" w:styleId="111">
    <w:name w:val="font41"/>
    <w:basedOn w:val="55"/>
    <w:qFormat/>
    <w:uiPriority w:val="0"/>
    <w:rPr>
      <w:rFonts w:ascii="宋体" w:hAnsi="宋体" w:eastAsia="宋体"/>
      <w:color w:val="339966"/>
      <w:w w:val="100"/>
      <w:sz w:val="18"/>
      <w:szCs w:val="18"/>
      <w:u w:val="none"/>
      <w:shd w:val="clear" w:color="auto" w:fill="auto"/>
    </w:rPr>
  </w:style>
  <w:style w:type="character" w:customStyle="1" w:styleId="112">
    <w:name w:val="font171"/>
    <w:basedOn w:val="55"/>
    <w:qFormat/>
    <w:uiPriority w:val="0"/>
    <w:rPr>
      <w:rFonts w:ascii="宋体" w:hAnsi="宋体" w:eastAsia="宋体"/>
      <w:color w:val="339966"/>
      <w:w w:val="100"/>
      <w:sz w:val="18"/>
      <w:szCs w:val="18"/>
      <w:u w:val="single"/>
      <w:shd w:val="clear" w:color="auto" w:fill="auto"/>
    </w:rPr>
  </w:style>
  <w:style w:type="character" w:customStyle="1" w:styleId="113">
    <w:name w:val="font31"/>
    <w:basedOn w:val="55"/>
    <w:qFormat/>
    <w:uiPriority w:val="0"/>
    <w:rPr>
      <w:rFonts w:ascii="宋体" w:hAnsi="宋体" w:eastAsia="宋体"/>
      <w:color w:val="35A443"/>
      <w:w w:val="100"/>
      <w:sz w:val="18"/>
      <w:szCs w:val="18"/>
      <w:u w:val="single"/>
      <w:shd w:val="clear" w:color="auto" w:fill="auto"/>
    </w:rPr>
  </w:style>
  <w:style w:type="character" w:customStyle="1" w:styleId="114">
    <w:name w:val="font161"/>
    <w:basedOn w:val="55"/>
    <w:qFormat/>
    <w:uiPriority w:val="0"/>
    <w:rPr>
      <w:rFonts w:ascii="Times New Roman" w:hAnsi="Times New Roman" w:eastAsia="Times New Roman"/>
      <w:color w:val="35A443"/>
      <w:w w:val="100"/>
      <w:sz w:val="18"/>
      <w:szCs w:val="18"/>
      <w:u w:val="single"/>
      <w:shd w:val="clear" w:color="auto" w:fill="auto"/>
    </w:rPr>
  </w:style>
  <w:style w:type="character" w:customStyle="1" w:styleId="115">
    <w:name w:val="font21"/>
    <w:basedOn w:val="55"/>
    <w:qFormat/>
    <w:uiPriority w:val="0"/>
    <w:rPr>
      <w:rFonts w:ascii="宋体" w:hAnsi="宋体" w:eastAsia="宋体"/>
      <w:color w:val="73D27E"/>
      <w:w w:val="100"/>
      <w:sz w:val="18"/>
      <w:szCs w:val="18"/>
      <w:u w:val="single"/>
      <w:shd w:val="clear" w:color="auto" w:fill="auto"/>
    </w:rPr>
  </w:style>
  <w:style w:type="character" w:customStyle="1" w:styleId="116">
    <w:name w:val="font151"/>
    <w:basedOn w:val="55"/>
    <w:qFormat/>
    <w:uiPriority w:val="0"/>
    <w:rPr>
      <w:rFonts w:ascii="Times New Roman" w:hAnsi="Times New Roman" w:eastAsia="Times New Roman"/>
      <w:color w:val="339966"/>
      <w:w w:val="100"/>
      <w:sz w:val="18"/>
      <w:szCs w:val="18"/>
      <w:u w:val="single"/>
      <w:shd w:val="clear" w:color="auto" w:fill="auto"/>
    </w:rPr>
  </w:style>
  <w:style w:type="character" w:customStyle="1" w:styleId="117">
    <w:name w:val="font11"/>
    <w:basedOn w:val="55"/>
    <w:qFormat/>
    <w:uiPriority w:val="0"/>
    <w:rPr>
      <w:rFonts w:ascii="Times New Roman" w:hAnsi="Times New Roman" w:eastAsia="Times New Roman"/>
      <w:b/>
      <w:color w:val="000000"/>
      <w:w w:val="100"/>
      <w:sz w:val="18"/>
      <w:szCs w:val="18"/>
      <w:u w:val="none"/>
      <w:shd w:val="clear" w:color="auto" w:fill="auto"/>
      <w:vertAlign w:val="superscript"/>
    </w:rPr>
  </w:style>
  <w:style w:type="character" w:customStyle="1" w:styleId="118">
    <w:name w:val="font221"/>
    <w:basedOn w:val="55"/>
    <w:qFormat/>
    <w:uiPriority w:val="0"/>
    <w:rPr>
      <w:rFonts w:ascii="宋体" w:hAnsi="宋体" w:eastAsia="宋体"/>
      <w:color w:val="000000"/>
      <w:w w:val="100"/>
      <w:sz w:val="18"/>
      <w:szCs w:val="18"/>
      <w:u w:val="none"/>
      <w:shd w:val="clear" w:color="auto" w:fill="auto"/>
    </w:rPr>
  </w:style>
  <w:style w:type="character" w:customStyle="1" w:styleId="119">
    <w:name w:val="font251"/>
    <w:basedOn w:val="55"/>
    <w:qFormat/>
    <w:uiPriority w:val="0"/>
    <w:rPr>
      <w:rFonts w:ascii="Times New Roman" w:hAnsi="Times New Roman" w:eastAsia="Times New Roman"/>
      <w:color w:val="000000"/>
      <w:w w:val="100"/>
      <w:sz w:val="18"/>
      <w:szCs w:val="18"/>
      <w:u w:val="none"/>
      <w:shd w:val="clear" w:color="auto" w:fill="auto"/>
    </w:rPr>
  </w:style>
  <w:style w:type="character" w:customStyle="1" w:styleId="120">
    <w:name w:val="font112"/>
    <w:basedOn w:val="55"/>
    <w:qFormat/>
    <w:uiPriority w:val="0"/>
    <w:rPr>
      <w:rFonts w:ascii="Times New Roman" w:hAnsi="Times New Roman" w:eastAsia="Times New Roman"/>
      <w:b/>
      <w:color w:val="000000"/>
      <w:w w:val="100"/>
      <w:sz w:val="18"/>
      <w:szCs w:val="18"/>
      <w:u w:val="none"/>
      <w:shd w:val="clear" w:color="auto" w:fill="auto"/>
    </w:rPr>
  </w:style>
  <w:style w:type="character" w:customStyle="1" w:styleId="121">
    <w:name w:val="font141"/>
    <w:basedOn w:val="55"/>
    <w:qFormat/>
    <w:uiPriority w:val="0"/>
    <w:rPr>
      <w:rFonts w:ascii="宋体" w:hAnsi="宋体" w:eastAsia="宋体"/>
      <w:b/>
      <w:color w:val="000000"/>
      <w:w w:val="100"/>
      <w:sz w:val="18"/>
      <w:szCs w:val="18"/>
      <w:u w:val="none"/>
      <w:shd w:val="clear" w:color="auto" w:fill="auto"/>
    </w:rPr>
  </w:style>
  <w:style w:type="character" w:customStyle="1" w:styleId="122">
    <w:name w:val="font212"/>
    <w:basedOn w:val="55"/>
    <w:qFormat/>
    <w:uiPriority w:val="0"/>
    <w:rPr>
      <w:rFonts w:ascii="Times New Roman" w:hAnsi="Times New Roman" w:eastAsia="Times New Roman"/>
      <w:b/>
      <w:color w:val="000000"/>
      <w:w w:val="100"/>
      <w:sz w:val="18"/>
      <w:szCs w:val="18"/>
      <w:u w:val="none"/>
      <w:shd w:val="clear" w:color="auto" w:fill="auto"/>
    </w:rPr>
  </w:style>
  <w:style w:type="character" w:customStyle="1" w:styleId="123">
    <w:name w:val="font01"/>
    <w:basedOn w:val="55"/>
    <w:qFormat/>
    <w:uiPriority w:val="0"/>
    <w:rPr>
      <w:rFonts w:ascii="宋体" w:hAnsi="宋体" w:eastAsia="宋体"/>
      <w:color w:val="000000"/>
      <w:w w:val="100"/>
      <w:sz w:val="16"/>
      <w:szCs w:val="16"/>
      <w:u w:val="none"/>
      <w:shd w:val="clear" w:color="auto" w:fill="auto"/>
    </w:rPr>
  </w:style>
  <w:style w:type="character" w:customStyle="1" w:styleId="124">
    <w:name w:val="font61"/>
    <w:basedOn w:val="55"/>
    <w:qFormat/>
    <w:uiPriority w:val="0"/>
    <w:rPr>
      <w:rFonts w:ascii="Times New Roman" w:hAnsi="Times New Roman" w:eastAsia="Times New Roman"/>
      <w:color w:val="000000"/>
      <w:w w:val="100"/>
      <w:sz w:val="16"/>
      <w:szCs w:val="16"/>
      <w:u w:val="none"/>
      <w:shd w:val="clear" w:color="auto" w:fill="auto"/>
    </w:rPr>
  </w:style>
  <w:style w:type="character" w:customStyle="1" w:styleId="125">
    <w:name w:val="font131"/>
    <w:basedOn w:val="55"/>
    <w:qFormat/>
    <w:uiPriority w:val="0"/>
    <w:rPr>
      <w:rFonts w:ascii="Times New Roman" w:hAnsi="Times New Roman" w:eastAsia="Times New Roman"/>
      <w:b/>
      <w:color w:val="000000"/>
      <w:w w:val="100"/>
      <w:sz w:val="16"/>
      <w:szCs w:val="16"/>
      <w:u w:val="none"/>
      <w:shd w:val="clear" w:color="auto" w:fill="auto"/>
    </w:rPr>
  </w:style>
  <w:style w:type="character" w:customStyle="1" w:styleId="126">
    <w:name w:val="font181"/>
    <w:basedOn w:val="55"/>
    <w:qFormat/>
    <w:uiPriority w:val="0"/>
    <w:rPr>
      <w:rFonts w:ascii="Times New Roman" w:hAnsi="Times New Roman" w:eastAsia="Times New Roman"/>
      <w:b/>
      <w:color w:val="000000"/>
      <w:w w:val="100"/>
      <w:sz w:val="22"/>
      <w:szCs w:val="22"/>
      <w:u w:val="none"/>
      <w:shd w:val="clear" w:color="auto" w:fill="auto"/>
    </w:rPr>
  </w:style>
  <w:style w:type="character" w:customStyle="1" w:styleId="127">
    <w:name w:val="font81"/>
    <w:basedOn w:val="55"/>
    <w:qFormat/>
    <w:uiPriority w:val="0"/>
    <w:rPr>
      <w:rFonts w:ascii="Times New Roman" w:hAnsi="Times New Roman" w:eastAsia="Times New Roman"/>
      <w:color w:val="000000"/>
      <w:w w:val="100"/>
      <w:sz w:val="18"/>
      <w:szCs w:val="18"/>
      <w:u w:val="none"/>
      <w:shd w:val="clear" w:color="auto" w:fill="auto"/>
    </w:rPr>
  </w:style>
  <w:style w:type="character" w:customStyle="1" w:styleId="128">
    <w:name w:val="font91"/>
    <w:basedOn w:val="55"/>
    <w:qFormat/>
    <w:uiPriority w:val="0"/>
    <w:rPr>
      <w:rFonts w:ascii="宋体" w:hAnsi="宋体" w:eastAsia="宋体"/>
      <w:b/>
      <w:color w:val="000000"/>
      <w:w w:val="100"/>
      <w:sz w:val="18"/>
      <w:szCs w:val="18"/>
      <w:u w:val="none"/>
      <w:shd w:val="clear" w:color="auto" w:fill="auto"/>
    </w:rPr>
  </w:style>
  <w:style w:type="character" w:customStyle="1" w:styleId="129">
    <w:name w:val="font191"/>
    <w:basedOn w:val="55"/>
    <w:qFormat/>
    <w:uiPriority w:val="0"/>
    <w:rPr>
      <w:rFonts w:ascii="Times New Roman" w:hAnsi="Times New Roman" w:eastAsia="Times New Roman"/>
      <w:color w:val="000000"/>
      <w:w w:val="100"/>
      <w:sz w:val="18"/>
      <w:szCs w:val="18"/>
      <w:u w:val="none"/>
      <w:shd w:val="clear" w:color="auto" w:fill="auto"/>
    </w:rPr>
  </w:style>
  <w:style w:type="character" w:customStyle="1" w:styleId="130">
    <w:name w:val="font111"/>
    <w:basedOn w:val="55"/>
    <w:qFormat/>
    <w:uiPriority w:val="0"/>
    <w:rPr>
      <w:rFonts w:ascii="Times New Roman" w:hAnsi="Times New Roman" w:eastAsia="Times New Roman"/>
      <w:b/>
      <w:color w:val="000000"/>
      <w:w w:val="100"/>
      <w:sz w:val="16"/>
      <w:szCs w:val="16"/>
      <w:u w:val="none"/>
      <w:shd w:val="clear" w:color="auto" w:fill="auto"/>
    </w:rPr>
  </w:style>
  <w:style w:type="paragraph" w:customStyle="1" w:styleId="131">
    <w:name w:val="contentarticle"/>
    <w:basedOn w:val="1"/>
    <w:qFormat/>
    <w:uiPriority w:val="0"/>
    <w:rPr>
      <w:rFonts w:ascii="Calibri" w:hAnsi="Calibri" w:eastAsia="Calibri"/>
      <w:sz w:val="21"/>
      <w:szCs w:val="21"/>
    </w:rPr>
  </w:style>
  <w:style w:type="paragraph" w:customStyle="1" w:styleId="132">
    <w:name w:val="正文1"/>
    <w:next w:val="1"/>
    <w:link w:val="156"/>
    <w:qFormat/>
    <w:uiPriority w:val="0"/>
    <w:rPr>
      <w:rFonts w:ascii="宋体" w:hAnsi="宋体" w:eastAsia="宋体" w:cs="Times New Roman"/>
      <w:sz w:val="24"/>
      <w:szCs w:val="24"/>
      <w:lang w:val="en-US" w:eastAsia="zh-CN" w:bidi="ar-SA"/>
    </w:rPr>
  </w:style>
  <w:style w:type="paragraph" w:customStyle="1" w:styleId="133">
    <w:name w:val="正文00"/>
    <w:basedOn w:val="1"/>
    <w:link w:val="389"/>
    <w:qFormat/>
    <w:uiPriority w:val="0"/>
    <w:pPr>
      <w:ind w:firstLine="480"/>
    </w:pPr>
    <w:rPr>
      <w:sz w:val="20"/>
      <w:szCs w:val="20"/>
    </w:rPr>
  </w:style>
  <w:style w:type="paragraph" w:customStyle="1" w:styleId="134">
    <w:name w:val="正文文本缩进 21"/>
    <w:basedOn w:val="1"/>
    <w:qFormat/>
    <w:uiPriority w:val="0"/>
    <w:pPr>
      <w:ind w:firstLine="480"/>
    </w:pPr>
    <w:rPr>
      <w:rFonts w:ascii="仿宋_GB2312" w:hAnsi="仿宋_GB2312" w:eastAsia="仿宋_GB2312"/>
      <w:sz w:val="20"/>
      <w:szCs w:val="20"/>
    </w:rPr>
  </w:style>
  <w:style w:type="character" w:customStyle="1" w:styleId="135">
    <w:name w:val="批注框文本 Char"/>
    <w:basedOn w:val="55"/>
    <w:link w:val="29"/>
    <w:qFormat/>
    <w:uiPriority w:val="0"/>
    <w:rPr>
      <w:w w:val="100"/>
      <w:sz w:val="18"/>
      <w:szCs w:val="18"/>
      <w:shd w:val="clear" w:color="auto" w:fill="auto"/>
    </w:rPr>
  </w:style>
  <w:style w:type="paragraph" w:customStyle="1" w:styleId="136">
    <w:name w:val="修订1"/>
    <w:qFormat/>
    <w:uiPriority w:val="0"/>
    <w:rPr>
      <w:rFonts w:ascii="Times New Roman" w:hAnsi="Times New Roman" w:eastAsia="宋体" w:cs="Times New Roman"/>
      <w:sz w:val="24"/>
      <w:szCs w:val="24"/>
      <w:lang w:val="en-US" w:eastAsia="zh-CN" w:bidi="ar-SA"/>
    </w:rPr>
  </w:style>
  <w:style w:type="paragraph" w:customStyle="1" w:styleId="137">
    <w:name w:val="表文"/>
    <w:basedOn w:val="1"/>
    <w:link w:val="138"/>
    <w:qFormat/>
    <w:uiPriority w:val="0"/>
    <w:pPr>
      <w:jc w:val="center"/>
    </w:pPr>
    <w:rPr>
      <w:sz w:val="21"/>
      <w:szCs w:val="21"/>
    </w:rPr>
  </w:style>
  <w:style w:type="character" w:customStyle="1" w:styleId="138">
    <w:name w:val="表文 Char"/>
    <w:link w:val="137"/>
    <w:qFormat/>
    <w:uiPriority w:val="0"/>
    <w:rPr>
      <w:w w:val="100"/>
      <w:sz w:val="21"/>
      <w:szCs w:val="21"/>
      <w:shd w:val="clear" w:color="auto" w:fill="auto"/>
    </w:rPr>
  </w:style>
  <w:style w:type="paragraph" w:customStyle="1" w:styleId="139">
    <w:name w:val="样式 正文文字-1 + 首行缩进:  2.1 字符1"/>
    <w:basedOn w:val="1"/>
    <w:qFormat/>
    <w:uiPriority w:val="0"/>
    <w:pPr>
      <w:ind w:firstLine="210"/>
    </w:pPr>
    <w:rPr>
      <w:rFonts w:ascii="宋体" w:hAnsi="宋体"/>
      <w:sz w:val="20"/>
      <w:szCs w:val="20"/>
    </w:rPr>
  </w:style>
  <w:style w:type="character" w:customStyle="1" w:styleId="140">
    <w:name w:val="批注文字 Char"/>
    <w:basedOn w:val="55"/>
    <w:link w:val="18"/>
    <w:qFormat/>
    <w:uiPriority w:val="0"/>
    <w:rPr>
      <w:w w:val="100"/>
      <w:sz w:val="21"/>
      <w:szCs w:val="21"/>
      <w:shd w:val="clear" w:color="auto" w:fill="auto"/>
    </w:rPr>
  </w:style>
  <w:style w:type="character" w:customStyle="1" w:styleId="141">
    <w:name w:val="正文文本 Char"/>
    <w:basedOn w:val="55"/>
    <w:link w:val="20"/>
    <w:qFormat/>
    <w:uiPriority w:val="0"/>
    <w:rPr>
      <w:w w:val="100"/>
      <w:sz w:val="21"/>
      <w:szCs w:val="21"/>
      <w:shd w:val="clear" w:color="auto" w:fill="auto"/>
    </w:rPr>
  </w:style>
  <w:style w:type="character" w:customStyle="1" w:styleId="142">
    <w:name w:val="正文文本缩进 Char"/>
    <w:basedOn w:val="55"/>
    <w:link w:val="21"/>
    <w:qFormat/>
    <w:uiPriority w:val="0"/>
    <w:rPr>
      <w:rFonts w:ascii="Calibri" w:hAnsi="Calibri" w:eastAsia="Calibri"/>
      <w:w w:val="100"/>
      <w:sz w:val="21"/>
      <w:szCs w:val="21"/>
      <w:shd w:val="clear" w:color="auto" w:fill="auto"/>
    </w:rPr>
  </w:style>
  <w:style w:type="character" w:customStyle="1" w:styleId="143">
    <w:name w:val="标题 5 Char"/>
    <w:basedOn w:val="55"/>
    <w:link w:val="6"/>
    <w:semiHidden/>
    <w:qFormat/>
    <w:uiPriority w:val="0"/>
    <w:rPr>
      <w:b/>
      <w:w w:val="100"/>
      <w:sz w:val="28"/>
      <w:szCs w:val="28"/>
      <w:shd w:val="clear" w:color="auto" w:fill="auto"/>
    </w:rPr>
  </w:style>
  <w:style w:type="character" w:customStyle="1" w:styleId="144">
    <w:name w:val="标题 6 Char"/>
    <w:basedOn w:val="55"/>
    <w:link w:val="7"/>
    <w:qFormat/>
    <w:uiPriority w:val="0"/>
    <w:rPr>
      <w:rFonts w:ascii="Arial" w:hAnsi="Arial" w:eastAsia="黑体"/>
      <w:b/>
      <w:w w:val="100"/>
      <w:sz w:val="24"/>
      <w:szCs w:val="24"/>
      <w:shd w:val="clear" w:color="auto" w:fill="auto"/>
    </w:rPr>
  </w:style>
  <w:style w:type="character" w:customStyle="1" w:styleId="145">
    <w:name w:val="标题 7 Char"/>
    <w:basedOn w:val="55"/>
    <w:link w:val="8"/>
    <w:qFormat/>
    <w:uiPriority w:val="0"/>
    <w:rPr>
      <w:b/>
      <w:w w:val="100"/>
      <w:sz w:val="24"/>
      <w:szCs w:val="24"/>
      <w:shd w:val="clear" w:color="auto" w:fill="auto"/>
    </w:rPr>
  </w:style>
  <w:style w:type="character" w:customStyle="1" w:styleId="146">
    <w:name w:val="标题 8 Char"/>
    <w:basedOn w:val="55"/>
    <w:link w:val="9"/>
    <w:qFormat/>
    <w:uiPriority w:val="0"/>
    <w:rPr>
      <w:rFonts w:ascii="Arial" w:hAnsi="Arial" w:eastAsia="黑体"/>
      <w:w w:val="100"/>
      <w:sz w:val="24"/>
      <w:szCs w:val="24"/>
      <w:shd w:val="clear" w:color="auto" w:fill="auto"/>
    </w:rPr>
  </w:style>
  <w:style w:type="character" w:customStyle="1" w:styleId="147">
    <w:name w:val="标题 9 Char"/>
    <w:basedOn w:val="55"/>
    <w:link w:val="10"/>
    <w:qFormat/>
    <w:uiPriority w:val="0"/>
    <w:rPr>
      <w:rFonts w:ascii="Arial" w:hAnsi="Arial" w:eastAsia="黑体"/>
      <w:w w:val="100"/>
      <w:sz w:val="21"/>
      <w:szCs w:val="21"/>
      <w:shd w:val="clear" w:color="auto" w:fill="auto"/>
    </w:rPr>
  </w:style>
  <w:style w:type="paragraph" w:customStyle="1" w:styleId="148">
    <w:name w:val="_Style 104"/>
    <w:qFormat/>
    <w:uiPriority w:val="0"/>
    <w:pPr>
      <w:jc w:val="both"/>
    </w:pPr>
    <w:rPr>
      <w:rFonts w:ascii="Times New Roman" w:hAnsi="Times New Roman" w:eastAsia="宋体" w:cs="Times New Roman"/>
      <w:sz w:val="24"/>
      <w:szCs w:val="24"/>
      <w:lang w:val="en-US" w:eastAsia="zh-CN" w:bidi="ar-SA"/>
    </w:rPr>
  </w:style>
  <w:style w:type="character" w:customStyle="1" w:styleId="149">
    <w:name w:val="t_tag"/>
    <w:qFormat/>
    <w:uiPriority w:val="0"/>
    <w:rPr>
      <w:rFonts w:ascii="宋体" w:hAnsi="宋体" w:eastAsia="宋体"/>
      <w:w w:val="100"/>
      <w:sz w:val="24"/>
      <w:szCs w:val="24"/>
      <w:shd w:val="clear" w:color="auto" w:fill="auto"/>
    </w:rPr>
  </w:style>
  <w:style w:type="character" w:customStyle="1" w:styleId="150">
    <w:name w:val="标题 1 Char1"/>
    <w:qFormat/>
    <w:uiPriority w:val="0"/>
    <w:rPr>
      <w:rFonts w:ascii="宋体" w:hAnsi="宋体" w:eastAsia="黑体"/>
      <w:b/>
      <w:w w:val="100"/>
      <w:sz w:val="28"/>
      <w:szCs w:val="28"/>
      <w:shd w:val="clear" w:color="auto" w:fill="auto"/>
    </w:rPr>
  </w:style>
  <w:style w:type="character" w:customStyle="1" w:styleId="151">
    <w:name w:val="页脚 Char"/>
    <w:link w:val="30"/>
    <w:qFormat/>
    <w:uiPriority w:val="0"/>
    <w:rPr>
      <w:w w:val="100"/>
      <w:sz w:val="18"/>
      <w:szCs w:val="18"/>
      <w:shd w:val="clear" w:color="auto" w:fill="auto"/>
    </w:rPr>
  </w:style>
  <w:style w:type="character" w:customStyle="1" w:styleId="152">
    <w:name w:val="样式4 Char Char Char Char"/>
    <w:link w:val="153"/>
    <w:qFormat/>
    <w:uiPriority w:val="0"/>
    <w:rPr>
      <w:rFonts w:ascii="Arial" w:hAnsi="Arial" w:eastAsia="Arial"/>
      <w:w w:val="100"/>
      <w:sz w:val="24"/>
      <w:szCs w:val="24"/>
      <w:shd w:val="clear" w:color="auto" w:fill="auto"/>
    </w:rPr>
  </w:style>
  <w:style w:type="paragraph" w:customStyle="1" w:styleId="153">
    <w:name w:val="样式4 Char Char"/>
    <w:basedOn w:val="14"/>
    <w:link w:val="152"/>
    <w:qFormat/>
    <w:uiPriority w:val="0"/>
    <w:pPr>
      <w:ind w:firstLine="0"/>
    </w:pPr>
    <w:rPr>
      <w:rFonts w:ascii="Arial" w:hAnsi="Arial" w:eastAsia="Arial"/>
      <w:sz w:val="24"/>
      <w:szCs w:val="24"/>
    </w:rPr>
  </w:style>
  <w:style w:type="character" w:customStyle="1" w:styleId="154">
    <w:name w:val="p4"/>
    <w:qFormat/>
    <w:uiPriority w:val="0"/>
    <w:rPr>
      <w:rFonts w:ascii="宋体" w:hAnsi="宋体" w:eastAsia="宋体"/>
      <w:w w:val="100"/>
      <w:sz w:val="24"/>
      <w:szCs w:val="24"/>
      <w:shd w:val="clear" w:color="auto" w:fill="auto"/>
    </w:rPr>
  </w:style>
  <w:style w:type="character" w:customStyle="1" w:styleId="155">
    <w:name w:val="上标"/>
    <w:qFormat/>
    <w:uiPriority w:val="0"/>
    <w:rPr>
      <w:b/>
      <w:w w:val="100"/>
      <w:sz w:val="20"/>
      <w:szCs w:val="20"/>
      <w:shd w:val="clear" w:color="auto" w:fill="auto"/>
      <w:vertAlign w:val="superscript"/>
    </w:rPr>
  </w:style>
  <w:style w:type="character" w:customStyle="1" w:styleId="156">
    <w:name w:val="正文1 Char Char"/>
    <w:link w:val="132"/>
    <w:qFormat/>
    <w:uiPriority w:val="0"/>
    <w:rPr>
      <w:rFonts w:ascii="宋体" w:hAnsi="宋体" w:eastAsia="宋体"/>
      <w:w w:val="100"/>
      <w:sz w:val="24"/>
      <w:szCs w:val="24"/>
      <w:shd w:val="clear" w:color="auto" w:fill="auto"/>
    </w:rPr>
  </w:style>
  <w:style w:type="character" w:customStyle="1" w:styleId="157">
    <w:name w:val="【表头】 Char Char"/>
    <w:link w:val="104"/>
    <w:qFormat/>
    <w:uiPriority w:val="0"/>
    <w:rPr>
      <w:rFonts w:ascii="宋体" w:hAnsi="宋体" w:eastAsia="黑体"/>
      <w:w w:val="100"/>
      <w:sz w:val="24"/>
      <w:szCs w:val="24"/>
      <w:shd w:val="clear" w:color="auto" w:fill="auto"/>
    </w:rPr>
  </w:style>
  <w:style w:type="character" w:customStyle="1" w:styleId="158">
    <w:name w:val="图名 Char Char"/>
    <w:link w:val="159"/>
    <w:qFormat/>
    <w:uiPriority w:val="0"/>
    <w:rPr>
      <w:rFonts w:ascii="Impact" w:hAnsi="Impact" w:eastAsia="黑体"/>
      <w:w w:val="100"/>
      <w:sz w:val="21"/>
      <w:szCs w:val="21"/>
      <w:shd w:val="clear" w:color="auto" w:fill="auto"/>
    </w:rPr>
  </w:style>
  <w:style w:type="paragraph" w:customStyle="1" w:styleId="159">
    <w:name w:val="图名"/>
    <w:link w:val="158"/>
    <w:qFormat/>
    <w:uiPriority w:val="0"/>
    <w:pPr>
      <w:jc w:val="center"/>
    </w:pPr>
    <w:rPr>
      <w:rFonts w:ascii="Impact" w:hAnsi="Impact" w:eastAsia="黑体" w:cs="Times New Roman"/>
      <w:sz w:val="21"/>
      <w:szCs w:val="21"/>
      <w:lang w:val="en-US" w:eastAsia="zh-CN" w:bidi="ar-SA"/>
    </w:rPr>
  </w:style>
  <w:style w:type="character" w:customStyle="1" w:styleId="160">
    <w:name w:val="Char Char12"/>
    <w:qFormat/>
    <w:uiPriority w:val="0"/>
    <w:rPr>
      <w:rFonts w:ascii="宋体" w:hAnsi="宋体" w:eastAsia="宋体"/>
      <w:b/>
      <w:w w:val="100"/>
      <w:sz w:val="32"/>
      <w:szCs w:val="32"/>
      <w:shd w:val="clear" w:color="auto" w:fill="auto"/>
    </w:rPr>
  </w:style>
  <w:style w:type="character" w:customStyle="1" w:styleId="161">
    <w:name w:val="表头文字 Char Char"/>
    <w:link w:val="162"/>
    <w:qFormat/>
    <w:uiPriority w:val="0"/>
    <w:rPr>
      <w:rFonts w:ascii="宋体" w:hAnsi="宋体" w:eastAsia="黑体"/>
      <w:w w:val="100"/>
      <w:sz w:val="24"/>
      <w:szCs w:val="24"/>
      <w:shd w:val="clear" w:color="auto" w:fill="auto"/>
    </w:rPr>
  </w:style>
  <w:style w:type="paragraph" w:customStyle="1" w:styleId="162">
    <w:name w:val="表头文字"/>
    <w:basedOn w:val="1"/>
    <w:link w:val="161"/>
    <w:qFormat/>
    <w:uiPriority w:val="0"/>
    <w:pPr>
      <w:jc w:val="center"/>
    </w:pPr>
    <w:rPr>
      <w:rFonts w:ascii="宋体" w:hAnsi="宋体" w:eastAsia="黑体"/>
      <w:sz w:val="20"/>
      <w:szCs w:val="20"/>
    </w:rPr>
  </w:style>
  <w:style w:type="character" w:customStyle="1" w:styleId="163">
    <w:name w:val="样式 宋体 小四"/>
    <w:qFormat/>
    <w:uiPriority w:val="0"/>
    <w:rPr>
      <w:rFonts w:ascii="宋体" w:hAnsi="宋体" w:eastAsia="宋体"/>
      <w:w w:val="100"/>
      <w:sz w:val="24"/>
      <w:szCs w:val="24"/>
      <w:shd w:val="clear" w:color="auto" w:fill="auto"/>
    </w:rPr>
  </w:style>
  <w:style w:type="character" w:customStyle="1" w:styleId="164">
    <w:name w:val="正文缩进 Char"/>
    <w:qFormat/>
    <w:uiPriority w:val="0"/>
    <w:rPr>
      <w:rFonts w:ascii="宋体" w:hAnsi="宋体" w:eastAsia="宋体"/>
      <w:w w:val="100"/>
      <w:sz w:val="21"/>
      <w:szCs w:val="21"/>
      <w:shd w:val="clear" w:color="auto" w:fill="auto"/>
    </w:rPr>
  </w:style>
  <w:style w:type="character" w:customStyle="1" w:styleId="165">
    <w:name w:val="Char Char Char Char Char Char"/>
    <w:link w:val="166"/>
    <w:qFormat/>
    <w:uiPriority w:val="0"/>
    <w:rPr>
      <w:w w:val="100"/>
      <w:sz w:val="21"/>
      <w:szCs w:val="21"/>
      <w:shd w:val="clear" w:color="auto" w:fill="auto"/>
    </w:rPr>
  </w:style>
  <w:style w:type="paragraph" w:customStyle="1" w:styleId="166">
    <w:name w:val="Char Char Char Char1"/>
    <w:basedOn w:val="1"/>
    <w:link w:val="165"/>
    <w:qFormat/>
    <w:uiPriority w:val="0"/>
    <w:rPr>
      <w:sz w:val="21"/>
      <w:szCs w:val="21"/>
    </w:rPr>
  </w:style>
  <w:style w:type="character" w:customStyle="1" w:styleId="167">
    <w:name w:val="大纲正文 Char Char Char"/>
    <w:qFormat/>
    <w:uiPriority w:val="0"/>
    <w:rPr>
      <w:rFonts w:ascii="Times New Roman" w:hAnsi="Times New Roman" w:eastAsia="宋体"/>
      <w:w w:val="100"/>
      <w:sz w:val="24"/>
      <w:szCs w:val="24"/>
      <w:shd w:val="clear" w:color="auto" w:fill="auto"/>
    </w:rPr>
  </w:style>
  <w:style w:type="character" w:customStyle="1" w:styleId="168">
    <w:name w:val="样式3 Char Char"/>
    <w:link w:val="169"/>
    <w:qFormat/>
    <w:uiPriority w:val="0"/>
    <w:rPr>
      <w:rFonts w:ascii="宋体" w:hAnsi="宋体" w:eastAsia="黑体"/>
      <w:w w:val="100"/>
      <w:sz w:val="24"/>
      <w:szCs w:val="24"/>
      <w:shd w:val="clear" w:color="auto" w:fill="auto"/>
    </w:rPr>
  </w:style>
  <w:style w:type="paragraph" w:customStyle="1" w:styleId="169">
    <w:name w:val="样式3"/>
    <w:basedOn w:val="1"/>
    <w:link w:val="168"/>
    <w:qFormat/>
    <w:uiPriority w:val="0"/>
    <w:pPr>
      <w:ind w:firstLine="480"/>
      <w:jc w:val="center"/>
    </w:pPr>
    <w:rPr>
      <w:rFonts w:ascii="宋体" w:hAnsi="宋体" w:eastAsia="黑体"/>
      <w:sz w:val="20"/>
      <w:szCs w:val="20"/>
    </w:rPr>
  </w:style>
  <w:style w:type="character" w:customStyle="1" w:styleId="170">
    <w:name w:val="fontstyle41"/>
    <w:qFormat/>
    <w:uiPriority w:val="0"/>
    <w:rPr>
      <w:rFonts w:ascii="SymbolMT" w:hAnsi="SymbolMT" w:eastAsia="SymbolMT"/>
      <w:color w:val="000000"/>
      <w:w w:val="100"/>
      <w:sz w:val="26"/>
      <w:szCs w:val="26"/>
      <w:shd w:val="clear" w:color="auto" w:fill="auto"/>
    </w:rPr>
  </w:style>
  <w:style w:type="character" w:customStyle="1" w:styleId="171">
    <w:name w:val="表格头 Char Char"/>
    <w:link w:val="172"/>
    <w:qFormat/>
    <w:uiPriority w:val="0"/>
    <w:rPr>
      <w:rFonts w:ascii="Tahoma" w:hAnsi="Tahoma" w:eastAsia="黑体"/>
      <w:b/>
      <w:color w:val="000000"/>
      <w:spacing w:val="-4"/>
      <w:w w:val="100"/>
      <w:sz w:val="24"/>
      <w:szCs w:val="24"/>
      <w:shd w:val="clear" w:color="auto" w:fill="auto"/>
    </w:rPr>
  </w:style>
  <w:style w:type="paragraph" w:customStyle="1" w:styleId="172">
    <w:name w:val="表格头"/>
    <w:link w:val="171"/>
    <w:qFormat/>
    <w:uiPriority w:val="0"/>
    <w:pPr>
      <w:ind w:left="238" w:right="238"/>
      <w:jc w:val="center"/>
    </w:pPr>
    <w:rPr>
      <w:rFonts w:ascii="Tahoma" w:hAnsi="Tahoma" w:eastAsia="黑体" w:cs="Times New Roman"/>
      <w:b/>
      <w:color w:val="000000"/>
      <w:spacing w:val="-4"/>
      <w:sz w:val="24"/>
      <w:szCs w:val="24"/>
      <w:lang w:val="en-US" w:eastAsia="zh-CN" w:bidi="ar-SA"/>
    </w:rPr>
  </w:style>
  <w:style w:type="character" w:customStyle="1" w:styleId="173">
    <w:name w:val="标题 Char"/>
    <w:link w:val="49"/>
    <w:qFormat/>
    <w:uiPriority w:val="0"/>
    <w:rPr>
      <w:w w:val="100"/>
      <w:sz w:val="21"/>
      <w:szCs w:val="21"/>
      <w:shd w:val="clear" w:color="auto" w:fill="auto"/>
    </w:rPr>
  </w:style>
  <w:style w:type="character" w:customStyle="1" w:styleId="174">
    <w:name w:val="表格 Char Char Char"/>
    <w:qFormat/>
    <w:uiPriority w:val="0"/>
    <w:rPr>
      <w:rFonts w:ascii="宋体" w:hAnsi="宋体" w:eastAsia="宋体"/>
      <w:w w:val="100"/>
      <w:sz w:val="24"/>
      <w:szCs w:val="24"/>
      <w:shd w:val="clear" w:color="auto" w:fill="auto"/>
    </w:rPr>
  </w:style>
  <w:style w:type="character" w:customStyle="1" w:styleId="175">
    <w:name w:val="正文部分 Char Char"/>
    <w:link w:val="176"/>
    <w:qFormat/>
    <w:uiPriority w:val="0"/>
    <w:rPr>
      <w:rFonts w:ascii="宋体" w:hAnsi="宋体" w:eastAsia="宋体"/>
      <w:w w:val="100"/>
      <w:sz w:val="24"/>
      <w:szCs w:val="24"/>
      <w:shd w:val="clear" w:color="auto" w:fill="auto"/>
    </w:rPr>
  </w:style>
  <w:style w:type="paragraph" w:customStyle="1" w:styleId="176">
    <w:name w:val="正文部分"/>
    <w:basedOn w:val="1"/>
    <w:link w:val="175"/>
    <w:qFormat/>
    <w:uiPriority w:val="0"/>
    <w:pPr>
      <w:ind w:firstLine="480"/>
    </w:pPr>
    <w:rPr>
      <w:rFonts w:ascii="宋体" w:hAnsi="宋体"/>
      <w:sz w:val="20"/>
      <w:szCs w:val="20"/>
    </w:rPr>
  </w:style>
  <w:style w:type="character" w:customStyle="1" w:styleId="177">
    <w:name w:val="和"/>
    <w:qFormat/>
    <w:uiPriority w:val="0"/>
    <w:rPr>
      <w:rFonts w:ascii="Times New Roman" w:hAnsi="Times New Roman" w:eastAsia="Times New Roman"/>
      <w:w w:val="100"/>
      <w:sz w:val="28"/>
      <w:szCs w:val="28"/>
      <w:shd w:val="clear" w:color="auto" w:fill="auto"/>
    </w:rPr>
  </w:style>
  <w:style w:type="character" w:customStyle="1" w:styleId="178">
    <w:name w:val="表格正文 Char Char"/>
    <w:link w:val="179"/>
    <w:qFormat/>
    <w:uiPriority w:val="0"/>
    <w:rPr>
      <w:w w:val="100"/>
      <w:sz w:val="21"/>
      <w:szCs w:val="21"/>
      <w:shd w:val="clear" w:color="auto" w:fill="auto"/>
    </w:rPr>
  </w:style>
  <w:style w:type="paragraph" w:customStyle="1" w:styleId="179">
    <w:name w:val="表格正文"/>
    <w:basedOn w:val="1"/>
    <w:next w:val="14"/>
    <w:link w:val="178"/>
    <w:qFormat/>
    <w:uiPriority w:val="0"/>
    <w:pPr>
      <w:jc w:val="center"/>
    </w:pPr>
    <w:rPr>
      <w:sz w:val="21"/>
      <w:szCs w:val="21"/>
    </w:rPr>
  </w:style>
  <w:style w:type="character" w:customStyle="1" w:styleId="180">
    <w:name w:val="标语"/>
    <w:qFormat/>
    <w:uiPriority w:val="0"/>
    <w:rPr>
      <w:rFonts w:ascii="宋体" w:hAnsi="宋体" w:eastAsia="宋体"/>
      <w:i/>
      <w:spacing w:val="-6"/>
      <w:w w:val="100"/>
      <w:sz w:val="24"/>
      <w:szCs w:val="24"/>
      <w:shd w:val="clear" w:color="auto" w:fill="auto"/>
    </w:rPr>
  </w:style>
  <w:style w:type="character" w:customStyle="1" w:styleId="181">
    <w:name w:val="正文(首行缩进) Char Char"/>
    <w:link w:val="89"/>
    <w:qFormat/>
    <w:uiPriority w:val="0"/>
    <w:rPr>
      <w:w w:val="100"/>
      <w:sz w:val="24"/>
      <w:szCs w:val="24"/>
      <w:shd w:val="clear" w:color="auto" w:fill="auto"/>
    </w:rPr>
  </w:style>
  <w:style w:type="character" w:customStyle="1" w:styleId="182">
    <w:name w:val="正文文本 Char1"/>
    <w:qFormat/>
    <w:uiPriority w:val="0"/>
    <w:rPr>
      <w:rFonts w:ascii="宋体" w:hAnsi="宋体" w:eastAsia="宋体"/>
      <w:w w:val="100"/>
      <w:sz w:val="21"/>
      <w:szCs w:val="21"/>
      <w:shd w:val="clear" w:color="auto" w:fill="auto"/>
    </w:rPr>
  </w:style>
  <w:style w:type="character" w:customStyle="1" w:styleId="183">
    <w:name w:val="样式24 Char Char"/>
    <w:link w:val="184"/>
    <w:qFormat/>
    <w:uiPriority w:val="0"/>
    <w:rPr>
      <w:rFonts w:ascii="黑体" w:hAnsi="黑体" w:eastAsia="黑体"/>
      <w:w w:val="100"/>
      <w:sz w:val="24"/>
      <w:szCs w:val="24"/>
      <w:shd w:val="clear" w:color="auto" w:fill="auto"/>
    </w:rPr>
  </w:style>
  <w:style w:type="paragraph" w:customStyle="1" w:styleId="184">
    <w:name w:val="样式24"/>
    <w:basedOn w:val="1"/>
    <w:link w:val="183"/>
    <w:qFormat/>
    <w:uiPriority w:val="0"/>
    <w:rPr>
      <w:rFonts w:ascii="黑体" w:hAnsi="黑体" w:eastAsia="黑体"/>
      <w:sz w:val="20"/>
      <w:szCs w:val="20"/>
    </w:rPr>
  </w:style>
  <w:style w:type="character" w:customStyle="1" w:styleId="185">
    <w:name w:val="正文文字 Char Char"/>
    <w:qFormat/>
    <w:uiPriority w:val="0"/>
    <w:rPr>
      <w:rFonts w:ascii="宋体" w:hAnsi="宋体" w:eastAsia="宋体"/>
      <w:w w:val="100"/>
      <w:sz w:val="21"/>
      <w:szCs w:val="21"/>
      <w:shd w:val="clear" w:color="auto" w:fill="auto"/>
    </w:rPr>
  </w:style>
  <w:style w:type="character" w:customStyle="1" w:styleId="186">
    <w:name w:val="zw1 Char Char"/>
    <w:link w:val="187"/>
    <w:qFormat/>
    <w:uiPriority w:val="0"/>
    <w:rPr>
      <w:rFonts w:ascii="宋体" w:hAnsi="宋体" w:eastAsia="宋体"/>
      <w:w w:val="100"/>
      <w:sz w:val="24"/>
      <w:szCs w:val="24"/>
      <w:shd w:val="clear" w:color="auto" w:fill="auto"/>
    </w:rPr>
  </w:style>
  <w:style w:type="paragraph" w:customStyle="1" w:styleId="187">
    <w:name w:val="zw1"/>
    <w:basedOn w:val="1"/>
    <w:link w:val="186"/>
    <w:qFormat/>
    <w:uiPriority w:val="0"/>
    <w:pPr>
      <w:ind w:right="-107" w:firstLine="480"/>
    </w:pPr>
    <w:rPr>
      <w:rFonts w:ascii="宋体" w:hAnsi="宋体"/>
      <w:sz w:val="20"/>
      <w:szCs w:val="20"/>
    </w:rPr>
  </w:style>
  <w:style w:type="character" w:customStyle="1" w:styleId="188">
    <w:name w:val="正文（首行缩进两字）1 Char2"/>
    <w:qFormat/>
    <w:uiPriority w:val="0"/>
    <w:rPr>
      <w:rFonts w:ascii="宋体" w:hAnsi="宋体" w:eastAsia="宋体"/>
      <w:w w:val="100"/>
      <w:sz w:val="21"/>
      <w:szCs w:val="21"/>
      <w:shd w:val="clear" w:color="auto" w:fill="auto"/>
    </w:rPr>
  </w:style>
  <w:style w:type="character" w:customStyle="1" w:styleId="189">
    <w:name w:val="无间隔 Char Char Char"/>
    <w:qFormat/>
    <w:uiPriority w:val="0"/>
    <w:rPr>
      <w:rFonts w:ascii="Calibri" w:hAnsi="Calibri" w:eastAsia="宋体"/>
      <w:w w:val="100"/>
      <w:sz w:val="22"/>
      <w:szCs w:val="22"/>
      <w:shd w:val="clear" w:color="auto" w:fill="auto"/>
    </w:rPr>
  </w:style>
  <w:style w:type="character" w:customStyle="1" w:styleId="190">
    <w:name w:val="引入重点"/>
    <w:qFormat/>
    <w:uiPriority w:val="0"/>
    <w:rPr>
      <w:rFonts w:ascii="Arial" w:hAnsi="Arial" w:eastAsia="黑体"/>
      <w:b/>
      <w:spacing w:val="-4"/>
      <w:w w:val="100"/>
      <w:sz w:val="21"/>
      <w:szCs w:val="21"/>
      <w:shd w:val="clear" w:color="auto" w:fill="auto"/>
    </w:rPr>
  </w:style>
  <w:style w:type="character" w:customStyle="1" w:styleId="191">
    <w:name w:val="文档结构图 Char"/>
    <w:link w:val="16"/>
    <w:qFormat/>
    <w:uiPriority w:val="0"/>
    <w:rPr>
      <w:w w:val="100"/>
      <w:sz w:val="21"/>
      <w:szCs w:val="21"/>
      <w:shd w:val="clear" w:color="000000" w:fill="000080"/>
    </w:rPr>
  </w:style>
  <w:style w:type="character" w:customStyle="1" w:styleId="192">
    <w:name w:val="Char Char5"/>
    <w:qFormat/>
    <w:uiPriority w:val="0"/>
    <w:rPr>
      <w:w w:val="100"/>
      <w:sz w:val="18"/>
      <w:szCs w:val="18"/>
      <w:shd w:val="clear" w:color="auto" w:fill="auto"/>
    </w:rPr>
  </w:style>
  <w:style w:type="character" w:customStyle="1" w:styleId="193">
    <w:name w:val="Char Char6"/>
    <w:qFormat/>
    <w:uiPriority w:val="0"/>
    <w:rPr>
      <w:w w:val="100"/>
      <w:sz w:val="18"/>
      <w:szCs w:val="18"/>
      <w:shd w:val="clear" w:color="auto" w:fill="auto"/>
    </w:rPr>
  </w:style>
  <w:style w:type="character" w:customStyle="1" w:styleId="194">
    <w:name w:val="表头 Char Char"/>
    <w:link w:val="195"/>
    <w:qFormat/>
    <w:uiPriority w:val="0"/>
    <w:rPr>
      <w:rFonts w:ascii="宋体" w:hAnsi="宋体" w:eastAsia="黑体"/>
      <w:spacing w:val="6"/>
      <w:w w:val="100"/>
      <w:sz w:val="24"/>
      <w:szCs w:val="24"/>
      <w:shd w:val="clear" w:color="auto" w:fill="auto"/>
    </w:rPr>
  </w:style>
  <w:style w:type="paragraph" w:customStyle="1" w:styleId="195">
    <w:name w:val="表头"/>
    <w:basedOn w:val="38"/>
    <w:next w:val="196"/>
    <w:link w:val="194"/>
    <w:qFormat/>
    <w:uiPriority w:val="0"/>
    <w:pPr>
      <w:ind w:firstLine="300"/>
    </w:pPr>
    <w:rPr>
      <w:rFonts w:ascii="宋体" w:hAnsi="宋体" w:eastAsia="黑体"/>
      <w:spacing w:val="6"/>
      <w:sz w:val="20"/>
      <w:szCs w:val="20"/>
    </w:rPr>
  </w:style>
  <w:style w:type="paragraph" w:customStyle="1" w:styleId="196">
    <w:name w:val="表内容"/>
    <w:semiHidden/>
    <w:qFormat/>
    <w:uiPriority w:val="0"/>
    <w:pPr>
      <w:widowControl w:val="0"/>
      <w:adjustRightInd w:val="0"/>
      <w:snapToGrid w:val="0"/>
      <w:ind w:left="113" w:right="113"/>
      <w:textAlignment w:val="baseline"/>
    </w:pPr>
    <w:rPr>
      <w:rFonts w:ascii="Times New Roman" w:hAnsi="Times New Roman" w:eastAsia="Times New Roman" w:cs="Times New Roman"/>
      <w:kern w:val="2"/>
      <w:sz w:val="21"/>
      <w:szCs w:val="24"/>
      <w:lang w:val="en-US" w:eastAsia="zh-CN" w:bidi="ar-SA"/>
    </w:rPr>
  </w:style>
  <w:style w:type="character" w:customStyle="1" w:styleId="197">
    <w:name w:val="表格 Char Char"/>
    <w:link w:val="198"/>
    <w:qFormat/>
    <w:uiPriority w:val="0"/>
    <w:rPr>
      <w:w w:val="100"/>
      <w:sz w:val="18"/>
      <w:szCs w:val="18"/>
      <w:shd w:val="clear" w:color="auto" w:fill="auto"/>
    </w:rPr>
  </w:style>
  <w:style w:type="paragraph" w:customStyle="1" w:styleId="198">
    <w:name w:val="表格"/>
    <w:basedOn w:val="1"/>
    <w:next w:val="1"/>
    <w:link w:val="197"/>
    <w:qFormat/>
    <w:uiPriority w:val="0"/>
    <w:rPr>
      <w:sz w:val="18"/>
      <w:szCs w:val="18"/>
    </w:rPr>
  </w:style>
  <w:style w:type="character" w:customStyle="1" w:styleId="199">
    <w:name w:val="无间隔 Char"/>
    <w:link w:val="67"/>
    <w:qFormat/>
    <w:uiPriority w:val="0"/>
    <w:rPr>
      <w:rFonts w:ascii="Calibri" w:hAnsi="Calibri" w:eastAsia="Calibri"/>
      <w:w w:val="100"/>
      <w:sz w:val="22"/>
      <w:szCs w:val="22"/>
      <w:shd w:val="clear" w:color="auto" w:fill="auto"/>
    </w:rPr>
  </w:style>
  <w:style w:type="character" w:customStyle="1" w:styleId="200">
    <w:name w:val="fontstyle31"/>
    <w:qFormat/>
    <w:uiPriority w:val="0"/>
    <w:rPr>
      <w:rFonts w:ascii="TimesNewRomanPSMT" w:hAnsi="TimesNewRomanPSMT" w:eastAsia="TimesNewRomanPSMT"/>
      <w:color w:val="000000"/>
      <w:w w:val="100"/>
      <w:sz w:val="24"/>
      <w:szCs w:val="24"/>
      <w:shd w:val="clear" w:color="auto" w:fill="auto"/>
    </w:rPr>
  </w:style>
  <w:style w:type="character" w:customStyle="1" w:styleId="201">
    <w:name w:val="副标题 Char"/>
    <w:link w:val="37"/>
    <w:qFormat/>
    <w:uiPriority w:val="0"/>
    <w:rPr>
      <w:rFonts w:ascii="Cambria" w:hAnsi="Cambria" w:eastAsia="黑体"/>
      <w:w w:val="100"/>
      <w:sz w:val="28"/>
      <w:szCs w:val="28"/>
      <w:shd w:val="clear" w:color="auto" w:fill="auto"/>
    </w:rPr>
  </w:style>
  <w:style w:type="character" w:customStyle="1" w:styleId="202">
    <w:name w:val="大纲正文 Char Char"/>
    <w:link w:val="203"/>
    <w:qFormat/>
    <w:uiPriority w:val="0"/>
    <w:rPr>
      <w:w w:val="100"/>
      <w:sz w:val="24"/>
      <w:szCs w:val="24"/>
      <w:shd w:val="clear" w:color="auto" w:fill="auto"/>
    </w:rPr>
  </w:style>
  <w:style w:type="paragraph" w:customStyle="1" w:styleId="203">
    <w:name w:val="大纲正文"/>
    <w:basedOn w:val="1"/>
    <w:link w:val="202"/>
    <w:qFormat/>
    <w:uiPriority w:val="0"/>
    <w:pPr>
      <w:ind w:firstLine="480"/>
    </w:pPr>
    <w:rPr>
      <w:sz w:val="20"/>
      <w:szCs w:val="20"/>
    </w:rPr>
  </w:style>
  <w:style w:type="character" w:customStyle="1" w:styleId="204">
    <w:name w:val="标题 2 Char"/>
    <w:qFormat/>
    <w:uiPriority w:val="0"/>
    <w:rPr>
      <w:rFonts w:ascii="Arial" w:hAnsi="Arial" w:eastAsia="黑体"/>
      <w:b/>
      <w:w w:val="100"/>
      <w:sz w:val="24"/>
      <w:szCs w:val="24"/>
      <w:shd w:val="clear" w:color="auto" w:fill="auto"/>
    </w:rPr>
  </w:style>
  <w:style w:type="character" w:customStyle="1" w:styleId="205">
    <w:name w:val="正文（首行缩进两字） Char Char1 Char"/>
    <w:link w:val="206"/>
    <w:qFormat/>
    <w:uiPriority w:val="0"/>
    <w:rPr>
      <w:rFonts w:ascii="Arial" w:hAnsi="Arial" w:eastAsia="Arial"/>
      <w:color w:val="000000"/>
      <w:w w:val="100"/>
      <w:sz w:val="24"/>
      <w:szCs w:val="24"/>
      <w:shd w:val="clear" w:color="auto" w:fill="auto"/>
    </w:rPr>
  </w:style>
  <w:style w:type="paragraph" w:customStyle="1" w:styleId="206">
    <w:name w:val="正文（首行缩进两字） Char Char Char2"/>
    <w:basedOn w:val="1"/>
    <w:next w:val="14"/>
    <w:link w:val="205"/>
    <w:qFormat/>
    <w:uiPriority w:val="0"/>
    <w:pPr>
      <w:ind w:firstLine="200"/>
    </w:pPr>
    <w:rPr>
      <w:rFonts w:ascii="Arial" w:hAnsi="Arial" w:eastAsia="Arial"/>
      <w:color w:val="000000"/>
      <w:sz w:val="20"/>
      <w:szCs w:val="20"/>
    </w:rPr>
  </w:style>
  <w:style w:type="character" w:customStyle="1" w:styleId="207">
    <w:name w:val="正文文本缩进 211"/>
    <w:qFormat/>
    <w:uiPriority w:val="0"/>
    <w:rPr>
      <w:rFonts w:ascii="宋体" w:hAnsi="宋体" w:eastAsia="宋体"/>
      <w:w w:val="100"/>
      <w:sz w:val="28"/>
      <w:szCs w:val="28"/>
      <w:shd w:val="clear" w:color="auto" w:fill="auto"/>
    </w:rPr>
  </w:style>
  <w:style w:type="character" w:customStyle="1" w:styleId="208">
    <w:name w:val="页眉 Char"/>
    <w:link w:val="31"/>
    <w:qFormat/>
    <w:uiPriority w:val="0"/>
    <w:rPr>
      <w:w w:val="100"/>
      <w:sz w:val="18"/>
      <w:szCs w:val="18"/>
      <w:shd w:val="clear" w:color="auto" w:fill="auto"/>
    </w:rPr>
  </w:style>
  <w:style w:type="character" w:customStyle="1" w:styleId="209">
    <w:name w:val="正文缩进4 Char"/>
    <w:qFormat/>
    <w:uiPriority w:val="0"/>
    <w:rPr>
      <w:rFonts w:ascii="宋体" w:hAnsi="宋体" w:eastAsia="宋体"/>
      <w:w w:val="100"/>
      <w:sz w:val="24"/>
      <w:szCs w:val="24"/>
      <w:shd w:val="clear" w:color="auto" w:fill="auto"/>
    </w:rPr>
  </w:style>
  <w:style w:type="character" w:customStyle="1" w:styleId="210">
    <w:name w:val="chi_reg_grey1"/>
    <w:qFormat/>
    <w:uiPriority w:val="0"/>
    <w:rPr>
      <w:rFonts w:ascii="Hei" w:hAnsi="Hei" w:eastAsia="Hei"/>
      <w:color w:val="333333"/>
      <w:w w:val="100"/>
      <w:sz w:val="15"/>
      <w:szCs w:val="15"/>
      <w:shd w:val="clear" w:color="auto" w:fill="auto"/>
    </w:rPr>
  </w:style>
  <w:style w:type="character" w:customStyle="1" w:styleId="211">
    <w:name w:val="fontstyle21"/>
    <w:qFormat/>
    <w:uiPriority w:val="0"/>
    <w:rPr>
      <w:rFonts w:ascii="TimesNewRomanPSMT" w:hAnsi="TimesNewRomanPSMT" w:eastAsia="TimesNewRomanPSMT"/>
      <w:color w:val="000000"/>
      <w:w w:val="100"/>
      <w:sz w:val="18"/>
      <w:szCs w:val="18"/>
      <w:shd w:val="clear" w:color="auto" w:fill="auto"/>
    </w:rPr>
  </w:style>
  <w:style w:type="character" w:customStyle="1" w:styleId="212">
    <w:name w:val="标题 1 Char"/>
    <w:link w:val="2"/>
    <w:qFormat/>
    <w:uiPriority w:val="0"/>
    <w:rPr>
      <w:rFonts w:ascii="Times New Roman" w:hAnsi="Times New Roman" w:eastAsia="宋体"/>
      <w:b/>
      <w:w w:val="100"/>
      <w:sz w:val="32"/>
      <w:szCs w:val="32"/>
      <w:shd w:val="clear" w:color="auto" w:fill="auto"/>
    </w:rPr>
  </w:style>
  <w:style w:type="character" w:customStyle="1" w:styleId="213">
    <w:name w:val="正文小四 Char Char"/>
    <w:link w:val="214"/>
    <w:qFormat/>
    <w:uiPriority w:val="0"/>
    <w:rPr>
      <w:w w:val="100"/>
      <w:sz w:val="24"/>
      <w:szCs w:val="24"/>
      <w:shd w:val="clear" w:color="auto" w:fill="auto"/>
    </w:rPr>
  </w:style>
  <w:style w:type="paragraph" w:customStyle="1" w:styleId="214">
    <w:name w:val="正文小四"/>
    <w:link w:val="213"/>
    <w:qFormat/>
    <w:uiPriority w:val="0"/>
    <w:pPr>
      <w:ind w:firstLine="200"/>
    </w:pPr>
    <w:rPr>
      <w:rFonts w:ascii="Times New Roman" w:hAnsi="Times New Roman" w:eastAsia="宋体" w:cs="Times New Roman"/>
      <w:sz w:val="24"/>
      <w:szCs w:val="24"/>
      <w:lang w:val="en-US" w:eastAsia="zh-CN" w:bidi="ar-SA"/>
    </w:rPr>
  </w:style>
  <w:style w:type="character" w:customStyle="1" w:styleId="215">
    <w:name w:val="Char Char21"/>
    <w:qFormat/>
    <w:uiPriority w:val="0"/>
    <w:rPr>
      <w:rFonts w:ascii="宋体" w:hAnsi="宋体" w:eastAsia="宋体"/>
      <w:w w:val="100"/>
      <w:sz w:val="18"/>
      <w:szCs w:val="18"/>
      <w:shd w:val="clear" w:color="auto" w:fill="auto"/>
    </w:rPr>
  </w:style>
  <w:style w:type="character" w:customStyle="1" w:styleId="216">
    <w:name w:val="正文文字缩进 Char Char"/>
    <w:qFormat/>
    <w:uiPriority w:val="0"/>
    <w:rPr>
      <w:rFonts w:ascii="宋体" w:hAnsi="宋体" w:eastAsia="宋体"/>
      <w:w w:val="100"/>
      <w:sz w:val="21"/>
      <w:szCs w:val="21"/>
      <w:shd w:val="clear" w:color="auto" w:fill="auto"/>
    </w:rPr>
  </w:style>
  <w:style w:type="character" w:customStyle="1" w:styleId="217">
    <w:name w:val="正文缩进 Char1"/>
    <w:link w:val="14"/>
    <w:qFormat/>
    <w:uiPriority w:val="0"/>
    <w:rPr>
      <w:w w:val="100"/>
      <w:sz w:val="21"/>
      <w:szCs w:val="21"/>
      <w:shd w:val="clear" w:color="auto" w:fill="auto"/>
    </w:rPr>
  </w:style>
  <w:style w:type="character" w:customStyle="1" w:styleId="218">
    <w:name w:val="样式 标题AB + 左侧:  2 字符[858D7CFB-ED40-4347-BF05-701D383B685F]"/>
    <w:link w:val="219"/>
    <w:qFormat/>
    <w:uiPriority w:val="0"/>
    <w:rPr>
      <w:b/>
      <w:w w:val="100"/>
      <w:sz w:val="30"/>
      <w:szCs w:val="30"/>
      <w:shd w:val="clear" w:color="auto" w:fill="auto"/>
    </w:rPr>
  </w:style>
  <w:style w:type="paragraph" w:customStyle="1" w:styleId="219">
    <w:name w:val="样式 标题AB + 左侧:  2 字符"/>
    <w:basedOn w:val="1"/>
    <w:link w:val="218"/>
    <w:qFormat/>
    <w:uiPriority w:val="0"/>
    <w:pPr>
      <w:ind w:left="200" w:firstLine="200"/>
    </w:pPr>
    <w:rPr>
      <w:b/>
      <w:sz w:val="30"/>
      <w:szCs w:val="30"/>
    </w:rPr>
  </w:style>
  <w:style w:type="character" w:customStyle="1" w:styleId="220">
    <w:name w:val="articlebody3"/>
    <w:qFormat/>
    <w:uiPriority w:val="0"/>
    <w:rPr>
      <w:rFonts w:ascii="宋体" w:hAnsi="宋体" w:eastAsia="宋体"/>
      <w:w w:val="100"/>
      <w:sz w:val="21"/>
      <w:szCs w:val="21"/>
      <w:shd w:val="clear" w:color="auto" w:fill="auto"/>
    </w:rPr>
  </w:style>
  <w:style w:type="character" w:customStyle="1" w:styleId="221">
    <w:name w:val="页眉 Char Char"/>
    <w:qFormat/>
    <w:uiPriority w:val="0"/>
    <w:rPr>
      <w:w w:val="100"/>
      <w:sz w:val="18"/>
      <w:szCs w:val="18"/>
      <w:shd w:val="clear" w:color="auto" w:fill="auto"/>
    </w:rPr>
  </w:style>
  <w:style w:type="character" w:customStyle="1" w:styleId="222">
    <w:name w:val="正文缩进41"/>
    <w:qFormat/>
    <w:uiPriority w:val="0"/>
    <w:rPr>
      <w:rFonts w:ascii="宋体" w:hAnsi="宋体" w:eastAsia="宋体"/>
      <w:w w:val="100"/>
      <w:sz w:val="24"/>
      <w:szCs w:val="24"/>
      <w:shd w:val="clear" w:color="auto" w:fill="auto"/>
    </w:rPr>
  </w:style>
  <w:style w:type="character" w:customStyle="1" w:styleId="223">
    <w:name w:val="着重强调"/>
    <w:qFormat/>
    <w:uiPriority w:val="0"/>
    <w:rPr>
      <w:rFonts w:ascii="Arial" w:hAnsi="Arial" w:eastAsia="Arial"/>
      <w:b/>
      <w:spacing w:val="-4"/>
      <w:w w:val="100"/>
      <w:sz w:val="20"/>
      <w:szCs w:val="20"/>
      <w:shd w:val="clear" w:color="auto" w:fill="auto"/>
    </w:rPr>
  </w:style>
  <w:style w:type="character" w:customStyle="1" w:styleId="224">
    <w:name w:val="文本 Char Char"/>
    <w:link w:val="225"/>
    <w:qFormat/>
    <w:uiPriority w:val="0"/>
    <w:rPr>
      <w:rFonts w:ascii="宋体" w:hAnsi="宋体" w:eastAsia="宋体"/>
      <w:spacing w:val="-10"/>
      <w:w w:val="100"/>
      <w:sz w:val="24"/>
      <w:szCs w:val="24"/>
      <w:shd w:val="clear" w:color="auto" w:fill="auto"/>
    </w:rPr>
  </w:style>
  <w:style w:type="paragraph" w:customStyle="1" w:styleId="225">
    <w:name w:val="文本"/>
    <w:basedOn w:val="21"/>
    <w:link w:val="224"/>
    <w:qFormat/>
    <w:uiPriority w:val="0"/>
    <w:pPr>
      <w:ind w:left="882"/>
    </w:pPr>
    <w:rPr>
      <w:rFonts w:ascii="宋体" w:hAnsi="宋体" w:eastAsia="宋体"/>
      <w:spacing w:val="-10"/>
      <w:sz w:val="24"/>
      <w:szCs w:val="24"/>
    </w:rPr>
  </w:style>
  <w:style w:type="character" w:customStyle="1" w:styleId="226">
    <w:name w:val="fontstyle11"/>
    <w:qFormat/>
    <w:uiPriority w:val="0"/>
    <w:rPr>
      <w:rFonts w:ascii="TimesNewRomanPSMT" w:hAnsi="TimesNewRomanPSMT" w:eastAsia="TimesNewRomanPSMT"/>
      <w:color w:val="000000"/>
      <w:w w:val="100"/>
      <w:sz w:val="24"/>
      <w:szCs w:val="24"/>
      <w:shd w:val="clear" w:color="auto" w:fill="auto"/>
    </w:rPr>
  </w:style>
  <w:style w:type="character" w:customStyle="1" w:styleId="227">
    <w:name w:val="正文文本缩进 3 Char"/>
    <w:link w:val="40"/>
    <w:qFormat/>
    <w:uiPriority w:val="0"/>
    <w:rPr>
      <w:w w:val="100"/>
      <w:sz w:val="16"/>
      <w:szCs w:val="16"/>
      <w:shd w:val="clear" w:color="auto" w:fill="auto"/>
    </w:rPr>
  </w:style>
  <w:style w:type="character" w:customStyle="1" w:styleId="228">
    <w:name w:val="apple-converted-space"/>
    <w:qFormat/>
    <w:uiPriority w:val="0"/>
    <w:rPr>
      <w:rFonts w:ascii="宋体" w:hAnsi="宋体" w:eastAsia="宋体"/>
      <w:w w:val="100"/>
      <w:sz w:val="24"/>
      <w:szCs w:val="24"/>
      <w:shd w:val="clear" w:color="auto" w:fill="auto"/>
    </w:rPr>
  </w:style>
  <w:style w:type="character" w:customStyle="1" w:styleId="229">
    <w:name w:val="标题1"/>
    <w:qFormat/>
    <w:uiPriority w:val="0"/>
    <w:rPr>
      <w:rFonts w:ascii="宋体" w:hAnsi="宋体" w:eastAsia="宋体"/>
      <w:w w:val="100"/>
      <w:sz w:val="24"/>
      <w:szCs w:val="24"/>
      <w:shd w:val="clear" w:color="auto" w:fill="auto"/>
    </w:rPr>
  </w:style>
  <w:style w:type="character" w:customStyle="1" w:styleId="230">
    <w:name w:val="Char Char Char Char Char Char Char Char Char"/>
    <w:qFormat/>
    <w:uiPriority w:val="0"/>
    <w:rPr>
      <w:rFonts w:ascii="宋体" w:hAnsi="宋体" w:eastAsia="宋体"/>
      <w:w w:val="100"/>
      <w:sz w:val="21"/>
      <w:szCs w:val="21"/>
      <w:shd w:val="clear" w:color="auto" w:fill="auto"/>
    </w:rPr>
  </w:style>
  <w:style w:type="character" w:customStyle="1" w:styleId="231">
    <w:name w:val="Char Char7"/>
    <w:qFormat/>
    <w:uiPriority w:val="0"/>
    <w:rPr>
      <w:rFonts w:ascii="Cambria" w:hAnsi="Cambria" w:eastAsia="Times New Roman"/>
      <w:b/>
      <w:w w:val="100"/>
      <w:sz w:val="28"/>
      <w:szCs w:val="28"/>
      <w:shd w:val="clear" w:color="auto" w:fill="auto"/>
    </w:rPr>
  </w:style>
  <w:style w:type="character" w:customStyle="1" w:styleId="232">
    <w:name w:val="表格标题 Char Char"/>
    <w:link w:val="233"/>
    <w:qFormat/>
    <w:uiPriority w:val="0"/>
    <w:rPr>
      <w:b/>
      <w:w w:val="100"/>
      <w:sz w:val="24"/>
      <w:szCs w:val="24"/>
      <w:shd w:val="clear" w:color="auto" w:fill="auto"/>
    </w:rPr>
  </w:style>
  <w:style w:type="paragraph" w:customStyle="1" w:styleId="233">
    <w:name w:val="表格标题"/>
    <w:next w:val="1"/>
    <w:link w:val="232"/>
    <w:qFormat/>
    <w:uiPriority w:val="0"/>
    <w:pPr>
      <w:jc w:val="center"/>
    </w:pPr>
    <w:rPr>
      <w:rFonts w:ascii="Times New Roman" w:hAnsi="Times New Roman" w:eastAsia="宋体" w:cs="Times New Roman"/>
      <w:b/>
      <w:sz w:val="24"/>
      <w:szCs w:val="24"/>
      <w:lang w:val="en-US" w:eastAsia="zh-CN" w:bidi="ar-SA"/>
    </w:rPr>
  </w:style>
  <w:style w:type="character" w:customStyle="1" w:styleId="234">
    <w:name w:val="c1"/>
    <w:qFormat/>
    <w:uiPriority w:val="0"/>
    <w:rPr>
      <w:rFonts w:ascii="宋体" w:hAnsi="宋体" w:eastAsia="宋体"/>
      <w:w w:val="100"/>
      <w:sz w:val="30"/>
      <w:szCs w:val="30"/>
      <w:shd w:val="clear" w:color="auto" w:fill="auto"/>
    </w:rPr>
  </w:style>
  <w:style w:type="character" w:customStyle="1" w:styleId="235">
    <w:name w:val="正 Char Char"/>
    <w:link w:val="236"/>
    <w:qFormat/>
    <w:uiPriority w:val="0"/>
    <w:rPr>
      <w:w w:val="100"/>
      <w:sz w:val="24"/>
      <w:szCs w:val="24"/>
      <w:shd w:val="clear" w:color="auto" w:fill="auto"/>
    </w:rPr>
  </w:style>
  <w:style w:type="paragraph" w:customStyle="1" w:styleId="236">
    <w:name w:val="正"/>
    <w:basedOn w:val="1"/>
    <w:link w:val="235"/>
    <w:qFormat/>
    <w:uiPriority w:val="0"/>
    <w:pPr>
      <w:ind w:firstLine="200"/>
    </w:pPr>
    <w:rPr>
      <w:sz w:val="20"/>
      <w:szCs w:val="20"/>
    </w:rPr>
  </w:style>
  <w:style w:type="character" w:customStyle="1" w:styleId="237">
    <w:name w:val="Char Char13"/>
    <w:qFormat/>
    <w:uiPriority w:val="0"/>
    <w:rPr>
      <w:rFonts w:ascii="Arial" w:hAnsi="Arial" w:eastAsia="黑体"/>
      <w:b/>
      <w:w w:val="100"/>
      <w:sz w:val="32"/>
      <w:szCs w:val="32"/>
      <w:shd w:val="clear" w:color="auto" w:fill="auto"/>
    </w:rPr>
  </w:style>
  <w:style w:type="character" w:customStyle="1" w:styleId="238">
    <w:name w:val="标题 2 Char Char"/>
    <w:qFormat/>
    <w:uiPriority w:val="0"/>
    <w:rPr>
      <w:rFonts w:ascii="Arial" w:hAnsi="Arial" w:eastAsia="黑体"/>
      <w:b/>
      <w:w w:val="100"/>
      <w:sz w:val="32"/>
      <w:szCs w:val="32"/>
      <w:shd w:val="clear" w:color="auto" w:fill="auto"/>
    </w:rPr>
  </w:style>
  <w:style w:type="character" w:customStyle="1" w:styleId="239">
    <w:name w:val="unnamed41"/>
    <w:qFormat/>
    <w:uiPriority w:val="0"/>
    <w:rPr>
      <w:rFonts w:ascii="宋体" w:hAnsi="宋体" w:eastAsia="宋体"/>
      <w:color w:val="666666"/>
      <w:w w:val="100"/>
      <w:sz w:val="24"/>
      <w:szCs w:val="24"/>
      <w:shd w:val="clear" w:color="auto" w:fill="auto"/>
    </w:rPr>
  </w:style>
  <w:style w:type="character" w:customStyle="1" w:styleId="240">
    <w:name w:val="fontstyle01"/>
    <w:qFormat/>
    <w:uiPriority w:val="0"/>
    <w:rPr>
      <w:rFonts w:ascii="宋体" w:hAnsi="宋体" w:eastAsia="宋体"/>
      <w:color w:val="000000"/>
      <w:w w:val="100"/>
      <w:sz w:val="24"/>
      <w:szCs w:val="24"/>
      <w:shd w:val="clear" w:color="auto" w:fill="auto"/>
    </w:rPr>
  </w:style>
  <w:style w:type="character" w:customStyle="1" w:styleId="241">
    <w:name w:val="14"/>
    <w:qFormat/>
    <w:uiPriority w:val="0"/>
    <w:rPr>
      <w:rFonts w:ascii="宋体" w:hAnsi="宋体" w:eastAsia="宋体"/>
      <w:w w:val="100"/>
      <w:sz w:val="24"/>
      <w:szCs w:val="24"/>
      <w:shd w:val="clear" w:color="auto" w:fill="auto"/>
    </w:rPr>
  </w:style>
  <w:style w:type="character" w:customStyle="1" w:styleId="242">
    <w:name w:val="Char Char11"/>
    <w:qFormat/>
    <w:uiPriority w:val="0"/>
    <w:rPr>
      <w:rFonts w:ascii="宋体" w:hAnsi="宋体" w:eastAsia="宋体"/>
      <w:b/>
      <w:w w:val="100"/>
      <w:sz w:val="24"/>
      <w:szCs w:val="24"/>
      <w:shd w:val="clear" w:color="auto" w:fill="auto"/>
    </w:rPr>
  </w:style>
  <w:style w:type="character" w:customStyle="1" w:styleId="243">
    <w:name w:val="正文小四 Char Char Char"/>
    <w:qFormat/>
    <w:uiPriority w:val="0"/>
    <w:rPr>
      <w:rFonts w:ascii="宋体" w:hAnsi="宋体" w:eastAsia="宋体"/>
      <w:w w:val="100"/>
      <w:sz w:val="24"/>
      <w:szCs w:val="24"/>
      <w:shd w:val="clear" w:color="auto" w:fill="auto"/>
    </w:rPr>
  </w:style>
  <w:style w:type="character" w:customStyle="1" w:styleId="244">
    <w:name w:val="Char Char14"/>
    <w:qFormat/>
    <w:uiPriority w:val="0"/>
    <w:rPr>
      <w:rFonts w:ascii="宋体" w:hAnsi="宋体" w:eastAsia="宋体"/>
      <w:b/>
      <w:w w:val="100"/>
      <w:sz w:val="44"/>
      <w:szCs w:val="44"/>
      <w:shd w:val="clear" w:color="auto" w:fill="auto"/>
    </w:rPr>
  </w:style>
  <w:style w:type="character" w:customStyle="1" w:styleId="245">
    <w:name w:val="纯文本 Char"/>
    <w:link w:val="25"/>
    <w:qFormat/>
    <w:uiPriority w:val="0"/>
    <w:rPr>
      <w:rFonts w:ascii="宋体" w:hAnsi="宋体" w:eastAsia="Courier New"/>
      <w:w w:val="100"/>
      <w:sz w:val="21"/>
      <w:szCs w:val="21"/>
      <w:shd w:val="clear" w:color="auto" w:fill="auto"/>
    </w:rPr>
  </w:style>
  <w:style w:type="character" w:customStyle="1" w:styleId="246">
    <w:name w:val="标题 2 Char1"/>
    <w:link w:val="3"/>
    <w:qFormat/>
    <w:uiPriority w:val="0"/>
    <w:rPr>
      <w:rFonts w:ascii="Times New Roman" w:hAnsi="Times New Roman" w:eastAsia="宋体"/>
      <w:b/>
      <w:w w:val="100"/>
      <w:sz w:val="30"/>
      <w:szCs w:val="28"/>
      <w:shd w:val="clear" w:color="auto" w:fill="auto"/>
    </w:rPr>
  </w:style>
  <w:style w:type="paragraph" w:customStyle="1" w:styleId="247">
    <w:name w:val="章节题目"/>
    <w:next w:val="1"/>
    <w:qFormat/>
    <w:uiPriority w:val="0"/>
    <w:pPr>
      <w:ind w:right="2160"/>
    </w:pPr>
    <w:rPr>
      <w:rFonts w:ascii="Times New Roman" w:hAnsi="Times New Roman" w:eastAsia="Times New Roman" w:cs="Times New Roman"/>
      <w:spacing w:val="-40"/>
      <w:sz w:val="60"/>
      <w:szCs w:val="60"/>
      <w:lang w:val="en-US" w:eastAsia="zh-CN" w:bidi="ar-SA"/>
    </w:rPr>
  </w:style>
  <w:style w:type="paragraph" w:customStyle="1" w:styleId="248">
    <w:name w:val="基准标题"/>
    <w:basedOn w:val="1"/>
    <w:next w:val="20"/>
    <w:qFormat/>
    <w:uiPriority w:val="0"/>
    <w:pPr>
      <w:keepNext/>
      <w:keepLines/>
      <w:ind w:left="1080"/>
    </w:pPr>
    <w:rPr>
      <w:rFonts w:ascii="Arial" w:hAnsi="Arial" w:eastAsia="Arial"/>
      <w:spacing w:val="-4"/>
      <w:sz w:val="22"/>
      <w:szCs w:val="22"/>
    </w:rPr>
  </w:style>
  <w:style w:type="paragraph" w:customStyle="1" w:styleId="249">
    <w:name w:val="(1)"/>
    <w:basedOn w:val="1"/>
    <w:qFormat/>
    <w:uiPriority w:val="0"/>
    <w:rPr>
      <w:sz w:val="20"/>
      <w:szCs w:val="20"/>
    </w:rPr>
  </w:style>
  <w:style w:type="paragraph" w:customStyle="1" w:styleId="250">
    <w:name w:val="副题目 – 封页"/>
    <w:next w:val="20"/>
    <w:qFormat/>
    <w:uiPriority w:val="0"/>
    <w:pPr>
      <w:ind w:right="1680"/>
    </w:pPr>
    <w:rPr>
      <w:rFonts w:ascii="Times New Roman" w:hAnsi="Times New Roman" w:eastAsia="Times New Roman" w:cs="Times New Roman"/>
      <w:i/>
      <w:spacing w:val="-20"/>
      <w:sz w:val="36"/>
      <w:szCs w:val="36"/>
      <w:lang w:val="en-US" w:eastAsia="zh-CN" w:bidi="ar-SA"/>
    </w:rPr>
  </w:style>
  <w:style w:type="paragraph" w:customStyle="1" w:styleId="251">
    <w:name w:val="题目封页"/>
    <w:basedOn w:val="248"/>
    <w:next w:val="1"/>
    <w:qFormat/>
    <w:uiPriority w:val="0"/>
    <w:rPr>
      <w:b/>
      <w:spacing w:val="-48"/>
      <w:sz w:val="72"/>
      <w:szCs w:val="72"/>
    </w:rPr>
  </w:style>
  <w:style w:type="paragraph" w:customStyle="1" w:styleId="252">
    <w:name w:val="2"/>
    <w:basedOn w:val="1"/>
    <w:next w:val="20"/>
    <w:qFormat/>
    <w:uiPriority w:val="0"/>
    <w:rPr>
      <w:sz w:val="28"/>
      <w:szCs w:val="28"/>
    </w:rPr>
  </w:style>
  <w:style w:type="paragraph" w:customStyle="1" w:styleId="253">
    <w:name w:val="xl27"/>
    <w:basedOn w:val="1"/>
    <w:qFormat/>
    <w:uiPriority w:val="0"/>
    <w:pPr>
      <w:jc w:val="center"/>
    </w:pPr>
    <w:rPr>
      <w:sz w:val="21"/>
      <w:szCs w:val="21"/>
    </w:rPr>
  </w:style>
  <w:style w:type="paragraph" w:customStyle="1" w:styleId="254">
    <w:name w:val="PP 行"/>
    <w:basedOn w:val="32"/>
    <w:qFormat/>
    <w:uiPriority w:val="0"/>
  </w:style>
  <w:style w:type="character" w:customStyle="1" w:styleId="255">
    <w:name w:val="HTML 预设格式 Char"/>
    <w:basedOn w:val="55"/>
    <w:link w:val="47"/>
    <w:qFormat/>
    <w:uiPriority w:val="0"/>
    <w:rPr>
      <w:rFonts w:ascii="Arial" w:hAnsi="Arial" w:eastAsia="Arial"/>
      <w:w w:val="100"/>
      <w:sz w:val="14"/>
      <w:szCs w:val="14"/>
      <w:shd w:val="clear" w:color="auto" w:fill="auto"/>
    </w:rPr>
  </w:style>
  <w:style w:type="paragraph" w:customStyle="1" w:styleId="256">
    <w:name w:val="样式 首行缩进:  2 字符5"/>
    <w:basedOn w:val="1"/>
    <w:qFormat/>
    <w:uiPriority w:val="0"/>
    <w:pPr>
      <w:ind w:firstLine="560"/>
    </w:pPr>
    <w:rPr>
      <w:rFonts w:ascii="宋体" w:hAnsi="宋体"/>
      <w:sz w:val="20"/>
      <w:szCs w:val="20"/>
    </w:rPr>
  </w:style>
  <w:style w:type="character" w:customStyle="1" w:styleId="257">
    <w:name w:val="副标题 Char1"/>
    <w:basedOn w:val="55"/>
    <w:qFormat/>
    <w:uiPriority w:val="0"/>
    <w:rPr>
      <w:rFonts w:ascii="Calibri Light" w:hAnsi="Calibri Light" w:eastAsia="Calibri Light"/>
      <w:b/>
      <w:w w:val="100"/>
      <w:sz w:val="32"/>
      <w:szCs w:val="32"/>
      <w:shd w:val="clear" w:color="auto" w:fill="auto"/>
    </w:rPr>
  </w:style>
  <w:style w:type="paragraph" w:customStyle="1" w:styleId="258">
    <w:name w:val="正文首缩快"/>
    <w:basedOn w:val="1"/>
    <w:qFormat/>
    <w:uiPriority w:val="0"/>
    <w:pPr>
      <w:ind w:firstLine="539"/>
    </w:pPr>
    <w:rPr>
      <w:sz w:val="28"/>
      <w:szCs w:val="28"/>
    </w:rPr>
  </w:style>
  <w:style w:type="paragraph" w:customStyle="1" w:styleId="259">
    <w:name w:val="表文字"/>
    <w:basedOn w:val="1"/>
    <w:qFormat/>
    <w:uiPriority w:val="0"/>
    <w:pPr>
      <w:topLinePunct/>
      <w:textAlignment w:val="baseline"/>
    </w:pPr>
    <w:rPr>
      <w:sz w:val="21"/>
      <w:szCs w:val="21"/>
    </w:rPr>
  </w:style>
  <w:style w:type="paragraph" w:customStyle="1" w:styleId="260">
    <w:name w:val="Char Char Char"/>
    <w:basedOn w:val="1"/>
    <w:qFormat/>
    <w:uiPriority w:val="0"/>
    <w:rPr>
      <w:rFonts w:ascii="Tahoma" w:hAnsi="Tahoma" w:eastAsia="黑体"/>
      <w:sz w:val="28"/>
      <w:szCs w:val="28"/>
    </w:rPr>
  </w:style>
  <w:style w:type="paragraph" w:customStyle="1" w:styleId="261">
    <w:name w:val="样式9"/>
    <w:basedOn w:val="1"/>
    <w:qFormat/>
    <w:uiPriority w:val="0"/>
    <w:pPr>
      <w:tabs>
        <w:tab w:val="left" w:pos="8280"/>
      </w:tabs>
      <w:jc w:val="center"/>
    </w:pPr>
    <w:rPr>
      <w:rFonts w:ascii="黑体" w:hAnsi="黑体" w:eastAsia="黑体"/>
      <w:sz w:val="21"/>
      <w:szCs w:val="21"/>
    </w:rPr>
  </w:style>
  <w:style w:type="paragraph" w:customStyle="1" w:styleId="262">
    <w:name w:val="正文2"/>
    <w:basedOn w:val="1"/>
    <w:qFormat/>
    <w:uiPriority w:val="0"/>
    <w:pPr>
      <w:ind w:firstLine="480"/>
    </w:pPr>
    <w:rPr>
      <w:rFonts w:ascii="宋体" w:hAnsi="宋体"/>
      <w:sz w:val="20"/>
      <w:szCs w:val="20"/>
    </w:rPr>
  </w:style>
  <w:style w:type="paragraph" w:customStyle="1" w:styleId="263">
    <w:name w:val="默认段落字体 Para Char Char Char Char Char Char Char Char Char Char"/>
    <w:basedOn w:val="4"/>
    <w:qFormat/>
    <w:uiPriority w:val="0"/>
    <w:pPr>
      <w:keepNext/>
      <w:keepLines/>
      <w:tabs>
        <w:tab w:val="left" w:pos="360"/>
        <w:tab w:val="left" w:pos="900"/>
      </w:tabs>
      <w:ind w:left="542" w:firstLine="200"/>
    </w:pPr>
    <w:rPr>
      <w:rFonts w:ascii="宋体" w:hAnsi="宋体" w:eastAsia="黑体"/>
      <w:b w:val="0"/>
    </w:rPr>
  </w:style>
  <w:style w:type="paragraph" w:customStyle="1" w:styleId="264">
    <w:name w:val="Char Char Char Char Char Char Char Char Char Char Char Char Char Char Char Char Char Char Char Char Char Char"/>
    <w:basedOn w:val="1"/>
    <w:qFormat/>
    <w:uiPriority w:val="0"/>
    <w:rPr>
      <w:sz w:val="21"/>
      <w:szCs w:val="21"/>
    </w:rPr>
  </w:style>
  <w:style w:type="paragraph" w:customStyle="1" w:styleId="265">
    <w:name w:val="奇页页眉样式"/>
    <w:basedOn w:val="31"/>
    <w:qFormat/>
    <w:uiPriority w:val="0"/>
    <w:pPr>
      <w:keepLines/>
      <w:tabs>
        <w:tab w:val="center" w:pos="-18551"/>
        <w:tab w:val="left" w:pos="4153"/>
        <w:tab w:val="right" w:pos="4320"/>
        <w:tab w:val="left" w:pos="8306"/>
      </w:tabs>
      <w:ind w:left="1080"/>
    </w:pPr>
    <w:rPr>
      <w:rFonts w:ascii="Arial" w:hAnsi="Arial" w:eastAsia="Arial"/>
      <w:spacing w:val="-4"/>
      <w:sz w:val="20"/>
      <w:szCs w:val="20"/>
    </w:rPr>
  </w:style>
  <w:style w:type="character" w:customStyle="1" w:styleId="266">
    <w:name w:val="日期 Char"/>
    <w:basedOn w:val="55"/>
    <w:link w:val="27"/>
    <w:qFormat/>
    <w:uiPriority w:val="0"/>
    <w:rPr>
      <w:w w:val="100"/>
      <w:sz w:val="28"/>
      <w:szCs w:val="28"/>
      <w:shd w:val="clear" w:color="auto" w:fill="auto"/>
    </w:rPr>
  </w:style>
  <w:style w:type="character" w:customStyle="1" w:styleId="267">
    <w:name w:val="标题 Char1"/>
    <w:basedOn w:val="55"/>
    <w:qFormat/>
    <w:uiPriority w:val="0"/>
    <w:rPr>
      <w:rFonts w:ascii="Calibri Light" w:hAnsi="Calibri Light" w:eastAsia="Calibri Light"/>
      <w:b/>
      <w:w w:val="100"/>
      <w:sz w:val="32"/>
      <w:szCs w:val="32"/>
      <w:shd w:val="clear" w:color="auto" w:fill="auto"/>
    </w:rPr>
  </w:style>
  <w:style w:type="paragraph" w:customStyle="1" w:styleId="268">
    <w:name w:val="p18"/>
    <w:basedOn w:val="1"/>
    <w:qFormat/>
    <w:uiPriority w:val="0"/>
    <w:pPr>
      <w:ind w:firstLine="420"/>
    </w:pPr>
    <w:rPr>
      <w:sz w:val="20"/>
      <w:szCs w:val="20"/>
    </w:rPr>
  </w:style>
  <w:style w:type="paragraph" w:customStyle="1" w:styleId="269">
    <w:name w:val="列出段落1"/>
    <w:basedOn w:val="1"/>
    <w:qFormat/>
    <w:uiPriority w:val="0"/>
    <w:pPr>
      <w:ind w:firstLine="420"/>
    </w:pPr>
    <w:rPr>
      <w:rFonts w:ascii="Calibri" w:hAnsi="Calibri" w:eastAsia="Calibri"/>
      <w:sz w:val="21"/>
      <w:szCs w:val="21"/>
    </w:rPr>
  </w:style>
  <w:style w:type="paragraph" w:customStyle="1" w:styleId="270">
    <w:name w:val="章节号"/>
    <w:basedOn w:val="248"/>
    <w:next w:val="247"/>
    <w:qFormat/>
    <w:uiPriority w:val="0"/>
    <w:rPr>
      <w:rFonts w:ascii="Times New Roman" w:hAnsi="Times New Roman" w:eastAsia="Times New Roman"/>
      <w:spacing w:val="-30"/>
      <w:sz w:val="60"/>
      <w:szCs w:val="60"/>
    </w:rPr>
  </w:style>
  <w:style w:type="character" w:customStyle="1" w:styleId="271">
    <w:name w:val="正文首行缩进 Char"/>
    <w:basedOn w:val="141"/>
    <w:link w:val="51"/>
    <w:qFormat/>
    <w:uiPriority w:val="0"/>
    <w:rPr>
      <w:w w:val="100"/>
      <w:sz w:val="21"/>
      <w:szCs w:val="21"/>
      <w:shd w:val="clear" w:color="auto" w:fill="auto"/>
    </w:rPr>
  </w:style>
  <w:style w:type="character" w:customStyle="1" w:styleId="272">
    <w:name w:val="正文文本缩进 3 Char1"/>
    <w:basedOn w:val="55"/>
    <w:semiHidden/>
    <w:qFormat/>
    <w:uiPriority w:val="0"/>
    <w:rPr>
      <w:w w:val="100"/>
      <w:sz w:val="16"/>
      <w:szCs w:val="16"/>
      <w:shd w:val="clear" w:color="auto" w:fill="auto"/>
    </w:rPr>
  </w:style>
  <w:style w:type="character" w:customStyle="1" w:styleId="273">
    <w:name w:val="文档结构图 Char1"/>
    <w:basedOn w:val="55"/>
    <w:semiHidden/>
    <w:qFormat/>
    <w:uiPriority w:val="0"/>
    <w:rPr>
      <w:rFonts w:ascii="宋体" w:hAnsi="宋体" w:eastAsia="宋体"/>
      <w:w w:val="100"/>
      <w:sz w:val="18"/>
      <w:szCs w:val="18"/>
      <w:shd w:val="clear" w:color="auto" w:fill="auto"/>
    </w:rPr>
  </w:style>
  <w:style w:type="paragraph" w:customStyle="1" w:styleId="274">
    <w:name w:val="正文Y"/>
    <w:basedOn w:val="1"/>
    <w:qFormat/>
    <w:uiPriority w:val="0"/>
    <w:pPr>
      <w:ind w:firstLine="200"/>
    </w:pPr>
    <w:rPr>
      <w:rFonts w:ascii="宋体" w:hAnsi="宋体"/>
      <w:sz w:val="28"/>
      <w:szCs w:val="28"/>
    </w:rPr>
  </w:style>
  <w:style w:type="paragraph" w:customStyle="1" w:styleId="275">
    <w:name w:val="Char"/>
    <w:basedOn w:val="14"/>
    <w:qFormat/>
    <w:uiPriority w:val="0"/>
    <w:pPr>
      <w:keepNext/>
      <w:ind w:firstLine="200"/>
    </w:pPr>
    <w:rPr>
      <w:rFonts w:ascii="Verdana" w:hAnsi="Verdana" w:eastAsia="仿宋_GB2312"/>
      <w:color w:val="000000"/>
      <w:spacing w:val="8"/>
      <w:sz w:val="28"/>
      <w:szCs w:val="28"/>
    </w:rPr>
  </w:style>
  <w:style w:type="paragraph" w:customStyle="1" w:styleId="276">
    <w:name w:val="2.1.1"/>
    <w:basedOn w:val="1"/>
    <w:qFormat/>
    <w:uiPriority w:val="0"/>
    <w:rPr>
      <w:sz w:val="20"/>
      <w:szCs w:val="20"/>
    </w:rPr>
  </w:style>
  <w:style w:type="paragraph" w:customStyle="1" w:styleId="277">
    <w:name w:val="p15"/>
    <w:basedOn w:val="1"/>
    <w:qFormat/>
    <w:uiPriority w:val="0"/>
    <w:pPr>
      <w:ind w:firstLine="420"/>
    </w:pPr>
    <w:rPr>
      <w:rFonts w:ascii="宋体" w:hAnsi="宋体"/>
      <w:sz w:val="20"/>
      <w:szCs w:val="20"/>
    </w:rPr>
  </w:style>
  <w:style w:type="paragraph" w:customStyle="1" w:styleId="278">
    <w:name w:val="Char Char1 Char Char Char Char Char Char"/>
    <w:basedOn w:val="1"/>
    <w:qFormat/>
    <w:uiPriority w:val="0"/>
    <w:rPr>
      <w:sz w:val="21"/>
      <w:szCs w:val="21"/>
    </w:rPr>
  </w:style>
  <w:style w:type="paragraph" w:customStyle="1" w:styleId="279">
    <w:name w:val="p19"/>
    <w:basedOn w:val="1"/>
    <w:qFormat/>
    <w:uiPriority w:val="0"/>
    <w:pPr>
      <w:jc w:val="center"/>
    </w:pPr>
    <w:rPr>
      <w:rFonts w:ascii="Impact" w:hAnsi="Impact"/>
      <w:sz w:val="20"/>
      <w:szCs w:val="20"/>
    </w:rPr>
  </w:style>
  <w:style w:type="paragraph" w:customStyle="1" w:styleId="280">
    <w:name w:val="Char2 Char Char Char"/>
    <w:basedOn w:val="1"/>
    <w:qFormat/>
    <w:uiPriority w:val="0"/>
    <w:pPr>
      <w:autoSpaceDE w:val="0"/>
      <w:autoSpaceDN w:val="0"/>
      <w:ind w:firstLine="560"/>
    </w:pPr>
    <w:rPr>
      <w:rFonts w:ascii="Arial" w:hAnsi="Arial" w:eastAsia="仿宋_GB2312"/>
      <w:color w:val="000000"/>
      <w:sz w:val="20"/>
      <w:szCs w:val="20"/>
    </w:rPr>
  </w:style>
  <w:style w:type="paragraph" w:customStyle="1" w:styleId="281">
    <w:name w:val="小节标题"/>
    <w:basedOn w:val="1"/>
    <w:qFormat/>
    <w:uiPriority w:val="0"/>
    <w:pPr>
      <w:textAlignment w:val="baseline"/>
    </w:pPr>
    <w:rPr>
      <w:rFonts w:ascii="宋体" w:hAnsi="宋体" w:eastAsia="黑体"/>
      <w:color w:val="000000"/>
      <w:sz w:val="21"/>
      <w:szCs w:val="21"/>
    </w:rPr>
  </w:style>
  <w:style w:type="paragraph" w:customStyle="1" w:styleId="282">
    <w:name w:val="二级无标题条"/>
    <w:basedOn w:val="1"/>
    <w:qFormat/>
    <w:uiPriority w:val="0"/>
    <w:rPr>
      <w:sz w:val="21"/>
      <w:szCs w:val="21"/>
    </w:rPr>
  </w:style>
  <w:style w:type="paragraph" w:customStyle="1" w:styleId="283">
    <w:name w:val="编号1"/>
    <w:basedOn w:val="1"/>
    <w:qFormat/>
    <w:uiPriority w:val="0"/>
    <w:pPr>
      <w:tabs>
        <w:tab w:val="left" w:pos="1200"/>
      </w:tabs>
      <w:ind w:left="1200" w:hanging="720"/>
    </w:pPr>
    <w:rPr>
      <w:sz w:val="21"/>
      <w:szCs w:val="21"/>
    </w:rPr>
  </w:style>
  <w:style w:type="paragraph" w:customStyle="1" w:styleId="284">
    <w:name w:val="xl24"/>
    <w:basedOn w:val="1"/>
    <w:qFormat/>
    <w:uiPriority w:val="0"/>
    <w:pPr>
      <w:jc w:val="center"/>
      <w:textAlignment w:val="center"/>
    </w:pPr>
    <w:rPr>
      <w:rFonts w:ascii="宋体" w:hAnsi="宋体"/>
      <w:sz w:val="20"/>
      <w:szCs w:val="20"/>
    </w:rPr>
  </w:style>
  <w:style w:type="paragraph" w:customStyle="1" w:styleId="285">
    <w:name w:val="CM4"/>
    <w:basedOn w:val="65"/>
    <w:next w:val="65"/>
    <w:qFormat/>
    <w:uiPriority w:val="0"/>
    <w:pPr>
      <w:autoSpaceDE/>
      <w:autoSpaceDN/>
    </w:pPr>
    <w:rPr>
      <w:rFonts w:ascii="宋体" w:hAnsi="宋体" w:eastAsia="Times New Roman"/>
      <w:sz w:val="20"/>
      <w:szCs w:val="20"/>
    </w:rPr>
  </w:style>
  <w:style w:type="paragraph" w:customStyle="1" w:styleId="286">
    <w:name w:val="p0"/>
    <w:basedOn w:val="1"/>
    <w:qFormat/>
    <w:uiPriority w:val="0"/>
    <w:rPr>
      <w:sz w:val="21"/>
      <w:szCs w:val="21"/>
    </w:rPr>
  </w:style>
  <w:style w:type="paragraph" w:customStyle="1" w:styleId="287">
    <w:name w:val="奇页脚样式"/>
    <w:basedOn w:val="30"/>
    <w:qFormat/>
    <w:uiPriority w:val="0"/>
    <w:pPr>
      <w:keepLines/>
      <w:tabs>
        <w:tab w:val="center" w:pos="-18551"/>
        <w:tab w:val="left" w:pos="4153"/>
        <w:tab w:val="right" w:pos="4320"/>
        <w:tab w:val="left" w:pos="8306"/>
      </w:tabs>
      <w:ind w:left="1080"/>
    </w:pPr>
    <w:rPr>
      <w:rFonts w:ascii="Arial" w:hAnsi="Arial" w:eastAsia="Arial"/>
      <w:b/>
      <w:spacing w:val="-4"/>
      <w:sz w:val="20"/>
      <w:szCs w:val="20"/>
    </w:rPr>
  </w:style>
  <w:style w:type="character" w:customStyle="1" w:styleId="288">
    <w:name w:val="签名 Char"/>
    <w:basedOn w:val="55"/>
    <w:link w:val="32"/>
    <w:qFormat/>
    <w:uiPriority w:val="0"/>
  </w:style>
  <w:style w:type="paragraph" w:customStyle="1" w:styleId="289">
    <w:name w:val="16"/>
    <w:basedOn w:val="1"/>
    <w:qFormat/>
    <w:uiPriority w:val="0"/>
    <w:rPr>
      <w:rFonts w:ascii="宋体" w:hAnsi="宋体"/>
      <w:sz w:val="20"/>
      <w:szCs w:val="20"/>
    </w:rPr>
  </w:style>
  <w:style w:type="paragraph" w:customStyle="1" w:styleId="290">
    <w:name w:val="1"/>
    <w:basedOn w:val="1"/>
    <w:next w:val="14"/>
    <w:qFormat/>
    <w:uiPriority w:val="0"/>
    <w:pPr>
      <w:ind w:firstLine="480"/>
    </w:pPr>
    <w:rPr>
      <w:rFonts w:ascii="Arial" w:hAnsi="Arial" w:eastAsia="Arial"/>
      <w:sz w:val="20"/>
      <w:szCs w:val="20"/>
    </w:rPr>
  </w:style>
  <w:style w:type="character" w:customStyle="1" w:styleId="291">
    <w:name w:val="批注主题 Char"/>
    <w:basedOn w:val="140"/>
    <w:link w:val="50"/>
    <w:qFormat/>
    <w:uiPriority w:val="0"/>
    <w:rPr>
      <w:b/>
      <w:w w:val="100"/>
      <w:sz w:val="21"/>
      <w:szCs w:val="21"/>
      <w:shd w:val="clear" w:color="auto" w:fill="auto"/>
    </w:rPr>
  </w:style>
  <w:style w:type="paragraph" w:customStyle="1" w:styleId="292">
    <w:name w:val="样式 首行缩进:  2 字符"/>
    <w:basedOn w:val="1"/>
    <w:qFormat/>
    <w:uiPriority w:val="0"/>
    <w:pPr>
      <w:ind w:firstLine="200"/>
    </w:pPr>
    <w:rPr>
      <w:rFonts w:ascii="宋体" w:hAnsi="宋体"/>
      <w:sz w:val="20"/>
      <w:szCs w:val="20"/>
    </w:rPr>
  </w:style>
  <w:style w:type="paragraph" w:customStyle="1" w:styleId="293">
    <w:name w:val="段落2"/>
    <w:basedOn w:val="1"/>
    <w:qFormat/>
    <w:uiPriority w:val="0"/>
    <w:pPr>
      <w:textAlignment w:val="baseline"/>
    </w:pPr>
    <w:rPr>
      <w:spacing w:val="6"/>
      <w:sz w:val="20"/>
      <w:szCs w:val="20"/>
    </w:rPr>
  </w:style>
  <w:style w:type="paragraph" w:customStyle="1" w:styleId="294">
    <w:name w:val="部分标签"/>
    <w:basedOn w:val="248"/>
    <w:next w:val="1"/>
    <w:qFormat/>
    <w:uiPriority w:val="0"/>
    <w:rPr>
      <w:rFonts w:ascii="Times New Roman" w:hAnsi="Times New Roman" w:eastAsia="Times New Roman"/>
      <w:spacing w:val="-30"/>
      <w:sz w:val="60"/>
      <w:szCs w:val="60"/>
    </w:rPr>
  </w:style>
  <w:style w:type="paragraph" w:customStyle="1" w:styleId="295">
    <w:name w:val="连续正文文字"/>
    <w:basedOn w:val="20"/>
    <w:qFormat/>
    <w:uiPriority w:val="0"/>
    <w:pPr>
      <w:keepNext/>
      <w:ind w:left="1080"/>
    </w:pPr>
    <w:rPr>
      <w:sz w:val="20"/>
      <w:szCs w:val="20"/>
    </w:rPr>
  </w:style>
  <w:style w:type="paragraph" w:customStyle="1" w:styleId="296">
    <w:name w:val="Char2 Char Char Char1"/>
    <w:basedOn w:val="1"/>
    <w:qFormat/>
    <w:uiPriority w:val="0"/>
    <w:pPr>
      <w:autoSpaceDE w:val="0"/>
      <w:autoSpaceDN w:val="0"/>
      <w:ind w:firstLine="560"/>
    </w:pPr>
    <w:rPr>
      <w:rFonts w:ascii="宋体" w:hAnsi="宋体" w:eastAsia="仿宋_GB2312"/>
      <w:color w:val="000000"/>
      <w:sz w:val="20"/>
      <w:szCs w:val="20"/>
    </w:rPr>
  </w:style>
  <w:style w:type="paragraph" w:customStyle="1" w:styleId="297">
    <w:name w:val="文"/>
    <w:basedOn w:val="1"/>
    <w:qFormat/>
    <w:uiPriority w:val="0"/>
    <w:pPr>
      <w:ind w:firstLine="480"/>
    </w:pPr>
    <w:rPr>
      <w:sz w:val="20"/>
      <w:szCs w:val="20"/>
    </w:rPr>
  </w:style>
  <w:style w:type="paragraph" w:customStyle="1" w:styleId="298">
    <w:name w:val="首页脚样式"/>
    <w:basedOn w:val="30"/>
    <w:qFormat/>
    <w:uiPriority w:val="0"/>
    <w:pPr>
      <w:keepLines/>
      <w:tabs>
        <w:tab w:val="center" w:pos="-18551"/>
        <w:tab w:val="left" w:pos="4153"/>
        <w:tab w:val="right" w:pos="4320"/>
        <w:tab w:val="left" w:pos="8306"/>
      </w:tabs>
      <w:ind w:left="1080"/>
    </w:pPr>
    <w:rPr>
      <w:rFonts w:ascii="Arial" w:hAnsi="Arial" w:eastAsia="Arial"/>
      <w:b/>
      <w:spacing w:val="-4"/>
      <w:sz w:val="20"/>
      <w:szCs w:val="20"/>
    </w:rPr>
  </w:style>
  <w:style w:type="paragraph" w:customStyle="1" w:styleId="299">
    <w:name w:val="中文报告书样式"/>
    <w:basedOn w:val="1"/>
    <w:qFormat/>
    <w:uiPriority w:val="0"/>
    <w:pPr>
      <w:textAlignment w:val="baseline"/>
    </w:pPr>
    <w:rPr>
      <w:sz w:val="20"/>
      <w:szCs w:val="20"/>
    </w:rPr>
  </w:style>
  <w:style w:type="character" w:customStyle="1" w:styleId="300">
    <w:name w:val="正文文本 2 Char"/>
    <w:basedOn w:val="55"/>
    <w:link w:val="44"/>
    <w:qFormat/>
    <w:uiPriority w:val="0"/>
    <w:rPr>
      <w:rFonts w:ascii="宋体" w:hAnsi="宋体" w:eastAsia="宋体"/>
      <w:w w:val="100"/>
      <w:sz w:val="18"/>
      <w:szCs w:val="18"/>
      <w:shd w:val="clear" w:color="auto" w:fill="auto"/>
    </w:rPr>
  </w:style>
  <w:style w:type="paragraph" w:customStyle="1" w:styleId="301">
    <w:name w:val="样式19"/>
    <w:basedOn w:val="1"/>
    <w:qFormat/>
    <w:uiPriority w:val="0"/>
    <w:rPr>
      <w:sz w:val="32"/>
      <w:szCs w:val="32"/>
    </w:rPr>
  </w:style>
  <w:style w:type="paragraph" w:customStyle="1" w:styleId="302">
    <w:name w:val="图片"/>
    <w:basedOn w:val="1"/>
    <w:next w:val="15"/>
    <w:qFormat/>
    <w:uiPriority w:val="0"/>
    <w:pPr>
      <w:keepNext/>
      <w:ind w:left="1080"/>
    </w:pPr>
    <w:rPr>
      <w:sz w:val="20"/>
      <w:szCs w:val="20"/>
    </w:rPr>
  </w:style>
  <w:style w:type="paragraph" w:customStyle="1" w:styleId="303">
    <w:name w:val="正文文本缩进1"/>
    <w:basedOn w:val="1"/>
    <w:qFormat/>
    <w:uiPriority w:val="0"/>
    <w:pPr>
      <w:ind w:firstLine="480"/>
    </w:pPr>
    <w:rPr>
      <w:sz w:val="20"/>
      <w:szCs w:val="20"/>
    </w:rPr>
  </w:style>
  <w:style w:type="character" w:customStyle="1" w:styleId="304">
    <w:name w:val="正文文本 3 Char"/>
    <w:basedOn w:val="55"/>
    <w:link w:val="19"/>
    <w:qFormat/>
    <w:uiPriority w:val="0"/>
    <w:rPr>
      <w:rFonts w:ascii="宋体" w:hAnsi="宋体" w:eastAsia="宋体"/>
      <w:w w:val="100"/>
      <w:sz w:val="28"/>
      <w:szCs w:val="28"/>
      <w:shd w:val="clear" w:color="auto" w:fill="auto"/>
    </w:rPr>
  </w:style>
  <w:style w:type="paragraph" w:customStyle="1" w:styleId="305">
    <w:name w:val="Default Paragraph Font Para Char"/>
    <w:basedOn w:val="1"/>
    <w:qFormat/>
    <w:uiPriority w:val="0"/>
    <w:rPr>
      <w:rFonts w:ascii="Verdana" w:hAnsi="Verdana" w:eastAsia="Verdana"/>
      <w:sz w:val="20"/>
      <w:szCs w:val="20"/>
    </w:rPr>
  </w:style>
  <w:style w:type="paragraph" w:customStyle="1" w:styleId="306">
    <w:name w:val="xl28"/>
    <w:basedOn w:val="1"/>
    <w:qFormat/>
    <w:uiPriority w:val="0"/>
    <w:pPr>
      <w:jc w:val="center"/>
      <w:textAlignment w:val="top"/>
    </w:pPr>
    <w:rPr>
      <w:sz w:val="21"/>
      <w:szCs w:val="21"/>
    </w:rPr>
  </w:style>
  <w:style w:type="paragraph" w:customStyle="1" w:styleId="307">
    <w:name w:val="content"/>
    <w:basedOn w:val="1"/>
    <w:qFormat/>
    <w:uiPriority w:val="0"/>
    <w:rPr>
      <w:rFonts w:ascii="宋体" w:hAnsi="宋体"/>
      <w:sz w:val="20"/>
      <w:szCs w:val="20"/>
    </w:rPr>
  </w:style>
  <w:style w:type="paragraph" w:customStyle="1" w:styleId="308">
    <w:name w:val="默认段落字体 Para Char"/>
    <w:basedOn w:val="1"/>
    <w:next w:val="1"/>
    <w:qFormat/>
    <w:uiPriority w:val="0"/>
    <w:pPr>
      <w:keepNext/>
      <w:keepLines/>
      <w:ind w:firstLine="200"/>
    </w:pPr>
    <w:rPr>
      <w:rFonts w:ascii="宋体" w:hAnsi="宋体"/>
      <w:b/>
      <w:sz w:val="30"/>
      <w:szCs w:val="30"/>
    </w:rPr>
  </w:style>
  <w:style w:type="paragraph" w:customStyle="1" w:styleId="309">
    <w:name w:val="样式25"/>
    <w:basedOn w:val="1"/>
    <w:qFormat/>
    <w:uiPriority w:val="0"/>
    <w:pPr>
      <w:ind w:firstLine="480"/>
    </w:pPr>
    <w:rPr>
      <w:rFonts w:ascii="宋体" w:hAnsi="宋体"/>
      <w:sz w:val="20"/>
      <w:szCs w:val="20"/>
    </w:rPr>
  </w:style>
  <w:style w:type="paragraph" w:customStyle="1" w:styleId="310">
    <w:name w:val="标题二"/>
    <w:basedOn w:val="1"/>
    <w:qFormat/>
    <w:uiPriority w:val="0"/>
    <w:rPr>
      <w:sz w:val="20"/>
      <w:szCs w:val="20"/>
    </w:rPr>
  </w:style>
  <w:style w:type="paragraph" w:customStyle="1" w:styleId="311">
    <w:name w:val="1.1.1"/>
    <w:basedOn w:val="1"/>
    <w:qFormat/>
    <w:uiPriority w:val="0"/>
    <w:rPr>
      <w:rFonts w:ascii="黑体" w:hAnsi="黑体"/>
      <w:sz w:val="20"/>
      <w:szCs w:val="20"/>
    </w:rPr>
  </w:style>
  <w:style w:type="paragraph" w:customStyle="1" w:styleId="312">
    <w:name w:val="二 Char"/>
    <w:basedOn w:val="1"/>
    <w:qFormat/>
    <w:uiPriority w:val="0"/>
    <w:rPr>
      <w:rFonts w:ascii="黑体" w:hAnsi="黑体" w:eastAsia="黑体"/>
      <w:b/>
      <w:sz w:val="20"/>
      <w:szCs w:val="20"/>
    </w:rPr>
  </w:style>
  <w:style w:type="paragraph" w:customStyle="1" w:styleId="313">
    <w:name w:val="我的表格"/>
    <w:basedOn w:val="1"/>
    <w:qFormat/>
    <w:uiPriority w:val="0"/>
    <w:pPr>
      <w:autoSpaceDE w:val="0"/>
      <w:autoSpaceDN w:val="0"/>
      <w:jc w:val="center"/>
    </w:pPr>
    <w:rPr>
      <w:rFonts w:ascii="宋体" w:hAnsi="宋体"/>
      <w:sz w:val="21"/>
      <w:szCs w:val="21"/>
    </w:rPr>
  </w:style>
  <w:style w:type="paragraph" w:customStyle="1" w:styleId="314">
    <w:name w:val="xl35"/>
    <w:basedOn w:val="1"/>
    <w:qFormat/>
    <w:uiPriority w:val="0"/>
    <w:pPr>
      <w:jc w:val="center"/>
      <w:textAlignment w:val="center"/>
    </w:pPr>
    <w:rPr>
      <w:rFonts w:ascii="Arial Unicode MS" w:hAnsi="Arial Unicode MS" w:eastAsia="Arial Unicode MS"/>
      <w:sz w:val="20"/>
      <w:szCs w:val="20"/>
    </w:rPr>
  </w:style>
  <w:style w:type="paragraph" w:customStyle="1" w:styleId="315">
    <w:name w:val="Char11"/>
    <w:basedOn w:val="1"/>
    <w:qFormat/>
    <w:uiPriority w:val="0"/>
    <w:rPr>
      <w:rFonts w:ascii="Verdana" w:hAnsi="Verdana" w:eastAsia="Verdana"/>
      <w:sz w:val="20"/>
      <w:szCs w:val="20"/>
    </w:rPr>
  </w:style>
  <w:style w:type="paragraph" w:customStyle="1" w:styleId="316">
    <w:name w:val="样式 标题 3 + 段前: 0.5 行"/>
    <w:basedOn w:val="4"/>
    <w:qFormat/>
    <w:uiPriority w:val="0"/>
    <w:pPr>
      <w:jc w:val="center"/>
    </w:pPr>
    <w:rPr>
      <w:b w:val="0"/>
      <w:color w:val="000000"/>
      <w:sz w:val="21"/>
      <w:szCs w:val="21"/>
    </w:rPr>
  </w:style>
  <w:style w:type="paragraph" w:customStyle="1" w:styleId="317">
    <w:name w:val="Char Char Char Char Char Char Char1"/>
    <w:basedOn w:val="1"/>
    <w:link w:val="458"/>
    <w:qFormat/>
    <w:uiPriority w:val="0"/>
    <w:rPr>
      <w:sz w:val="21"/>
      <w:szCs w:val="21"/>
    </w:rPr>
  </w:style>
  <w:style w:type="paragraph" w:customStyle="1" w:styleId="318">
    <w:name w:val="表内"/>
    <w:basedOn w:val="297"/>
    <w:qFormat/>
    <w:uiPriority w:val="0"/>
    <w:pPr>
      <w:ind w:firstLine="0"/>
      <w:jc w:val="center"/>
    </w:pPr>
    <w:rPr>
      <w:sz w:val="21"/>
      <w:szCs w:val="21"/>
    </w:rPr>
  </w:style>
  <w:style w:type="paragraph" w:customStyle="1" w:styleId="319">
    <w:name w:val="偶页脚样式"/>
    <w:basedOn w:val="30"/>
    <w:qFormat/>
    <w:uiPriority w:val="0"/>
    <w:pPr>
      <w:keepLines/>
      <w:tabs>
        <w:tab w:val="center" w:pos="-18551"/>
        <w:tab w:val="left" w:pos="4153"/>
        <w:tab w:val="right" w:pos="4320"/>
        <w:tab w:val="left" w:pos="8306"/>
      </w:tabs>
      <w:ind w:left="1080"/>
    </w:pPr>
    <w:rPr>
      <w:rFonts w:ascii="Arial" w:hAnsi="Arial" w:eastAsia="Arial"/>
      <w:b/>
      <w:spacing w:val="-4"/>
      <w:sz w:val="20"/>
      <w:szCs w:val="20"/>
    </w:rPr>
  </w:style>
  <w:style w:type="paragraph" w:customStyle="1" w:styleId="320">
    <w:name w:val="Char Char Char Char Char Char Char Char Char Char"/>
    <w:basedOn w:val="1"/>
    <w:qFormat/>
    <w:uiPriority w:val="0"/>
    <w:pPr>
      <w:ind w:firstLine="200"/>
    </w:pPr>
    <w:rPr>
      <w:rFonts w:ascii="宋体" w:hAnsi="宋体"/>
      <w:sz w:val="20"/>
      <w:szCs w:val="20"/>
    </w:rPr>
  </w:style>
  <w:style w:type="paragraph" w:customStyle="1" w:styleId="321">
    <w:name w:val="Char Char Char Char Char Char Char Char Char1"/>
    <w:basedOn w:val="1"/>
    <w:qFormat/>
    <w:uiPriority w:val="0"/>
    <w:pPr>
      <w:ind w:firstLine="200"/>
    </w:pPr>
    <w:rPr>
      <w:rFonts w:ascii="Verdana" w:hAnsi="Verdana" w:eastAsia="仿宋_GB2312"/>
      <w:sz w:val="20"/>
      <w:szCs w:val="20"/>
    </w:rPr>
  </w:style>
  <w:style w:type="paragraph" w:customStyle="1" w:styleId="322">
    <w:name w:val="标准"/>
    <w:basedOn w:val="1"/>
    <w:qFormat/>
    <w:uiPriority w:val="0"/>
    <w:pPr>
      <w:keepNext/>
      <w:ind w:firstLine="590"/>
      <w:textAlignment w:val="baseline"/>
    </w:pPr>
    <w:rPr>
      <w:sz w:val="28"/>
      <w:szCs w:val="28"/>
    </w:rPr>
  </w:style>
  <w:style w:type="paragraph" w:customStyle="1" w:styleId="323">
    <w:name w:val="3级"/>
    <w:basedOn w:val="1"/>
    <w:qFormat/>
    <w:uiPriority w:val="0"/>
    <w:rPr>
      <w:sz w:val="20"/>
      <w:szCs w:val="20"/>
    </w:rPr>
  </w:style>
  <w:style w:type="paragraph" w:customStyle="1" w:styleId="324">
    <w:name w:val="规划1-1-1-1"/>
    <w:basedOn w:val="1"/>
    <w:qFormat/>
    <w:uiPriority w:val="0"/>
    <w:rPr>
      <w:rFonts w:ascii="宋体" w:hAnsi="宋体"/>
      <w:sz w:val="20"/>
      <w:szCs w:val="20"/>
    </w:rPr>
  </w:style>
  <w:style w:type="paragraph" w:customStyle="1" w:styleId="325">
    <w:name w:val="图题注"/>
    <w:basedOn w:val="15"/>
    <w:qFormat/>
    <w:uiPriority w:val="0"/>
    <w:rPr>
      <w:rFonts w:ascii="宋体" w:hAnsi="宋体" w:eastAsia="Arial"/>
      <w:sz w:val="21"/>
      <w:szCs w:val="21"/>
    </w:rPr>
  </w:style>
  <w:style w:type="paragraph" w:customStyle="1" w:styleId="326">
    <w:name w:val="部分副题目"/>
    <w:basedOn w:val="1"/>
    <w:next w:val="20"/>
    <w:qFormat/>
    <w:uiPriority w:val="0"/>
    <w:pPr>
      <w:keepNext/>
      <w:keepLines/>
      <w:ind w:left="1080" w:right="2160"/>
    </w:pPr>
    <w:rPr>
      <w:i/>
      <w:spacing w:val="-14"/>
      <w:sz w:val="34"/>
      <w:szCs w:val="34"/>
    </w:rPr>
  </w:style>
  <w:style w:type="paragraph" w:customStyle="1" w:styleId="327">
    <w:name w:val="p20"/>
    <w:basedOn w:val="1"/>
    <w:qFormat/>
    <w:uiPriority w:val="0"/>
    <w:rPr>
      <w:sz w:val="20"/>
      <w:szCs w:val="20"/>
    </w:rPr>
  </w:style>
  <w:style w:type="paragraph" w:customStyle="1" w:styleId="328">
    <w:name w:val="标题4"/>
    <w:basedOn w:val="1"/>
    <w:next w:val="1"/>
    <w:qFormat/>
    <w:uiPriority w:val="0"/>
    <w:pPr>
      <w:keepNext/>
      <w:keepLines/>
    </w:pPr>
    <w:rPr>
      <w:sz w:val="28"/>
      <w:szCs w:val="28"/>
    </w:rPr>
  </w:style>
  <w:style w:type="paragraph" w:customStyle="1" w:styleId="329">
    <w:name w:val="Char Char10 Char Char Char Char"/>
    <w:basedOn w:val="1"/>
    <w:qFormat/>
    <w:uiPriority w:val="0"/>
    <w:pPr>
      <w:ind w:left="200" w:firstLine="200"/>
    </w:pPr>
    <w:rPr>
      <w:sz w:val="21"/>
      <w:szCs w:val="21"/>
    </w:rPr>
  </w:style>
  <w:style w:type="paragraph" w:customStyle="1" w:styleId="330">
    <w:name w:val="基准页眉样式"/>
    <w:basedOn w:val="1"/>
    <w:qFormat/>
    <w:uiPriority w:val="0"/>
    <w:pPr>
      <w:keepLines/>
      <w:tabs>
        <w:tab w:val="center" w:pos="-18551"/>
        <w:tab w:val="right" w:pos="4320"/>
      </w:tabs>
      <w:ind w:left="1080"/>
    </w:pPr>
    <w:rPr>
      <w:rFonts w:ascii="Arial" w:hAnsi="Arial" w:eastAsia="Arial"/>
      <w:spacing w:val="-4"/>
      <w:sz w:val="20"/>
      <w:szCs w:val="20"/>
    </w:rPr>
  </w:style>
  <w:style w:type="paragraph" w:customStyle="1" w:styleId="331">
    <w:name w:val="样式 样式 正文文字-1 + 首行缩进:  2.1 字符1 + 首行缩进:  2.1 字符"/>
    <w:basedOn w:val="139"/>
    <w:qFormat/>
    <w:uiPriority w:val="0"/>
    <w:rPr>
      <w:rFonts w:ascii="Calibri" w:hAnsi="Calibri"/>
    </w:rPr>
  </w:style>
  <w:style w:type="paragraph" w:customStyle="1" w:styleId="332">
    <w:name w:val="表格1"/>
    <w:basedOn w:val="1"/>
    <w:qFormat/>
    <w:uiPriority w:val="0"/>
    <w:pPr>
      <w:jc w:val="center"/>
      <w:textAlignment w:val="baseline"/>
    </w:pPr>
    <w:rPr>
      <w:sz w:val="20"/>
      <w:szCs w:val="20"/>
    </w:rPr>
  </w:style>
  <w:style w:type="paragraph" w:customStyle="1" w:styleId="333">
    <w:name w:val="xl26"/>
    <w:basedOn w:val="1"/>
    <w:qFormat/>
    <w:uiPriority w:val="0"/>
    <w:pPr>
      <w:jc w:val="center"/>
    </w:pPr>
    <w:rPr>
      <w:rFonts w:ascii="Arial Unicode MS" w:hAnsi="Arial Unicode MS" w:eastAsia="Arial Unicode MS"/>
      <w:sz w:val="21"/>
      <w:szCs w:val="21"/>
    </w:rPr>
  </w:style>
  <w:style w:type="paragraph" w:customStyle="1" w:styleId="334">
    <w:name w:val="样式23"/>
    <w:basedOn w:val="1"/>
    <w:qFormat/>
    <w:uiPriority w:val="0"/>
    <w:rPr>
      <w:rFonts w:ascii="黑体" w:hAnsi="黑体" w:eastAsia="黑体"/>
      <w:sz w:val="28"/>
      <w:szCs w:val="28"/>
    </w:rPr>
  </w:style>
  <w:style w:type="paragraph" w:customStyle="1" w:styleId="335">
    <w:name w:val="基准目录样式"/>
    <w:basedOn w:val="1"/>
    <w:qFormat/>
    <w:uiPriority w:val="0"/>
    <w:pPr>
      <w:tabs>
        <w:tab w:val="right" w:leader="dot" w:pos="-18551"/>
      </w:tabs>
      <w:ind w:left="1080"/>
    </w:pPr>
    <w:rPr>
      <w:rFonts w:ascii="Arial" w:hAnsi="Arial" w:eastAsia="Arial"/>
      <w:sz w:val="20"/>
      <w:szCs w:val="20"/>
    </w:rPr>
  </w:style>
  <w:style w:type="paragraph" w:customStyle="1" w:styleId="336">
    <w:name w:val="简单回函地址"/>
    <w:basedOn w:val="1"/>
    <w:qFormat/>
    <w:uiPriority w:val="0"/>
    <w:pPr>
      <w:ind w:left="1080"/>
    </w:pPr>
    <w:rPr>
      <w:sz w:val="20"/>
      <w:szCs w:val="20"/>
    </w:rPr>
  </w:style>
  <w:style w:type="paragraph" w:customStyle="1" w:styleId="337">
    <w:name w:val="15"/>
    <w:basedOn w:val="1"/>
    <w:qFormat/>
    <w:uiPriority w:val="0"/>
    <w:rPr>
      <w:rFonts w:ascii="宋体" w:hAnsi="宋体"/>
      <w:sz w:val="20"/>
      <w:szCs w:val="20"/>
    </w:rPr>
  </w:style>
  <w:style w:type="paragraph" w:customStyle="1" w:styleId="338">
    <w:name w:val="节标签"/>
    <w:basedOn w:val="248"/>
    <w:next w:val="20"/>
    <w:qFormat/>
    <w:uiPriority w:val="0"/>
    <w:rPr>
      <w:rFonts w:ascii="Times New Roman" w:hAnsi="Times New Roman" w:eastAsia="Times New Roman"/>
      <w:spacing w:val="-30"/>
      <w:sz w:val="60"/>
      <w:szCs w:val="60"/>
    </w:rPr>
  </w:style>
  <w:style w:type="paragraph" w:customStyle="1" w:styleId="339">
    <w:name w:val="00报告正文"/>
    <w:basedOn w:val="25"/>
    <w:qFormat/>
    <w:uiPriority w:val="0"/>
    <w:pPr>
      <w:ind w:firstLine="481"/>
    </w:pPr>
    <w:rPr>
      <w:rFonts w:ascii="仿宋_GB2312" w:hAnsi="仿宋_GB2312" w:eastAsia="仿宋_GB2312"/>
      <w:sz w:val="32"/>
      <w:szCs w:val="32"/>
    </w:rPr>
  </w:style>
  <w:style w:type="paragraph" w:customStyle="1" w:styleId="340">
    <w:name w:val="表标"/>
    <w:basedOn w:val="1"/>
    <w:next w:val="1"/>
    <w:qFormat/>
    <w:uiPriority w:val="0"/>
    <w:pPr>
      <w:keepNext/>
      <w:keepLines/>
      <w:autoSpaceDE w:val="0"/>
      <w:autoSpaceDN w:val="0"/>
      <w:jc w:val="center"/>
      <w:textAlignment w:val="baseline"/>
    </w:pPr>
    <w:rPr>
      <w:rFonts w:ascii="黑体" w:hAnsi="黑体" w:eastAsia="黑体"/>
      <w:color w:val="000000"/>
      <w:sz w:val="20"/>
      <w:szCs w:val="20"/>
    </w:rPr>
  </w:style>
  <w:style w:type="paragraph" w:customStyle="1" w:styleId="341">
    <w:name w:val="正文小四首缩1.3行距"/>
    <w:basedOn w:val="1"/>
    <w:qFormat/>
    <w:uiPriority w:val="0"/>
    <w:pPr>
      <w:ind w:firstLine="420"/>
    </w:pPr>
    <w:rPr>
      <w:sz w:val="20"/>
      <w:szCs w:val="20"/>
    </w:rPr>
  </w:style>
  <w:style w:type="paragraph" w:customStyle="1" w:styleId="342">
    <w:name w:val="Char Char1 Char Char Char Char1"/>
    <w:basedOn w:val="2"/>
    <w:qFormat/>
    <w:uiPriority w:val="0"/>
    <w:pPr>
      <w:keepNext/>
      <w:keepLines/>
      <w:tabs>
        <w:tab w:val="left" w:pos="420"/>
      </w:tabs>
      <w:ind w:left="420" w:hanging="420"/>
      <w:jc w:val="both"/>
    </w:pPr>
    <w:rPr>
      <w:sz w:val="24"/>
      <w:szCs w:val="24"/>
    </w:rPr>
  </w:style>
  <w:style w:type="paragraph" w:customStyle="1" w:styleId="343">
    <w:name w:val="正文文本 21"/>
    <w:basedOn w:val="1"/>
    <w:qFormat/>
    <w:uiPriority w:val="0"/>
    <w:pPr>
      <w:ind w:firstLine="480"/>
    </w:pPr>
    <w:rPr>
      <w:sz w:val="20"/>
      <w:szCs w:val="20"/>
    </w:rPr>
  </w:style>
  <w:style w:type="paragraph" w:customStyle="1" w:styleId="344">
    <w:name w:val="公司名"/>
    <w:qFormat/>
    <w:uiPriority w:val="0"/>
    <w:rPr>
      <w:rFonts w:ascii="Times New Roman" w:hAnsi="Times New Roman" w:eastAsia="宋体" w:cs="Times New Roman"/>
      <w:lang w:val="en-US" w:eastAsia="zh-CN" w:bidi="ar-SA"/>
    </w:rPr>
  </w:style>
  <w:style w:type="paragraph" w:customStyle="1" w:styleId="345">
    <w:name w:val="文档标签"/>
    <w:basedOn w:val="248"/>
    <w:next w:val="20"/>
    <w:qFormat/>
    <w:uiPriority w:val="0"/>
    <w:rPr>
      <w:rFonts w:ascii="Times New Roman" w:hAnsi="Times New Roman" w:eastAsia="Times New Roman"/>
      <w:spacing w:val="-30"/>
      <w:sz w:val="60"/>
      <w:szCs w:val="60"/>
    </w:rPr>
  </w:style>
  <w:style w:type="paragraph" w:customStyle="1" w:styleId="346">
    <w:name w:val="样式 首行缩进:  2 字符10"/>
    <w:basedOn w:val="1"/>
    <w:qFormat/>
    <w:uiPriority w:val="0"/>
    <w:pPr>
      <w:ind w:firstLine="560"/>
    </w:pPr>
    <w:rPr>
      <w:rFonts w:ascii="宋体" w:hAnsi="宋体"/>
      <w:sz w:val="20"/>
      <w:szCs w:val="20"/>
    </w:rPr>
  </w:style>
  <w:style w:type="paragraph" w:customStyle="1" w:styleId="347">
    <w:name w:val="style8"/>
    <w:basedOn w:val="1"/>
    <w:qFormat/>
    <w:uiPriority w:val="0"/>
    <w:rPr>
      <w:rFonts w:ascii="宋体" w:hAnsi="宋体"/>
      <w:color w:val="FF00FF"/>
      <w:sz w:val="20"/>
      <w:szCs w:val="20"/>
    </w:rPr>
  </w:style>
  <w:style w:type="paragraph" w:customStyle="1" w:styleId="348">
    <w:name w:val="3"/>
    <w:basedOn w:val="1"/>
    <w:next w:val="14"/>
    <w:qFormat/>
    <w:uiPriority w:val="0"/>
    <w:pPr>
      <w:ind w:firstLine="420"/>
    </w:pPr>
    <w:rPr>
      <w:rFonts w:ascii="宋体" w:hAnsi="宋体"/>
      <w:sz w:val="20"/>
      <w:szCs w:val="20"/>
    </w:rPr>
  </w:style>
  <w:style w:type="paragraph" w:customStyle="1" w:styleId="349">
    <w:name w:val="表号"/>
    <w:qFormat/>
    <w:uiPriority w:val="0"/>
    <w:pPr>
      <w:jc w:val="both"/>
    </w:pPr>
    <w:rPr>
      <w:rFonts w:ascii="宋体" w:hAnsi="宋体" w:eastAsia="宋体" w:cs="Times New Roman"/>
      <w:sz w:val="21"/>
      <w:szCs w:val="21"/>
      <w:lang w:val="en-US" w:eastAsia="zh-CN" w:bidi="ar-SA"/>
    </w:rPr>
  </w:style>
  <w:style w:type="paragraph" w:customStyle="1" w:styleId="350">
    <w:name w:val="章节副题目"/>
    <w:basedOn w:val="247"/>
    <w:next w:val="20"/>
    <w:qFormat/>
    <w:uiPriority w:val="0"/>
    <w:rPr>
      <w:i/>
      <w:spacing w:val="-14"/>
      <w:sz w:val="34"/>
      <w:szCs w:val="34"/>
    </w:rPr>
  </w:style>
  <w:style w:type="paragraph" w:customStyle="1" w:styleId="351">
    <w:name w:val="正文内容"/>
    <w:basedOn w:val="1"/>
    <w:qFormat/>
    <w:uiPriority w:val="0"/>
    <w:pPr>
      <w:ind w:firstLine="480"/>
    </w:pPr>
    <w:rPr>
      <w:rFonts w:ascii="宋体" w:hAnsi="宋体"/>
      <w:color w:val="000000"/>
      <w:sz w:val="20"/>
      <w:szCs w:val="20"/>
    </w:rPr>
  </w:style>
  <w:style w:type="paragraph" w:customStyle="1" w:styleId="352">
    <w:name w:val="样式1"/>
    <w:basedOn w:val="3"/>
    <w:qFormat/>
    <w:uiPriority w:val="0"/>
    <w:pPr>
      <w:keepNext/>
      <w:keepLines/>
    </w:pPr>
    <w:rPr>
      <w:rFonts w:ascii="Arial" w:hAnsi="Arial" w:eastAsia="Arial"/>
      <w:sz w:val="21"/>
      <w:szCs w:val="21"/>
    </w:rPr>
  </w:style>
  <w:style w:type="paragraph" w:customStyle="1" w:styleId="353">
    <w:name w:val="基准索引样式"/>
    <w:basedOn w:val="1"/>
    <w:qFormat/>
    <w:uiPriority w:val="0"/>
    <w:pPr>
      <w:ind w:left="360"/>
    </w:pPr>
    <w:rPr>
      <w:sz w:val="20"/>
      <w:szCs w:val="20"/>
    </w:rPr>
  </w:style>
  <w:style w:type="paragraph" w:customStyle="1" w:styleId="354">
    <w:name w:val="zg1"/>
    <w:basedOn w:val="21"/>
    <w:link w:val="497"/>
    <w:qFormat/>
    <w:uiPriority w:val="0"/>
    <w:pPr>
      <w:ind w:firstLine="425"/>
    </w:pPr>
    <w:rPr>
      <w:rFonts w:ascii="Times New Roman" w:hAnsi="Times New Roman" w:eastAsia="Times New Roman"/>
      <w:sz w:val="24"/>
      <w:szCs w:val="24"/>
    </w:rPr>
  </w:style>
  <w:style w:type="paragraph" w:customStyle="1" w:styleId="355">
    <w:name w:val="正文缩进快"/>
    <w:basedOn w:val="1"/>
    <w:qFormat/>
    <w:uiPriority w:val="0"/>
    <w:pPr>
      <w:ind w:firstLine="539"/>
    </w:pPr>
    <w:rPr>
      <w:sz w:val="28"/>
      <w:szCs w:val="28"/>
    </w:rPr>
  </w:style>
  <w:style w:type="paragraph" w:customStyle="1" w:styleId="356">
    <w:name w:val="0"/>
    <w:basedOn w:val="1"/>
    <w:qFormat/>
    <w:uiPriority w:val="0"/>
    <w:rPr>
      <w:sz w:val="21"/>
      <w:szCs w:val="21"/>
    </w:rPr>
  </w:style>
  <w:style w:type="paragraph" w:customStyle="1" w:styleId="357">
    <w:name w:val="CM5"/>
    <w:basedOn w:val="65"/>
    <w:next w:val="65"/>
    <w:qFormat/>
    <w:uiPriority w:val="0"/>
    <w:pPr>
      <w:autoSpaceDE/>
      <w:autoSpaceDN/>
    </w:pPr>
    <w:rPr>
      <w:rFonts w:ascii="宋体" w:hAnsi="宋体" w:eastAsia="Times New Roman"/>
      <w:sz w:val="20"/>
      <w:szCs w:val="20"/>
    </w:rPr>
  </w:style>
  <w:style w:type="paragraph" w:customStyle="1" w:styleId="358">
    <w:name w:val="回信地址"/>
    <w:basedOn w:val="1"/>
    <w:qFormat/>
    <w:uiPriority w:val="0"/>
    <w:pPr>
      <w:keepLines/>
      <w:ind w:left="1080"/>
    </w:pPr>
    <w:rPr>
      <w:sz w:val="15"/>
      <w:szCs w:val="15"/>
    </w:rPr>
  </w:style>
  <w:style w:type="paragraph" w:customStyle="1" w:styleId="359">
    <w:name w:val="首页页眉样式"/>
    <w:basedOn w:val="31"/>
    <w:qFormat/>
    <w:uiPriority w:val="0"/>
    <w:pPr>
      <w:keepLines/>
      <w:tabs>
        <w:tab w:val="center" w:pos="-18551"/>
        <w:tab w:val="left" w:pos="4153"/>
        <w:tab w:val="right" w:pos="4320"/>
        <w:tab w:val="left" w:pos="8306"/>
      </w:tabs>
      <w:ind w:left="1080"/>
    </w:pPr>
    <w:rPr>
      <w:rFonts w:ascii="Arial" w:hAnsi="Arial" w:eastAsia="Arial"/>
      <w:spacing w:val="-4"/>
      <w:sz w:val="20"/>
      <w:szCs w:val="20"/>
    </w:rPr>
  </w:style>
  <w:style w:type="paragraph" w:customStyle="1" w:styleId="360">
    <w:name w:val="封面正文"/>
    <w:qFormat/>
    <w:uiPriority w:val="0"/>
    <w:pPr>
      <w:jc w:val="both"/>
    </w:pPr>
    <w:rPr>
      <w:rFonts w:ascii="Times New Roman" w:hAnsi="Times New Roman" w:eastAsia="宋体" w:cs="Times New Roman"/>
      <w:lang w:val="en-US" w:eastAsia="zh-CN" w:bidi="ar-SA"/>
    </w:rPr>
  </w:style>
  <w:style w:type="paragraph" w:customStyle="1" w:styleId="361">
    <w:name w:val="p16"/>
    <w:basedOn w:val="1"/>
    <w:qFormat/>
    <w:uiPriority w:val="0"/>
    <w:rPr>
      <w:rFonts w:ascii="宋体" w:hAnsi="宋体"/>
      <w:sz w:val="20"/>
      <w:szCs w:val="20"/>
    </w:rPr>
  </w:style>
  <w:style w:type="paragraph" w:customStyle="1" w:styleId="362">
    <w:name w:val="偶页页眉样式"/>
    <w:basedOn w:val="31"/>
    <w:qFormat/>
    <w:uiPriority w:val="0"/>
    <w:pPr>
      <w:keepLines/>
      <w:tabs>
        <w:tab w:val="center" w:pos="-18551"/>
        <w:tab w:val="left" w:pos="4153"/>
        <w:tab w:val="right" w:pos="4320"/>
        <w:tab w:val="left" w:pos="8306"/>
      </w:tabs>
      <w:ind w:left="1080"/>
    </w:pPr>
    <w:rPr>
      <w:rFonts w:ascii="Arial" w:hAnsi="Arial" w:eastAsia="Arial"/>
      <w:spacing w:val="-4"/>
      <w:sz w:val="20"/>
      <w:szCs w:val="20"/>
    </w:rPr>
  </w:style>
  <w:style w:type="paragraph" w:customStyle="1" w:styleId="363">
    <w:name w:val="首行缩进"/>
    <w:basedOn w:val="1"/>
    <w:qFormat/>
    <w:uiPriority w:val="0"/>
    <w:pPr>
      <w:ind w:firstLine="200"/>
    </w:pPr>
    <w:rPr>
      <w:sz w:val="28"/>
      <w:szCs w:val="28"/>
    </w:rPr>
  </w:style>
  <w:style w:type="paragraph" w:customStyle="1" w:styleId="364">
    <w:name w:val="基准页脚样式"/>
    <w:basedOn w:val="1"/>
    <w:qFormat/>
    <w:uiPriority w:val="0"/>
    <w:pPr>
      <w:keepLines/>
      <w:ind w:left="1080"/>
    </w:pPr>
    <w:rPr>
      <w:sz w:val="18"/>
      <w:szCs w:val="18"/>
    </w:rPr>
  </w:style>
  <w:style w:type="paragraph" w:customStyle="1" w:styleId="365">
    <w:name w:val="报告书表格"/>
    <w:basedOn w:val="1"/>
    <w:qFormat/>
    <w:uiPriority w:val="0"/>
    <w:pPr>
      <w:jc w:val="center"/>
      <w:textAlignment w:val="baseline"/>
    </w:pPr>
    <w:rPr>
      <w:sz w:val="21"/>
      <w:szCs w:val="21"/>
    </w:rPr>
  </w:style>
  <w:style w:type="paragraph" w:customStyle="1" w:styleId="366">
    <w:name w:val="样式26"/>
    <w:basedOn w:val="1"/>
    <w:qFormat/>
    <w:uiPriority w:val="0"/>
    <w:rPr>
      <w:sz w:val="21"/>
      <w:szCs w:val="21"/>
    </w:rPr>
  </w:style>
  <w:style w:type="paragraph" w:customStyle="1" w:styleId="367">
    <w:name w:val="部分题目"/>
    <w:basedOn w:val="248"/>
    <w:next w:val="326"/>
    <w:qFormat/>
    <w:uiPriority w:val="0"/>
    <w:pPr>
      <w:ind w:right="2160"/>
    </w:pPr>
    <w:rPr>
      <w:rFonts w:ascii="Times New Roman" w:hAnsi="Times New Roman" w:eastAsia="Times New Roman"/>
      <w:spacing w:val="-40"/>
      <w:sz w:val="60"/>
      <w:szCs w:val="60"/>
    </w:rPr>
  </w:style>
  <w:style w:type="paragraph" w:customStyle="1" w:styleId="368">
    <w:name w:val="标题 4新"/>
    <w:basedOn w:val="1"/>
    <w:qFormat/>
    <w:uiPriority w:val="0"/>
    <w:pPr>
      <w:tabs>
        <w:tab w:val="left" w:pos="612"/>
      </w:tabs>
    </w:pPr>
    <w:rPr>
      <w:rFonts w:ascii="宋体" w:hAnsi="宋体"/>
      <w:sz w:val="20"/>
      <w:szCs w:val="20"/>
    </w:rPr>
  </w:style>
  <w:style w:type="paragraph" w:customStyle="1" w:styleId="369">
    <w:name w:val="样式6"/>
    <w:basedOn w:val="1"/>
    <w:qFormat/>
    <w:uiPriority w:val="0"/>
    <w:pPr>
      <w:jc w:val="center"/>
    </w:pPr>
    <w:rPr>
      <w:rFonts w:ascii="Arial" w:hAnsi="Arial" w:eastAsia="Arial"/>
      <w:sz w:val="20"/>
      <w:szCs w:val="20"/>
    </w:rPr>
  </w:style>
  <w:style w:type="paragraph" w:customStyle="1" w:styleId="370">
    <w:name w:val="段落1"/>
    <w:basedOn w:val="1"/>
    <w:qFormat/>
    <w:uiPriority w:val="0"/>
    <w:pPr>
      <w:ind w:firstLine="510"/>
      <w:textAlignment w:val="baseline"/>
    </w:pPr>
    <w:rPr>
      <w:spacing w:val="4"/>
      <w:sz w:val="20"/>
      <w:szCs w:val="20"/>
    </w:rPr>
  </w:style>
  <w:style w:type="paragraph" w:customStyle="1" w:styleId="371">
    <w:name w:val="Char1"/>
    <w:basedOn w:val="1"/>
    <w:qFormat/>
    <w:uiPriority w:val="0"/>
    <w:pPr>
      <w:ind w:firstLine="200"/>
    </w:pPr>
    <w:rPr>
      <w:rFonts w:ascii="宋体" w:hAnsi="宋体"/>
      <w:sz w:val="20"/>
      <w:szCs w:val="20"/>
    </w:rPr>
  </w:style>
  <w:style w:type="paragraph" w:customStyle="1" w:styleId="372">
    <w:name w:val="样式2"/>
    <w:basedOn w:val="3"/>
    <w:qFormat/>
    <w:uiPriority w:val="0"/>
    <w:rPr>
      <w:color w:val="000000"/>
      <w:szCs w:val="30"/>
    </w:rPr>
  </w:style>
  <w:style w:type="paragraph" w:customStyle="1" w:styleId="373">
    <w:name w:val="样式5"/>
    <w:basedOn w:val="4"/>
    <w:qFormat/>
    <w:uiPriority w:val="0"/>
    <w:rPr>
      <w:rFonts w:ascii="宋体" w:hAnsi="宋体" w:eastAsia="黑体"/>
      <w:b w:val="0"/>
      <w:szCs w:val="28"/>
    </w:rPr>
  </w:style>
  <w:style w:type="paragraph" w:customStyle="1" w:styleId="374">
    <w:name w:val="日期1"/>
    <w:basedOn w:val="1"/>
    <w:next w:val="1"/>
    <w:qFormat/>
    <w:uiPriority w:val="0"/>
    <w:pPr>
      <w:ind w:firstLine="590"/>
      <w:textAlignment w:val="baseline"/>
    </w:pPr>
    <w:rPr>
      <w:rFonts w:ascii="宋体" w:hAnsi="宋体" w:eastAsia="楷体_GB2312"/>
      <w:b/>
      <w:sz w:val="28"/>
      <w:szCs w:val="28"/>
    </w:rPr>
  </w:style>
  <w:style w:type="paragraph" w:customStyle="1" w:styleId="375">
    <w:name w:val="默认段落字体 Para Char Char Char Char Char Char Char"/>
    <w:basedOn w:val="1"/>
    <w:qFormat/>
    <w:uiPriority w:val="0"/>
    <w:pPr>
      <w:textAlignment w:val="baseline"/>
    </w:pPr>
    <w:rPr>
      <w:sz w:val="20"/>
      <w:szCs w:val="20"/>
    </w:rPr>
  </w:style>
  <w:style w:type="paragraph" w:customStyle="1" w:styleId="376">
    <w:name w:val="Char1 Char Char Char"/>
    <w:basedOn w:val="1"/>
    <w:qFormat/>
    <w:uiPriority w:val="0"/>
    <w:pPr>
      <w:ind w:firstLine="529"/>
    </w:pPr>
    <w:rPr>
      <w:sz w:val="21"/>
      <w:szCs w:val="21"/>
    </w:rPr>
  </w:style>
  <w:style w:type="paragraph" w:customStyle="1" w:styleId="377">
    <w:name w:val="段落"/>
    <w:basedOn w:val="1"/>
    <w:qFormat/>
    <w:uiPriority w:val="0"/>
    <w:pPr>
      <w:ind w:firstLine="560"/>
    </w:pPr>
    <w:rPr>
      <w:sz w:val="28"/>
      <w:szCs w:val="28"/>
    </w:rPr>
  </w:style>
  <w:style w:type="paragraph" w:customStyle="1" w:styleId="378">
    <w:name w:val="正文12"/>
    <w:qFormat/>
    <w:uiPriority w:val="0"/>
    <w:pPr>
      <w:textAlignment w:val="baseline"/>
    </w:pPr>
    <w:rPr>
      <w:rFonts w:ascii="宋体" w:hAnsi="宋体" w:eastAsia="Times New Roman" w:cs="Times New Roman"/>
      <w:sz w:val="24"/>
      <w:szCs w:val="24"/>
      <w:lang w:val="en-US" w:eastAsia="zh-CN" w:bidi="ar-SA"/>
    </w:rPr>
  </w:style>
  <w:style w:type="paragraph" w:customStyle="1" w:styleId="379">
    <w:name w:val="样式 四号 首行缩进:  2 字符"/>
    <w:basedOn w:val="1"/>
    <w:qFormat/>
    <w:uiPriority w:val="0"/>
    <w:pPr>
      <w:ind w:firstLine="200"/>
    </w:pPr>
    <w:rPr>
      <w:sz w:val="20"/>
      <w:szCs w:val="20"/>
    </w:rPr>
  </w:style>
  <w:style w:type="paragraph" w:customStyle="1" w:styleId="380">
    <w:name w:val="表"/>
    <w:basedOn w:val="1"/>
    <w:qFormat/>
    <w:uiPriority w:val="0"/>
    <w:rPr>
      <w:sz w:val="20"/>
      <w:szCs w:val="20"/>
    </w:rPr>
  </w:style>
  <w:style w:type="paragraph" w:customStyle="1" w:styleId="381">
    <w:name w:val="样式4"/>
    <w:basedOn w:val="14"/>
    <w:qFormat/>
    <w:uiPriority w:val="0"/>
    <w:pPr>
      <w:ind w:firstLine="0"/>
    </w:pPr>
    <w:rPr>
      <w:rFonts w:ascii="Arial" w:hAnsi="Arial" w:eastAsia="Arial"/>
      <w:sz w:val="24"/>
      <w:szCs w:val="24"/>
    </w:rPr>
  </w:style>
  <w:style w:type="paragraph" w:customStyle="1" w:styleId="382">
    <w:name w:val="样式 左侧:  -0.52 厘米 悬挂缩进: 3.42 字符"/>
    <w:basedOn w:val="1"/>
    <w:qFormat/>
    <w:uiPriority w:val="0"/>
    <w:pPr>
      <w:textAlignment w:val="baseline"/>
    </w:pPr>
    <w:rPr>
      <w:sz w:val="21"/>
      <w:szCs w:val="21"/>
    </w:rPr>
  </w:style>
  <w:style w:type="paragraph" w:customStyle="1" w:styleId="383">
    <w:name w:val="内部地址姓名"/>
    <w:basedOn w:val="1"/>
    <w:qFormat/>
    <w:uiPriority w:val="0"/>
    <w:pPr>
      <w:ind w:left="1080"/>
    </w:pPr>
    <w:rPr>
      <w:sz w:val="20"/>
      <w:szCs w:val="20"/>
    </w:rPr>
  </w:style>
  <w:style w:type="paragraph" w:customStyle="1" w:styleId="384">
    <w:name w:val="书正文"/>
    <w:basedOn w:val="1"/>
    <w:qFormat/>
    <w:uiPriority w:val="0"/>
    <w:pPr>
      <w:ind w:firstLine="200"/>
    </w:pPr>
    <w:rPr>
      <w:sz w:val="28"/>
      <w:szCs w:val="28"/>
    </w:rPr>
  </w:style>
  <w:style w:type="paragraph" w:customStyle="1" w:styleId="385">
    <w:name w:val="Table Paragraph"/>
    <w:basedOn w:val="1"/>
    <w:qFormat/>
    <w:uiPriority w:val="0"/>
    <w:pPr>
      <w:autoSpaceDE w:val="0"/>
      <w:autoSpaceDN w:val="0"/>
    </w:pPr>
    <w:rPr>
      <w:sz w:val="20"/>
      <w:szCs w:val="20"/>
    </w:rPr>
  </w:style>
  <w:style w:type="paragraph" w:customStyle="1" w:styleId="386">
    <w:name w:val="块引用"/>
    <w:basedOn w:val="20"/>
    <w:qFormat/>
    <w:uiPriority w:val="0"/>
    <w:pPr>
      <w:keepLines/>
      <w:ind w:left="1440" w:right="720"/>
    </w:pPr>
    <w:rPr>
      <w:i/>
      <w:sz w:val="20"/>
      <w:szCs w:val="20"/>
    </w:rPr>
  </w:style>
  <w:style w:type="character" w:customStyle="1" w:styleId="387">
    <w:name w:val="Comment Text Char"/>
    <w:semiHidden/>
    <w:qFormat/>
    <w:uiPriority w:val="0"/>
    <w:rPr>
      <w:rFonts w:ascii="Times New Roman" w:hAnsi="Times New Roman" w:eastAsia="Times New Roman"/>
      <w:w w:val="100"/>
      <w:sz w:val="20"/>
      <w:szCs w:val="20"/>
      <w:shd w:val="clear" w:color="auto" w:fill="auto"/>
    </w:rPr>
  </w:style>
  <w:style w:type="character" w:customStyle="1" w:styleId="388">
    <w:name w:val="正文文字 Char Char2"/>
    <w:qFormat/>
    <w:uiPriority w:val="0"/>
    <w:rPr>
      <w:rFonts w:ascii="宋体" w:hAnsi="宋体" w:eastAsia="宋体"/>
      <w:w w:val="100"/>
      <w:sz w:val="21"/>
      <w:szCs w:val="21"/>
      <w:shd w:val="clear" w:color="auto" w:fill="auto"/>
    </w:rPr>
  </w:style>
  <w:style w:type="character" w:customStyle="1" w:styleId="389">
    <w:name w:val="正文00 Char Char"/>
    <w:link w:val="133"/>
    <w:qFormat/>
    <w:uiPriority w:val="0"/>
    <w:rPr>
      <w:w w:val="100"/>
      <w:sz w:val="24"/>
      <w:szCs w:val="24"/>
      <w:shd w:val="clear" w:color="auto" w:fill="auto"/>
    </w:rPr>
  </w:style>
  <w:style w:type="character" w:customStyle="1" w:styleId="390">
    <w:name w:val="Char Char22"/>
    <w:qFormat/>
    <w:uiPriority w:val="0"/>
    <w:rPr>
      <w:rFonts w:ascii="宋体" w:hAnsi="宋体" w:eastAsia="宋体"/>
      <w:b/>
      <w:w w:val="100"/>
      <w:sz w:val="44"/>
      <w:szCs w:val="44"/>
      <w:shd w:val="clear" w:color="auto" w:fill="auto"/>
    </w:rPr>
  </w:style>
  <w:style w:type="character" w:customStyle="1" w:styleId="391">
    <w:name w:val="纯文本 Char Char"/>
    <w:qFormat/>
    <w:uiPriority w:val="0"/>
    <w:rPr>
      <w:rFonts w:ascii="宋体" w:hAnsi="宋体" w:eastAsia="宋体"/>
      <w:w w:val="100"/>
      <w:sz w:val="24"/>
      <w:szCs w:val="24"/>
      <w:shd w:val="clear" w:color="auto" w:fill="auto"/>
    </w:rPr>
  </w:style>
  <w:style w:type="character" w:customStyle="1" w:styleId="392">
    <w:name w:val="正文（首行缩进两字） Char"/>
    <w:qFormat/>
    <w:uiPriority w:val="0"/>
    <w:rPr>
      <w:rFonts w:ascii="宋体" w:hAnsi="宋体" w:eastAsia="宋体"/>
      <w:w w:val="100"/>
      <w:sz w:val="21"/>
      <w:szCs w:val="21"/>
      <w:shd w:val="clear" w:color="auto" w:fill="auto"/>
    </w:rPr>
  </w:style>
  <w:style w:type="character" w:customStyle="1" w:styleId="393">
    <w:name w:val="Char Char19"/>
    <w:qFormat/>
    <w:uiPriority w:val="0"/>
    <w:rPr>
      <w:rFonts w:ascii="Arial" w:hAnsi="Arial" w:eastAsia="黑体"/>
      <w:b/>
      <w:w w:val="100"/>
      <w:sz w:val="32"/>
      <w:szCs w:val="32"/>
      <w:shd w:val="clear" w:color="auto" w:fill="auto"/>
    </w:rPr>
  </w:style>
  <w:style w:type="character" w:customStyle="1" w:styleId="394">
    <w:name w:val="Char Char20"/>
    <w:qFormat/>
    <w:uiPriority w:val="0"/>
    <w:rPr>
      <w:rFonts w:ascii="Arial" w:hAnsi="Arial" w:eastAsia="黑体"/>
      <w:b/>
      <w:w w:val="100"/>
      <w:sz w:val="32"/>
      <w:szCs w:val="32"/>
      <w:shd w:val="clear" w:color="auto" w:fill="auto"/>
    </w:rPr>
  </w:style>
  <w:style w:type="character" w:customStyle="1" w:styleId="395">
    <w:name w:val="无间隔 Char Char"/>
    <w:qFormat/>
    <w:uiPriority w:val="0"/>
    <w:rPr>
      <w:rFonts w:ascii="Calibri" w:hAnsi="Calibri" w:eastAsia="宋体"/>
      <w:w w:val="100"/>
      <w:sz w:val="22"/>
      <w:szCs w:val="22"/>
      <w:shd w:val="clear" w:color="auto" w:fill="auto"/>
    </w:rPr>
  </w:style>
  <w:style w:type="paragraph" w:customStyle="1" w:styleId="396">
    <w:name w:val="Char Char Char Char Char Char Char Char Char Char Char Char Char Char Char Char Char Char Char Char Char Char1"/>
    <w:basedOn w:val="1"/>
    <w:qFormat/>
    <w:uiPriority w:val="0"/>
    <w:rPr>
      <w:sz w:val="21"/>
      <w:szCs w:val="21"/>
    </w:rPr>
  </w:style>
  <w:style w:type="paragraph" w:customStyle="1" w:styleId="397">
    <w:name w:val="表中"/>
    <w:qFormat/>
    <w:uiPriority w:val="0"/>
    <w:pPr>
      <w:jc w:val="center"/>
    </w:pPr>
    <w:rPr>
      <w:rFonts w:ascii="Times New Roman" w:hAnsi="Times New Roman" w:eastAsia="宋体" w:cs="Times New Roman"/>
      <w:sz w:val="21"/>
      <w:szCs w:val="21"/>
      <w:lang w:val="en-US" w:eastAsia="zh-CN" w:bidi="ar-SA"/>
    </w:rPr>
  </w:style>
  <w:style w:type="character" w:customStyle="1" w:styleId="398">
    <w:name w:val="Char Char23"/>
    <w:qFormat/>
    <w:uiPriority w:val="0"/>
    <w:rPr>
      <w:rFonts w:ascii="宋体" w:hAnsi="宋体" w:eastAsia="宋体"/>
      <w:b/>
      <w:w w:val="100"/>
      <w:sz w:val="44"/>
      <w:szCs w:val="44"/>
      <w:shd w:val="clear" w:color="auto" w:fill="auto"/>
    </w:rPr>
  </w:style>
  <w:style w:type="character" w:customStyle="1" w:styleId="399">
    <w:name w:val="Char Char121"/>
    <w:qFormat/>
    <w:uiPriority w:val="0"/>
    <w:rPr>
      <w:rFonts w:ascii="宋体" w:hAnsi="宋体" w:eastAsia="宋体"/>
      <w:b/>
      <w:w w:val="100"/>
      <w:sz w:val="32"/>
      <w:szCs w:val="32"/>
      <w:shd w:val="clear" w:color="auto" w:fill="auto"/>
    </w:rPr>
  </w:style>
  <w:style w:type="character" w:customStyle="1" w:styleId="400">
    <w:name w:val="Char Char Char Char Char Char1"/>
    <w:link w:val="78"/>
    <w:qFormat/>
    <w:uiPriority w:val="0"/>
    <w:rPr>
      <w:rFonts w:ascii="宋体" w:hAnsi="宋体" w:eastAsia="宋体"/>
      <w:w w:val="100"/>
      <w:sz w:val="24"/>
      <w:szCs w:val="24"/>
      <w:shd w:val="clear" w:color="auto" w:fill="auto"/>
    </w:rPr>
  </w:style>
  <w:style w:type="character" w:customStyle="1" w:styleId="401">
    <w:name w:val="Char Char51"/>
    <w:qFormat/>
    <w:uiPriority w:val="0"/>
    <w:rPr>
      <w:w w:val="100"/>
      <w:sz w:val="18"/>
      <w:szCs w:val="18"/>
      <w:shd w:val="clear" w:color="auto" w:fill="auto"/>
    </w:rPr>
  </w:style>
  <w:style w:type="character" w:customStyle="1" w:styleId="402">
    <w:name w:val="Char Char61"/>
    <w:qFormat/>
    <w:uiPriority w:val="0"/>
    <w:rPr>
      <w:w w:val="100"/>
      <w:sz w:val="18"/>
      <w:szCs w:val="18"/>
      <w:shd w:val="clear" w:color="auto" w:fill="auto"/>
    </w:rPr>
  </w:style>
  <w:style w:type="character" w:customStyle="1" w:styleId="403">
    <w:name w:val="Char Char211"/>
    <w:qFormat/>
    <w:uiPriority w:val="0"/>
    <w:rPr>
      <w:rFonts w:ascii="宋体" w:hAnsi="宋体" w:eastAsia="宋体"/>
      <w:w w:val="100"/>
      <w:sz w:val="18"/>
      <w:szCs w:val="18"/>
      <w:shd w:val="clear" w:color="auto" w:fill="auto"/>
    </w:rPr>
  </w:style>
  <w:style w:type="character" w:customStyle="1" w:styleId="404">
    <w:name w:val="标题11"/>
    <w:qFormat/>
    <w:uiPriority w:val="0"/>
    <w:rPr>
      <w:rFonts w:ascii="宋体" w:hAnsi="宋体" w:eastAsia="宋体"/>
      <w:w w:val="100"/>
      <w:sz w:val="24"/>
      <w:szCs w:val="24"/>
      <w:shd w:val="clear" w:color="auto" w:fill="auto"/>
    </w:rPr>
  </w:style>
  <w:style w:type="character" w:customStyle="1" w:styleId="405">
    <w:name w:val="Char Char71"/>
    <w:qFormat/>
    <w:uiPriority w:val="0"/>
    <w:rPr>
      <w:rFonts w:ascii="Cambria" w:hAnsi="Cambria" w:eastAsia="Times New Roman"/>
      <w:b/>
      <w:w w:val="100"/>
      <w:sz w:val="28"/>
      <w:szCs w:val="28"/>
      <w:shd w:val="clear" w:color="auto" w:fill="auto"/>
    </w:rPr>
  </w:style>
  <w:style w:type="character" w:customStyle="1" w:styleId="406">
    <w:name w:val="Char Char131"/>
    <w:qFormat/>
    <w:uiPriority w:val="0"/>
    <w:rPr>
      <w:rFonts w:ascii="Arial" w:hAnsi="Arial" w:eastAsia="黑体"/>
      <w:b/>
      <w:w w:val="100"/>
      <w:sz w:val="32"/>
      <w:szCs w:val="32"/>
      <w:shd w:val="clear" w:color="auto" w:fill="auto"/>
    </w:rPr>
  </w:style>
  <w:style w:type="character" w:customStyle="1" w:styleId="407">
    <w:name w:val="Char Char111"/>
    <w:qFormat/>
    <w:uiPriority w:val="0"/>
    <w:rPr>
      <w:rFonts w:ascii="宋体" w:hAnsi="宋体" w:eastAsia="宋体"/>
      <w:b/>
      <w:w w:val="100"/>
      <w:sz w:val="24"/>
      <w:szCs w:val="24"/>
      <w:shd w:val="clear" w:color="auto" w:fill="auto"/>
    </w:rPr>
  </w:style>
  <w:style w:type="character" w:customStyle="1" w:styleId="408">
    <w:name w:val="Char Char141"/>
    <w:qFormat/>
    <w:uiPriority w:val="0"/>
    <w:rPr>
      <w:rFonts w:ascii="宋体" w:hAnsi="宋体" w:eastAsia="宋体"/>
      <w:b/>
      <w:w w:val="100"/>
      <w:sz w:val="44"/>
      <w:szCs w:val="44"/>
      <w:shd w:val="clear" w:color="auto" w:fill="auto"/>
    </w:rPr>
  </w:style>
  <w:style w:type="character" w:customStyle="1" w:styleId="409">
    <w:name w:val="纯文本 Char1"/>
    <w:semiHidden/>
    <w:qFormat/>
    <w:uiPriority w:val="0"/>
    <w:rPr>
      <w:rFonts w:ascii="宋体" w:hAnsi="宋体" w:eastAsia="Courier New"/>
      <w:w w:val="100"/>
      <w:sz w:val="20"/>
      <w:szCs w:val="20"/>
      <w:shd w:val="clear" w:color="auto" w:fill="auto"/>
    </w:rPr>
  </w:style>
  <w:style w:type="character" w:customStyle="1" w:styleId="410">
    <w:name w:val="正文文本 Char2"/>
    <w:semiHidden/>
    <w:qFormat/>
    <w:uiPriority w:val="0"/>
  </w:style>
  <w:style w:type="paragraph" w:customStyle="1" w:styleId="411">
    <w:name w:val="列出段落11"/>
    <w:basedOn w:val="1"/>
    <w:qFormat/>
    <w:uiPriority w:val="0"/>
    <w:pPr>
      <w:ind w:firstLine="420"/>
    </w:pPr>
    <w:rPr>
      <w:rFonts w:ascii="Calibri" w:hAnsi="Calibri" w:eastAsia="Calibri"/>
      <w:sz w:val="21"/>
      <w:szCs w:val="21"/>
    </w:rPr>
  </w:style>
  <w:style w:type="character" w:customStyle="1" w:styleId="412">
    <w:name w:val="页眉 Char1"/>
    <w:semiHidden/>
    <w:qFormat/>
    <w:uiPriority w:val="0"/>
    <w:rPr>
      <w:w w:val="100"/>
      <w:sz w:val="18"/>
      <w:szCs w:val="18"/>
      <w:shd w:val="clear" w:color="auto" w:fill="auto"/>
    </w:rPr>
  </w:style>
  <w:style w:type="paragraph" w:customStyle="1" w:styleId="413">
    <w:name w:val="Char Char1 Char Char Char Char Char Char1"/>
    <w:basedOn w:val="1"/>
    <w:qFormat/>
    <w:uiPriority w:val="0"/>
    <w:rPr>
      <w:sz w:val="21"/>
      <w:szCs w:val="21"/>
    </w:rPr>
  </w:style>
  <w:style w:type="character" w:customStyle="1" w:styleId="414">
    <w:name w:val="正文文本缩进 Char1"/>
    <w:semiHidden/>
    <w:qFormat/>
    <w:uiPriority w:val="0"/>
  </w:style>
  <w:style w:type="character" w:customStyle="1" w:styleId="415">
    <w:name w:val="批注文字 Char1"/>
    <w:semiHidden/>
    <w:qFormat/>
    <w:uiPriority w:val="0"/>
  </w:style>
  <w:style w:type="character" w:customStyle="1" w:styleId="416">
    <w:name w:val="正文文本缩进 2 Char"/>
    <w:link w:val="28"/>
    <w:qFormat/>
    <w:uiPriority w:val="0"/>
    <w:rPr>
      <w:rFonts w:ascii="仿宋_GB2312" w:hAnsi="仿宋_GB2312" w:eastAsia="仿宋_GB2312"/>
      <w:w w:val="100"/>
      <w:sz w:val="24"/>
      <w:szCs w:val="24"/>
      <w:shd w:val="clear" w:color="auto" w:fill="auto"/>
    </w:rPr>
  </w:style>
  <w:style w:type="character" w:customStyle="1" w:styleId="417">
    <w:name w:val="页脚 Char1"/>
    <w:semiHidden/>
    <w:qFormat/>
    <w:uiPriority w:val="0"/>
    <w:rPr>
      <w:w w:val="100"/>
      <w:sz w:val="18"/>
      <w:szCs w:val="18"/>
      <w:shd w:val="clear" w:color="auto" w:fill="auto"/>
    </w:rPr>
  </w:style>
  <w:style w:type="paragraph" w:customStyle="1" w:styleId="418">
    <w:name w:val="正文文本缩进11"/>
    <w:basedOn w:val="1"/>
    <w:qFormat/>
    <w:uiPriority w:val="0"/>
    <w:pPr>
      <w:ind w:firstLine="480"/>
    </w:pPr>
    <w:rPr>
      <w:sz w:val="20"/>
      <w:szCs w:val="20"/>
    </w:rPr>
  </w:style>
  <w:style w:type="paragraph" w:customStyle="1" w:styleId="419">
    <w:name w:val="Char Char10 Char Char Char Char1"/>
    <w:basedOn w:val="1"/>
    <w:qFormat/>
    <w:uiPriority w:val="0"/>
    <w:pPr>
      <w:ind w:left="200" w:firstLine="200"/>
    </w:pPr>
    <w:rPr>
      <w:sz w:val="21"/>
      <w:szCs w:val="21"/>
    </w:rPr>
  </w:style>
  <w:style w:type="paragraph" w:customStyle="1" w:styleId="420">
    <w:name w:val="正文文本 211"/>
    <w:basedOn w:val="1"/>
    <w:qFormat/>
    <w:uiPriority w:val="0"/>
    <w:pPr>
      <w:ind w:firstLine="480"/>
    </w:pPr>
    <w:rPr>
      <w:sz w:val="20"/>
      <w:szCs w:val="20"/>
    </w:rPr>
  </w:style>
  <w:style w:type="paragraph" w:customStyle="1" w:styleId="421">
    <w:name w:val="Char12"/>
    <w:basedOn w:val="1"/>
    <w:qFormat/>
    <w:uiPriority w:val="0"/>
    <w:pPr>
      <w:ind w:firstLine="200"/>
    </w:pPr>
    <w:rPr>
      <w:rFonts w:ascii="宋体" w:hAnsi="宋体"/>
      <w:sz w:val="20"/>
      <w:szCs w:val="20"/>
    </w:rPr>
  </w:style>
  <w:style w:type="paragraph" w:customStyle="1" w:styleId="422">
    <w:name w:val="日期11"/>
    <w:basedOn w:val="1"/>
    <w:next w:val="1"/>
    <w:qFormat/>
    <w:uiPriority w:val="0"/>
    <w:pPr>
      <w:ind w:firstLine="590"/>
      <w:textAlignment w:val="baseline"/>
    </w:pPr>
    <w:rPr>
      <w:rFonts w:ascii="宋体" w:hAnsi="宋体" w:eastAsia="楷体_GB2312"/>
      <w:b/>
      <w:sz w:val="28"/>
      <w:szCs w:val="28"/>
    </w:rPr>
  </w:style>
  <w:style w:type="paragraph" w:customStyle="1" w:styleId="423">
    <w:name w:val="Char1 Char Char Char1"/>
    <w:basedOn w:val="1"/>
    <w:qFormat/>
    <w:uiPriority w:val="0"/>
    <w:pPr>
      <w:ind w:firstLine="529"/>
    </w:pPr>
    <w:rPr>
      <w:sz w:val="21"/>
      <w:szCs w:val="21"/>
    </w:rPr>
  </w:style>
  <w:style w:type="character" w:customStyle="1" w:styleId="424">
    <w:name w:val="【正文】 Char"/>
    <w:link w:val="77"/>
    <w:qFormat/>
    <w:uiPriority w:val="0"/>
    <w:rPr>
      <w:w w:val="100"/>
      <w:sz w:val="20"/>
      <w:szCs w:val="20"/>
      <w:shd w:val="clear" w:color="auto" w:fill="auto"/>
    </w:rPr>
  </w:style>
  <w:style w:type="character" w:customStyle="1" w:styleId="425">
    <w:name w:val="【表中文字】 Char Char"/>
    <w:link w:val="88"/>
    <w:qFormat/>
    <w:uiPriority w:val="0"/>
    <w:rPr>
      <w:w w:val="100"/>
      <w:sz w:val="20"/>
      <w:szCs w:val="20"/>
      <w:shd w:val="clear" w:color="auto" w:fill="auto"/>
    </w:rPr>
  </w:style>
  <w:style w:type="paragraph" w:customStyle="1" w:styleId="426">
    <w:name w:val="表格式"/>
    <w:basedOn w:val="38"/>
    <w:qFormat/>
    <w:uiPriority w:val="0"/>
    <w:rPr>
      <w:rFonts w:ascii="宋体" w:hAnsi="宋体" w:eastAsia="宋体"/>
      <w:sz w:val="21"/>
      <w:szCs w:val="21"/>
    </w:rPr>
  </w:style>
  <w:style w:type="paragraph" w:customStyle="1" w:styleId="427">
    <w:name w:val="正文文字-1 Char"/>
    <w:link w:val="428"/>
    <w:qFormat/>
    <w:uiPriority w:val="0"/>
    <w:pPr>
      <w:ind w:firstLine="588"/>
      <w:jc w:val="both"/>
    </w:pPr>
    <w:rPr>
      <w:rFonts w:ascii="Times New Roman" w:hAnsi="Times New Roman" w:eastAsia="宋体" w:cs="Times New Roman"/>
      <w:sz w:val="24"/>
      <w:szCs w:val="24"/>
      <w:lang w:val="en-US" w:eastAsia="zh-CN" w:bidi="ar-SA"/>
    </w:rPr>
  </w:style>
  <w:style w:type="character" w:customStyle="1" w:styleId="428">
    <w:name w:val="正文文字-1 Char Char"/>
    <w:link w:val="427"/>
    <w:qFormat/>
    <w:uiPriority w:val="0"/>
    <w:rPr>
      <w:w w:val="100"/>
      <w:sz w:val="24"/>
      <w:szCs w:val="24"/>
      <w:shd w:val="clear" w:color="auto" w:fill="auto"/>
    </w:rPr>
  </w:style>
  <w:style w:type="character" w:customStyle="1" w:styleId="429">
    <w:name w:val="【表头】 Char"/>
    <w:qFormat/>
    <w:uiPriority w:val="0"/>
    <w:rPr>
      <w:rFonts w:ascii="Times New Roman" w:hAnsi="Times New Roman" w:eastAsia="黑体"/>
      <w:w w:val="100"/>
      <w:sz w:val="24"/>
      <w:szCs w:val="24"/>
      <w:shd w:val="clear" w:color="auto" w:fill="auto"/>
    </w:rPr>
  </w:style>
  <w:style w:type="character" w:customStyle="1" w:styleId="430">
    <w:name w:val="【表中文字】 Char"/>
    <w:qFormat/>
    <w:uiPriority w:val="0"/>
    <w:rPr>
      <w:rFonts w:ascii="Times New Roman" w:hAnsi="Times New Roman" w:eastAsia="宋体"/>
      <w:w w:val="100"/>
      <w:sz w:val="20"/>
      <w:szCs w:val="20"/>
      <w:shd w:val="clear" w:color="auto" w:fill="auto"/>
    </w:rPr>
  </w:style>
  <w:style w:type="table" w:customStyle="1" w:styleId="431">
    <w:name w:val="[表格样式]1"/>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32">
    <w:name w:val="[表格样式]2"/>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33">
    <w:name w:val="[表格样式]3"/>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34">
    <w:name w:val="[表格样式]4"/>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35">
    <w:name w:val="[表格样式]5"/>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paragraph" w:customStyle="1" w:styleId="436">
    <w:name w:val="CM16"/>
    <w:basedOn w:val="1"/>
    <w:next w:val="1"/>
    <w:qFormat/>
    <w:uiPriority w:val="0"/>
    <w:pPr>
      <w:autoSpaceDE w:val="0"/>
      <w:autoSpaceDN w:val="0"/>
    </w:pPr>
    <w:rPr>
      <w:rFonts w:ascii="宋体" w:hAnsi="宋体"/>
      <w:sz w:val="20"/>
      <w:szCs w:val="20"/>
    </w:rPr>
  </w:style>
  <w:style w:type="table" w:customStyle="1" w:styleId="437">
    <w:name w:val="[表格样式]6"/>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paragraph" w:customStyle="1" w:styleId="438">
    <w:name w:val="reader-word-layer"/>
    <w:basedOn w:val="1"/>
    <w:qFormat/>
    <w:uiPriority w:val="0"/>
    <w:rPr>
      <w:rFonts w:ascii="宋体" w:hAnsi="宋体"/>
      <w:sz w:val="20"/>
      <w:szCs w:val="20"/>
    </w:rPr>
  </w:style>
  <w:style w:type="character" w:customStyle="1" w:styleId="439">
    <w:name w:val="【正文】 Char Char"/>
    <w:qFormat/>
    <w:uiPriority w:val="0"/>
    <w:rPr>
      <w:rFonts w:ascii="宋体" w:hAnsi="宋体" w:eastAsia="宋体"/>
      <w:w w:val="100"/>
      <w:sz w:val="24"/>
      <w:szCs w:val="24"/>
      <w:shd w:val="clear" w:color="auto" w:fill="auto"/>
    </w:rPr>
  </w:style>
  <w:style w:type="paragraph" w:customStyle="1" w:styleId="440">
    <w:name w:val="表格内容"/>
    <w:basedOn w:val="1"/>
    <w:link w:val="442"/>
    <w:qFormat/>
    <w:uiPriority w:val="0"/>
    <w:pPr>
      <w:jc w:val="center"/>
    </w:pPr>
    <w:rPr>
      <w:rFonts w:ascii="宋体" w:hAnsi="宋体"/>
      <w:sz w:val="20"/>
      <w:szCs w:val="20"/>
    </w:rPr>
  </w:style>
  <w:style w:type="paragraph" w:customStyle="1" w:styleId="441">
    <w:name w:val="样式 表格标题 + 首行缩进:  0.61 字符"/>
    <w:basedOn w:val="1"/>
    <w:qFormat/>
    <w:uiPriority w:val="0"/>
    <w:pPr>
      <w:ind w:left="-143" w:firstLine="128"/>
      <w:jc w:val="center"/>
    </w:pPr>
    <w:rPr>
      <w:rFonts w:ascii="宋体" w:hAnsi="宋体"/>
      <w:sz w:val="21"/>
      <w:szCs w:val="21"/>
    </w:rPr>
  </w:style>
  <w:style w:type="character" w:customStyle="1" w:styleId="442">
    <w:name w:val="表格内容 Char"/>
    <w:link w:val="440"/>
    <w:qFormat/>
    <w:uiPriority w:val="0"/>
    <w:rPr>
      <w:rFonts w:ascii="宋体" w:hAnsi="宋体" w:eastAsia="宋体"/>
      <w:w w:val="100"/>
      <w:sz w:val="20"/>
      <w:szCs w:val="20"/>
      <w:shd w:val="clear" w:color="auto" w:fill="auto"/>
    </w:rPr>
  </w:style>
  <w:style w:type="table" w:customStyle="1" w:styleId="443">
    <w:name w:val="网格型1"/>
    <w:basedOn w:val="53"/>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44">
    <w:name w:val="[表格样式]7"/>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45">
    <w:name w:val="[表格样式]11"/>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46">
    <w:name w:val="[表格样式]21"/>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47">
    <w:name w:val="[表格样式]31"/>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48">
    <w:name w:val="[表格样式]41"/>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49">
    <w:name w:val="[表格样式]51"/>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table" w:customStyle="1" w:styleId="450">
    <w:name w:val="[表格样式]61"/>
    <w:basedOn w:val="53"/>
    <w:qFormat/>
    <w:uiPriority w:val="0"/>
    <w:pPr>
      <w:jc w:val="center"/>
    </w:pPr>
    <w:rPr>
      <w:sz w:val="21"/>
      <w:szCs w:val="21"/>
    </w:rPr>
    <w:tblPr>
      <w:tblBorders>
        <w:top w:val="single" w:color="auto" w:sz="12" w:space="0"/>
        <w:bottom w:val="single" w:color="auto" w:sz="12" w:space="0"/>
        <w:insideH w:val="single" w:color="auto" w:sz="4" w:space="0"/>
        <w:insideV w:val="single" w:color="auto" w:sz="4" w:space="0"/>
      </w:tblBorders>
    </w:tblPr>
  </w:style>
  <w:style w:type="paragraph" w:customStyle="1" w:styleId="451">
    <w:name w:val="样式 标题 3 + 红色1"/>
    <w:basedOn w:val="4"/>
    <w:link w:val="452"/>
    <w:qFormat/>
    <w:uiPriority w:val="0"/>
    <w:pPr>
      <w:keepNext/>
      <w:keepLines/>
    </w:pPr>
    <w:rPr>
      <w:color w:val="FF0000"/>
      <w:szCs w:val="28"/>
    </w:rPr>
  </w:style>
  <w:style w:type="character" w:customStyle="1" w:styleId="452">
    <w:name w:val="样式 标题 3 + 红色1 Char"/>
    <w:link w:val="451"/>
    <w:qFormat/>
    <w:uiPriority w:val="0"/>
    <w:rPr>
      <w:b/>
      <w:color w:val="FF0000"/>
      <w:w w:val="100"/>
      <w:sz w:val="28"/>
      <w:szCs w:val="28"/>
      <w:shd w:val="clear" w:color="auto" w:fill="auto"/>
    </w:rPr>
  </w:style>
  <w:style w:type="paragraph" w:customStyle="1" w:styleId="453">
    <w:name w:val="环保表内字（五号）"/>
    <w:basedOn w:val="1"/>
    <w:qFormat/>
    <w:uiPriority w:val="0"/>
    <w:pPr>
      <w:jc w:val="center"/>
    </w:pPr>
    <w:rPr>
      <w:sz w:val="21"/>
      <w:szCs w:val="21"/>
    </w:rPr>
  </w:style>
  <w:style w:type="table" w:customStyle="1" w:styleId="454">
    <w:name w:val="网格型2"/>
    <w:basedOn w:val="53"/>
    <w:unhideWhenUsed/>
    <w:qFormat/>
    <w:uiPriority w:val="0"/>
    <w:pPr>
      <w:jc w:val="both"/>
    </w:pPr>
    <w:rPr>
      <w:rFonts w:ascii="Calibri" w:hAnsi="Calibri" w:eastAsia="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55">
    <w:name w:val="题注 Char"/>
    <w:link w:val="15"/>
    <w:qFormat/>
    <w:uiPriority w:val="0"/>
    <w:rPr>
      <w:rFonts w:ascii="黑体" w:hAnsi="黑体" w:eastAsia="黑体"/>
      <w:w w:val="100"/>
      <w:sz w:val="24"/>
      <w:szCs w:val="24"/>
      <w:shd w:val="clear" w:color="auto" w:fill="auto"/>
    </w:rPr>
  </w:style>
  <w:style w:type="table" w:customStyle="1" w:styleId="456">
    <w:name w:val="标准表格"/>
    <w:basedOn w:val="53"/>
    <w:qFormat/>
    <w:uiPriority w:val="0"/>
    <w:pPr>
      <w:jc w:val="center"/>
    </w:pPr>
    <w:rPr>
      <w:sz w:val="18"/>
      <w:szCs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000000" w:fill="C7EDCC"/>
    </w:tcPr>
    <w:tblStylePr w:type="firstRow">
      <w:pPr>
        <w:wordWrap/>
        <w:ind w:firstLine="0"/>
        <w:jc w:val="center"/>
      </w:pPr>
      <w:rPr>
        <w:rFonts w:ascii="宋体" w:hAnsi="宋体" w:eastAsia="宋体"/>
        <w:w w:val="100"/>
        <w:sz w:val="18"/>
        <w:szCs w:val="18"/>
        <w:shd w:val="clear" w:color="auto" w:fill="auto"/>
      </w:rPr>
    </w:tblStylePr>
    <w:tblStylePr w:type="firstCol">
      <w:pPr>
        <w:jc w:val="center"/>
      </w:pPr>
    </w:tblStylePr>
  </w:style>
  <w:style w:type="table" w:customStyle="1" w:styleId="457">
    <w:name w:val="标准表格1"/>
    <w:basedOn w:val="53"/>
    <w:qFormat/>
    <w:uiPriority w:val="0"/>
    <w:pPr>
      <w:jc w:val="center"/>
    </w:pPr>
    <w:rPr>
      <w:sz w:val="18"/>
      <w:szCs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000000" w:fill="C7EDCC"/>
    </w:tcPr>
    <w:tblStylePr w:type="firstRow">
      <w:pPr>
        <w:wordWrap/>
        <w:ind w:firstLine="0"/>
        <w:jc w:val="center"/>
      </w:pPr>
      <w:rPr>
        <w:rFonts w:ascii="宋体" w:hAnsi="宋体" w:eastAsia="宋体"/>
        <w:w w:val="100"/>
        <w:sz w:val="18"/>
        <w:szCs w:val="18"/>
        <w:shd w:val="clear" w:color="auto" w:fill="auto"/>
      </w:rPr>
    </w:tblStylePr>
    <w:tblStylePr w:type="firstCol">
      <w:pPr>
        <w:jc w:val="center"/>
      </w:pPr>
    </w:tblStylePr>
  </w:style>
  <w:style w:type="character" w:customStyle="1" w:styleId="458">
    <w:name w:val="Char Char Char Char Char Char Char Char"/>
    <w:link w:val="317"/>
    <w:qFormat/>
    <w:uiPriority w:val="0"/>
    <w:rPr>
      <w:w w:val="100"/>
      <w:sz w:val="21"/>
      <w:szCs w:val="21"/>
      <w:shd w:val="clear" w:color="auto" w:fill="auto"/>
    </w:rPr>
  </w:style>
  <w:style w:type="table" w:customStyle="1" w:styleId="459">
    <w:name w:val="标准表格2"/>
    <w:basedOn w:val="53"/>
    <w:qFormat/>
    <w:uiPriority w:val="0"/>
    <w:pPr>
      <w:jc w:val="center"/>
    </w:pPr>
    <w:rPr>
      <w:sz w:val="18"/>
      <w:szCs w:val="18"/>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000000" w:fill="C7EDCC"/>
    </w:tcPr>
    <w:tblStylePr w:type="firstRow">
      <w:pPr>
        <w:wordWrap/>
        <w:ind w:firstLine="0"/>
        <w:jc w:val="center"/>
      </w:pPr>
      <w:rPr>
        <w:rFonts w:ascii="宋体" w:hAnsi="宋体" w:eastAsia="宋体"/>
        <w:w w:val="100"/>
        <w:sz w:val="18"/>
        <w:szCs w:val="18"/>
        <w:shd w:val="clear" w:color="auto" w:fill="auto"/>
      </w:rPr>
    </w:tblStylePr>
    <w:tblStylePr w:type="firstCol">
      <w:pPr>
        <w:jc w:val="center"/>
      </w:pPr>
    </w:tblStylePr>
  </w:style>
  <w:style w:type="table" w:customStyle="1" w:styleId="460">
    <w:name w:val="网格型6"/>
    <w:basedOn w:val="53"/>
    <w:qFormat/>
    <w:uiPriority w:val="0"/>
    <w:rPr>
      <w:rFonts w:ascii="Calibri" w:hAnsi="Calibri"/>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61">
    <w:name w:val="正文1 Char"/>
    <w:qFormat/>
    <w:uiPriority w:val="0"/>
    <w:rPr>
      <w:rFonts w:ascii="Times New Roman" w:hAnsi="Times New Roman" w:eastAsia="宋体" w:cs="Times New Roman"/>
      <w:sz w:val="28"/>
      <w:szCs w:val="28"/>
    </w:rPr>
  </w:style>
  <w:style w:type="paragraph" w:customStyle="1" w:styleId="462">
    <w:name w:val="普通(网站)1"/>
    <w:basedOn w:val="1"/>
    <w:qFormat/>
    <w:uiPriority w:val="0"/>
    <w:pPr>
      <w:spacing w:before="100" w:beforeAutospacing="1" w:after="100" w:afterAutospacing="1"/>
      <w:jc w:val="left"/>
    </w:pPr>
    <w:rPr>
      <w:rFonts w:hint="eastAsia" w:ascii="宋体" w:hAnsi="宋体"/>
    </w:rPr>
  </w:style>
  <w:style w:type="paragraph" w:customStyle="1" w:styleId="463">
    <w:name w:val="正文5"/>
    <w:qFormat/>
    <w:uiPriority w:val="0"/>
    <w:pPr>
      <w:widowControl w:val="0"/>
      <w:adjustRightInd w:val="0"/>
      <w:spacing w:line="360" w:lineRule="atLeast"/>
    </w:pPr>
    <w:rPr>
      <w:rFonts w:ascii="宋体" w:hAnsi="Calibri" w:eastAsia="宋体" w:cs="Times New Roman"/>
      <w:kern w:val="2"/>
      <w:sz w:val="24"/>
      <w:szCs w:val="24"/>
      <w:lang w:val="en-US" w:eastAsia="zh-CN" w:bidi="ar-SA"/>
    </w:rPr>
  </w:style>
  <w:style w:type="paragraph" w:customStyle="1" w:styleId="464">
    <w:name w:val="表中文字"/>
    <w:basedOn w:val="1"/>
    <w:qFormat/>
    <w:uiPriority w:val="0"/>
    <w:pPr>
      <w:jc w:val="center"/>
    </w:pPr>
    <w:rPr>
      <w:szCs w:val="20"/>
    </w:rPr>
  </w:style>
  <w:style w:type="paragraph" w:customStyle="1" w:styleId="465">
    <w:name w:val="正文一"/>
    <w:basedOn w:val="1"/>
    <w:qFormat/>
    <w:uiPriority w:val="0"/>
    <w:pPr>
      <w:widowControl w:val="0"/>
      <w:spacing w:line="360" w:lineRule="auto"/>
      <w:ind w:firstLine="480" w:firstLineChars="200"/>
    </w:pPr>
    <w:rPr>
      <w:rFonts w:hint="eastAsia" w:ascii="宋体" w:hAnsi="宋体"/>
      <w:szCs w:val="20"/>
    </w:rPr>
  </w:style>
  <w:style w:type="paragraph" w:customStyle="1" w:styleId="466">
    <w:name w:val="我的正文"/>
    <w:qFormat/>
    <w:uiPriority w:val="0"/>
    <w:pPr>
      <w:adjustRightInd w:val="0"/>
      <w:snapToGrid w:val="0"/>
      <w:spacing w:line="360" w:lineRule="auto"/>
      <w:ind w:firstLine="200" w:firstLineChars="200"/>
    </w:pPr>
    <w:rPr>
      <w:rFonts w:ascii="宋体" w:hAnsi="宋体" w:eastAsia="宋体" w:cs="宋体"/>
      <w:color w:val="000000"/>
      <w:kern w:val="2"/>
      <w:sz w:val="24"/>
      <w:szCs w:val="22"/>
      <w:lang w:val="en-US" w:eastAsia="zh-CN" w:bidi="ar-SA"/>
    </w:rPr>
  </w:style>
  <w:style w:type="paragraph" w:customStyle="1" w:styleId="467">
    <w:name w:val="正文6"/>
    <w:qFormat/>
    <w:uiPriority w:val="0"/>
    <w:pPr>
      <w:widowControl w:val="0"/>
      <w:adjustRightInd w:val="0"/>
      <w:spacing w:line="360" w:lineRule="atLeast"/>
    </w:pPr>
    <w:rPr>
      <w:rFonts w:ascii="宋体" w:hAnsi="Calibri" w:eastAsia="宋体" w:cs="Times New Roman"/>
      <w:kern w:val="2"/>
      <w:sz w:val="24"/>
      <w:szCs w:val="24"/>
      <w:lang w:val="en-US" w:eastAsia="zh-CN" w:bidi="ar-SA"/>
    </w:rPr>
  </w:style>
  <w:style w:type="paragraph" w:customStyle="1" w:styleId="468">
    <w:name w:val="样式 (西文) Times New Roman (中文) 黑体 居中 行距: 1.5 倍行距"/>
    <w:basedOn w:val="1"/>
    <w:qFormat/>
    <w:uiPriority w:val="0"/>
    <w:pPr>
      <w:spacing w:line="360" w:lineRule="auto"/>
      <w:jc w:val="center"/>
    </w:pPr>
    <w:rPr>
      <w:rFonts w:eastAsia="黑体" w:cs="宋体"/>
    </w:rPr>
  </w:style>
  <w:style w:type="paragraph" w:customStyle="1" w:styleId="469">
    <w:name w:val="普通(网站)2"/>
    <w:basedOn w:val="1"/>
    <w:qFormat/>
    <w:uiPriority w:val="0"/>
    <w:pPr>
      <w:jc w:val="left"/>
    </w:pPr>
    <w:rPr>
      <w:rFonts w:ascii="宋体" w:hAnsi="宋体" w:cs="宋体"/>
    </w:rPr>
  </w:style>
  <w:style w:type="character" w:customStyle="1" w:styleId="470">
    <w:name w:val="标题 4 Char1"/>
    <w:link w:val="5"/>
    <w:qFormat/>
    <w:uiPriority w:val="0"/>
    <w:rPr>
      <w:rFonts w:ascii="Times New Roman" w:hAnsi="Times New Roman" w:eastAsia="宋体" w:cs="Times New Roman"/>
      <w:b/>
      <w:bCs/>
      <w:kern w:val="2"/>
      <w:sz w:val="24"/>
      <w:szCs w:val="24"/>
      <w:lang w:val="en-US" w:eastAsia="zh-CN" w:bidi="ar-SA"/>
    </w:rPr>
  </w:style>
  <w:style w:type="character" w:customStyle="1" w:styleId="471">
    <w:name w:val="Char Char4"/>
    <w:semiHidden/>
    <w:qFormat/>
    <w:uiPriority w:val="0"/>
    <w:rPr>
      <w:rFonts w:ascii="Times New Roman" w:hAnsi="Times New Roman" w:eastAsia="宋体" w:cs="Times New Roman"/>
      <w:b/>
      <w:bCs/>
      <w:kern w:val="2"/>
      <w:sz w:val="21"/>
      <w:szCs w:val="24"/>
      <w:lang w:val="en-US" w:eastAsia="zh-CN" w:bidi="ar-SA"/>
    </w:rPr>
  </w:style>
  <w:style w:type="character" w:customStyle="1" w:styleId="472">
    <w:name w:val="icos_hf"/>
    <w:basedOn w:val="55"/>
    <w:qFormat/>
    <w:uiPriority w:val="0"/>
    <w:rPr>
      <w:sz w:val="27"/>
      <w:szCs w:val="27"/>
    </w:rPr>
  </w:style>
  <w:style w:type="character" w:customStyle="1" w:styleId="473">
    <w:name w:val="bds_more2"/>
    <w:basedOn w:val="55"/>
    <w:qFormat/>
    <w:uiPriority w:val="0"/>
    <w:rPr>
      <w:rFonts w:hint="eastAsia" w:ascii="宋体" w:hAnsi="宋体" w:eastAsia="宋体" w:cs="宋体"/>
    </w:rPr>
  </w:style>
  <w:style w:type="character" w:customStyle="1" w:styleId="474">
    <w:name w:val="bg02"/>
    <w:basedOn w:val="55"/>
    <w:qFormat/>
    <w:uiPriority w:val="0"/>
    <w:rPr>
      <w:sz w:val="0"/>
      <w:szCs w:val="0"/>
    </w:rPr>
  </w:style>
  <w:style w:type="character" w:customStyle="1" w:styleId="475">
    <w:name w:val="bg021"/>
    <w:basedOn w:val="55"/>
    <w:qFormat/>
    <w:uiPriority w:val="0"/>
  </w:style>
  <w:style w:type="character" w:customStyle="1" w:styleId="476">
    <w:name w:val="tabg"/>
    <w:basedOn w:val="55"/>
    <w:qFormat/>
    <w:uiPriority w:val="0"/>
  </w:style>
  <w:style w:type="character" w:customStyle="1" w:styleId="477">
    <w:name w:val="tabg1"/>
    <w:basedOn w:val="55"/>
    <w:qFormat/>
    <w:uiPriority w:val="0"/>
  </w:style>
  <w:style w:type="character" w:customStyle="1" w:styleId="478">
    <w:name w:val="bg01"/>
    <w:basedOn w:val="55"/>
    <w:qFormat/>
    <w:uiPriority w:val="0"/>
    <w:rPr>
      <w:sz w:val="0"/>
      <w:szCs w:val="0"/>
    </w:rPr>
  </w:style>
  <w:style w:type="character" w:customStyle="1" w:styleId="479">
    <w:name w:val="bg011"/>
    <w:basedOn w:val="55"/>
    <w:qFormat/>
    <w:uiPriority w:val="0"/>
  </w:style>
  <w:style w:type="character" w:customStyle="1" w:styleId="480">
    <w:name w:val="active17"/>
    <w:basedOn w:val="55"/>
    <w:qFormat/>
    <w:uiPriority w:val="0"/>
    <w:rPr>
      <w:color w:val="FFFFFF"/>
      <w:bdr w:val="single" w:color="004986" w:sz="48" w:space="0"/>
      <w:shd w:val="clear" w:color="auto" w:fill="004986"/>
    </w:rPr>
  </w:style>
  <w:style w:type="character" w:customStyle="1" w:styleId="481">
    <w:name w:val="bds_nopic"/>
    <w:basedOn w:val="55"/>
    <w:qFormat/>
    <w:uiPriority w:val="0"/>
  </w:style>
  <w:style w:type="character" w:customStyle="1" w:styleId="482">
    <w:name w:val="bds_nopic1"/>
    <w:basedOn w:val="55"/>
    <w:qFormat/>
    <w:uiPriority w:val="0"/>
  </w:style>
  <w:style w:type="character" w:customStyle="1" w:styleId="483">
    <w:name w:val="bds_nopic2"/>
    <w:basedOn w:val="55"/>
    <w:qFormat/>
    <w:uiPriority w:val="0"/>
  </w:style>
  <w:style w:type="paragraph" w:customStyle="1" w:styleId="484">
    <w:name w:val="缩进2"/>
    <w:basedOn w:val="1"/>
    <w:qFormat/>
    <w:uiPriority w:val="0"/>
    <w:pPr>
      <w:ind w:firstLine="883" w:firstLineChars="200"/>
    </w:pPr>
  </w:style>
  <w:style w:type="paragraph" w:customStyle="1" w:styleId="485">
    <w:name w:val="Heading #2|1"/>
    <w:basedOn w:val="1"/>
    <w:qFormat/>
    <w:uiPriority w:val="0"/>
    <w:pPr>
      <w:widowControl w:val="0"/>
      <w:spacing w:after="40"/>
      <w:outlineLvl w:val="1"/>
    </w:pPr>
    <w:rPr>
      <w:rFonts w:ascii="宋体" w:hAnsi="宋体" w:cs="宋体"/>
      <w:b/>
      <w:bCs/>
      <w:sz w:val="30"/>
      <w:szCs w:val="30"/>
      <w:lang w:val="zh-TW" w:eastAsia="zh-TW" w:bidi="zh-TW"/>
    </w:rPr>
  </w:style>
  <w:style w:type="paragraph" w:customStyle="1" w:styleId="486">
    <w:name w:val="Body text|1"/>
    <w:basedOn w:val="1"/>
    <w:qFormat/>
    <w:uiPriority w:val="0"/>
    <w:pPr>
      <w:widowControl w:val="0"/>
      <w:spacing w:line="444" w:lineRule="auto"/>
      <w:ind w:firstLine="400"/>
    </w:pPr>
    <w:rPr>
      <w:rFonts w:ascii="宋体" w:hAnsi="宋体" w:cs="宋体"/>
      <w:lang w:val="zh-TW" w:eastAsia="zh-TW" w:bidi="zh-TW"/>
    </w:rPr>
  </w:style>
  <w:style w:type="paragraph" w:customStyle="1" w:styleId="487">
    <w:name w:val="Heading #3|1"/>
    <w:basedOn w:val="1"/>
    <w:qFormat/>
    <w:uiPriority w:val="0"/>
    <w:pPr>
      <w:widowControl w:val="0"/>
      <w:spacing w:after="260"/>
      <w:outlineLvl w:val="2"/>
    </w:pPr>
    <w:rPr>
      <w:rFonts w:ascii="宋体" w:hAnsi="宋体" w:cs="宋体"/>
      <w:b/>
      <w:bCs/>
      <w:sz w:val="28"/>
      <w:szCs w:val="28"/>
      <w:lang w:val="zh-TW" w:eastAsia="zh-TW" w:bidi="zh-TW"/>
    </w:rPr>
  </w:style>
  <w:style w:type="paragraph" w:customStyle="1" w:styleId="488">
    <w:name w:val="Body text|6"/>
    <w:basedOn w:val="1"/>
    <w:qFormat/>
    <w:uiPriority w:val="0"/>
    <w:pPr>
      <w:widowControl w:val="0"/>
    </w:pPr>
    <w:rPr>
      <w:sz w:val="18"/>
      <w:szCs w:val="18"/>
      <w:lang w:val="zh-TW" w:eastAsia="zh-TW" w:bidi="zh-TW"/>
    </w:rPr>
  </w:style>
  <w:style w:type="paragraph" w:customStyle="1" w:styleId="489">
    <w:name w:val="Other|1"/>
    <w:basedOn w:val="1"/>
    <w:link w:val="492"/>
    <w:qFormat/>
    <w:uiPriority w:val="0"/>
    <w:pPr>
      <w:widowControl w:val="0"/>
      <w:spacing w:line="444" w:lineRule="auto"/>
      <w:ind w:firstLine="400"/>
    </w:pPr>
    <w:rPr>
      <w:rFonts w:ascii="宋体" w:hAnsi="宋体" w:cs="宋体"/>
      <w:lang w:val="zh-TW" w:eastAsia="zh-TW" w:bidi="zh-TW"/>
    </w:rPr>
  </w:style>
  <w:style w:type="paragraph" w:customStyle="1" w:styleId="490">
    <w:name w:val="Table caption|1"/>
    <w:basedOn w:val="1"/>
    <w:qFormat/>
    <w:uiPriority w:val="0"/>
    <w:pPr>
      <w:widowControl w:val="0"/>
      <w:jc w:val="center"/>
    </w:pPr>
    <w:rPr>
      <w:rFonts w:ascii="宋体" w:hAnsi="宋体" w:cs="宋体"/>
      <w:b/>
      <w:bCs/>
      <w:lang w:val="zh-TW" w:eastAsia="zh-TW" w:bidi="zh-TW"/>
    </w:rPr>
  </w:style>
  <w:style w:type="paragraph" w:customStyle="1" w:styleId="491">
    <w:name w:val="Body text|3"/>
    <w:basedOn w:val="1"/>
    <w:qFormat/>
    <w:uiPriority w:val="0"/>
    <w:pPr>
      <w:widowControl w:val="0"/>
      <w:spacing w:after="400" w:line="404" w:lineRule="exact"/>
      <w:ind w:left="240" w:firstLine="440"/>
    </w:pPr>
    <w:rPr>
      <w:rFonts w:ascii="宋体" w:hAnsi="宋体" w:cs="宋体"/>
      <w:color w:val="999899"/>
      <w:sz w:val="20"/>
      <w:szCs w:val="20"/>
      <w:lang w:val="zh-TW" w:eastAsia="zh-TW" w:bidi="zh-TW"/>
    </w:rPr>
  </w:style>
  <w:style w:type="character" w:customStyle="1" w:styleId="492">
    <w:name w:val="Other|1_"/>
    <w:basedOn w:val="55"/>
    <w:link w:val="489"/>
    <w:qFormat/>
    <w:uiPriority w:val="0"/>
    <w:rPr>
      <w:rFonts w:ascii="宋体" w:hAnsi="宋体" w:eastAsia="宋体" w:cs="宋体"/>
      <w:u w:val="none"/>
      <w:shd w:val="clear" w:color="auto" w:fill="auto"/>
      <w:lang w:val="zh-TW" w:eastAsia="zh-TW" w:bidi="zh-TW"/>
    </w:rPr>
  </w:style>
  <w:style w:type="paragraph" w:customStyle="1" w:styleId="493">
    <w:name w:val="Body text|2"/>
    <w:basedOn w:val="1"/>
    <w:qFormat/>
    <w:uiPriority w:val="0"/>
    <w:pPr>
      <w:widowControl w:val="0"/>
      <w:spacing w:line="514" w:lineRule="exact"/>
      <w:ind w:firstLine="480"/>
    </w:pPr>
  </w:style>
  <w:style w:type="paragraph" w:customStyle="1" w:styleId="494">
    <w:name w:val="Header or footer|1"/>
    <w:basedOn w:val="1"/>
    <w:qFormat/>
    <w:uiPriority w:val="0"/>
    <w:pPr>
      <w:widowControl w:val="0"/>
    </w:pPr>
    <w:rPr>
      <w:sz w:val="18"/>
      <w:szCs w:val="18"/>
      <w:lang w:val="zh-TW" w:eastAsia="zh-TW" w:bidi="zh-TW"/>
    </w:rPr>
  </w:style>
  <w:style w:type="paragraph" w:customStyle="1" w:styleId="495">
    <w:name w:val="表头-------------"/>
    <w:basedOn w:val="1"/>
    <w:qFormat/>
    <w:uiPriority w:val="0"/>
    <w:pPr>
      <w:spacing w:line="460" w:lineRule="exact"/>
      <w:jc w:val="center"/>
    </w:pPr>
    <w:rPr>
      <w:rFonts w:eastAsia="黑体" w:cs="宋体"/>
      <w:szCs w:val="20"/>
    </w:rPr>
  </w:style>
  <w:style w:type="paragraph" w:customStyle="1" w:styleId="496">
    <w:name w:val="正文----------------"/>
    <w:basedOn w:val="1"/>
    <w:qFormat/>
    <w:uiPriority w:val="0"/>
    <w:pPr>
      <w:spacing w:line="440" w:lineRule="exact"/>
      <w:ind w:firstLine="544" w:firstLineChars="200"/>
    </w:pPr>
    <w:rPr>
      <w:rFonts w:cs="宋体"/>
      <w:spacing w:val="16"/>
      <w:szCs w:val="20"/>
    </w:rPr>
  </w:style>
  <w:style w:type="character" w:customStyle="1" w:styleId="497">
    <w:name w:val="zg1 Char"/>
    <w:link w:val="354"/>
    <w:qFormat/>
    <w:uiPriority w:val="0"/>
    <w:rPr>
      <w:rFonts w:ascii="Times New Roman" w:hAnsi="Times New Roman" w:eastAsia="Times New Roman"/>
      <w:sz w:val="24"/>
      <w:szCs w:val="24"/>
    </w:rPr>
  </w:style>
  <w:style w:type="paragraph" w:customStyle="1" w:styleId="498">
    <w:name w:val="白正文"/>
    <w:basedOn w:val="1"/>
    <w:qFormat/>
    <w:uiPriority w:val="0"/>
    <w:pPr>
      <w:spacing w:line="360" w:lineRule="auto"/>
      <w:ind w:firstLine="200" w:firstLineChars="200"/>
    </w:pPr>
    <w:rPr>
      <w:rFonts w:ascii="宋体" w:hAnsi="宋体"/>
      <w:color w:val="000000"/>
    </w:rPr>
  </w:style>
  <w:style w:type="paragraph" w:customStyle="1" w:styleId="499">
    <w:name w:val="表中字"/>
    <w:basedOn w:val="1"/>
    <w:qFormat/>
    <w:uiPriority w:val="0"/>
    <w:pPr>
      <w:widowControl w:val="0"/>
      <w:spacing w:line="240" w:lineRule="atLeast"/>
      <w:jc w:val="center"/>
    </w:pPr>
    <w:rPr>
      <w:sz w:val="20"/>
      <w:lang w:val="zh-CN"/>
    </w:rPr>
  </w:style>
  <w:style w:type="table" w:customStyle="1" w:styleId="500">
    <w:name w:val="Table Normal"/>
    <w:unhideWhenUsed/>
    <w:qFormat/>
    <w:uiPriority w:val="0"/>
    <w:tblPr>
      <w:tblCellMar>
        <w:top w:w="0" w:type="dxa"/>
        <w:left w:w="0" w:type="dxa"/>
        <w:bottom w:w="0" w:type="dxa"/>
        <w:right w:w="0" w:type="dxa"/>
      </w:tblCellMar>
    </w:tblPr>
  </w:style>
  <w:style w:type="character" w:customStyle="1" w:styleId="501">
    <w:name w:val="font71"/>
    <w:basedOn w:val="55"/>
    <w:qFormat/>
    <w:uiPriority w:val="0"/>
    <w:rPr>
      <w:rFonts w:hint="eastAsia" w:ascii="黑体" w:hAnsi="宋体" w:eastAsia="黑体" w:cs="黑体"/>
      <w:color w:val="000000"/>
      <w:sz w:val="18"/>
      <w:szCs w:val="18"/>
      <w:u w:val="none"/>
    </w:rPr>
  </w:style>
  <w:style w:type="paragraph" w:customStyle="1" w:styleId="502">
    <w:name w:val="_Style 4"/>
    <w:basedOn w:val="1"/>
    <w:qFormat/>
    <w:uiPriority w:val="0"/>
    <w:pPr>
      <w:snapToGrid w:val="0"/>
      <w:spacing w:line="360" w:lineRule="auto"/>
      <w:ind w:firstLine="529" w:firstLineChars="200"/>
    </w:pPr>
  </w:style>
  <w:style w:type="paragraph" w:customStyle="1" w:styleId="503">
    <w:name w:val="表、图名"/>
    <w:basedOn w:val="1"/>
    <w:qFormat/>
    <w:uiPriority w:val="0"/>
    <w:pPr>
      <w:adjustRightInd w:val="0"/>
      <w:spacing w:line="520" w:lineRule="exact"/>
      <w:jc w:val="center"/>
      <w:textAlignment w:val="baseline"/>
    </w:pPr>
    <w:rPr>
      <w:rFonts w:eastAsia="仿宋_GB2312"/>
      <w:color w:val="000000"/>
    </w:rPr>
  </w:style>
  <w:style w:type="paragraph" w:customStyle="1" w:styleId="504">
    <w:name w:val="环评正文"/>
    <w:basedOn w:val="1"/>
    <w:qFormat/>
    <w:uiPriority w:val="0"/>
    <w:pPr>
      <w:autoSpaceDE w:val="0"/>
      <w:autoSpaceDN w:val="0"/>
      <w:adjustRightInd w:val="0"/>
      <w:snapToGrid w:val="0"/>
      <w:spacing w:line="400" w:lineRule="exact"/>
      <w:ind w:firstLine="480" w:firstLineChars="200"/>
    </w:pPr>
    <w:rPr>
      <w:color w:val="000000"/>
      <w:sz w:val="24"/>
      <w:lang w:val="zh-CN"/>
    </w:rPr>
  </w:style>
  <w:style w:type="paragraph" w:customStyle="1" w:styleId="505">
    <w:name w:val="4级标题"/>
    <w:basedOn w:val="506"/>
    <w:qFormat/>
    <w:uiPriority w:val="0"/>
    <w:pPr>
      <w:jc w:val="left"/>
      <w:outlineLvl w:val="3"/>
    </w:pPr>
    <w:rPr>
      <w:rFonts w:ascii="Times New Roman" w:hAnsi="Times New Roman"/>
    </w:rPr>
  </w:style>
  <w:style w:type="paragraph" w:customStyle="1" w:styleId="506">
    <w:name w:val="正文文本缩进b"/>
    <w:basedOn w:val="21"/>
    <w:qFormat/>
    <w:uiPriority w:val="0"/>
    <w:pPr>
      <w:spacing w:line="360" w:lineRule="auto"/>
      <w:ind w:firstLine="480"/>
    </w:pPr>
    <w:rPr>
      <w:rFonts w:hAnsi="BankGothic Lt BT"/>
      <w:color w:val="000000"/>
      <w:sz w:val="24"/>
    </w:rPr>
  </w:style>
  <w:style w:type="paragraph" w:customStyle="1" w:styleId="507">
    <w:name w:val="正文文本缩进B"/>
    <w:basedOn w:val="21"/>
    <w:qFormat/>
    <w:uiPriority w:val="0"/>
    <w:pPr>
      <w:spacing w:line="360" w:lineRule="auto"/>
      <w:ind w:firstLine="480"/>
    </w:pPr>
    <w:rPr>
      <w:sz w:val="24"/>
    </w:rPr>
  </w:style>
  <w:style w:type="character" w:customStyle="1" w:styleId="508">
    <w:name w:val="标题 4 Char Char"/>
    <w:qFormat/>
    <w:uiPriority w:val="0"/>
    <w:rPr>
      <w:rFonts w:ascii="Arial" w:hAnsi="Arial" w:eastAsia="宋体"/>
      <w:sz w:val="24"/>
      <w:lang w:val="en-US" w:eastAsia="zh-CN" w:bidi="ar-SA"/>
    </w:rPr>
  </w:style>
  <w:style w:type="paragraph" w:customStyle="1" w:styleId="509">
    <w:name w:val="Body Text Indent 2"/>
    <w:basedOn w:val="1"/>
    <w:qFormat/>
    <w:uiPriority w:val="0"/>
    <w:pPr>
      <w:autoSpaceDE w:val="0"/>
      <w:autoSpaceDN w:val="0"/>
      <w:adjustRightInd w:val="0"/>
      <w:ind w:firstLine="480"/>
      <w:jc w:val="left"/>
    </w:pPr>
    <w:rPr>
      <w:rFonts w:ascii="宋体" w:eastAsia="宋体"/>
      <w:color w:val="000000"/>
      <w:sz w:val="36"/>
      <w:lang w:val="en-US" w:eastAsia="zh-CN"/>
    </w:rPr>
  </w:style>
  <w:style w:type="paragraph" w:customStyle="1" w:styleId="510">
    <w:name w:val="表图头的文字"/>
    <w:basedOn w:val="1"/>
    <w:qFormat/>
    <w:uiPriority w:val="0"/>
    <w:pPr>
      <w:spacing w:line="520" w:lineRule="exact"/>
      <w:jc w:val="center"/>
    </w:pPr>
    <w:rPr>
      <w:rFonts w:eastAsia="仿宋_GB2312"/>
      <w:color w:val="000000"/>
      <w:kern w:val="1"/>
      <w:sz w:val="24"/>
      <w:szCs w:val="21"/>
    </w:rPr>
  </w:style>
  <w:style w:type="paragraph" w:customStyle="1" w:styleId="511">
    <w:name w:val="表中的文字"/>
    <w:basedOn w:val="464"/>
    <w:qFormat/>
    <w:uiPriority w:val="0"/>
    <w:pPr>
      <w:snapToGrid w:val="0"/>
      <w:spacing w:line="440" w:lineRule="exact"/>
    </w:pPr>
    <w:rPr>
      <w:rFonts w:eastAsia="仿宋_GB2312"/>
      <w:bCs/>
      <w:color w:val="000000"/>
      <w:spacing w:val="-10"/>
      <w:szCs w:val="21"/>
    </w:rPr>
  </w:style>
  <w:style w:type="paragraph" w:customStyle="1" w:styleId="512">
    <w:name w:val="正文13"/>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513">
    <w:name w:val="正文+2"/>
    <w:basedOn w:val="1"/>
    <w:qFormat/>
    <w:uiPriority w:val="0"/>
    <w:pPr>
      <w:tabs>
        <w:tab w:val="left" w:pos="640"/>
      </w:tabs>
      <w:ind w:firstLine="200" w:firstLineChars="200"/>
    </w:pPr>
    <w:rPr>
      <w:rFonts w:ascii="Calibri" w:hAnsi="Calibri"/>
    </w:rPr>
  </w:style>
  <w:style w:type="paragraph" w:customStyle="1" w:styleId="514">
    <w:name w:val="正文格式"/>
    <w:basedOn w:val="1"/>
    <w:next w:val="1"/>
    <w:qFormat/>
    <w:uiPriority w:val="0"/>
    <w:pPr>
      <w:spacing w:line="360" w:lineRule="auto"/>
      <w:ind w:firstLine="482"/>
    </w:pPr>
    <w:rPr>
      <w:rFonts w:ascii="宋体" w:hAnsi="宋体" w:cs="宋体"/>
      <w:sz w:val="24"/>
      <w:szCs w:val="20"/>
    </w:rPr>
  </w:style>
  <w:style w:type="paragraph" w:customStyle="1" w:styleId="515">
    <w:name w:val="表1"/>
    <w:next w:val="1"/>
    <w:qFormat/>
    <w:uiPriority w:val="0"/>
    <w:pPr>
      <w:adjustRightInd w:val="0"/>
      <w:snapToGrid w:val="0"/>
      <w:jc w:val="center"/>
    </w:pPr>
    <w:rPr>
      <w:rFonts w:ascii="Times New Roman" w:hAnsi="Times New Roman" w:eastAsia="宋体" w:cs="Times New Roman"/>
      <w:kern w:val="2"/>
      <w:sz w:val="21"/>
      <w:szCs w:val="24"/>
      <w:lang w:val="en-US" w:eastAsia="zh-CN" w:bidi="ar-SA"/>
    </w:rPr>
  </w:style>
  <w:style w:type="paragraph" w:customStyle="1" w:styleId="516">
    <w:name w:val="正文文本缩进A"/>
    <w:basedOn w:val="1"/>
    <w:qFormat/>
    <w:uiPriority w:val="0"/>
    <w:pPr>
      <w:spacing w:line="360" w:lineRule="auto"/>
      <w:ind w:firstLine="480" w:firstLineChars="200"/>
    </w:pPr>
    <w:rPr>
      <w:sz w:val="24"/>
    </w:rPr>
  </w:style>
  <w:style w:type="paragraph" w:customStyle="1" w:styleId="517">
    <w:name w:val="Table Text"/>
    <w:basedOn w:val="1"/>
    <w:semiHidden/>
    <w:qFormat/>
    <w:uiPriority w:val="0"/>
    <w:rPr>
      <w:rFonts w:ascii="宋体" w:hAnsi="宋体" w:eastAsia="宋体" w:cs="宋体"/>
      <w:sz w:val="21"/>
      <w:szCs w:val="21"/>
      <w:lang w:val="en-US" w:eastAsia="en-US" w:bidi="ar-SA"/>
    </w:rPr>
  </w:style>
  <w:style w:type="paragraph" w:customStyle="1" w:styleId="518">
    <w:name w:val="表 头"/>
    <w:basedOn w:val="1"/>
    <w:qFormat/>
    <w:uiPriority w:val="0"/>
    <w:pPr>
      <w:adjustRightInd w:val="0"/>
      <w:spacing w:line="360" w:lineRule="auto"/>
      <w:jc w:val="center"/>
      <w:textAlignment w:val="baseline"/>
    </w:pPr>
    <w:rPr>
      <w:rFonts w:hAnsi="宋体"/>
      <w:snapToGrid w:val="0"/>
      <w:color w:val="000000"/>
      <w:spacing w:val="-8"/>
      <w:kern w:val="0"/>
      <w:sz w:val="24"/>
    </w:rPr>
  </w:style>
  <w:style w:type="paragraph" w:customStyle="1" w:styleId="519">
    <w:name w:val="Normal (Web)1"/>
    <w:basedOn w:val="1"/>
    <w:next w:val="520"/>
    <w:qFormat/>
    <w:uiPriority w:val="0"/>
    <w:pPr>
      <w:widowControl/>
    </w:pPr>
    <w:rPr>
      <w:rFonts w:ascii="宋体" w:eastAsia="宋体" w:cs="Times New Roman"/>
      <w:sz w:val="24"/>
      <w:szCs w:val="21"/>
    </w:rPr>
  </w:style>
  <w:style w:type="paragraph" w:customStyle="1" w:styleId="520">
    <w:name w:val="Date1"/>
    <w:basedOn w:val="2"/>
    <w:next w:val="1"/>
    <w:qFormat/>
    <w:uiPriority w:val="99"/>
    <w:pPr>
      <w:keepNext w:val="0"/>
      <w:keepLines w:val="0"/>
      <w:tabs>
        <w:tab w:val="left" w:pos="425"/>
      </w:tabs>
      <w:adjustRightInd w:val="0"/>
      <w:spacing w:before="0" w:after="0" w:line="500" w:lineRule="atLeast"/>
      <w:ind w:firstLine="425" w:firstLineChars="177"/>
      <w:outlineLvl w:val="9"/>
    </w:pPr>
    <w:rPr>
      <w:b w:val="0"/>
      <w:kern w:val="2"/>
      <w:sz w:val="24"/>
      <w:szCs w:val="20"/>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10.bin"/><Relationship Id="rId98" Type="http://schemas.openxmlformats.org/officeDocument/2006/relationships/image" Target="media/image69.wmf"/><Relationship Id="rId97" Type="http://schemas.openxmlformats.org/officeDocument/2006/relationships/oleObject" Target="embeddings/oleObject9.bin"/><Relationship Id="rId96" Type="http://schemas.openxmlformats.org/officeDocument/2006/relationships/image" Target="media/image68.wmf"/><Relationship Id="rId95" Type="http://schemas.openxmlformats.org/officeDocument/2006/relationships/oleObject" Target="embeddings/oleObject8.bin"/><Relationship Id="rId94" Type="http://schemas.openxmlformats.org/officeDocument/2006/relationships/image" Target="media/image67.png"/><Relationship Id="rId93" Type="http://schemas.openxmlformats.org/officeDocument/2006/relationships/image" Target="media/image66.jpeg"/><Relationship Id="rId92" Type="http://schemas.openxmlformats.org/officeDocument/2006/relationships/image" Target="media/image65.jpe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5.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jpeg"/><Relationship Id="rId84" Type="http://schemas.openxmlformats.org/officeDocument/2006/relationships/image" Target="media/image57.jpeg"/><Relationship Id="rId83" Type="http://schemas.openxmlformats.org/officeDocument/2006/relationships/image" Target="media/image56.wmf"/><Relationship Id="rId82" Type="http://schemas.openxmlformats.org/officeDocument/2006/relationships/oleObject" Target="embeddings/oleObject7.bin"/><Relationship Id="rId81" Type="http://schemas.openxmlformats.org/officeDocument/2006/relationships/image" Target="media/image55.wmf"/><Relationship Id="rId80" Type="http://schemas.openxmlformats.org/officeDocument/2006/relationships/oleObject" Target="embeddings/oleObject6.bin"/><Relationship Id="rId8" Type="http://schemas.openxmlformats.org/officeDocument/2006/relationships/header" Target="header2.xml"/><Relationship Id="rId79" Type="http://schemas.openxmlformats.org/officeDocument/2006/relationships/image" Target="media/image54.wmf"/><Relationship Id="rId78" Type="http://schemas.openxmlformats.org/officeDocument/2006/relationships/oleObject" Target="embeddings/oleObject5.bin"/><Relationship Id="rId77" Type="http://schemas.openxmlformats.org/officeDocument/2006/relationships/image" Target="media/image53.wmf"/><Relationship Id="rId76" Type="http://schemas.openxmlformats.org/officeDocument/2006/relationships/oleObject" Target="embeddings/oleObject4.bin"/><Relationship Id="rId75" Type="http://schemas.openxmlformats.org/officeDocument/2006/relationships/image" Target="media/image52.wmf"/><Relationship Id="rId74" Type="http://schemas.openxmlformats.org/officeDocument/2006/relationships/oleObject" Target="embeddings/oleObject3.bin"/><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footer" Target="footer4.xml"/><Relationship Id="rId69" Type="http://schemas.openxmlformats.org/officeDocument/2006/relationships/image" Target="media/image47.jpeg"/><Relationship Id="rId68" Type="http://schemas.openxmlformats.org/officeDocument/2006/relationships/image" Target="media/image46.jpeg"/><Relationship Id="rId67" Type="http://schemas.openxmlformats.org/officeDocument/2006/relationships/image" Target="media/image45.jpeg"/><Relationship Id="rId66" Type="http://schemas.openxmlformats.org/officeDocument/2006/relationships/image" Target="media/image44.wmf"/><Relationship Id="rId65" Type="http://schemas.openxmlformats.org/officeDocument/2006/relationships/oleObject" Target="embeddings/oleObject2.bin"/><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jpeg"/><Relationship Id="rId61" Type="http://schemas.openxmlformats.org/officeDocument/2006/relationships/image" Target="media/image40.png"/><Relationship Id="rId60" Type="http://schemas.openxmlformats.org/officeDocument/2006/relationships/image" Target="media/image39.jpeg"/><Relationship Id="rId6" Type="http://schemas.openxmlformats.org/officeDocument/2006/relationships/footer" Target="footer3.xml"/><Relationship Id="rId59" Type="http://schemas.openxmlformats.org/officeDocument/2006/relationships/image" Target="media/image38.jpeg"/><Relationship Id="rId58" Type="http://schemas.openxmlformats.org/officeDocument/2006/relationships/image" Target="media/image37.png"/><Relationship Id="rId57" Type="http://schemas.openxmlformats.org/officeDocument/2006/relationships/image" Target="media/image36.jpeg"/><Relationship Id="rId56" Type="http://schemas.openxmlformats.org/officeDocument/2006/relationships/image" Target="media/image35.jpeg"/><Relationship Id="rId55" Type="http://schemas.openxmlformats.org/officeDocument/2006/relationships/image" Target="media/image34.jpeg"/><Relationship Id="rId54" Type="http://schemas.openxmlformats.org/officeDocument/2006/relationships/image" Target="media/image33.png"/><Relationship Id="rId53" Type="http://schemas.openxmlformats.org/officeDocument/2006/relationships/image" Target="media/image32.jpeg"/><Relationship Id="rId52" Type="http://schemas.openxmlformats.org/officeDocument/2006/relationships/image" Target="media/image31.jpeg"/><Relationship Id="rId51" Type="http://schemas.openxmlformats.org/officeDocument/2006/relationships/image" Target="media/image30.jpeg"/><Relationship Id="rId50" Type="http://schemas.openxmlformats.org/officeDocument/2006/relationships/image" Target="media/image29.png"/><Relationship Id="rId5" Type="http://schemas.openxmlformats.org/officeDocument/2006/relationships/footer" Target="footer2.xml"/><Relationship Id="rId49" Type="http://schemas.openxmlformats.org/officeDocument/2006/relationships/image" Target="media/image28.jpeg"/><Relationship Id="rId48" Type="http://schemas.openxmlformats.org/officeDocument/2006/relationships/image" Target="media/image27.png"/><Relationship Id="rId47" Type="http://schemas.openxmlformats.org/officeDocument/2006/relationships/image" Target="media/image26.pn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jpeg"/><Relationship Id="rId43" Type="http://schemas.openxmlformats.org/officeDocument/2006/relationships/image" Target="media/image22.png"/><Relationship Id="rId42" Type="http://schemas.openxmlformats.org/officeDocument/2006/relationships/image" Target="media/image21.jpeg"/><Relationship Id="rId41" Type="http://schemas.openxmlformats.org/officeDocument/2006/relationships/image" Target="media/image20.jpeg"/><Relationship Id="rId40" Type="http://schemas.openxmlformats.org/officeDocument/2006/relationships/image" Target="media/image19.jpeg"/><Relationship Id="rId4" Type="http://schemas.openxmlformats.org/officeDocument/2006/relationships/footer" Target="footer1.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jpe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jpeg"/><Relationship Id="rId31" Type="http://schemas.openxmlformats.org/officeDocument/2006/relationships/image" Target="media/image10.wmf"/><Relationship Id="rId30" Type="http://schemas.openxmlformats.org/officeDocument/2006/relationships/oleObject" Target="embeddings/oleObject1.bin"/><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jpeg"/><Relationship Id="rId26" Type="http://schemas.openxmlformats.org/officeDocument/2006/relationships/image" Target="media/image6.jpe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jpe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1" Type="http://schemas.openxmlformats.org/officeDocument/2006/relationships/fontTable" Target="fontTable.xml"/><Relationship Id="rId160" Type="http://schemas.openxmlformats.org/officeDocument/2006/relationships/customXml" Target="../customXml/item2.xml"/><Relationship Id="rId16" Type="http://schemas.openxmlformats.org/officeDocument/2006/relationships/footer" Target="footer12.xml"/><Relationship Id="rId159" Type="http://schemas.openxmlformats.org/officeDocument/2006/relationships/numbering" Target="numbering.xml"/><Relationship Id="rId158" Type="http://schemas.openxmlformats.org/officeDocument/2006/relationships/customXml" Target="../customXml/item1.xml"/><Relationship Id="rId157" Type="http://schemas.openxmlformats.org/officeDocument/2006/relationships/image" Target="media/image123.jpeg"/><Relationship Id="rId156" Type="http://schemas.openxmlformats.org/officeDocument/2006/relationships/image" Target="media/image122.jpeg"/><Relationship Id="rId155" Type="http://schemas.openxmlformats.org/officeDocument/2006/relationships/image" Target="media/image121.png"/><Relationship Id="rId154" Type="http://schemas.openxmlformats.org/officeDocument/2006/relationships/image" Target="media/image120.png"/><Relationship Id="rId153" Type="http://schemas.openxmlformats.org/officeDocument/2006/relationships/image" Target="media/image119.png"/><Relationship Id="rId152" Type="http://schemas.openxmlformats.org/officeDocument/2006/relationships/image" Target="media/image118.png"/><Relationship Id="rId151" Type="http://schemas.openxmlformats.org/officeDocument/2006/relationships/image" Target="media/image117.png"/><Relationship Id="rId150" Type="http://schemas.openxmlformats.org/officeDocument/2006/relationships/image" Target="media/image116.png"/><Relationship Id="rId15" Type="http://schemas.openxmlformats.org/officeDocument/2006/relationships/footer" Target="footer11.xml"/><Relationship Id="rId149" Type="http://schemas.openxmlformats.org/officeDocument/2006/relationships/image" Target="media/image115.png"/><Relationship Id="rId148" Type="http://schemas.openxmlformats.org/officeDocument/2006/relationships/image" Target="media/image114.png"/><Relationship Id="rId147" Type="http://schemas.openxmlformats.org/officeDocument/2006/relationships/image" Target="media/image113.png"/><Relationship Id="rId146" Type="http://schemas.openxmlformats.org/officeDocument/2006/relationships/image" Target="media/image112.png"/><Relationship Id="rId145" Type="http://schemas.openxmlformats.org/officeDocument/2006/relationships/image" Target="media/image111.png"/><Relationship Id="rId144" Type="http://schemas.openxmlformats.org/officeDocument/2006/relationships/image" Target="media/image110.png"/><Relationship Id="rId143" Type="http://schemas.openxmlformats.org/officeDocument/2006/relationships/image" Target="media/image109.png"/><Relationship Id="rId142" Type="http://schemas.openxmlformats.org/officeDocument/2006/relationships/image" Target="media/image108.png"/><Relationship Id="rId141" Type="http://schemas.openxmlformats.org/officeDocument/2006/relationships/image" Target="media/image107.png"/><Relationship Id="rId140" Type="http://schemas.openxmlformats.org/officeDocument/2006/relationships/image" Target="media/image106.png"/><Relationship Id="rId14" Type="http://schemas.openxmlformats.org/officeDocument/2006/relationships/footer" Target="footer10.xml"/><Relationship Id="rId139" Type="http://schemas.openxmlformats.org/officeDocument/2006/relationships/image" Target="media/image105.png"/><Relationship Id="rId138" Type="http://schemas.openxmlformats.org/officeDocument/2006/relationships/image" Target="media/image104.png"/><Relationship Id="rId137" Type="http://schemas.openxmlformats.org/officeDocument/2006/relationships/image" Target="media/image103.png"/><Relationship Id="rId136" Type="http://schemas.openxmlformats.org/officeDocument/2006/relationships/image" Target="media/image102.png"/><Relationship Id="rId135" Type="http://schemas.openxmlformats.org/officeDocument/2006/relationships/image" Target="media/image101.png"/><Relationship Id="rId134" Type="http://schemas.openxmlformats.org/officeDocument/2006/relationships/image" Target="media/image100.png"/><Relationship Id="rId133" Type="http://schemas.openxmlformats.org/officeDocument/2006/relationships/image" Target="media/image99.png"/><Relationship Id="rId132" Type="http://schemas.openxmlformats.org/officeDocument/2006/relationships/image" Target="media/image98.png"/><Relationship Id="rId131" Type="http://schemas.openxmlformats.org/officeDocument/2006/relationships/image" Target="media/image97.png"/><Relationship Id="rId130" Type="http://schemas.openxmlformats.org/officeDocument/2006/relationships/image" Target="media/image96.png"/><Relationship Id="rId13" Type="http://schemas.openxmlformats.org/officeDocument/2006/relationships/footer" Target="footer9.xml"/><Relationship Id="rId129" Type="http://schemas.openxmlformats.org/officeDocument/2006/relationships/image" Target="media/image95.png"/><Relationship Id="rId128" Type="http://schemas.openxmlformats.org/officeDocument/2006/relationships/image" Target="media/image94.png"/><Relationship Id="rId127" Type="http://schemas.openxmlformats.org/officeDocument/2006/relationships/image" Target="media/image93.png"/><Relationship Id="rId126" Type="http://schemas.openxmlformats.org/officeDocument/2006/relationships/image" Target="media/image92.png"/><Relationship Id="rId125" Type="http://schemas.openxmlformats.org/officeDocument/2006/relationships/image" Target="media/image91.png"/><Relationship Id="rId124" Type="http://schemas.openxmlformats.org/officeDocument/2006/relationships/image" Target="media/image90.jpeg"/><Relationship Id="rId123" Type="http://schemas.openxmlformats.org/officeDocument/2006/relationships/image" Target="media/image89.jpeg"/><Relationship Id="rId122" Type="http://schemas.openxmlformats.org/officeDocument/2006/relationships/image" Target="media/image88.jpeg"/><Relationship Id="rId121" Type="http://schemas.openxmlformats.org/officeDocument/2006/relationships/image" Target="media/image87.jpeg"/><Relationship Id="rId120" Type="http://schemas.openxmlformats.org/officeDocument/2006/relationships/image" Target="media/image86.jpeg"/><Relationship Id="rId12" Type="http://schemas.openxmlformats.org/officeDocument/2006/relationships/footer" Target="footer8.xml"/><Relationship Id="rId119" Type="http://schemas.openxmlformats.org/officeDocument/2006/relationships/image" Target="media/image85.jpeg"/><Relationship Id="rId118" Type="http://schemas.openxmlformats.org/officeDocument/2006/relationships/image" Target="media/image84.png"/><Relationship Id="rId117" Type="http://schemas.openxmlformats.org/officeDocument/2006/relationships/image" Target="media/image83.jpeg"/><Relationship Id="rId116" Type="http://schemas.openxmlformats.org/officeDocument/2006/relationships/image" Target="media/image82.png"/><Relationship Id="rId115" Type="http://schemas.openxmlformats.org/officeDocument/2006/relationships/image" Target="media/image81.png"/><Relationship Id="rId114" Type="http://schemas.openxmlformats.org/officeDocument/2006/relationships/image" Target="media/image80.png"/><Relationship Id="rId113" Type="http://schemas.openxmlformats.org/officeDocument/2006/relationships/image" Target="media/image79.png"/><Relationship Id="rId112" Type="http://schemas.openxmlformats.org/officeDocument/2006/relationships/image" Target="media/image78.jpeg"/><Relationship Id="rId111" Type="http://schemas.openxmlformats.org/officeDocument/2006/relationships/image" Target="media/image77.jpeg"/><Relationship Id="rId110" Type="http://schemas.openxmlformats.org/officeDocument/2006/relationships/image" Target="media/image76.jpeg"/><Relationship Id="rId11" Type="http://schemas.openxmlformats.org/officeDocument/2006/relationships/footer" Target="footer7.xml"/><Relationship Id="rId109" Type="http://schemas.openxmlformats.org/officeDocument/2006/relationships/image" Target="media/image75.jpeg"/><Relationship Id="rId108" Type="http://schemas.openxmlformats.org/officeDocument/2006/relationships/image" Target="media/image74.wmf"/><Relationship Id="rId107" Type="http://schemas.openxmlformats.org/officeDocument/2006/relationships/oleObject" Target="embeddings/oleObject14.bin"/><Relationship Id="rId106" Type="http://schemas.openxmlformats.org/officeDocument/2006/relationships/image" Target="media/image73.wmf"/><Relationship Id="rId105" Type="http://schemas.openxmlformats.org/officeDocument/2006/relationships/oleObject" Target="embeddings/oleObject13.bin"/><Relationship Id="rId104" Type="http://schemas.openxmlformats.org/officeDocument/2006/relationships/image" Target="media/image72.wmf"/><Relationship Id="rId103" Type="http://schemas.openxmlformats.org/officeDocument/2006/relationships/oleObject" Target="embeddings/oleObject12.bin"/><Relationship Id="rId102" Type="http://schemas.openxmlformats.org/officeDocument/2006/relationships/image" Target="media/image71.wmf"/><Relationship Id="rId101" Type="http://schemas.openxmlformats.org/officeDocument/2006/relationships/oleObject" Target="embeddings/oleObject11.bin"/><Relationship Id="rId100" Type="http://schemas.openxmlformats.org/officeDocument/2006/relationships/image" Target="media/image70.wmf"/><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0" textRotate="1"/>
    <customShpInfo spid="_x0000_s2051"/>
    <customShpInfo spid="_x0000_s2052"/>
    <customShpInfo spid="_x0000_s2053"/>
    <customShpInfo spid="_x0000_s2054"/>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864B2A6-DAC7-41E0-8813-940C2CC20361}">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269</Pages>
  <Words>7892</Words>
  <Characters>8539</Characters>
  <Lines>1038</Lines>
  <Paragraphs>292</Paragraphs>
  <TotalTime>4</TotalTime>
  <ScaleCrop>false</ScaleCrop>
  <LinksUpToDate>false</LinksUpToDate>
  <CharactersWithSpaces>8661</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2019-02-18T02:35:00Z</dcterms:created>
  <dc:creator>Tiny。</dc:creator>
  <cp:lastModifiedBy>晨光清梦</cp:lastModifiedBy>
  <cp:lastPrinted>2022-04-13T00:54:00Z</cp:lastPrinted>
  <dcterms:modified xsi:type="dcterms:W3CDTF">2026-06-24T07:56:54Z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70D1B63FCBA34BDD8EB22A0431DB8ADF_13</vt:lpwstr>
  </property>
  <property fmtid="{D5CDD505-2E9C-101B-9397-08002B2CF9AE}" pid="4" name="commondata">
    <vt:lpwstr>eyJoZGlkIjoiNzdhOGE3MGRhODQ0ZjJkNjg4N2Y3ZDA0NTJmZjgyZmYifQ==</vt:lpwstr>
  </property>
  <property fmtid="{D5CDD505-2E9C-101B-9397-08002B2CF9AE}" pid="5" name="KSOTemplateDocerSaveRecord">
    <vt:lpwstr>eyJoZGlkIjoiNzdhOGE3MGRhODQ0ZjJkNjg4N2Y3ZDA0NTJmZjgyZmYiLCJ1c2VySWQiOiI2MzIwMTkzOTMifQ==</vt:lpwstr>
  </property>
</Properties>
</file>